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left"/>
      </w:pPr>
      <w:r>
        <w:rPr>
          <w:rFonts w:ascii="Arial" w:cs="Arial" w:eastAsia="Arial" w:hAnsi="Arial"/>
          <w:b w:val="false"/>
          <w:bCs w:val="false"/>
          <w:i w:val="false"/>
          <w:iCs w:val="false"/>
          <w:color w:val="000000"/>
          <w:sz w:val="22"/>
          <w:szCs w:val="22"/>
        </w:rPr>
        <w:t xml:space="preserve"/>
      </w:r>
    </w:p>
    <w:p>
      <w:pPr>
        <w:spacing w:after="60" w:before="0"/>
        <w:jc w:val="center"/>
      </w:pPr>
      <w:r>
        <w:rPr>
          <w:rFonts w:ascii="Arial" w:cs="Arial" w:eastAsia="Arial" w:hAnsi="Arial"/>
          <w:b/>
          <w:bCs/>
          <w:i w:val="false"/>
          <w:iCs w:val="false"/>
          <w:color w:val="0D8C96"/>
          <w:sz w:val="22"/>
          <w:szCs w:val="22"/>
        </w:rPr>
        <w:t xml:space="preserve">ODA3 Institute</w:t>
      </w:r>
    </w:p>
    <w:p>
      <w:pPr>
        <w:spacing w:after="50" w:before="0"/>
        <w:jc w:val="center"/>
      </w:pPr>
      <w:r>
        <w:rPr>
          <w:rFonts w:ascii="Arial" w:cs="Arial" w:eastAsia="Arial" w:hAnsi="Arial"/>
          <w:b/>
          <w:bCs/>
          <w:i w:val="false"/>
          <w:iCs w:val="false"/>
          <w:color w:val="182C41"/>
          <w:sz w:val="44"/>
          <w:szCs w:val="44"/>
        </w:rPr>
        <w:t xml:space="preserve">AI-IRF® v1.0</w:t>
      </w:r>
    </w:p>
    <w:p>
      <w:pPr>
        <w:spacing w:after="60" w:before="0"/>
        <w:jc w:val="center"/>
      </w:pPr>
      <w:r>
        <w:rPr>
          <w:rFonts w:ascii="Arial" w:cs="Arial" w:eastAsia="Arial" w:hAnsi="Arial"/>
          <w:b/>
          <w:bCs/>
          <w:i w:val="false"/>
          <w:iCs w:val="false"/>
          <w:color w:val="0D8C96"/>
          <w:sz w:val="30"/>
          <w:szCs w:val="30"/>
        </w:rPr>
        <w:t xml:space="preserve">Executive Brief</w:t>
      </w:r>
    </w:p>
    <w:p>
      <w:pPr>
        <w:spacing w:after="60" w:before="0"/>
        <w:jc w:val="center"/>
      </w:pPr>
      <w:r>
        <w:rPr>
          <w:rFonts w:ascii="Arial" w:cs="Arial" w:eastAsia="Arial" w:hAnsi="Arial"/>
          <w:b w:val="false"/>
          <w:bCs w:val="false"/>
          <w:i w:val="false"/>
          <w:iCs w:val="false"/>
          <w:color w:val="555555"/>
          <w:sz w:val="22"/>
          <w:szCs w:val="22"/>
        </w:rPr>
        <w:t xml:space="preserve">Board &amp; CISO Summary</w:t>
      </w:r>
    </w:p>
    <w:p>
      <w:pPr>
        <w:pBdr>
          <w:bottom w:val="single" w:color="0D8C96" w:sz="8" w:space="1"/>
        </w:pBdr>
        <w:spacing w:after="200" w:before="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Document ID</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ODA3-2026-06-EXB-HAI-002</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Version</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1.0 — First Publication under GEL v1.0</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Effective Date</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1 June 2026</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Classification</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Public — Published under GAISSF Ecosystem Licence (GEL v1.0)</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Paired TCR</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ODA3-2026-06-TCR-HAI-001</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Cert Scheme</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AI IRF CERT® v1.0</w:t>
            </w:r>
          </w:p>
        </w:tc>
      </w:tr>
      <w:tr>
        <w:trPr>
          <w:tblHeader w:val="false"/>
        </w:trPr>
        <w:tc>
          <w:tcPr>
            <w:tcW w:type="dxa" w:w="2400"/>
            <w:tcBorders>
              <w:top w:val="single" w:color="DBD9DC" w:sz="4"/>
              <w:left w:val="single" w:color="DBD9DC" w:sz="4"/>
              <w:bottom w:val="single" w:color="DBD9DC" w:sz="4"/>
              <w:right w:val="single" w:color="DBD9DC" w:sz="4"/>
            </w:tcBorders>
            <w:shd w:fill="000F22"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Maintainer</w:t>
            </w:r>
          </w:p>
        </w:tc>
        <w:tc>
          <w:tcPr>
            <w:tcW w:type="dxa" w:w="6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0"/>
                <w:szCs w:val="20"/>
              </w:rPr>
              <w:t xml:space="preserve">ODA3 Institute (ODA3 Pvt Ltd)</w:t>
            </w:r>
          </w:p>
        </w:tc>
      </w:tr>
    </w:tbl>
    <w:p>
      <w:pPr>
        <w:spacing w:after="80" w:before="180"/>
        <w:jc w:val="left"/>
      </w:pPr>
      <w:r>
        <w:rPr>
          <w:rFonts w:ascii="Arial" w:cs="Arial" w:eastAsia="Arial" w:hAnsi="Arial"/>
          <w:b w:val="false"/>
          <w:bCs w:val="false"/>
          <w:i w:val="false"/>
          <w:iCs w:val="false"/>
          <w:color w:val="000000"/>
          <w:sz w:val="22"/>
          <w:szCs w:val="22"/>
        </w:rPr>
        <w:t xml:space="preserve"/>
      </w:r>
    </w:p>
    <w:p>
      <w:pPr>
        <w:spacing w:after="40" w:before="0"/>
        <w:jc w:val="center"/>
      </w:pPr>
      <w:r>
        <w:rPr>
          <w:rFonts w:ascii="Arial" w:cs="Arial" w:eastAsia="Arial" w:hAnsi="Arial"/>
          <w:b/>
          <w:bCs/>
          <w:i/>
          <w:iCs/>
          <w:color w:val="0D8C96"/>
          <w:sz w:val="22"/>
          <w:szCs w:val="22"/>
        </w:rPr>
        <w:t xml:space="preserve">Where AI Governance meets Operational Reality</w:t>
      </w:r>
    </w:p>
    <w:p>
      <w:pPr>
        <w:spacing w:after="100" w:before="0"/>
        <w:jc w:val="center"/>
      </w:pPr>
      <w:r>
        <w:rPr>
          <w:rFonts w:ascii="Arial" w:cs="Arial" w:eastAsia="Arial" w:hAnsi="Arial"/>
          <w:b w:val="false"/>
          <w:bCs w:val="false"/>
          <w:i w:val="false"/>
          <w:iCs w:val="false"/>
          <w:color w:val="0D8C96"/>
          <w:sz w:val="20"/>
          <w:szCs w:val="20"/>
        </w:rPr>
        <w:t xml:space="preserve">https://oda3.org/</w:t>
      </w:r>
    </w:p>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000F22" w:val="clear"/>
            <w:tcMar>
              <w:top w:type="dxa" w:w="100"/>
              <w:left w:type="dxa" w:w="140"/>
              <w:bottom w:type="dxa" w:w="100"/>
              <w:right w:type="dxa" w:w="140"/>
            </w:tcMar>
            <w:vAlign w:val="top"/>
          </w:tcPr>
          <w:p>
            <w:pPr>
              <w:spacing w:after="20" w:before="50"/>
              <w:jc w:val="center"/>
            </w:pPr>
            <w:r>
              <w:rPr>
                <w:rFonts w:ascii="Arial" w:cs="Arial" w:eastAsia="Arial" w:hAnsi="Arial"/>
                <w:b/>
                <w:bCs/>
                <w:i w:val="false"/>
                <w:iCs w:val="false"/>
                <w:color w:val="FFFFFF"/>
                <w:sz w:val="20"/>
                <w:szCs w:val="20"/>
              </w:rPr>
              <w:t xml:space="preserve">LICENCE NOTICE — GEL v1.0</w:t>
            </w:r>
          </w:p>
          <w:p>
            <w:pPr>
              <w:spacing w:after="50" w:before="0"/>
              <w:jc w:val="center"/>
            </w:pPr>
            <w:r>
              <w:rPr>
                <w:rFonts w:ascii="Arial" w:cs="Arial" w:eastAsia="Arial" w:hAnsi="Arial"/>
                <w:b w:val="false"/>
                <w:bCs w:val="false"/>
                <w:i w:val="false"/>
                <w:iCs w:val="false"/>
                <w:color w:val="F0C052"/>
                <w:sz w:val="17"/>
                <w:szCs w:val="17"/>
              </w:rPr>
              <w:t xml:space="preserve">SOURCE-AVAILABLE  |  NON-COMMERCIAL BY DEFAULT  |  COMMERCIAL-USE RESTRICTED</w:t>
            </w:r>
          </w:p>
        </w:tc>
      </w:tr>
      <w:tr>
        <w:trPr>
          <w:tblHeader w:val="false"/>
        </w:trPr>
        <w:tc>
          <w:tcPr>
            <w:tcBorders>
              <w:top w:val="single" w:color="0D8C96" w:sz="10"/>
              <w:left w:val="single" w:color="0D8C96" w:sz="10"/>
              <w:bottom w:val="single" w:color="0D8C96" w:sz="10"/>
              <w:right w:val="single" w:color="0D8C96" w:sz="10"/>
            </w:tcBorders>
            <w:tcMar>
              <w:top w:type="dxa" w:w="100"/>
              <w:left w:type="dxa" w:w="140"/>
              <w:bottom w:type="dxa" w:w="100"/>
              <w:right w:type="dxa" w:w="140"/>
            </w:tcMar>
            <w:vAlign w:val="top"/>
          </w:tcPr>
          <w:p>
            <w:pPr>
              <w:spacing w:after="80" w:before="0"/>
              <w:jc w:val="left"/>
            </w:pPr>
            <w:r>
              <w:rPr>
                <w:rFonts w:ascii="Arial" w:cs="Arial" w:eastAsia="Arial" w:hAnsi="Arial"/>
                <w:b w:val="false"/>
                <w:bCs w:val="false"/>
                <w:i w:val="false"/>
                <w:iCs w:val="false"/>
                <w:color w:val="000000"/>
                <w:sz w:val="20"/>
                <w:szCs w:val="20"/>
              </w:rPr>
              <w:t xml:space="preserve">This document is part of the GAISSF Ecosystem published by ODA3 Institute (ODA3 Pvt Ltd) under the GAISSF Ecosystem Licence (GEL v1.0), effective 1 June 2026. It is source-available, non-commercial by default, and commercial-use restricted. No rights are granted except as explicitly stated in GEL v1.0. This document is NOT open-source and is NOT compatible with OSI-approved licences.</w:t>
            </w:r>
          </w:p>
          <w:p>
            <w:pPr>
              <w:spacing w:after="30" w:before="0"/>
              <w:jc w:val="left"/>
            </w:pPr>
            <w:r>
              <w:rPr>
                <w:rFonts w:ascii="Arial" w:cs="Arial" w:eastAsia="Arial" w:hAnsi="Arial"/>
                <w:b/>
                <w:bCs/>
                <w:i w:val="false"/>
                <w:iCs w:val="false"/>
                <w:color w:val="182C41"/>
                <w:sz w:val="20"/>
                <w:szCs w:val="20"/>
              </w:rPr>
              <w:t xml:space="preserve">Commercial Use (GEL §3.4, §5.3):</w:t>
            </w:r>
          </w:p>
          <w:p>
            <w:pPr>
              <w:spacing w:after="80" w:before="0"/>
              <w:jc w:val="left"/>
            </w:pPr>
            <w:r>
              <w:rPr>
                <w:rFonts w:ascii="Arial" w:cs="Arial" w:eastAsia="Arial" w:hAnsi="Arial"/>
                <w:b w:val="false"/>
                <w:bCs w:val="false"/>
                <w:i w:val="false"/>
                <w:iCs w:val="false"/>
                <w:color w:val="000000"/>
                <w:sz w:val="20"/>
                <w:szCs w:val="20"/>
              </w:rPr>
              <w:t xml:space="preserve">Use of this document as the basis for consulting, advisory, audit, assessment, certification, compliance, SaaS, training, or managed services — regardless of whether a fee is charged specifically for access — constitutes Commercial Use and requires a separate written commercial licence from ODA3 Institute.</w:t>
            </w:r>
          </w:p>
          <w:p>
            <w:pPr>
              <w:spacing w:after="30" w:before="0"/>
              <w:jc w:val="left"/>
            </w:pPr>
            <w:r>
              <w:rPr>
                <w:rFonts w:ascii="Arial" w:cs="Arial" w:eastAsia="Arial" w:hAnsi="Arial"/>
                <w:b/>
                <w:bCs/>
                <w:i w:val="false"/>
                <w:iCs w:val="false"/>
                <w:color w:val="182C41"/>
                <w:sz w:val="20"/>
                <w:szCs w:val="20"/>
              </w:rPr>
              <w:t xml:space="preserve">Contractor &amp; AI Training Data Restrictions (GEL §3.2, §3.6):</w:t>
            </w:r>
          </w:p>
          <w:p>
            <w:pPr>
              <w:spacing w:after="80" w:before="0"/>
              <w:jc w:val="left"/>
            </w:pPr>
            <w:r>
              <w:rPr>
                <w:rFonts w:ascii="Arial" w:cs="Arial" w:eastAsia="Arial" w:hAnsi="Arial"/>
                <w:b w:val="false"/>
                <w:bCs w:val="false"/>
                <w:i w:val="false"/>
                <w:iCs w:val="false"/>
                <w:color w:val="000000"/>
                <w:sz w:val="20"/>
                <w:szCs w:val="20"/>
              </w:rPr>
              <w:t xml:space="preserve">External consultants and third-party firms using this document to deliver services to any external client require a separate commercial licence. Use of this document as AI training, fine-tuning, or evaluation data for any commercially deployed model requires a separate written commercial licence from ODA3 Institute.</w:t>
            </w:r>
          </w:p>
          <w:p>
            <w:pPr>
              <w:spacing w:after="30" w:before="0"/>
              <w:jc w:val="left"/>
            </w:pPr>
            <w:r>
              <w:rPr>
                <w:rFonts w:ascii="Arial" w:cs="Arial" w:eastAsia="Arial" w:hAnsi="Arial"/>
                <w:b/>
                <w:bCs/>
                <w:i w:val="false"/>
                <w:iCs w:val="false"/>
                <w:color w:val="182C41"/>
                <w:sz w:val="20"/>
                <w:szCs w:val="20"/>
              </w:rPr>
              <w:t xml:space="preserve">Trademarks (GEL §9.1, §9.2, §9.3):</w:t>
            </w:r>
          </w:p>
          <w:p>
            <w:pPr>
              <w:spacing w:after="80" w:before="0"/>
              <w:jc w:val="left"/>
            </w:pPr>
            <w:r>
              <w:rPr>
                <w:rFonts w:ascii="Arial" w:cs="Arial" w:eastAsia="Arial" w:hAnsi="Arial"/>
                <w:b w:val="false"/>
                <w:bCs w:val="false"/>
                <w:i w:val="false"/>
                <w:iCs w:val="false"/>
                <w:color w:val="000000"/>
                <w:sz w:val="20"/>
                <w:szCs w:val="20"/>
              </w:rPr>
              <w:t xml:space="preserve">GAISSF®, UAIF®, AI-IRF®, and ODA3® are registered trademarks of ODA3 Pvt Ltd. The ODA3 Institute logo, brand colour palette, and visual identity elements are proprietary design assets of ODA3 Pvt Ltd. No licence to use any of these marks or assets is granted under GEL v1.0 except for factual attribution per GEL §6.</w:t>
            </w:r>
          </w:p>
          <w:p>
            <w:pPr>
              <w:spacing w:after="30" w:before="0"/>
              <w:jc w:val="left"/>
            </w:pPr>
            <w:r>
              <w:rPr>
                <w:rFonts w:ascii="Arial" w:cs="Arial" w:eastAsia="Arial" w:hAnsi="Arial"/>
                <w:b/>
                <w:bCs/>
                <w:i w:val="false"/>
                <w:iCs w:val="false"/>
                <w:color w:val="182C41"/>
                <w:sz w:val="20"/>
                <w:szCs w:val="20"/>
              </w:rPr>
              <w:t xml:space="preserve">Certification Authority (GEL §10.5):</w:t>
            </w:r>
          </w:p>
          <w:p>
            <w:pPr>
              <w:spacing w:after="80" w:before="0"/>
              <w:jc w:val="left"/>
            </w:pPr>
            <w:r>
              <w:rPr>
                <w:rFonts w:ascii="Arial" w:cs="Arial" w:eastAsia="Arial" w:hAnsi="Arial"/>
                <w:b w:val="false"/>
                <w:bCs w:val="false"/>
                <w:i w:val="false"/>
                <w:iCs w:val="false"/>
                <w:color w:val="000000"/>
                <w:sz w:val="20"/>
                <w:szCs w:val="20"/>
              </w:rPr>
              <w:t xml:space="preserve">ODA3 Institute is the sole owner, proprietor, and governing body of the AI-IRF® framework and the AI IRF CERT® certification scheme in perpetuity. All certification, accreditation, and audit authority is exclusively and permanently reserved by ODA3 Institute (ODA3 Pvt Ltd). No third party may offer AI IRF CERT® services without a separate written commercial licence.</w:t>
            </w:r>
          </w:p>
          <w:p>
            <w:pPr>
              <w:spacing w:after="30" w:before="0"/>
              <w:jc w:val="left"/>
            </w:pPr>
            <w:r>
              <w:rPr>
                <w:rFonts w:ascii="Arial" w:cs="Arial" w:eastAsia="Arial" w:hAnsi="Arial"/>
                <w:b/>
                <w:bCs/>
                <w:i w:val="false"/>
                <w:iCs w:val="false"/>
                <w:color w:val="182C41"/>
                <w:sz w:val="20"/>
                <w:szCs w:val="20"/>
              </w:rPr>
              <w:t xml:space="preserve">Redistribution (GEL §5.2):</w:t>
            </w:r>
          </w:p>
          <w:p>
            <w:pPr>
              <w:spacing w:after="80" w:before="0"/>
              <w:jc w:val="left"/>
            </w:pPr>
            <w:r>
              <w:rPr>
                <w:rFonts w:ascii="Arial" w:cs="Arial" w:eastAsia="Arial" w:hAnsi="Arial"/>
                <w:b w:val="false"/>
                <w:bCs w:val="false"/>
                <w:i w:val="false"/>
                <w:iCs w:val="false"/>
                <w:color w:val="000000"/>
                <w:sz w:val="20"/>
                <w:szCs w:val="20"/>
              </w:rPr>
              <w:t xml:space="preserve">Modified versions of this document may only be redistributed under GEL §5.2 conditions and must carry the mandatory disclaimer: “IMPORTANT: This is an unofficial modification of the GAISSF Ecosystem. It has not been reviewed, endorsed, or certified by ODA3 Institute. For the official GAISSF Ecosystem, visit https://oda3.org/”</w:t>
            </w:r>
          </w:p>
          <w:p>
            <w:pPr>
              <w:spacing w:after="20" w:before="0"/>
              <w:jc w:val="left"/>
            </w:pPr>
            <w:r>
              <w:rPr>
                <w:rFonts w:ascii="Arial" w:cs="Arial" w:eastAsia="Arial" w:hAnsi="Arial"/>
                <w:b w:val="false"/>
                <w:bCs w:val="false"/>
                <w:i/>
                <w:iCs/>
                <w:color w:val="555555"/>
                <w:sz w:val="19"/>
                <w:szCs w:val="19"/>
              </w:rPr>
              <w:t xml:space="preserve">Disclaimer (GEL §12): This document is provided “AS IS” without warranties of any kind. All enquiries: https://oda3.org/ — Attribution (GEL §6): AI-IRF® Executive Brief is part of the GAISSF Ecosystem © ODA3 Institute, GEL v1.0.</w:t>
            </w:r>
          </w:p>
        </w:tc>
      </w:tr>
    </w:tbl>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182C41" w:val="clear"/>
            <w:tcMar>
              <w:top w:type="dxa" w:w="100"/>
              <w:left w:type="dxa" w:w="140"/>
              <w:bottom w:type="dxa" w:w="100"/>
              <w:right w:type="dxa" w:w="140"/>
            </w:tcMar>
            <w:vAlign w:val="top"/>
          </w:tcPr>
          <w:p>
            <w:pPr>
              <w:spacing w:after="60" w:before="60"/>
              <w:jc w:val="center"/>
            </w:pPr>
            <w:r>
              <w:rPr>
                <w:rFonts w:ascii="Arial" w:cs="Arial" w:eastAsia="Arial" w:hAnsi="Arial"/>
                <w:b/>
                <w:bCs/>
                <w:i w:val="false"/>
                <w:iCs w:val="false"/>
                <w:color w:val="FFFFFF"/>
                <w:sz w:val="24"/>
                <w:szCs w:val="24"/>
              </w:rPr>
              <w:t xml:space="preserve">The AI Security Gap — Why AI-IRF® v1.0 Exists</w:t>
            </w:r>
          </w:p>
        </w:tc>
      </w:tr>
    </w:tbl>
    <w:p>
      <w:pPr>
        <w:spacing w:after="80" w:before="80"/>
        <w:jc w:val="left"/>
      </w:pPr>
      <w:r>
        <w:rPr>
          <w:rFonts w:ascii="Arial" w:cs="Arial" w:eastAsia="Arial" w:hAnsi="Arial"/>
          <w:b w:val="false"/>
          <w:bCs w:val="false"/>
          <w:i w:val="false"/>
          <w:iCs w:val="false"/>
          <w:color w:val="000000"/>
          <w:sz w:val="22"/>
          <w:szCs w:val="22"/>
        </w:rPr>
        <w:t xml:space="preserve"/>
      </w:r>
    </w:p>
    <w:p>
      <w:pPr>
        <w:spacing w:after="100" w:before="0"/>
        <w:jc w:val="left"/>
      </w:pPr>
      <w:r>
        <w:rPr>
          <w:rFonts w:ascii="Arial" w:cs="Arial" w:eastAsia="Arial" w:hAnsi="Arial"/>
          <w:b w:val="false"/>
          <w:bCs w:val="false"/>
          <w:i w:val="false"/>
          <w:iCs w:val="false"/>
          <w:color w:val="000000"/>
          <w:sz w:val="22"/>
          <w:szCs w:val="22"/>
        </w:rPr>
        <w:t xml:space="preserve">AI systems are now embedded in critical business operations — financial decisioning, healthcare diagnostics, customer service, and physical infrastructure. Existing security certifications were not designed for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Existing Standard</w:t>
            </w:r>
          </w:p>
        </w:tc>
        <w:tc>
          <w:tcPr>
            <w:tcW w:type="dxa" w:w="656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The Gap</w:t>
            </w:r>
          </w:p>
        </w:tc>
      </w:tr>
      <w:tr>
        <w:trPr>
          <w:tblHeader w:val="false"/>
        </w:trPr>
        <w:tc>
          <w:tcPr>
            <w:tcW w:type="dxa" w:w="2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ISO/IEC 27001</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Not AI-specific. No controls for agentic systems, LLM threats, or machine-speed response.</w:t>
            </w:r>
          </w:p>
        </w:tc>
      </w:tr>
      <w:tr>
        <w:trPr>
          <w:tblHeader w:val="false"/>
        </w:trPr>
        <w:tc>
          <w:tcPr>
            <w:tcW w:type="dxa" w:w="2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ISO/IEC 42001</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Governance-focused. No operational incident response depth or certifiable controls.</w:t>
            </w:r>
          </w:p>
        </w:tc>
      </w:tr>
      <w:tr>
        <w:trPr>
          <w:tblHeader w:val="false"/>
        </w:trPr>
        <w:tc>
          <w:tcPr>
            <w:tcW w:type="dxa" w:w="2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NIST AI RMF</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Advisory framework only. Non-certifiable. No evidence requirements.</w:t>
            </w:r>
          </w:p>
        </w:tc>
      </w:tr>
      <w:tr>
        <w:trPr>
          <w:tblHeader w:val="false"/>
        </w:trPr>
        <w:tc>
          <w:tcPr>
            <w:tcW w:type="dxa" w:w="2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SOC 2</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Not AI-native. Does not address prompt injection, model extraction, or AI supply chain integrity.</w:t>
            </w:r>
          </w:p>
        </w:tc>
      </w:tr>
    </w:tbl>
    <w:p>
      <w:pPr>
        <w:spacing w:after="80" w:before="100"/>
        <w:jc w:val="left"/>
      </w:pPr>
      <w:r>
        <w:rPr>
          <w:rFonts w:ascii="Arial" w:cs="Arial" w:eastAsia="Arial" w:hAnsi="Arial"/>
          <w:b w:val="false"/>
          <w:bCs w:val="false"/>
          <w:i w:val="false"/>
          <w:iCs w:val="false"/>
          <w:color w:val="000000"/>
          <w:sz w:val="22"/>
          <w:szCs w:val="22"/>
        </w:rPr>
        <w:t xml:space="preserve"/>
      </w:r>
    </w:p>
    <w:p>
      <w:pPr>
        <w:spacing w:after="100" w:before="0"/>
        <w:jc w:val="left"/>
      </w:pPr>
      <w:r>
        <w:rPr>
          <w:rFonts w:ascii="Arial" w:cs="Arial" w:eastAsia="Arial" w:hAnsi="Arial"/>
          <w:b/>
          <w:bCs/>
          <w:i w:val="false"/>
          <w:iCs w:val="false"/>
          <w:color w:val="182C41"/>
          <w:sz w:val="22"/>
          <w:szCs w:val="22"/>
        </w:rPr>
        <w:t>AI-IRF® v1.0 fills this gap: a certifiable, enforcement-ready AI incident response framework with 79 testable controls, CACAO-compliant playbooks, and a structured three-tier certification pathway.</w:t>
      </w:r>
    </w:p>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182C41" w:val="clear"/>
            <w:tcMar>
              <w:top w:type="dxa" w:w="100"/>
              <w:left w:type="dxa" w:w="140"/>
              <w:bottom w:type="dxa" w:w="100"/>
              <w:right w:type="dxa" w:w="140"/>
            </w:tcMar>
            <w:vAlign w:val="top"/>
          </w:tcPr>
          <w:p>
            <w:pPr>
              <w:spacing w:after="60" w:before="60"/>
              <w:jc w:val="center"/>
            </w:pPr>
            <w:r>
              <w:rPr>
                <w:rFonts w:ascii="Arial" w:cs="Arial" w:eastAsia="Arial" w:hAnsi="Arial"/>
                <w:b/>
                <w:bCs/>
                <w:i w:val="false"/>
                <w:iCs w:val="false"/>
                <w:color w:val="FFFFFF"/>
                <w:sz w:val="24"/>
                <w:szCs w:val="24"/>
              </w:rPr>
              <w:t xml:space="preserve">What AI-IRF® v1.0 Provides</w:t>
            </w:r>
          </w:p>
        </w:tc>
      </w:tr>
    </w:tbl>
    <w:p>
      <w:pPr>
        <w:spacing w:after="80" w:before="8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100" w:before="120"/>
      </w:pPr>
      <w:r>
        <w:rPr>
          <w:rFonts w:ascii="Arial" w:cs="Arial" w:eastAsia="Arial" w:hAnsi="Arial"/>
          <w:b/>
          <w:bCs/>
          <w:i w:val="false"/>
          <w:iCs w:val="false"/>
          <w:color w:val="182C41"/>
          <w:sz w:val="26"/>
          <w:szCs w:val="26"/>
        </w:rPr>
        <w:t xml:space="preserve">Three Certification Tiers</w:t>
      </w:r>
    </w:p>
    <w:p>
      <w:pPr>
        <w:spacing w:after="80" w:before="60"/>
        <w:jc w:val="left"/>
      </w:pPr>
      <w:r>
        <w:rPr>
          <w:rFonts w:ascii="Arial" w:cs="Arial" w:eastAsia="Arial" w:hAnsi="Arial"/>
          <w:b w:val="false"/>
          <w:bCs w:val="false"/>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1800"/>
        <w:gridCol w:w="2760"/>
        <w:gridCol w:w="3800"/>
      </w:tblGrid>
      <w:tr>
        <w:trPr>
          <w:tblHeader/>
        </w:trPr>
        <w:tc>
          <w:tcPr>
            <w:tcW w:type="dxa" w:w="10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Tier</w:t>
            </w:r>
          </w:p>
        </w:tc>
        <w:tc>
          <w:tcPr>
            <w:tcW w:type="dxa" w:w="18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Name</w:t>
            </w:r>
          </w:p>
        </w:tc>
        <w:tc>
          <w:tcPr>
            <w:tcW w:type="dxa" w:w="276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Target Organisation</w:t>
            </w:r>
          </w:p>
        </w:tc>
        <w:tc>
          <w:tcPr>
            <w:tcW w:type="dxa" w:w="38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Key Capability</w:t>
            </w:r>
          </w:p>
        </w:tc>
      </w:tr>
      <w:tr>
        <w:trPr>
          <w:tblHeader w:val="false"/>
        </w:trPr>
        <w:tc>
          <w:tcPr>
            <w:tcW w:type="dxa" w:w="10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Tier 1</w:t>
            </w:r>
          </w:p>
        </w:tc>
        <w:tc>
          <w:tcPr>
            <w:tcW w:type="dxa" w:w="1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Regulatory Baseline</w:t>
            </w:r>
          </w:p>
        </w:tc>
        <w:tc>
          <w:tcPr>
            <w:tcW w:type="dxa" w:w="27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SMEs, early adopters, compliance-driven</w:t>
            </w:r>
          </w:p>
        </w:tc>
        <w:tc>
          <w:tcPr>
            <w:tcW w:type="dxa" w:w="3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Continuous AI discovery, pre-execution gates, regulatory decision trees, signed AI-BOM, deterministic severity scoring</w:t>
            </w:r>
          </w:p>
        </w:tc>
      </w:tr>
      <w:tr>
        <w:trPr>
          <w:tblHeader w:val="false"/>
        </w:trPr>
        <w:tc>
          <w:tcPr>
            <w:tcW w:type="dxa" w:w="10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Tier 2</w:t>
            </w:r>
          </w:p>
        </w:tc>
        <w:tc>
          <w:tcPr>
            <w:tcW w:type="dxa" w:w="1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Advanced Operational</w:t>
            </w:r>
          </w:p>
        </w:tc>
        <w:tc>
          <w:tcPr>
            <w:tcW w:type="dxa" w:w="27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Regulated industries, AI-native enterprises</w:t>
            </w:r>
          </w:p>
        </w:tc>
        <w:tc>
          <w:tcPr>
            <w:tcW w:type="dxa" w:w="3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Full MCP/A2A semantic inspection, LLM-as-a-Judge ensemble, behavioural distillation detection, Zero Trust AI architecture</w:t>
            </w:r>
          </w:p>
        </w:tc>
      </w:tr>
      <w:tr>
        <w:trPr>
          <w:tblHeader w:val="false"/>
        </w:trPr>
        <w:tc>
          <w:tcPr>
            <w:tcW w:type="dxa" w:w="10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Tier 3</w:t>
            </w:r>
          </w:p>
        </w:tc>
        <w:tc>
          <w:tcPr>
            <w:tcW w:type="dxa" w:w="1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Autonomous Security</w:t>
            </w:r>
          </w:p>
        </w:tc>
        <w:tc>
          <w:tcPr>
            <w:tcW w:type="dxa" w:w="27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Critical infrastructure, high-risk AI operators</w:t>
            </w:r>
          </w:p>
        </w:tc>
        <w:tc>
          <w:tcPr>
            <w:tcW w:type="dxa" w:w="38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Machine-speed containment &lt;500ms, integrated cyber-safety command, 15-minute automated rollback, autonomous HITL exception handling</w:t>
            </w:r>
          </w:p>
        </w:tc>
      </w:tr>
    </w:tbl>
    <w:p>
      <w:pPr>
        <w:spacing w:after="80" w:before="12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80" w:before="80"/>
      </w:pPr>
      <w:r>
        <w:rPr>
          <w:rFonts w:ascii="Arial" w:cs="Arial" w:eastAsia="Arial" w:hAnsi="Arial"/>
          <w:b/>
          <w:bCs/>
          <w:i w:val="false"/>
          <w:iCs w:val="false"/>
          <w:color w:val="182C41"/>
          <w:sz w:val="26"/>
          <w:szCs w:val="26"/>
        </w:rPr>
        <w:t xml:space="preserve">What Certification Demonstrates</w:t>
      </w:r>
    </w:p>
    <w:p>
      <w:pPr>
        <w:spacing w:after="80" w:before="40"/>
        <w:jc w:val="left"/>
      </w:pPr>
      <w:r>
        <w:rPr>
          <w:rFonts w:ascii="Arial" w:cs="Arial" w:eastAsia="Arial" w:hAnsi="Arial"/>
          <w:b w:val="false"/>
          <w:bCs w:val="false"/>
          <w:i w:val="false"/>
          <w:iCs w:val="false"/>
          <w:color w:val="000000"/>
          <w:sz w:val="22"/>
          <w:szCs w:val="22"/>
        </w:rPr>
        <w:t xml:space="preserve"/>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AI incident response capability independently verified by an accredited Certification Body</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Operationally enforceable controls — not policy statements — with testable evidence artifacts</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Regulatory readiness: GDPR 72h notification routing, EU AI Act conformance mapping, CIRCIA, NIS2</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Supply chain integrity: cryptographically signed AI-BOM for all production models</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Agentic system security: pre-execution permission gates, HITL controls, A2A trust enforcement</w:t>
      </w:r>
    </w:p>
    <w:p>
      <w:pPr>
        <w:spacing w:after="80" w:before="12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80" w:before="80"/>
      </w:pPr>
      <w:r>
        <w:rPr>
          <w:rFonts w:ascii="Arial" w:cs="Arial" w:eastAsia="Arial" w:hAnsi="Arial"/>
          <w:b/>
          <w:bCs/>
          <w:i w:val="false"/>
          <w:iCs w:val="false"/>
          <w:color w:val="182C41"/>
          <w:sz w:val="26"/>
          <w:szCs w:val="26"/>
        </w:rPr>
        <w:t xml:space="preserve">What Certification Does Not Claim</w:t>
      </w:r>
    </w:p>
    <w:p>
      <w:pPr>
        <w:spacing w:after="80" w:before="40"/>
        <w:jc w:val="left"/>
      </w:pPr>
      <w:r>
        <w:rPr>
          <w:rFonts w:ascii="Arial" w:cs="Arial" w:eastAsia="Arial" w:hAnsi="Arial"/>
          <w:b w:val="false"/>
          <w:bCs w:val="false"/>
          <w:i w:val="false"/>
          <w:iCs w:val="false"/>
          <w:color w:val="000000"/>
          <w:sz w:val="22"/>
          <w:szCs w:val="22"/>
        </w:rPr>
        <w:t xml:space="preserve"/>
      </w:r>
    </w:p>
    <w:p>
      <w:pPr>
        <w:spacing w:after="80" w:before="0"/>
        <w:jc w:val="left"/>
      </w:pPr>
      <w:r>
        <w:rPr>
          <w:rFonts w:ascii="Arial" w:cs="Arial" w:eastAsia="Arial" w:hAnsi="Arial"/>
          <w:b w:val="false"/>
          <w:bCs w:val="false"/>
          <w:i w:val="false"/>
          <w:iCs w:val="false"/>
          <w:color w:val="000000"/>
          <w:sz w:val="22"/>
          <w:szCs w:val="22"/>
        </w:rPr>
        <w:t xml:space="preserve">AI IRF CERT® certifies organisational incident response capability conformance at the claimed tier. It does not certify individual AI model safety, guarantee freedom from security incidents, or constitute regulatory approval. Certificate holders remain responsible for their AI security posture and compliance with applicable law. AI IRF CERT® certification authority is exclusively and permanently reserved by ODA3 Institute (ODA3 Pvt Ltd). No third party may offer AI IRF CERT® certification, accreditation, or audit services without a separate written commercial licence from ODA3 Institute — see https://oda3.org/</w:t>
      </w:r>
    </w:p>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182C41" w:val="clear"/>
            <w:tcMar>
              <w:top w:type="dxa" w:w="100"/>
              <w:left w:type="dxa" w:w="140"/>
              <w:bottom w:type="dxa" w:w="100"/>
              <w:right w:type="dxa" w:w="140"/>
            </w:tcMar>
            <w:vAlign w:val="top"/>
          </w:tcPr>
          <w:p>
            <w:pPr>
              <w:spacing w:after="60" w:before="60"/>
              <w:jc w:val="center"/>
            </w:pPr>
            <w:r>
              <w:rPr>
                <w:rFonts w:ascii="Arial" w:cs="Arial" w:eastAsia="Arial" w:hAnsi="Arial"/>
                <w:b/>
                <w:bCs/>
                <w:i w:val="false"/>
                <w:iCs w:val="false"/>
                <w:color w:val="FFFFFF"/>
                <w:sz w:val="24"/>
                <w:szCs w:val="24"/>
              </w:rPr>
              <w:t xml:space="preserve">Certification Process — What to Expect</w:t>
            </w:r>
          </w:p>
        </w:tc>
      </w:tr>
    </w:tbl>
    <w:p>
      <w:pPr>
        <w:spacing w:after="80" w:before="80"/>
        <w:jc w:val="left"/>
      </w:pPr>
      <w:r>
        <w:rPr>
          <w:rFonts w:ascii="Arial" w:cs="Arial" w:eastAsia="Arial" w:hAnsi="Arial"/>
          <w:b w:val="false"/>
          <w:bCs w:val="false"/>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400"/>
        <w:gridCol w:w="5960"/>
      </w:tblGrid>
      <w:tr>
        <w:trPr>
          <w:tblHeader/>
        </w:trPr>
        <w:tc>
          <w:tcPr>
            <w:tcW w:type="dxa" w:w="20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Phase</w:t>
            </w:r>
          </w:p>
        </w:tc>
        <w:tc>
          <w:tcPr>
            <w:tcW w:type="dxa" w:w="14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Duration</w:t>
            </w:r>
          </w:p>
        </w:tc>
        <w:tc>
          <w:tcPr>
            <w:tcW w:type="dxa" w:w="596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What Happens</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Self-Assessment</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2–4 weeks</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Internal gap analysis using the AI IRF 2.0 Audit Workbook (v2.2 — licensed commercial tool, available via https://oda3.org/). Identifies control gaps and estimates remediation effort against your target tier.</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Preparation</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60–180 days</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Implement controls, establish evidence collection processes per Annex A specifications, conduct internal audit against the checklist pass/fail criteria.</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Stage 1 — Documentation Review</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2–4 weeks</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Accredited Certification Body reviews policies, governance, and control design documentation against AI-IRF® v1.0 requirements for the claimed tier.</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Stage 2 — Technical Validation</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2–6 weeks</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Live testing of controls, evidence examination, personnel interviews, and simulation exercises. 100% of SHALL requirements tested for the claimed tier.</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Certification Decision</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1–2 weeks</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Certificate issued by the Certification Body; organisation listed on ODA3 Institute public registry with QR verification endpoint. Zero major nonconformities required.</w:t>
            </w:r>
          </w:p>
        </w:tc>
      </w:tr>
      <w:tr>
        <w:trPr>
          <w:tblHeader w:val="false"/>
        </w:trPr>
        <w:tc>
          <w:tcPr>
            <w:tcW w:type="dxa" w:w="20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Surveillance</w:t>
            </w:r>
          </w:p>
        </w:tc>
        <w:tc>
          <w:tcPr>
            <w:tcW w:type="dxa" w:w="14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Annual / Semi-annual</w:t>
            </w:r>
          </w:p>
        </w:tc>
        <w:tc>
          <w:tcPr>
            <w:tcW w:type="dxa" w:w="59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Ongoing conformance verification. Tier 1 and Tier 2: annual. Tier 3: semi-annual. Triggered reviews may apply following SEV-1 incidents or significant scope changes.</w:t>
            </w:r>
          </w:p>
        </w:tc>
      </w:tr>
    </w:tbl>
    <w:p>
      <w:pPr>
        <w:spacing w:after="80" w:before="120"/>
        <w:jc w:val="left"/>
      </w:pPr>
      <w:r>
        <w:rPr>
          <w:rFonts w:ascii="Arial" w:cs="Arial" w:eastAsia="Arial" w:hAnsi="Arial"/>
          <w:b w:val="false"/>
          <w:bCs w:val="false"/>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single" w:color="C8A000" w:sz="12"/>
              <w:bottom w:val="none" w:color="FFFFFF" w:sz="0"/>
              <w:right w:val="none" w:color="FFFFFF" w:sz="0"/>
            </w:tcBorders>
            <w:shd w:fill="FEFDF5" w:val="clear"/>
            <w:tcMar>
              <w:top w:type="dxa" w:w="100"/>
              <w:left w:type="dxa" w:w="140"/>
              <w:bottom w:type="dxa" w:w="100"/>
              <w:right w:type="dxa" w:w="140"/>
            </w:tcMar>
            <w:vAlign w:val="top"/>
          </w:tcPr>
          <w:p>
            <w:pPr>
              <w:spacing w:after="30" w:before="0"/>
              <w:jc w:val="left"/>
            </w:pPr>
            <w:r>
              <w:rPr>
                <w:rFonts w:ascii="Arial" w:cs="Arial" w:eastAsia="Arial" w:hAnsi="Arial"/>
                <w:b/>
                <w:bCs/>
                <w:i w:val="false"/>
                <w:iCs w:val="false"/>
                <w:color w:val="B8860B"/>
                <w:sz w:val="20"/>
                <w:szCs w:val="20"/>
              </w:rPr>
              <w:t xml:space="preserve">AI IRF 2.0 Audit Workbook (v2.2) — Licensed Commercial Tool</w:t>
            </w:r>
          </w:p>
          <w:p>
            <w:pPr>
              <w:spacing w:after="20" w:before="0"/>
              <w:jc w:val="left"/>
            </w:pPr>
            <w:r>
              <w:rPr>
                <w:rFonts w:ascii="Arial" w:cs="Arial" w:eastAsia="Arial" w:hAnsi="Arial"/>
                <w:b w:val="false"/>
                <w:bCs w:val="false"/>
                <w:i w:val="false"/>
                <w:iCs w:val="false"/>
                <w:color w:val="000000"/>
                <w:sz w:val="20"/>
                <w:szCs w:val="20"/>
              </w:rPr>
              <w:t xml:space="preserve">The AI IRF 2.0 Audit Workbook is a licensed commercial product of ODA3 Institute (ODA3 Pvt Ltd). It is not freely distributed. Organisations wishing to use the Audit Workbook must obtain a licence from ODA3 Institute prior to use. Unlicensed use constitutes Commercial Use under GEL §3.4. Enquiries: https://oda3.org/</w:t>
            </w:r>
          </w:p>
        </w:tc>
      </w:tr>
    </w:tbl>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182C41" w:val="clear"/>
            <w:tcMar>
              <w:top w:type="dxa" w:w="100"/>
              <w:left w:type="dxa" w:w="140"/>
              <w:bottom w:type="dxa" w:w="100"/>
              <w:right w:type="dxa" w:w="140"/>
            </w:tcMar>
            <w:vAlign w:val="top"/>
          </w:tcPr>
          <w:p>
            <w:pPr>
              <w:spacing w:after="60" w:before="60"/>
              <w:jc w:val="center"/>
            </w:pPr>
            <w:r>
              <w:rPr>
                <w:rFonts w:ascii="Arial" w:cs="Arial" w:eastAsia="Arial" w:hAnsi="Arial"/>
                <w:b/>
                <w:bCs/>
                <w:i w:val="false"/>
                <w:iCs w:val="false"/>
                <w:color w:val="FFFFFF"/>
                <w:sz w:val="24"/>
                <w:szCs w:val="24"/>
              </w:rPr>
              <w:t xml:space="preserve">Commercial Value Proposition</w:t>
            </w:r>
          </w:p>
        </w:tc>
      </w:tr>
    </w:tbl>
    <w:p>
      <w:pPr>
        <w:spacing w:after="80" w:before="8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80" w:before="120"/>
      </w:pPr>
      <w:r>
        <w:rPr>
          <w:rFonts w:ascii="Arial" w:cs="Arial" w:eastAsia="Arial" w:hAnsi="Arial"/>
          <w:b/>
          <w:bCs/>
          <w:i w:val="false"/>
          <w:iCs w:val="false"/>
          <w:color w:val="182C41"/>
          <w:sz w:val="24"/>
          <w:szCs w:val="24"/>
        </w:rPr>
        <w:t xml:space="preserve">For CISOs</w:t>
      </w:r>
    </w:p>
    <w:p>
      <w:pPr>
        <w:spacing w:after="80" w:before="40"/>
        <w:jc w:val="left"/>
      </w:pPr>
      <w:r>
        <w:rPr>
          <w:rFonts w:ascii="Arial" w:cs="Arial" w:eastAsia="Arial" w:hAnsi="Arial"/>
          <w:b w:val="false"/>
          <w:bCs w:val="false"/>
          <w:i w:val="false"/>
          <w:iCs w:val="false"/>
          <w:color w:val="000000"/>
          <w:sz w:val="22"/>
          <w:szCs w:val="22"/>
        </w:rPr>
        <w:t xml:space="preserve"/>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Demonstrate AI resilience to regulators, insurers, and procurement teams with independently verified evidence</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Structured roadmap from current state to Tier 3 autonomous security capability</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Cross-certification pathways: AI IRF CERT® evidence supports ISO 27001, SOC 2, FedRAMP, and HITRUST audits</w:t>
      </w:r>
    </w:p>
    <w:p>
      <w:pPr>
        <w:spacing w:after="80" w:before="8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80" w:before="120"/>
      </w:pPr>
      <w:r>
        <w:rPr>
          <w:rFonts w:ascii="Arial" w:cs="Arial" w:eastAsia="Arial" w:hAnsi="Arial"/>
          <w:b/>
          <w:bCs/>
          <w:i w:val="false"/>
          <w:iCs w:val="false"/>
          <w:color w:val="182C41"/>
          <w:sz w:val="24"/>
          <w:szCs w:val="24"/>
        </w:rPr>
        <w:t xml:space="preserve">For Boards and CFOs</w:t>
      </w:r>
    </w:p>
    <w:p>
      <w:pPr>
        <w:spacing w:after="80" w:before="40"/>
        <w:jc w:val="left"/>
      </w:pPr>
      <w:r>
        <w:rPr>
          <w:rFonts w:ascii="Arial" w:cs="Arial" w:eastAsia="Arial" w:hAnsi="Arial"/>
          <w:b w:val="false"/>
          <w:bCs w:val="false"/>
          <w:i w:val="false"/>
          <w:iCs w:val="false"/>
          <w:color w:val="000000"/>
          <w:sz w:val="22"/>
          <w:szCs w:val="22"/>
        </w:rPr>
        <w:t xml:space="preserve"/>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Reduce AI-related systemic risk with quantified, tier-based control assurance</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Cyber insurance positioning: demonstrable AI security posture reduces exposure</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Regulatory defensibility: structured evidence chain for EU AI Act, GDPR, and NIS2 obligations</w:t>
      </w:r>
    </w:p>
    <w:p>
      <w:pPr>
        <w:spacing w:after="80" w:before="80"/>
        <w:jc w:val="left"/>
      </w:pPr>
      <w:r>
        <w:rPr>
          <w:rFonts w:ascii="Arial" w:cs="Arial" w:eastAsia="Arial" w:hAnsi="Arial"/>
          <w:b w:val="false"/>
          <w:bCs w:val="false"/>
          <w:i w:val="false"/>
          <w:iCs w:val="false"/>
          <w:color w:val="000000"/>
          <w:sz w:val="22"/>
          <w:szCs w:val="22"/>
        </w:rPr>
        <w:t xml:space="preserve"/>
      </w:r>
    </w:p>
    <w:p>
      <w:pPr>
        <w:pBdr>
          <w:bottom w:val="single" w:color="0D8C96" w:sz="4" w:space="1"/>
        </w:pBdr>
        <w:spacing w:after="80" w:before="120"/>
      </w:pPr>
      <w:r>
        <w:rPr>
          <w:rFonts w:ascii="Arial" w:cs="Arial" w:eastAsia="Arial" w:hAnsi="Arial"/>
          <w:b/>
          <w:bCs/>
          <w:i w:val="false"/>
          <w:iCs w:val="false"/>
          <w:color w:val="182C41"/>
          <w:sz w:val="24"/>
          <w:szCs w:val="24"/>
        </w:rPr>
        <w:t xml:space="preserve">For Legal and Compliance</w:t>
      </w:r>
    </w:p>
    <w:p>
      <w:pPr>
        <w:spacing w:after="80" w:before="40"/>
        <w:jc w:val="left"/>
      </w:pPr>
      <w:r>
        <w:rPr>
          <w:rFonts w:ascii="Arial" w:cs="Arial" w:eastAsia="Arial" w:hAnsi="Arial"/>
          <w:b w:val="false"/>
          <w:bCs w:val="false"/>
          <w:i w:val="false"/>
          <w:iCs w:val="false"/>
          <w:color w:val="000000"/>
          <w:sz w:val="22"/>
          <w:szCs w:val="22"/>
        </w:rPr>
        <w:t xml:space="preserve"/>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Deterministic regulatory routing: embedded decision trees for GDPR 72h, EU AI Act, CIRCIA, NIS2, Colorado AI Act</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Cryptographic evidence chain: immutable audit logs, ECDSA-signed AI-BOM, WORM storage</w:t>
      </w:r>
    </w:p>
    <w:p>
      <w:pPr>
        <w:pStyle w:val="ListParagraph"/>
        <w:numPr>
          <w:ilvl w:val="0"/>
          <w:numId w:val="2"/>
        </w:numPr>
        <w:spacing w:after="40" w:before="40"/>
      </w:pPr>
      <w:r>
        <w:rPr>
          <w:rFonts w:ascii="Arial" w:cs="Arial" w:eastAsia="Arial" w:hAnsi="Arial"/>
          <w:b w:val="false"/>
          <w:bCs w:val="false"/>
          <w:i w:val="false"/>
          <w:iCs w:val="false"/>
          <w:color w:val="000000"/>
          <w:sz w:val="21"/>
          <w:szCs w:val="21"/>
        </w:rPr>
        <w:t xml:space="preserve">Post-incident regulatory package: pre-structured STIX 2.1 export and CTI sharing workflow</w:t>
      </w:r>
    </w:p>
    <w:p>
      <w:pPr>
        <w:spacing w:after="80" w:before="80"/>
        <w:jc w:val="left"/>
      </w:pPr>
      <w:r>
        <w:rPr>
          <w:rFonts w:ascii="Arial" w:cs="Arial" w:eastAsia="Arial" w:hAnsi="Arial"/>
          <w:b w:val="false"/>
          <w:bCs w:val="false"/>
          <w:i w:val="false"/>
          <w:iCs w:val="false"/>
          <w:color w:val="000000"/>
          <w:sz w:val="22"/>
          <w:szCs w:val="22"/>
        </w:rPr>
        <w:t xml:space="preserve"/>
      </w:r>
    </w:p>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182C41" w:val="clear"/>
            <w:tcMar>
              <w:top w:type="dxa" w:w="100"/>
              <w:left w:type="dxa" w:w="140"/>
              <w:bottom w:type="dxa" w:w="100"/>
              <w:right w:type="dxa" w:w="140"/>
            </w:tcMar>
            <w:vAlign w:val="top"/>
          </w:tcPr>
          <w:p>
            <w:pPr>
              <w:spacing w:after="60" w:before="60"/>
              <w:jc w:val="center"/>
            </w:pPr>
            <w:r>
              <w:rPr>
                <w:rFonts w:ascii="Arial" w:cs="Arial" w:eastAsia="Arial" w:hAnsi="Arial"/>
                <w:b/>
                <w:bCs/>
                <w:i w:val="false"/>
                <w:iCs w:val="false"/>
                <w:color w:val="FFFFFF"/>
                <w:sz w:val="24"/>
                <w:szCs w:val="24"/>
              </w:rPr>
              <w:t xml:space="preserve">Next Steps</w:t>
            </w:r>
          </w:p>
        </w:tc>
      </w:tr>
    </w:tbl>
    <w:p>
      <w:pPr>
        <w:spacing w:after="80" w:before="80"/>
        <w:jc w:val="left"/>
      </w:pPr>
      <w:r>
        <w:rPr>
          <w:rFonts w:ascii="Arial" w:cs="Arial" w:eastAsia="Arial" w:hAnsi="Arial"/>
          <w:b w:val="false"/>
          <w:bCs w:val="false"/>
          <w:i w:val="false"/>
          <w:iCs w:val="false"/>
          <w:color w:val="000000"/>
          <w:sz w:val="22"/>
          <w:szCs w:val="22"/>
        </w:rPr>
        <w:t xml:space="preserve"/>
      </w:r>
    </w:p>
    <w:p>
      <w:pPr>
        <w:spacing w:after="100" w:before="0"/>
        <w:jc w:val="left"/>
      </w:pPr>
      <w:r>
        <w:rPr>
          <w:rFonts w:ascii="Arial" w:cs="Arial" w:eastAsia="Arial" w:hAnsi="Arial"/>
          <w:b w:val="false"/>
          <w:bCs w:val="false"/>
          <w:i w:val="false"/>
          <w:iCs w:val="false"/>
          <w:color w:val="000000"/>
          <w:sz w:val="22"/>
          <w:szCs w:val="22"/>
        </w:rPr>
        <w:t xml:space="preserve">To begin the AI IRF CERT® certification pathway: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6560"/>
        <w:gridCol w:w="2200"/>
      </w:tblGrid>
      <w:tr>
        <w:trPr>
          <w:tblHeader/>
        </w:trPr>
        <w:tc>
          <w:tcPr>
            <w:tcW w:type="dxa" w:w="6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Step</w:t>
            </w:r>
          </w:p>
        </w:tc>
        <w:tc>
          <w:tcPr>
            <w:tcW w:type="dxa" w:w="656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Action</w:t>
            </w:r>
          </w:p>
        </w:tc>
        <w:tc>
          <w:tcPr>
            <w:tcW w:type="dxa" w:w="2200"/>
            <w:tcBorders>
              <w:top w:val="single" w:color="DBD9DC" w:sz="4"/>
              <w:left w:val="single" w:color="DBD9DC" w:sz="4"/>
              <w:bottom w:val="single" w:color="DBD9DC" w:sz="4"/>
              <w:right w:val="single" w:color="DBD9DC" w:sz="4"/>
            </w:tcBorders>
            <w:shd w:fill="182C41" w:val="clear"/>
            <w:tcMar>
              <w:top w:type="dxa" w:w="100"/>
              <w:left w:type="dxa" w:w="140"/>
              <w:bottom w:type="dxa" w:w="100"/>
              <w:right w:type="dxa" w:w="140"/>
            </w:tcMar>
            <w:vAlign w:val="top"/>
          </w:tcPr>
          <w:p>
            <w:pPr>
              <w:spacing w:after="40" w:before="40"/>
              <w:jc w:val="left"/>
            </w:pPr>
            <w:r>
              <w:rPr>
                <w:rFonts w:ascii="Arial" w:cs="Arial" w:eastAsia="Arial" w:hAnsi="Arial"/>
                <w:b/>
                <w:bCs/>
                <w:i w:val="false"/>
                <w:iCs w:val="false"/>
                <w:color w:val="FFFFFF"/>
                <w:sz w:val="20"/>
                <w:szCs w:val="20"/>
              </w:rPr>
              <w:t xml:space="preserve">Contact</w:t>
            </w:r>
          </w:p>
        </w:tc>
      </w:tr>
      <w:tr>
        <w:trPr>
          <w:tblHeader w:val="false"/>
        </w:trPr>
        <w:tc>
          <w:tcPr>
            <w:tcW w:type="dxa" w:w="6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1</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Obtain a licence for the AI IRF 2.0 Audit Workbook (v2.2) and complete a self-assessment against your target tier.</w:t>
            </w:r>
          </w:p>
        </w:tc>
        <w:tc>
          <w:tcPr>
            <w:tcW w:type="dxa" w:w="22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D8C96"/>
                <w:sz w:val="21"/>
                <w:szCs w:val="21"/>
              </w:rPr>
              <w:t xml:space="preserve">https://oda3.org/</w:t>
            </w:r>
          </w:p>
        </w:tc>
      </w:tr>
      <w:tr>
        <w:trPr>
          <w:tblHeader w:val="false"/>
        </w:trPr>
        <w:tc>
          <w:tcPr>
            <w:tcW w:type="dxa" w:w="6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2</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Request a readiness assessment consultation with an ODA3-authorised Certification Body.</w:t>
            </w:r>
          </w:p>
        </w:tc>
        <w:tc>
          <w:tcPr>
            <w:tcW w:type="dxa" w:w="22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D8C96"/>
                <w:sz w:val="21"/>
                <w:szCs w:val="21"/>
              </w:rPr>
              <w:t xml:space="preserve">https://oda3.org/</w:t>
            </w:r>
          </w:p>
        </w:tc>
      </w:tr>
      <w:tr>
        <w:trPr>
          <w:tblHeader w:val="false"/>
        </w:trPr>
        <w:tc>
          <w:tcPr>
            <w:tcW w:type="dxa" w:w="600"/>
            <w:tcBorders>
              <w:top w:val="single" w:color="DBD9DC" w:sz="4"/>
              <w:left w:val="single" w:color="DBD9DC" w:sz="4"/>
              <w:bottom w:val="single" w:color="DBD9DC" w:sz="4"/>
              <w:right w:val="single" w:color="DBD9DC" w:sz="4"/>
            </w:tcBorders>
            <w:shd w:fill="E6F7F8" w:val="clear"/>
            <w:tcMar>
              <w:top w:type="dxa" w:w="100"/>
              <w:left w:type="dxa" w:w="140"/>
              <w:bottom w:type="dxa" w:w="100"/>
              <w:right w:type="dxa" w:w="140"/>
            </w:tcMar>
            <w:vAlign w:val="top"/>
          </w:tcPr>
          <w:p>
            <w:pPr>
              <w:spacing w:after="20" w:before="20"/>
              <w:jc w:val="left"/>
            </w:pPr>
            <w:r>
              <w:rPr>
                <w:rFonts w:ascii="Arial" w:cs="Arial" w:eastAsia="Arial" w:hAnsi="Arial"/>
                <w:b/>
                <w:bCs/>
                <w:i w:val="false"/>
                <w:iCs w:val="false"/>
                <w:color w:val="000000"/>
                <w:sz w:val="21"/>
                <w:szCs w:val="21"/>
              </w:rPr>
              <w:t xml:space="preserve">3</w:t>
            </w:r>
          </w:p>
        </w:tc>
        <w:tc>
          <w:tcPr>
            <w:tcW w:type="dxa" w:w="656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00000"/>
                <w:sz w:val="21"/>
                <w:szCs w:val="21"/>
              </w:rPr>
              <w:t xml:space="preserve">Engage a licensed Certification Body to begin Stage 1 documentation review. CB directory available via ODA3 Institute.</w:t>
            </w:r>
          </w:p>
        </w:tc>
        <w:tc>
          <w:tcPr>
            <w:tcW w:type="dxa" w:w="2200"/>
            <w:tcBorders>
              <w:top w:val="single" w:color="DBD9DC" w:sz="4"/>
              <w:left w:val="single" w:color="DBD9DC" w:sz="4"/>
              <w:bottom w:val="single" w:color="DBD9DC" w:sz="4"/>
              <w:right w:val="single" w:color="DBD9DC" w:sz="4"/>
            </w:tcBorders>
            <w:tcMar>
              <w:top w:type="dxa" w:w="100"/>
              <w:left w:type="dxa" w:w="140"/>
              <w:bottom w:type="dxa" w:w="100"/>
              <w:right w:type="dxa" w:w="140"/>
            </w:tcMar>
            <w:vAlign w:val="top"/>
          </w:tcPr>
          <w:p>
            <w:pPr>
              <w:spacing w:after="20" w:before="20"/>
              <w:jc w:val="left"/>
            </w:pPr>
            <w:r>
              <w:rPr>
                <w:rFonts w:ascii="Arial" w:cs="Arial" w:eastAsia="Arial" w:hAnsi="Arial"/>
                <w:b w:val="false"/>
                <w:bCs w:val="false"/>
                <w:i w:val="false"/>
                <w:iCs w:val="false"/>
                <w:color w:val="0D8C96"/>
                <w:sz w:val="21"/>
                <w:szCs w:val="21"/>
              </w:rPr>
              <w:t xml:space="preserve">https://oda3.org/</w:t>
            </w:r>
          </w:p>
        </w:tc>
      </w:tr>
    </w:tbl>
    <w:p>
      <w:pPr>
        <w:spacing w:after="80" w:before="120"/>
        <w:jc w:val="left"/>
      </w:pPr>
      <w:r>
        <w:rPr>
          <w:rFonts w:ascii="Arial" w:cs="Arial" w:eastAsia="Arial" w:hAnsi="Arial"/>
          <w:b w:val="false"/>
          <w:bCs w:val="false"/>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single" w:color="0D8C96" w:sz="12"/>
              <w:bottom w:val="none" w:color="FFFFFF" w:sz="0"/>
              <w:right w:val="none" w:color="FFFFFF" w:sz="0"/>
            </w:tcBorders>
            <w:shd w:fill="F5F9FA" w:val="clear"/>
            <w:tcMar>
              <w:top w:type="dxa" w:w="100"/>
              <w:left w:type="dxa" w:w="140"/>
              <w:bottom w:type="dxa" w:w="100"/>
              <w:right w:type="dxa" w:w="140"/>
            </w:tcMar>
            <w:vAlign w:val="top"/>
          </w:tcPr>
          <w:p>
            <w:pPr>
              <w:spacing w:after="30" w:before="0"/>
              <w:jc w:val="left"/>
            </w:pPr>
            <w:r>
              <w:rPr>
                <w:rFonts w:ascii="Arial" w:cs="Arial" w:eastAsia="Arial" w:hAnsi="Arial"/>
                <w:b/>
                <w:bCs/>
                <w:i w:val="false"/>
                <w:iCs w:val="false"/>
                <w:color w:val="0D8C96"/>
                <w:sz w:val="20"/>
                <w:szCs w:val="20"/>
              </w:rPr>
              <w:t xml:space="preserve">Framework Documents — GEL v1.0 Terms Apply</w:t>
            </w:r>
          </w:p>
          <w:p>
            <w:pPr>
              <w:spacing w:after="20" w:before="0"/>
              <w:jc w:val="left"/>
            </w:pPr>
            <w:r>
              <w:rPr>
                <w:rFonts w:ascii="Arial" w:cs="Arial" w:eastAsia="Arial" w:hAnsi="Arial"/>
                <w:b w:val="false"/>
                <w:bCs w:val="false"/>
                <w:i w:val="false"/>
                <w:iCs w:val="false"/>
                <w:color w:val="000000"/>
                <w:sz w:val="20"/>
                <w:szCs w:val="20"/>
              </w:rPr>
              <w:t xml:space="preserve">AI-IRF® v1.0 framework documents are available to the public under the GAISSF Ecosystem Licence (GEL v1.0) — source-available, non-commercial by default. They are not unconditionally public. Access, redistribution, and use are governed by GEL v1.0. Commercial use of any framework document requires a separate written commercial licence from ODA3 Institute. All documents, licensing terms, and the CB directory are accessible at https://oda3.org/</w:t>
            </w:r>
          </w:p>
        </w:tc>
      </w:tr>
    </w:tbl>
    <w:p>
      <w:pPr>
        <w:spacing w:after="80" w:before="80"/>
        <w:jc w:val="left"/>
      </w:pPr>
      <w:r>
        <w:rPr>
          <w:rFonts w:ascii="Arial" w:cs="Arial" w:eastAsia="Arial" w:hAnsi="Arial"/>
          <w:b w:val="false"/>
          <w:bCs w:val="false"/>
          <w:i w:val="false"/>
          <w:iCs w:val="false"/>
          <w:color w:val="000000"/>
          <w:sz w:val="22"/>
          <w:szCs w:val="22"/>
        </w:rPr>
        <w:t xml:space="preserve"/>
      </w:r>
    </w:p>
    <w:p>
      <w:pPr>
        <w:spacing w:after="40" w:before="0"/>
        <w:jc w:val="left"/>
      </w:pPr>
      <w:r>
        <w:rPr>
          <w:rFonts w:ascii="Arial" w:cs="Arial" w:eastAsia="Arial" w:hAnsi="Arial"/>
          <w:b w:val="false"/>
          <w:bCs w:val="false"/>
          <w:i w:val="false"/>
          <w:iCs w:val="false"/>
          <w:color w:val="000000"/>
          <w:sz w:val="21"/>
          <w:szCs w:val="21"/>
        </w:rPr>
        <w:t xml:space="preserve">For regulatory advisory, readiness programme support, or auditor training enquiries, contact ODA3 Institute at https://oda3.org/</w:t>
      </w:r>
    </w:p>
    <w:p>
      <w:pPr>
        <w:spacing w:after="0" w:before="0"/>
      </w:pPr>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blHeader w:val="false"/>
        </w:trPr>
        <w:tc>
          <w:tcPr>
            <w:tcBorders>
              <w:top w:val="none" w:color="FFFFFF" w:sz="0"/>
              <w:left w:val="none" w:color="FFFFFF" w:sz="0"/>
              <w:bottom w:val="none" w:color="FFFFFF" w:sz="0"/>
              <w:right w:val="none" w:color="FFFFFF" w:sz="0"/>
            </w:tcBorders>
            <w:shd w:fill="000F22" w:val="clear"/>
            <w:tcMar>
              <w:top w:type="dxa" w:w="100"/>
              <w:left w:type="dxa" w:w="140"/>
              <w:bottom w:type="dxa" w:w="100"/>
              <w:right w:type="dxa" w:w="140"/>
            </w:tcMar>
            <w:vAlign w:val="top"/>
          </w:tcPr>
          <w:p>
            <w:pPr>
              <w:spacing w:after="20" w:before="40"/>
              <w:jc w:val="center"/>
            </w:pPr>
            <w:r>
              <w:rPr>
                <w:rFonts w:ascii="Arial" w:cs="Arial" w:eastAsia="Arial" w:hAnsi="Arial"/>
                <w:b/>
                <w:bCs/>
                <w:i w:val="false"/>
                <w:iCs w:val="false"/>
                <w:color w:val="FFFFFF"/>
                <w:sz w:val="20"/>
                <w:szCs w:val="20"/>
              </w:rPr>
              <w:t xml:space="preserve">GAISSF®  |  UAIF®  |  AI-IRF®  |  ODA3®</w:t>
            </w:r>
          </w:p>
          <w:p>
            <w:pPr>
              <w:spacing w:after="20" w:before="0"/>
              <w:jc w:val="center"/>
            </w:pPr>
            <w:r>
              <w:rPr>
                <w:rFonts w:ascii="Arial" w:cs="Arial" w:eastAsia="Arial" w:hAnsi="Arial"/>
                <w:b w:val="false"/>
                <w:bCs w:val="false"/>
                <w:i w:val="false"/>
                <w:iCs w:val="false"/>
                <w:color w:val="F0C052"/>
                <w:sz w:val="18"/>
                <w:szCs w:val="18"/>
              </w:rPr>
              <w:t xml:space="preserve">Registered trademarks of ODA3 Pvt Ltd. Published under GEL v1.0.</w:t>
            </w:r>
          </w:p>
          <w:p>
            <w:pPr>
              <w:spacing w:after="20" w:before="0"/>
              <w:jc w:val="center"/>
            </w:pPr>
            <w:r>
              <w:rPr>
                <w:rFonts w:ascii="Arial" w:cs="Arial" w:eastAsia="Arial" w:hAnsi="Arial"/>
                <w:b w:val="false"/>
                <w:bCs w:val="false"/>
                <w:i w:val="false"/>
                <w:iCs w:val="false"/>
                <w:color w:val="BBBBBB"/>
                <w:sz w:val="18"/>
                <w:szCs w:val="18"/>
              </w:rPr>
              <w:t xml:space="preserve">ODA3 Institute is the sole owner, proprietor, and governing body of the AI-IRF® framework and AI IRF CERT® certification scheme in perpetuity.</w:t>
            </w:r>
          </w:p>
          <w:p>
            <w:pPr>
              <w:spacing w:after="40" w:before="0"/>
              <w:jc w:val="center"/>
            </w:pPr>
            <w:r>
              <w:rPr>
                <w:rFonts w:ascii="Arial" w:cs="Arial" w:eastAsia="Arial" w:hAnsi="Arial"/>
                <w:b/>
                <w:bCs/>
                <w:i w:val="false"/>
                <w:iCs w:val="false"/>
                <w:color w:val="F0C052"/>
                <w:sz w:val="19"/>
                <w:szCs w:val="19"/>
              </w:rPr>
              <w:t xml:space="preserve">© 2026 ODA3 Pvt Ltd. All Rights Reserved.  |  https://oda3.org/</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D8C96" w:sz="4" w:space="1"/>
      </w:pBdr>
      <w:spacing w:before="80"/>
      <w:jc w:val="center"/>
    </w:pPr>
    <w:r>
      <w:rPr>
        <w:rFonts w:ascii="Arial" w:cs="Arial" w:eastAsia="Arial" w:hAnsi="Arial"/>
        <w:color w:val="888888"/>
        <w:sz w:val="16"/>
        <w:szCs w:val="16"/>
      </w:rPr>
      <w:t xml:space="preserve">ODA3-2026-06-EXB-HAI-002  |  © 2026 ODA3 Pvt Ltd. All Rights Reserved.  |  GEL v1.0  |  https://oda3.org/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D8C96" w:sz="6" w:space="1"/>
      </w:pBdr>
      <w:spacing w:after="120"/>
    </w:pPr>
    <w:r>
      <w:rPr>
        <w:rFonts w:ascii="Arial" w:cs="Arial" w:eastAsia="Arial" w:hAnsi="Arial"/>
        <w:color w:val="666666"/>
        <w:sz w:val="18"/>
        <w:szCs w:val="18"/>
      </w:rPr>
      <w:t xml:space="preserve">ODA3 Institute  |  Executive Brief  |  </w:t>
    </w:r>
    <w:r>
      <w:rPr>
        <w:rFonts w:ascii="Arial" w:cs="Arial" w:eastAsia="Arial" w:hAnsi="Arial"/>
        <w:b/>
        <w:bCs/>
        <w:color w:val="182C41"/>
        <w:sz w:val="18"/>
        <w:szCs w:val="18"/>
      </w:rPr>
      <w:t xml:space="preserve">AI-IRF® v1.0 — Board &amp; CISO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color w:val="182C41"/>
      <w:sz w:val="30"/>
      <w:szCs w:val="30"/>
    </w:rPr>
  </w:style>
  <w:style w:type="paragraph" w:styleId="Heading2">
    <w:name w:val="Heading 2"/>
    <w:basedOn w:val="Normal"/>
    <w:next w:val="Normal"/>
    <w:qFormat/>
    <w:pPr>
      <w:spacing w:after="80" w:before="160"/>
      <w:outlineLvl w:val="1"/>
    </w:pPr>
    <w:rPr>
      <w:rFonts w:ascii="Arial" w:cs="Arial" w:eastAsia="Arial" w:hAnsi="Arial"/>
      <w:b/>
      <w:bCs/>
      <w:color w:val="182C41"/>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2026-06-12T10:40:53.185Z</dcterms:created>
  <dcterms:modified xsi:type="dcterms:W3CDTF">2026-06-12T10:40:53.199Z</dcterms:modified>
</cp:coreProperties>
</file>

<file path=docProps/custom.xml><?xml version="1.0" encoding="utf-8"?>
<Properties xmlns="http://schemas.openxmlformats.org/officeDocument/2006/custom-properties" xmlns:vt="http://schemas.openxmlformats.org/officeDocument/2006/docPropsVTypes"/>
</file>