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t xml:space="preserve"/>
      </w:r>
    </w:p>
    <w:p>
      <w:pPr>
        <w:spacing w:after="80"/>
      </w:pPr>
      <w:r>
        <w:rPr>
          <w:rFonts w:ascii="Arial" w:cs="Arial" w:eastAsia="Arial" w:hAnsi="Arial"/>
          <w:b/>
          <w:bCs/>
          <w:color w:val="6B6B68"/>
          <w:spacing w:val="200"/>
          <w:sz w:val="20"/>
          <w:szCs w:val="20"/>
        </w:rPr>
        <w:t xml:space="preserve">ODA3 INSTITUTE</w:t>
      </w:r>
    </w:p>
    <w:p>
      <w:pPr>
        <w:spacing w:after="80"/>
      </w:pPr>
      <w:r>
        <w:rPr>
          <w:rFonts w:ascii="Arial" w:cs="Arial" w:eastAsia="Arial" w:hAnsi="Arial"/>
          <w:b/>
          <w:bCs/>
          <w:color w:val="3C3489"/>
          <w:sz w:val="44"/>
          <w:szCs w:val="44"/>
        </w:rPr>
        <w:t xml:space="preserve">Frequently Asked Questions</w:t>
      </w:r>
    </w:p>
    <w:p>
      <w:pPr>
        <w:spacing w:after="200"/>
      </w:pPr>
      <w:r>
        <w:rPr>
          <w:rFonts w:ascii="Arial" w:cs="Arial" w:eastAsia="Arial" w:hAnsi="Arial"/>
          <w:i/>
          <w:iCs/>
          <w:color w:val="6B6B68"/>
          <w:sz w:val="24"/>
          <w:szCs w:val="24"/>
        </w:rPr>
        <w:t xml:space="preserve">AI-IRF® v1.0 Certification Scheme — 20 questions from prospects, certified organisations, and Certification Bodies</w:t>
      </w:r>
    </w:p>
    <w:p>
      <w:pPr>
        <w:pBdr>
          <w:bottom w:val="single" w:color="3C3489" w:sz="6" w:space="1"/>
        </w:pBd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80"/>
        <w:gridCol w:w="2400"/>
        <w:gridCol w:w="20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Document Number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C3489"/>
                <w:sz w:val="20"/>
                <w:szCs w:val="20"/>
              </w:rPr>
              <w:t xml:space="preserve">ODA3-2026-06-FAQ-COM-030</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Version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1.0</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Audience</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0"/>
                <w:szCs w:val="20"/>
              </w:rPr>
              <w:t xml:space="preserve">Prospects, certified organisations, CBs, training providers</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Classification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Public</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Questions covered</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0"/>
                <w:szCs w:val="20"/>
              </w:rPr>
              <w:t xml:space="preserve">20 FAQs across 5 topic areas</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Related documents</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ODA3-2026-06-TCR-HAI-001; ODA3-2026-06-EXB-COM-029; sector notes 024–026</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0F6E56" w:sz="1"/>
              <w:left w:val="single" w:color="0F6E56" w:sz="1"/>
              <w:bottom w:val="single" w:color="0F6E56" w:sz="1"/>
              <w:right w:val="single" w:color="0F6E56" w:sz="1"/>
            </w:tcBorders>
            <w:shd w:fill="0F6E56"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NOTE</w:t>
            </w:r>
          </w:p>
        </w:tc>
        <w:tc>
          <w:tcPr>
            <w:tcW w:type="dxa" w:w="9000"/>
            <w:tcBorders>
              <w:top w:val="single" w:color="0F6E56" w:sz="1"/>
              <w:left w:val="single" w:color="0F6E56" w:sz="1"/>
              <w:bottom w:val="single" w:color="0F6E56" w:sz="1"/>
              <w:right w:val="single" w:color="0F6E56" w:sz="1"/>
            </w:tcBorders>
            <w:shd w:fill="E8F5EE" w:val="clear"/>
            <w:tcMar>
              <w:top w:type="dxa" w:w="80"/>
              <w:left w:type="dxa" w:w="160"/>
              <w:bottom w:type="dxa" w:w="80"/>
              <w:right w:type="dxa" w:w="120"/>
            </w:tcMar>
          </w:tcPr>
          <w:p>
            <w:pPr>
              <w:jc w:val="both"/>
            </w:pPr>
            <w:r>
              <w:rPr>
                <w:rFonts w:ascii="Arial" w:cs="Arial" w:eastAsia="Arial" w:hAnsi="Arial"/>
                <w:color w:val="3D3D3A"/>
                <w:sz w:val="22"/>
                <w:szCs w:val="22"/>
              </w:rPr>
              <w:t xml:space="preserve">This document addresses the 20 most common questions from organisations considering AI IRF CERT® certification and from Certification Bodies operating the scheme. Questions are organised by topic. Answers reflect scheme rules as at Version 1.0 of the relevant scheme documents.</w:t>
            </w:r>
          </w:p>
        </w:tc>
      </w:tr>
    </w:tbl>
    <w:tbl>
      <w:tblPr>
        <w:tblW w:w="9360" w:type="dxa"/>
        <w:tblBorders>
          <w:top w:val="single" w:sz="8" w:space="0" w:color="0D8C96"/>
          <w:bottom w:val="single" w:sz="8" w:space="0" w:color="0D8C96"/>
          <w:insideH w:val="none"/>
          <w:insideV w:val="none"/>
        </w:tblBorders>
      </w:tblPr>
      <w:tblGrid>
        <w:gridCol w:w="9360"/>
      </w:tblGrid>
      <w:tr>
        <w:tc>
          <w:tcPr>
            <w:tcW w:w="9360" w:type="dxa"/>
            <w:shd w:val="clear" w:color="auto" w:fill="E6F7F8"/>
            <w:tcMar>
              <w:top w:w="120" w:type="dxa"/>
              <w:bottom w:w="120" w:type="dxa"/>
            </w:tcMar>
          </w:tcPr>
          <w:p>
            <w:pPr>
              <w:spacing w:before="80" w:after="40"/>
              <w:jc w:val="left"/>
            </w:pPr>
            <w:r>
              <w:rPr>
                <w:rFonts w:ascii="Arial" w:hAnsi="Arial"/>
                <w:b/>
                <w:sz w:val="18"/>
                <w:color w:val="0D8C96"/>
              </w:rPr>
              <w:t xml:space="preserve">LICENCE NOTICE — GEL v1.0  |  Public Document</w:t>
            </w:r>
          </w:p>
          <w:p>
            <w:pPr>
              <w:spacing w:before="20" w:after="80"/>
              <w:jc w:val="left"/>
            </w:pPr>
            <w:r>
              <w:rPr>
                <w:rFonts w:ascii="Arial" w:hAnsi="Arial"/>
                <w:sz w:val="18"/>
                <w:color w:val="1A1A1A"/>
              </w:rPr>
              <w:t xml:space="preserve">This document is part of the GAISSF Ecosystem published by ODA3 Institute (ODA3 Pvt Ltd) under GEL v1.0, effective 1 June 2026. It is classified Public and may be shared freely for attribution purposes. Commercial use requires a separate written commercial licence (GEL §3.4). AI-IRF®, AI IRF CERT®, GAISSF®, and ODA3® are registered trademarks of ODA3 Pvt Ltd (GEL §9.1). ODA3 Institute is the sole owner, proprietor, and governing body of the AI-IRF® framework in perpetuity (GEL §10.5). All enquiries: https://oda3.org/ — Attribution (GEL §6): AI IRF CERT® FAQ © ODA3 Institute, GEL v1.0.</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C3489" w:sz="1"/>
              <w:left w:val="single" w:color="3C3489" w:sz="1"/>
              <w:bottom w:val="single" w:color="3C3489" w:sz="1"/>
              <w:right w:val="single" w:color="3C3489" w:sz="1"/>
            </w:tcBorders>
            <w:shd w:fill="3C3489" w:val="clear"/>
            <w:tcMar>
              <w:top w:type="dxa" w:w="80"/>
              <w:left w:type="dxa" w:w="160"/>
              <w:bottom w:type="dxa" w:w="80"/>
              <w:right w:type="dxa" w:w="160"/>
            </w:tcMar>
          </w:tcPr>
          <w:p>
            <w:r>
              <w:rPr>
                <w:rFonts w:ascii="Arial" w:cs="Arial" w:eastAsia="Arial" w:hAnsi="Arial"/>
                <w:b/>
                <w:bCs/>
                <w:color w:val="FFFFFF"/>
                <w:spacing w:val="100"/>
                <w:sz w:val="22"/>
                <w:szCs w:val="22"/>
              </w:rPr>
              <w:t xml:space="preserve">A — THE STANDARD AND HOW IT WORKS</w:t>
            </w:r>
          </w:p>
        </w:tc>
      </w:tr>
    </w:tbl>
    <w:p>
      <w:pPr>
        <w:spacing w:after="0" w:before="8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Q1  </w:t>
      </w:r>
      <w:r>
        <w:rPr>
          <w:rFonts w:ascii="Arial" w:cs="Arial" w:eastAsia="Arial" w:hAnsi="Arial"/>
          <w:b/>
          <w:bCs/>
          <w:color w:val="3D3D3A"/>
          <w:sz w:val="24"/>
          <w:szCs w:val="24"/>
        </w:rPr>
        <w:t xml:space="preserve">What is AI-IRF® v1.0 and who owns it?</w:t>
      </w:r>
    </w:p>
    <w:p>
      <w:pPr>
        <w:spacing w:after="160" w:before="0"/>
        <w:ind w:left="160"/>
        <w:jc w:val="both"/>
      </w:pPr>
      <w:r>
        <w:rPr>
          <w:rFonts w:ascii="Arial" w:cs="Arial" w:eastAsia="Arial" w:hAnsi="Arial"/>
          <w:color w:val="3D3D3A"/>
          <w:sz w:val="24"/>
          <w:szCs w:val="24"/>
        </w:rPr>
        <w:t>AI-IRF® v1.0 (AI Incident Response Framework v1.0) is a certification standard for AI governance owned exclusively by ODA3 Institute (ODA3 Pvt Ltd), the sole owner, proprietor, and governing body in perpetuity. The standard defines 79 controls across 19 domains covering model safety, data governance, transparency, human oversight, accountability, operational resilience, security, and third-party management. Certification is conducted by independent Certification Bodies (CBs) accredited under ISO/IEC 17065. ODA3 Institute is the market-facing brand name of ODA3 Pvt Ltd. Both names refer to the same legal entity.</w:t>
      </w:r>
    </w:p>
    <w:p>
      <w:pPr>
        <w:pBdr>
          <w:left w:val="single" w:color="3C3489" w:sz="6" w:space="6"/>
        </w:pBdr>
        <w:spacing w:after="80" w:before="240"/>
        <w:ind w:left="160"/>
      </w:pPr>
      <w:r>
        <w:rPr>
          <w:rFonts w:ascii="Arial" w:cs="Arial" w:eastAsia="Arial" w:hAnsi="Arial"/>
          <w:b/>
          <w:bCs/>
          <w:color w:val="3C3489"/>
          <w:sz w:val="24"/>
          <w:szCs w:val="24"/>
        </w:rPr>
        <w:t xml:space="preserve">Q2  </w:t>
      </w:r>
      <w:r>
        <w:rPr>
          <w:rFonts w:ascii="Arial" w:cs="Arial" w:eastAsia="Arial" w:hAnsi="Arial"/>
          <w:b/>
          <w:bCs/>
          <w:color w:val="3D3D3A"/>
          <w:sz w:val="24"/>
          <w:szCs w:val="24"/>
        </w:rPr>
        <w:t xml:space="preserve">How is AI-IRF® v1.0 different from ISO 42001?</w:t>
      </w:r>
    </w:p>
    <w:p>
      <w:pPr>
        <w:spacing w:after="80" w:before="0"/>
        <w:ind w:left="160"/>
        <w:jc w:val="both"/>
      </w:pPr>
      <w:r>
        <w:rPr>
          <w:rFonts w:ascii="Arial" w:cs="Arial" w:eastAsia="Arial" w:hAnsi="Arial"/>
          <w:color w:val="3D3D3A"/>
          <w:sz w:val="24"/>
          <w:szCs w:val="24"/>
        </w:rPr>
        <w:t xml:space="preserve">ISO 42001 is an AI management system standard — it certifies that an organisation has a management system in place for AI. AI-IRF® v1.0 is a controls standard — it certifies that specific technical and governance controls are actually implemented in AI systems. The two are complementary: ISO 42001 addresses the 'how do you manage AI?' question; AI-IRF® v1.0 addresses the 'what does your AI governance actually look like in practice?' question. Many organisations pursue both.</w:t>
      </w:r>
    </w:p>
    <w:p>
      <w:pPr>
        <w:pStyle w:val="ListParagraph"/>
        <w:numPr>
          <w:ilvl w:val="0"/>
          <w:numId w:val="2"/>
        </w:numPr>
        <w:spacing w:after="80" w:before="0"/>
      </w:pPr>
      <w:r>
        <w:rPr>
          <w:rFonts w:ascii="Arial" w:cs="Arial" w:eastAsia="Arial" w:hAnsi="Arial"/>
          <w:color w:val="3D3D3A"/>
          <w:sz w:val="24"/>
          <w:szCs w:val="24"/>
        </w:rPr>
        <w:t xml:space="preserve">ISO 42001 focuses on management system processes and policies; AI-IRF® v1.0 focuses on implemented controls evidenced through audit.</w:t>
      </w:r>
    </w:p>
    <w:p>
      <w:pPr>
        <w:pStyle w:val="ListParagraph"/>
        <w:numPr>
          <w:ilvl w:val="0"/>
          <w:numId w:val="2"/>
        </w:numPr>
        <w:spacing w:after="80" w:before="0"/>
      </w:pPr>
      <w:r>
        <w:rPr>
          <w:rFonts w:ascii="Arial" w:cs="Arial" w:eastAsia="Arial" w:hAnsi="Arial"/>
          <w:color w:val="3D3D3A"/>
          <w:sz w:val="24"/>
          <w:szCs w:val="24"/>
        </w:rPr>
        <w:t xml:space="preserve">AI-IRF® v1.0 includes technical controls (model validation, adversarial testing, bias assessment) that go beyond management system requirements.</w:t>
      </w:r>
    </w:p>
    <w:p>
      <w:pPr>
        <w:pStyle w:val="ListParagraph"/>
        <w:numPr>
          <w:ilvl w:val="0"/>
          <w:numId w:val="2"/>
        </w:numPr>
        <w:spacing w:after="80" w:before="0"/>
      </w:pPr>
      <w:r>
        <w:rPr>
          <w:rFonts w:ascii="Arial" w:cs="Arial" w:eastAsia="Arial" w:hAnsi="Arial"/>
          <w:color w:val="3D3D3A"/>
          <w:sz w:val="24"/>
          <w:szCs w:val="24"/>
        </w:rPr>
        <w:t xml:space="preserve">AI-IRF® v1.0 is specifically mapped to DORA, EU AI Act, RBI, NIS2, and GDPR regulatory obligations — ISO 42001 provides a broader governance framework without regulatory-specific mappings.</w:t>
      </w:r>
    </w:p>
    <w:p>
      <w:pPr>
        <w:spacing w:after="80" w:before="0"/>
      </w:pPr>
      <w:r>
        <w:t xml:space="preserve"/>
      </w:r>
    </w:p>
    <w:p>
      <w:pPr>
        <w:pBdr>
          <w:left w:val="single" w:color="3C3489" w:sz="6" w:space="6"/>
        </w:pBdr>
        <w:spacing w:after="80" w:before="240"/>
        <w:ind w:left="160"/>
      </w:pPr>
      <w:r>
        <w:rPr>
          <w:rFonts w:ascii="Arial" w:cs="Arial" w:eastAsia="Arial" w:hAnsi="Arial"/>
          <w:b/>
          <w:bCs/>
          <w:color w:val="3C3489"/>
          <w:sz w:val="24"/>
          <w:szCs w:val="24"/>
        </w:rPr>
        <w:t>Q3  What are the 19 control domains and how many controls are in each?</w:t>
      </w:r>
      <w:r>
        <w:rPr>
          <w:rFonts w:ascii="Arial" w:cs="Arial" w:eastAsia="Arial" w:hAnsi="Arial"/>
          <w:b/>
          <w:bCs/>
          <w:color w:val="3D3D3A"/>
          <w:sz w:val="24"/>
          <w:szCs w:val="24"/>
        </w:rPr>
      </w:r>
    </w:p>
    <w:p>
      <w:pPr>
        <w:spacing w:after="80" w:before="0"/>
        <w:ind w:left="160"/>
        <w:jc w:val="both"/>
      </w:pPr>
      <w:r>
        <w:rPr>
          <w:rFonts w:ascii="Arial" w:cs="Arial" w:eastAsia="Arial" w:hAnsi="Arial"/>
          <w:color w:val="3D3D3A"/>
          <w:sz w:val="24"/>
          <w:szCs w:val="24"/>
        </w:rPr>
        <w:t>AI-IRF® v1.0 has 79 controls across 19 domains. The domains are:</w:t>
      </w:r>
    </w:p>
    <w:p>
      <w:pPr>
        <w:pStyle w:val="ListParagraph"/>
        <w:numPr>
          <w:ilvl w:val="0"/>
          <w:numId w:val="2"/>
        </w:numPr>
        <w:spacing w:after="80" w:before="0"/>
      </w:pPr>
      <w:r>
        <w:rPr>
          <w:rFonts w:ascii="Arial" w:cs="Arial" w:eastAsia="Arial" w:hAnsi="Arial"/>
          <w:color w:val="3D3D3A"/>
          <w:sz w:val="24"/>
          <w:szCs w:val="24"/>
        </w:rPr>
        <w:t xml:space="preserve">MCP &amp; A2A Security (MCP/A2A) — 7 controls: authenticated agent protocols, least-privilege A2A scopes, ECDSA message signing, namespace isolation, and rate limiting.</w:t>
      </w:r>
    </w:p>
    <w:p>
      <w:pPr>
        <w:pStyle w:val="ListParagraph"/>
        <w:numPr>
          <w:ilvl w:val="0"/>
          <w:numId w:val="2"/>
        </w:numPr>
        <w:spacing w:after="80" w:before="0"/>
      </w:pPr>
      <w:r>
        <w:rPr>
          <w:rFonts w:ascii="Arial" w:cs="Arial" w:eastAsia="Arial" w:hAnsi="Arial"/>
          <w:color w:val="3D3D3A"/>
          <w:sz w:val="24"/>
          <w:szCs w:val="24"/>
        </w:rPr>
        <w:t xml:space="preserve">Shadow AI Discovery (SAI) — 5 controls: continuous instance-aware discovery, risk-tier classification, rogue AI quarantine, egress monitoring, and automated alerts.</w:t>
      </w:r>
    </w:p>
    <w:p>
      <w:pPr>
        <w:pStyle w:val="ListParagraph"/>
        <w:numPr>
          <w:ilvl w:val="0"/>
          <w:numId w:val="2"/>
        </w:numPr>
        <w:spacing w:after="80" w:before="0"/>
      </w:pPr>
      <w:r>
        <w:rPr>
          <w:rFonts w:ascii="Arial" w:cs="Arial" w:eastAsia="Arial" w:hAnsi="Arial"/>
          <w:color w:val="3D3D3A"/>
          <w:sz w:val="24"/>
          <w:szCs w:val="24"/>
        </w:rPr>
        <w:t xml:space="preserve">Machine-Speed Response (MSR) — 5 controls: blast-radius isolation, HITL financial thresholds, automated playbook execution, decision trace logging, and MTTC targets.</w:t>
      </w:r>
    </w:p>
    <w:p>
      <w:pPr>
        <w:pStyle w:val="ListParagraph"/>
        <w:numPr>
          <w:ilvl w:val="0"/>
          <w:numId w:val="2"/>
        </w:numPr>
        <w:spacing w:after="80" w:before="0"/>
      </w:pPr>
      <w:r>
        <w:rPr>
          <w:rFonts w:ascii="Arial" w:cs="Arial" w:eastAsia="Arial" w:hAnsi="Arial"/>
          <w:color w:val="3D3D3A"/>
          <w:sz w:val="24"/>
          <w:szCs w:val="24"/>
        </w:rPr>
        <w:t xml:space="preserve">Detection Reliability (REL) — 3 controls: ensemble detection signals, confidence decay management, and circuit-breaker activation.</w:t>
      </w:r>
    </w:p>
    <w:p>
      <w:pPr>
        <w:pStyle w:val="ListParagraph"/>
        <w:numPr>
          <w:ilvl w:val="0"/>
          <w:numId w:val="2"/>
        </w:numPr>
        <w:spacing w:after="80" w:before="0"/>
      </w:pPr>
      <w:r>
        <w:rPr>
          <w:rFonts w:ascii="Arial" w:cs="Arial" w:eastAsia="Arial" w:hAnsi="Arial"/>
          <w:color w:val="3D3D3A"/>
          <w:sz w:val="24"/>
          <w:szCs w:val="24"/>
        </w:rPr>
        <w:t xml:space="preserve">Model Extraction Defense (MEX) — 4 controls: distillation attack detection, behavioural rate limiting, API key revocation, and adversarial testing.</w:t>
      </w:r>
    </w:p>
    <w:p>
      <w:pPr>
        <w:pStyle w:val="ListParagraph"/>
        <w:numPr>
          <w:ilvl w:val="0"/>
          <w:numId w:val="2"/>
        </w:numPr>
        <w:spacing w:after="80" w:before="0"/>
      </w:pPr>
      <w:r>
        <w:rPr>
          <w:rFonts w:ascii="Arial" w:cs="Arial" w:eastAsia="Arial" w:hAnsi="Arial"/>
          <w:color w:val="3D3D3A"/>
          <w:sz w:val="24"/>
          <w:szCs w:val="24"/>
        </w:rPr>
        <w:t xml:space="preserve">AI Supply Chain &amp; BOM (BOM) — 5 controls: cryptographic AI-BOM signing, training data integrity, runtime BOM validation, vendor assessment, and ongoing monitoring.</w:t>
      </w:r>
    </w:p>
    <w:p>
      <w:pPr>
        <w:pStyle w:val="ListParagraph"/>
        <w:numPr>
          <w:ilvl w:val="0"/>
          <w:numId w:val="2"/>
        </w:numPr>
        <w:spacing w:after="80" w:before="0"/>
      </w:pPr>
      <w:r>
        <w:rPr>
          <w:rFonts w:ascii="Arial" w:cs="Arial" w:eastAsia="Arial" w:hAnsi="Arial"/>
          <w:color w:val="3D3D3A"/>
          <w:sz w:val="24"/>
          <w:szCs w:val="24"/>
        </w:rPr>
        <w:t xml:space="preserve">Agentic Permissions (APA) — 5 controls: pre-execution validation gates, token expiry, dual-control HITL, permission logging, and policy-as-code evaluation.</w:t>
      </w:r>
    </w:p>
    <w:p>
      <w:pPr>
        <w:pStyle w:val="ListParagraph"/>
        <w:numPr>
          <w:ilvl w:val="0"/>
          <w:numId w:val="2"/>
        </w:numPr>
        <w:spacing w:after="80" w:before="0"/>
      </w:pPr>
      <w:r>
        <w:rPr>
          <w:rFonts w:ascii="Arial" w:cs="Arial" w:eastAsia="Arial" w:hAnsi="Arial"/>
          <w:color w:val="3D3D3A"/>
          <w:sz w:val="24"/>
          <w:szCs w:val="24"/>
        </w:rPr>
        <w:t xml:space="preserve">Agentic Threat Detection (APT) — 3 controls: prompt injection detection (≥90%), tool abuse prevention, and memory poisoning quarantine.</w:t>
      </w:r>
    </w:p>
    <w:p>
      <w:pPr>
        <w:jc w:val="left"/>
      </w:pPr>
      <w:r>
        <w:rPr>
          <w:rFonts w:ascii="Arial" w:hAnsi="Arial"/>
          <w:sz w:val="22"/>
        </w:rPr>
        <w:t xml:space="preserve">Regulatory Compliance (REG) — 4 controls: regulatory decision trees, notification routing, audit-ready documentation, and jurisdiction mapping. Physical AI Safety (PHY) — 4 controls: cyber-physical separation, safety playbooks, fail-safe fallback, and hardware-rooted trust. Model Lifecycle Security (MLC) — 5 controls: immutable model identifiers, 15-minute rollback SLA, drift detection, dual-approval retraining, and lifecycle audit trails. Zero Trust AI Architecture (ZTA) — 4 controls: identity-first inference, micro-segmentation, continuous re-authentication, and network isolation. Severity Classification (SEV) — 2 controls: deterministic severity scoring (SEV-1 through SEV-4) and regulatory notification routing.</w:t>
      </w:r>
    </w:p>
    <w:p>
      <w:pPr>
        <w:jc w:val="left"/>
      </w:pPr>
      <w:r>
        <w:rPr>
          <w:rFonts w:ascii="Arial" w:hAnsi="Arial"/>
          <w:sz w:val="22"/>
        </w:rPr>
        <w:t>Content Safety (CSS) — 7 controls: harmful content detection and filtering (CSS-1), copyright and IP protection (CSS-2), synthetic media detection and disclosure (CSS-3), disinformation and manipulation prevention (CSS-4), bias detection and fairness monitoring (CSS-5), fairness testing and demographic impact assessment (CSS-6), and vulnerable population protections (CSS-7). Federated Learning Security (FL) — 4 controls: federated client vetting and authentication (FL-1), gradient validation and anomaly detection (FL-2), differential privacy application (FL-3), and global model integrity verification (FL-4). Model Merge Defense (MMD) — 3 controls: pre-merge source model vetting (MMD-1), post-merge backdoor scanning (MMD-2), and merge operation isolation (MMD-3). Quantization Security (QBS) — 3 controls: pre-quantization baseline (QBS-1), post-quantization differential analysis (QBS-2), and quantization source verification (QBS-3). Hallucination Detection (HAL) — 5 controls: retrieval-augmented grounding verification (HAL-1), confidence calibration and uncertainty quantification (HAL-2), cross-model consistency verification for high-stakes outputs (HAL-3), hallucination rate monitoring via human correction feedback (HAL-4), and domain-specific fact verification for regulated-domain claims (HAL-5). Post-Quantum Cryptography (PQC) — 1 control: PQC readiness assessment and CRYSTALS-Dilithium adoption (PQC-1).</w:t>
      </w:r>
    </w:p>
    <w:p>
      <w:pPr>
        <w:spacing w:after="80" w:before="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Q4  </w:t>
      </w:r>
      <w:r>
        <w:rPr>
          <w:rFonts w:ascii="Arial" w:cs="Arial" w:eastAsia="Arial" w:hAnsi="Arial"/>
          <w:b/>
          <w:bCs/>
          <w:color w:val="3D3D3A"/>
          <w:sz w:val="24"/>
          <w:szCs w:val="24"/>
        </w:rPr>
        <w:t xml:space="preserve">Is AI-IRF® v1.0 sector-specific or does it apply to any organisation?</w:t>
      </w:r>
    </w:p>
    <w:p>
      <w:pPr>
        <w:spacing w:after="160" w:before="0"/>
        <w:ind w:left="160"/>
        <w:jc w:val="both"/>
      </w:pPr>
      <w:r>
        <w:rPr>
          <w:rFonts w:ascii="Arial" w:cs="Arial" w:eastAsia="Arial" w:hAnsi="Arial"/>
          <w:color w:val="3D3D3A"/>
          <w:sz w:val="24"/>
          <w:szCs w:val="24"/>
        </w:rPr>
        <w:t>AI-IRF® v1.0 is a cross-sector standard that applies to any organisation developing, deploying, or procuring AI systems. Sector Application Notes are available for financial services (ODA3-2026-06-RPT-SCS-024), healthcare (ODA3-2026-06-RPT-SCS-025), and critical infrastructure (ODA3-2026-06-RPT-SCS-026). These notes translate the controls into sector-specific language and regulatory context but do not change the underlying standard — the 79 controls apply in the same form across all sectors.</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C3489" w:sz="1"/>
              <w:left w:val="single" w:color="3C3489" w:sz="1"/>
              <w:bottom w:val="single" w:color="3C3489" w:sz="1"/>
              <w:right w:val="single" w:color="3C3489" w:sz="1"/>
            </w:tcBorders>
            <w:shd w:fill="3C3489" w:val="clear"/>
            <w:tcMar>
              <w:top w:type="dxa" w:w="80"/>
              <w:left w:type="dxa" w:w="160"/>
              <w:bottom w:type="dxa" w:w="80"/>
              <w:right w:type="dxa" w:w="160"/>
            </w:tcMar>
          </w:tcPr>
          <w:p>
            <w:r>
              <w:rPr>
                <w:rFonts w:ascii="Arial" w:cs="Arial" w:eastAsia="Arial" w:hAnsi="Arial"/>
                <w:b/>
                <w:bCs/>
                <w:color w:val="FFFFFF"/>
                <w:spacing w:val="100"/>
                <w:sz w:val="22"/>
                <w:szCs w:val="22"/>
              </w:rPr>
              <w:t xml:space="preserve">B — THE CERTIFICATION PROCESS</w:t>
            </w:r>
          </w:p>
        </w:tc>
      </w:tr>
    </w:tbl>
    <w:p>
      <w:pPr>
        <w:spacing w:after="0" w:before="8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Q5  </w:t>
      </w:r>
      <w:r>
        <w:rPr>
          <w:rFonts w:ascii="Arial" w:cs="Arial" w:eastAsia="Arial" w:hAnsi="Arial"/>
          <w:b/>
          <w:bCs/>
          <w:color w:val="3D3D3A"/>
          <w:sz w:val="24"/>
          <w:szCs w:val="24"/>
        </w:rPr>
        <w:t xml:space="preserve">What does a Stage 2 audit involve and how long does it take?</w:t>
      </w:r>
    </w:p>
    <w:p>
      <w:pPr>
        <w:spacing w:after="80" w:before="0"/>
        <w:ind w:left="160"/>
        <w:jc w:val="both"/>
      </w:pPr>
      <w:r>
        <w:rPr>
          <w:rFonts w:ascii="Arial" w:cs="Arial" w:eastAsia="Arial" w:hAnsi="Arial"/>
          <w:color w:val="3D3D3A"/>
          <w:sz w:val="24"/>
          <w:szCs w:val="24"/>
        </w:rPr>
        <w:t xml:space="preserve">A Stage 2 audit is a conformity assessment conducted by an accredited CB. The auditor assesses whether each AI-IRF® v1.0 control within the agreed scope is actually implemented — not just documented. Evidence is gathered through document review, interviews with process owners, direct observation of system controls, and sampling of outputs.</w:t>
      </w:r>
    </w:p>
    <w:p>
      <w:pPr>
        <w:pStyle w:val="ListParagraph"/>
        <w:numPr>
          <w:ilvl w:val="0"/>
          <w:numId w:val="2"/>
        </w:numPr>
        <w:spacing w:after="80" w:before="0"/>
      </w:pPr>
      <w:r>
        <w:rPr>
          <w:rFonts w:ascii="Arial" w:cs="Arial" w:eastAsia="Arial" w:hAnsi="Arial"/>
          <w:color w:val="3D3D3A"/>
          <w:sz w:val="24"/>
          <w:szCs w:val="24"/>
        </w:rPr>
        <w:t xml:space="preserve">Duration: 2–3 audit days for a single AI system in a small-to-mid-size organisation; 4–8 days for a portfolio of AI systems or a large enterprise.</w:t>
      </w:r>
    </w:p>
    <w:p>
      <w:pPr>
        <w:pStyle w:val="ListParagraph"/>
        <w:numPr>
          <w:ilvl w:val="0"/>
          <w:numId w:val="2"/>
        </w:numPr>
        <w:spacing w:after="80" w:before="0"/>
      </w:pPr>
      <w:r>
        <w:rPr>
          <w:rFonts w:ascii="Arial" w:cs="Arial" w:eastAsia="Arial" w:hAnsi="Arial"/>
          <w:color w:val="3D3D3A"/>
          <w:sz w:val="24"/>
          <w:szCs w:val="24"/>
        </w:rPr>
        <w:t xml:space="preserve">Method: on-site, remote (video conference + screen sharing), or hybrid — agreed with the client before the audit plan is issued.</w:t>
      </w:r>
    </w:p>
    <w:p>
      <w:pPr>
        <w:pStyle w:val="ListParagraph"/>
        <w:numPr>
          <w:ilvl w:val="0"/>
          <w:numId w:val="2"/>
        </w:numPr>
        <w:spacing w:after="80" w:before="0"/>
      </w:pPr>
      <w:r>
        <w:rPr>
          <w:rFonts w:ascii="Arial" w:cs="Arial" w:eastAsia="Arial" w:hAnsi="Arial"/>
          <w:color w:val="3D3D3A"/>
          <w:sz w:val="24"/>
          <w:szCs w:val="24"/>
        </w:rPr>
        <w:t xml:space="preserve">Output: a Stage 2 audit report listing findings by control domain, nonconformities classified as Major or Minor, and a certification recommendation.</w:t>
      </w:r>
    </w:p>
    <w:p>
      <w:pPr>
        <w:pStyle w:val="ListParagraph"/>
        <w:numPr>
          <w:ilvl w:val="0"/>
          <w:numId w:val="2"/>
        </w:numPr>
        <w:spacing w:after="80" w:before="0"/>
      </w:pPr>
      <w:r>
        <w:rPr>
          <w:rFonts w:ascii="Arial" w:cs="Arial" w:eastAsia="Arial" w:hAnsi="Arial"/>
          <w:color w:val="3D3D3A"/>
          <w:sz w:val="24"/>
          <w:szCs w:val="24"/>
        </w:rPr>
        <w:t xml:space="preserve">Timeline from Stage 1 to certificate: typically 3–6 months including remediation of any nonconformities.</w:t>
      </w:r>
    </w:p>
    <w:p>
      <w:pPr>
        <w:spacing w:after="80" w:before="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Q6  </w:t>
      </w:r>
      <w:r>
        <w:rPr>
          <w:rFonts w:ascii="Arial" w:cs="Arial" w:eastAsia="Arial" w:hAnsi="Arial"/>
          <w:b/>
          <w:bCs/>
          <w:color w:val="3D3D3A"/>
          <w:sz w:val="24"/>
          <w:szCs w:val="24"/>
        </w:rPr>
        <w:t xml:space="preserve">Can we certify just one AI system rather than our entire AI portfolio?</w:t>
      </w:r>
    </w:p>
    <w:p>
      <w:pPr>
        <w:spacing w:after="160" w:before="0"/>
        <w:ind w:left="160"/>
        <w:jc w:val="both"/>
      </w:pPr>
      <w:r>
        <w:rPr>
          <w:rFonts w:ascii="Arial" w:cs="Arial" w:eastAsia="Arial" w:hAnsi="Arial"/>
          <w:color w:val="3D3D3A"/>
          <w:sz w:val="24"/>
          <w:szCs w:val="24"/>
        </w:rPr>
        <w:t xml:space="preserve">Yes — and this is the recommended approach for most organisations. Certification scope is defined jointly by the organisation and the CB before Stage 1 begins. Starting with one high-risk AI system (the one most exposed to regulatory scrutiny or board concern) keeps the initial investment manageable and delivers evidence quickly. The scope can be expanded at recertification or through a scope extension mid-cycle.</w:t>
      </w:r>
    </w:p>
    <w:p>
      <w:pPr>
        <w:pBdr>
          <w:left w:val="single" w:color="3C3489" w:sz="6" w:space="6"/>
        </w:pBdr>
        <w:spacing w:after="80" w:before="240"/>
        <w:ind w:left="160"/>
      </w:pPr>
      <w:r>
        <w:rPr>
          <w:rFonts w:ascii="Arial" w:cs="Arial" w:eastAsia="Arial" w:hAnsi="Arial"/>
          <w:b/>
          <w:bCs/>
          <w:color w:val="3C3489"/>
          <w:sz w:val="24"/>
          <w:szCs w:val="24"/>
        </w:rPr>
        <w:t xml:space="preserve">Q7  </w:t>
      </w:r>
      <w:r>
        <w:rPr>
          <w:rFonts w:ascii="Arial" w:cs="Arial" w:eastAsia="Arial" w:hAnsi="Arial"/>
          <w:b/>
          <w:bCs/>
          <w:color w:val="3D3D3A"/>
          <w:sz w:val="24"/>
          <w:szCs w:val="24"/>
        </w:rPr>
        <w:t xml:space="preserve">What happens if we receive a Major Nonconformity at Stage 2?</w:t>
      </w:r>
    </w:p>
    <w:p>
      <w:pPr>
        <w:spacing w:after="80" w:before="0"/>
        <w:ind w:left="160"/>
        <w:jc w:val="both"/>
      </w:pPr>
      <w:r>
        <w:rPr>
          <w:rFonts w:ascii="Arial" w:cs="Arial" w:eastAsia="Arial" w:hAnsi="Arial"/>
          <w:color w:val="3D3D3A"/>
          <w:sz w:val="24"/>
          <w:szCs w:val="24"/>
        </w:rPr>
        <w:t xml:space="preserve">A Major Nonconformity means a control requirement is absent or has completely failed within the audit scope. The CB cannot issue a certificate until the Major NC is closed.</w:t>
      </w:r>
    </w:p>
    <w:p>
      <w:pPr>
        <w:pStyle w:val="ListParagraph"/>
        <w:numPr>
          <w:ilvl w:val="0"/>
          <w:numId w:val="2"/>
        </w:numPr>
        <w:spacing w:after="80" w:before="0"/>
      </w:pPr>
      <w:r>
        <w:rPr>
          <w:rFonts w:ascii="Arial" w:cs="Arial" w:eastAsia="Arial" w:hAnsi="Arial"/>
          <w:color w:val="3D3D3A"/>
          <w:sz w:val="24"/>
          <w:szCs w:val="24"/>
        </w:rPr>
        <w:t xml:space="preserve">The organisation must submit a Corrective Action Plan (CAP) within 30 days of the Stage 2 audit report.</w:t>
      </w:r>
    </w:p>
    <w:p>
      <w:pPr>
        <w:pStyle w:val="ListParagraph"/>
        <w:numPr>
          <w:ilvl w:val="0"/>
          <w:numId w:val="2"/>
        </w:numPr>
        <w:spacing w:after="80" w:before="0"/>
      </w:pPr>
      <w:r>
        <w:rPr>
          <w:rFonts w:ascii="Arial" w:cs="Arial" w:eastAsia="Arial" w:hAnsi="Arial"/>
          <w:color w:val="3D3D3A"/>
          <w:sz w:val="24"/>
          <w:szCs w:val="24"/>
        </w:rPr>
        <w:t xml:space="preserve">Evidence of closure must be submitted to the CB within 90 days of the NC being raised.</w:t>
      </w:r>
    </w:p>
    <w:p>
      <w:pPr>
        <w:pStyle w:val="ListParagraph"/>
        <w:numPr>
          <w:ilvl w:val="0"/>
          <w:numId w:val="2"/>
        </w:numPr>
        <w:spacing w:after="80" w:before="0"/>
      </w:pPr>
      <w:r>
        <w:rPr>
          <w:rFonts w:ascii="Arial" w:cs="Arial" w:eastAsia="Arial" w:hAnsi="Arial"/>
          <w:color w:val="3D3D3A"/>
          <w:sz w:val="24"/>
          <w:szCs w:val="24"/>
        </w:rPr>
        <w:t xml:space="preserve">The CB verifies the closure evidence. If satisfactory, the certification decision is made and the certificate is issued.</w:t>
      </w:r>
    </w:p>
    <w:p>
      <w:pPr>
        <w:pStyle w:val="ListParagraph"/>
        <w:numPr>
          <w:ilvl w:val="0"/>
          <w:numId w:val="2"/>
        </w:numPr>
        <w:spacing w:after="80" w:before="0"/>
      </w:pPr>
      <w:r>
        <w:rPr>
          <w:rFonts w:ascii="Arial" w:cs="Arial" w:eastAsia="Arial" w:hAnsi="Arial"/>
          <w:color w:val="3D3D3A"/>
          <w:sz w:val="24"/>
          <w:szCs w:val="24"/>
        </w:rPr>
        <w:t xml:space="preserve">If closure cannot be evidenced within 90 days, Stage 2 must be repeated.</w:t>
      </w:r>
    </w:p>
    <w:p>
      <w:pPr>
        <w:pStyle w:val="ListParagraph"/>
        <w:numPr>
          <w:ilvl w:val="0"/>
          <w:numId w:val="2"/>
        </w:numPr>
        <w:spacing w:after="80" w:before="0"/>
      </w:pPr>
      <w:r>
        <w:rPr>
          <w:rFonts w:ascii="Arial" w:cs="Arial" w:eastAsia="Arial" w:hAnsi="Arial"/>
          <w:color w:val="3D3D3A"/>
          <w:sz w:val="24"/>
          <w:szCs w:val="24"/>
        </w:rPr>
        <w:t xml:space="preserve">Major NCs typically arise from: no pre-execution permission gate implemented (APA-3); no AI-BOM validation or training data integrity check (BOM-2); no model lifecycle security or immutable model identifiers (MLC-1); and no severity classification or automated playbook (SEV-RPT/MSR-3).</w:t>
      </w:r>
    </w:p>
    <w:p>
      <w:pPr>
        <w:spacing w:after="80" w:before="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Q8  </w:t>
      </w:r>
      <w:r>
        <w:rPr>
          <w:rFonts w:ascii="Arial" w:cs="Arial" w:eastAsia="Arial" w:hAnsi="Arial"/>
          <w:b/>
          <w:bCs/>
          <w:color w:val="3D3D3A"/>
          <w:sz w:val="24"/>
          <w:szCs w:val="24"/>
        </w:rPr>
        <w:t xml:space="preserve">How long is an AI IRF CERT® certificate valid?</w:t>
      </w:r>
    </w:p>
    <w:p>
      <w:pPr>
        <w:spacing w:after="160" w:before="0"/>
        <w:ind w:left="160"/>
        <w:jc w:val="both"/>
      </w:pPr>
      <w:r>
        <w:rPr>
          <w:rFonts w:ascii="Arial" w:cs="Arial" w:eastAsia="Arial" w:hAnsi="Arial"/>
          <w:color w:val="3D3D3A"/>
          <w:sz w:val="24"/>
          <w:szCs w:val="24"/>
        </w:rPr>
        <w:t xml:space="preserve">An AI IRF CERT® certificate is valid for one year from the date of issue, with an annual surveillance visit required to maintain certification. Surveillance visits are conducted by the issuing CB in Year 1 (within 12 months of certificate issue) and Year 2 (within 24 months). Recertification — a repeat of the Stage 1 and Stage 2 process — is required before the certificate expires. A certificate that expires without recertification lapses and the organisation loses its certified status.</w:t>
      </w:r>
    </w:p>
    <w:p>
      <w:pPr>
        <w:pBdr>
          <w:left w:val="single" w:color="3C3489" w:sz="6" w:space="6"/>
        </w:pBdr>
        <w:spacing w:after="80" w:before="240"/>
        <w:ind w:left="160"/>
      </w:pPr>
      <w:r>
        <w:rPr>
          <w:rFonts w:ascii="Arial" w:cs="Arial" w:eastAsia="Arial" w:hAnsi="Arial"/>
          <w:b/>
          <w:bCs/>
          <w:color w:val="3C3489"/>
          <w:sz w:val="24"/>
          <w:szCs w:val="24"/>
        </w:rPr>
        <w:t xml:space="preserve">Q9  </w:t>
      </w:r>
      <w:r>
        <w:rPr>
          <w:rFonts w:ascii="Arial" w:cs="Arial" w:eastAsia="Arial" w:hAnsi="Arial"/>
          <w:b/>
          <w:bCs/>
          <w:color w:val="3D3D3A"/>
          <w:sz w:val="24"/>
          <w:szCs w:val="24"/>
        </w:rPr>
        <w:t xml:space="preserve">What is the typical total cost of certification?</w:t>
      </w:r>
    </w:p>
    <w:p>
      <w:pPr>
        <w:spacing w:after="80" w:before="0"/>
        <w:ind w:left="160"/>
        <w:jc w:val="both"/>
      </w:pPr>
      <w:r>
        <w:rPr>
          <w:rFonts w:ascii="Arial" w:cs="Arial" w:eastAsia="Arial" w:hAnsi="Arial"/>
          <w:color w:val="3D3D3A"/>
          <w:sz w:val="24"/>
          <w:szCs w:val="24"/>
        </w:rPr>
        <w:t xml:space="preserve">ODA3 Institute publishes indicative fee ranges in the Pricing &amp; Licensing Model (ODA3-2026-06-MTH-STD-028). CBs set their own audit fees commercially, with ODA3 Institute publishing guidance ranges to set market expectations.</w:t>
      </w:r>
    </w:p>
    <w:p>
      <w:pPr>
        <w:pStyle w:val="ListParagraph"/>
        <w:numPr>
          <w:ilvl w:val="0"/>
          <w:numId w:val="2"/>
        </w:numPr>
        <w:spacing w:after="80" w:before="0"/>
      </w:pPr>
      <w:r>
        <w:rPr>
          <w:rFonts w:ascii="Arial" w:cs="Arial" w:eastAsia="Arial" w:hAnsi="Arial"/>
          <w:color w:val="3D3D3A"/>
          <w:sz w:val="24"/>
          <w:szCs w:val="24"/>
        </w:rPr>
        <w:t xml:space="preserve">Small organisation, 1–2 AI systems: USD 5,000–8,000 total CB fee (Stage 1 + Stage 2).</w:t>
      </w:r>
    </w:p>
    <w:p>
      <w:pPr>
        <w:pStyle w:val="ListParagraph"/>
        <w:numPr>
          <w:ilvl w:val="0"/>
          <w:numId w:val="2"/>
        </w:numPr>
        <w:spacing w:after="80" w:before="0"/>
      </w:pPr>
      <w:r>
        <w:rPr>
          <w:rFonts w:ascii="Arial" w:cs="Arial" w:eastAsia="Arial" w:hAnsi="Arial"/>
          <w:color w:val="3D3D3A"/>
          <w:sz w:val="24"/>
          <w:szCs w:val="24"/>
        </w:rPr>
        <w:t xml:space="preserve">Mid-size organisation, 3–5 AI systems: USD 8,000–15,000.</w:t>
      </w:r>
    </w:p>
    <w:p>
      <w:pPr>
        <w:pStyle w:val="ListParagraph"/>
        <w:numPr>
          <w:ilvl w:val="0"/>
          <w:numId w:val="2"/>
        </w:numPr>
        <w:spacing w:after="80" w:before="0"/>
      </w:pPr>
      <w:r>
        <w:rPr>
          <w:rFonts w:ascii="Arial" w:cs="Arial" w:eastAsia="Arial" w:hAnsi="Arial"/>
          <w:color w:val="3D3D3A"/>
          <w:sz w:val="24"/>
          <w:szCs w:val="24"/>
        </w:rPr>
        <w:t xml:space="preserve">Large enterprise, 6+ AI systems, multi-site: USD 15,000–40,000+.</w:t>
      </w:r>
    </w:p>
    <w:p>
      <w:pPr>
        <w:pStyle w:val="ListParagraph"/>
        <w:numPr>
          <w:ilvl w:val="0"/>
          <w:numId w:val="2"/>
        </w:numPr>
        <w:spacing w:after="80" w:before="0"/>
      </w:pPr>
      <w:r>
        <w:rPr>
          <w:rFonts w:ascii="Arial" w:cs="Arial" w:eastAsia="Arial" w:hAnsi="Arial"/>
          <w:color w:val="3D3D3A"/>
          <w:sz w:val="24"/>
          <w:szCs w:val="24"/>
        </w:rPr>
        <w:t xml:space="preserve">Financial services organisations (DORA/RBI scope): USD 12,000–25,000 due to additional regulatory evidence requirements.</w:t>
      </w:r>
    </w:p>
    <w:p>
      <w:pPr>
        <w:pStyle w:val="ListParagraph"/>
        <w:numPr>
          <w:ilvl w:val="0"/>
          <w:numId w:val="2"/>
        </w:numPr>
        <w:spacing w:after="80" w:before="0"/>
      </w:pPr>
      <w:r>
        <w:rPr>
          <w:rFonts w:ascii="Arial" w:cs="Arial" w:eastAsia="Arial" w:hAnsi="Arial"/>
          <w:color w:val="3D3D3A"/>
          <w:sz w:val="24"/>
          <w:szCs w:val="24"/>
        </w:rPr>
        <w:t xml:space="preserve">These are CB fees only. Internal costs (staff time for audit preparation, gap remediation) are additional.</w:t>
      </w:r>
    </w:p>
    <w:p>
      <w:pPr>
        <w:pStyle w:val="ListParagraph"/>
        <w:numPr>
          <w:ilvl w:val="0"/>
          <w:numId w:val="2"/>
        </w:numPr>
        <w:spacing w:after="80" w:before="0"/>
      </w:pPr>
      <w:r>
        <w:rPr>
          <w:rFonts w:ascii="Arial" w:cs="Arial" w:eastAsia="Arial" w:hAnsi="Arial"/>
          <w:color w:val="3D3D3A"/>
          <w:sz w:val="24"/>
          <w:szCs w:val="24"/>
        </w:rPr>
        <w:t xml:space="preserve">Annual surveillance visits add approximately 30–50% of the initial Stage 2 cost per visit.</w:t>
      </w:r>
    </w:p>
    <w:p>
      <w:pPr>
        <w:spacing w:after="80" w:before="0"/>
      </w:pPr>
      <w:r>
        <w:t xml:space="preserve"/>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C3489" w:sz="1"/>
              <w:left w:val="single" w:color="3C3489" w:sz="1"/>
              <w:bottom w:val="single" w:color="3C3489" w:sz="1"/>
              <w:right w:val="single" w:color="3C3489" w:sz="1"/>
            </w:tcBorders>
            <w:shd w:fill="3C3489" w:val="clear"/>
            <w:tcMar>
              <w:top w:type="dxa" w:w="80"/>
              <w:left w:type="dxa" w:w="160"/>
              <w:bottom w:type="dxa" w:w="80"/>
              <w:right w:type="dxa" w:w="160"/>
            </w:tcMar>
          </w:tcPr>
          <w:p>
            <w:r>
              <w:rPr>
                <w:rFonts w:ascii="Arial" w:cs="Arial" w:eastAsia="Arial" w:hAnsi="Arial"/>
                <w:b/>
                <w:bCs/>
                <w:color w:val="FFFFFF"/>
                <w:spacing w:val="100"/>
                <w:sz w:val="22"/>
                <w:szCs w:val="22"/>
              </w:rPr>
              <w:t xml:space="preserve">C — REGULATORY COMPLIANCE</w:t>
            </w:r>
          </w:p>
        </w:tc>
      </w:tr>
    </w:tbl>
    <w:p>
      <w:pPr>
        <w:spacing w:after="0" w:before="8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Q10  </w:t>
      </w:r>
      <w:r>
        <w:rPr>
          <w:rFonts w:ascii="Arial" w:cs="Arial" w:eastAsia="Arial" w:hAnsi="Arial"/>
          <w:b/>
          <w:bCs/>
          <w:color w:val="3D3D3A"/>
          <w:sz w:val="24"/>
          <w:szCs w:val="24"/>
        </w:rPr>
        <w:t xml:space="preserve">Will regulators (ECB, PRA, RBI, EU supervisors) accept AI IRF CERT® as evidence?</w:t>
      </w:r>
    </w:p>
    <w:p>
      <w:pPr>
        <w:spacing w:after="160" w:before="0"/>
        <w:ind w:left="160"/>
        <w:jc w:val="both"/>
      </w:pPr>
      <w:r>
        <w:rPr>
          <w:rFonts w:ascii="Arial" w:cs="Arial" w:eastAsia="Arial" w:hAnsi="Arial"/>
          <w:color w:val="3D3D3A"/>
          <w:sz w:val="24"/>
          <w:szCs w:val="24"/>
        </w:rPr>
        <w:t xml:space="preserve">AI-IRF® v1.0 is structurally aligned with DORA, EU AI Act, RBI AI governance guidelines, NIS2, and GDPR. The Regulatory Submission Package (ODA3-2026-06-RPT-GOV-027) provides pre-formatted evidence bundles for each framework. A third-party audited certification from an ISO/IEC 17065-accredited CB is materially stronger evidence than self-attestation and has a well-understood evidentiary weight in regulatory contexts. Regulators do not pre-approve third-party certification schemes, but the quality of the evidence produced by a Stage 2 audit speaks clearly.</w:t>
      </w:r>
    </w:p>
    <w:p>
      <w:pPr>
        <w:pBdr>
          <w:left w:val="single" w:color="3C3489" w:sz="6" w:space="6"/>
        </w:pBdr>
        <w:spacing w:after="80" w:before="240"/>
        <w:ind w:left="160"/>
      </w:pPr>
      <w:r>
        <w:rPr>
          <w:rFonts w:ascii="Arial" w:cs="Arial" w:eastAsia="Arial" w:hAnsi="Arial"/>
          <w:b/>
          <w:bCs/>
          <w:color w:val="3C3489"/>
          <w:sz w:val="24"/>
          <w:szCs w:val="24"/>
        </w:rPr>
        <w:t xml:space="preserve">Q11  </w:t>
      </w:r>
      <w:r>
        <w:rPr>
          <w:rFonts w:ascii="Arial" w:cs="Arial" w:eastAsia="Arial" w:hAnsi="Arial"/>
          <w:b/>
          <w:bCs/>
          <w:color w:val="3D3D3A"/>
          <w:sz w:val="24"/>
          <w:szCs w:val="24"/>
        </w:rPr>
        <w:t xml:space="preserve">Does AI IRF CERT® satisfy the EU AI Act Article 9 risk management system requirement?</w:t>
      </w:r>
    </w:p>
    <w:p>
      <w:pPr>
        <w:spacing w:after="160" w:before="0"/>
        <w:ind w:left="160"/>
        <w:jc w:val="both"/>
      </w:pPr>
      <w:r>
        <w:rPr>
          <w:rFonts w:ascii="Arial" w:cs="Arial" w:eastAsia="Arial" w:hAnsi="Arial"/>
          <w:color w:val="3D3D3A"/>
          <w:sz w:val="24"/>
          <w:szCs w:val="24"/>
        </w:rPr>
        <w:t xml:space="preserve">AI IRF CERT® certification verifies that the risk management system required by EU AI Act Article 9 has been implemented for the AI systems in scope. The Stage 2 audit report provides documented evidence covering: risk identification (MLC-1, MLC-3, SEV-CLS); risk assessment and estimation (ACG-1, ACG-2); risk management measures (APA, ZTA, MEX); and post-market monitoring (MLC-5, REG-3/4). This evidence is structured to map directly to Article 9's requirements. The full mapping is in the Regulatory Submission Package.</w:t>
      </w:r>
    </w:p>
    <w:p>
      <w:pPr>
        <w:pBdr>
          <w:left w:val="single" w:color="3C3489" w:sz="6" w:space="6"/>
        </w:pBdr>
        <w:spacing w:after="80" w:before="240"/>
        <w:ind w:left="160"/>
      </w:pPr>
      <w:r>
        <w:rPr>
          <w:rFonts w:ascii="Arial" w:cs="Arial" w:eastAsia="Arial" w:hAnsi="Arial"/>
          <w:b/>
          <w:bCs/>
          <w:color w:val="3C3489"/>
          <w:sz w:val="24"/>
          <w:szCs w:val="24"/>
        </w:rPr>
        <w:t xml:space="preserve">Q12  </w:t>
      </w:r>
      <w:r>
        <w:rPr>
          <w:rFonts w:ascii="Arial" w:cs="Arial" w:eastAsia="Arial" w:hAnsi="Arial"/>
          <w:b/>
          <w:bCs/>
          <w:color w:val="3D3D3A"/>
          <w:sz w:val="24"/>
          <w:szCs w:val="24"/>
        </w:rPr>
        <w:t xml:space="preserve">How does AI IRF CERT® interact with GDPR Article 35 DPIA obligations?</w:t>
      </w:r>
    </w:p>
    <w:p>
      <w:pPr>
        <w:spacing w:after="160" w:before="0"/>
        <w:ind w:left="160"/>
        <w:jc w:val="both"/>
      </w:pPr>
      <w:r>
        <w:rPr>
          <w:rFonts w:ascii="Arial" w:cs="Arial" w:eastAsia="Arial" w:hAnsi="Arial"/>
          <w:color w:val="3D3D3A"/>
          <w:sz w:val="24"/>
          <w:szCs w:val="24"/>
        </w:rPr>
        <w:t xml:space="preserve">AI IRF CERT® certification produces documented evidence for the key technical and organisational measures that a GDPR Article 35 DPIA must describe. Specifically: supply chain and BOM controls (BOM domain) address data processing descriptions; regulatory compliance controls (REG) address disclosure and explainability obligations; agentic permission controls (APA-3) address Article 22 automated decision-making safeguards; and severity classification and response controls (SEV-RPT/MSR-3) address breach response. The DPIA still requires a legal analysis and risk assessment that goes beyond what the certification covers — AI IRF CERT® provides the technical evidence layer.</w:t>
      </w:r>
    </w:p>
    <w:p>
      <w:pPr>
        <w:pBdr>
          <w:left w:val="single" w:color="3C3489" w:sz="6" w:space="6"/>
        </w:pBdr>
        <w:spacing w:after="80" w:before="240"/>
        <w:ind w:left="160"/>
      </w:pPr>
      <w:r>
        <w:rPr>
          <w:rFonts w:ascii="Arial" w:cs="Arial" w:eastAsia="Arial" w:hAnsi="Arial"/>
          <w:b/>
          <w:bCs/>
          <w:color w:val="3C3489"/>
          <w:sz w:val="24"/>
          <w:szCs w:val="24"/>
        </w:rPr>
        <w:t xml:space="preserve">Q13  </w:t>
      </w:r>
      <w:r>
        <w:rPr>
          <w:rFonts w:ascii="Arial" w:cs="Arial" w:eastAsia="Arial" w:hAnsi="Arial"/>
          <w:b/>
          <w:bCs/>
          <w:color w:val="3D3D3A"/>
          <w:sz w:val="24"/>
          <w:szCs w:val="24"/>
        </w:rPr>
        <w:t xml:space="preserve">We are subject to the India DPDP Act 2023 — does AI IRF CERT® address our obligations?</w:t>
      </w:r>
    </w:p>
    <w:p>
      <w:pPr>
        <w:spacing w:after="160" w:before="0"/>
        <w:ind w:left="160"/>
        <w:jc w:val="both"/>
      </w:pPr>
      <w:r>
        <w:rPr>
          <w:rFonts w:ascii="Arial" w:cs="Arial" w:eastAsia="Arial" w:hAnsi="Arial"/>
          <w:color w:val="3D3D3A"/>
          <w:sz w:val="24"/>
          <w:szCs w:val="24"/>
        </w:rPr>
        <w:t xml:space="preserve">AI IRF CERT® addresses the technical and organisational dimensions of DPDP Act obligations for AI systems processing personal data of Indian data principals. Key mappings: data inventory and minimisation (BOM-1, BOM-3) address Sections 4 and 8(3); data accuracy (BOM-2) addresses Section 8(4); erasure/retention (BOM-1/REG-4) addresses Section 8(7); breach notification (SEV-RPT/MSR-3) addresses Section 8(6); and security safeguards (ZTA, MEX domains) address Section 8(5). If your organisation is a Significant Data Fiduciary under Section 10, the Stage 2 audit evidence can form the technical input to your Data Protection Impact Assessment. The full mapping is in the Regulatory Submission Package (Module 4).</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C3489" w:sz="1"/>
              <w:left w:val="single" w:color="3C3489" w:sz="1"/>
              <w:bottom w:val="single" w:color="3C3489" w:sz="1"/>
              <w:right w:val="single" w:color="3C3489" w:sz="1"/>
            </w:tcBorders>
            <w:shd w:fill="3C3489" w:val="clear"/>
            <w:tcMar>
              <w:top w:type="dxa" w:w="80"/>
              <w:left w:type="dxa" w:w="160"/>
              <w:bottom w:type="dxa" w:w="80"/>
              <w:right w:type="dxa" w:w="160"/>
            </w:tcMar>
          </w:tcPr>
          <w:p>
            <w:r>
              <w:rPr>
                <w:rFonts w:ascii="Arial" w:cs="Arial" w:eastAsia="Arial" w:hAnsi="Arial"/>
                <w:b/>
                <w:bCs/>
                <w:color w:val="FFFFFF"/>
                <w:spacing w:val="100"/>
                <w:sz w:val="22"/>
                <w:szCs w:val="22"/>
              </w:rPr>
              <w:t xml:space="preserve">D — INDIVIDUAL CREDENTIALS</w:t>
            </w:r>
          </w:p>
        </w:tc>
      </w:tr>
    </w:tbl>
    <w:p>
      <w:pPr>
        <w:spacing w:after="0" w:before="8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Q14  </w:t>
      </w:r>
      <w:r>
        <w:rPr>
          <w:rFonts w:ascii="Arial" w:cs="Arial" w:eastAsia="Arial" w:hAnsi="Arial"/>
          <w:b/>
          <w:bCs/>
          <w:color w:val="3D3D3A"/>
          <w:sz w:val="24"/>
          <w:szCs w:val="24"/>
        </w:rPr>
        <w:t xml:space="preserve">What is the difference between L1, L2, and L3 credentials?</w:t>
      </w:r>
    </w:p>
    <w:p>
      <w:pPr>
        <w:spacing w:after="80" w:before="0"/>
        <w:ind w:left="160"/>
        <w:jc w:val="both"/>
      </w:pPr>
      <w:r>
        <w:rPr>
          <w:rFonts w:ascii="Arial" w:cs="Arial" w:eastAsia="Arial" w:hAnsi="Arial"/>
          <w:color w:val="3D3D3A"/>
          <w:sz w:val="24"/>
          <w:szCs w:val="24"/>
        </w:rPr>
        <w:t xml:space="preserve">The three credential levels reflect progressively deeper competence:</w:t>
      </w:r>
    </w:p>
    <w:p>
      <w:pPr>
        <w:pStyle w:val="ListParagraph"/>
        <w:numPr>
          <w:ilvl w:val="0"/>
          <w:numId w:val="2"/>
        </w:numPr>
        <w:spacing w:after="80" w:before="0"/>
      </w:pPr>
      <w:r>
        <w:rPr>
          <w:rFonts w:ascii="Arial" w:cs="Arial" w:eastAsia="Arial" w:hAnsi="Arial"/>
          <w:color w:val="3D3D3A"/>
          <w:sz w:val="24"/>
          <w:szCs w:val="24"/>
        </w:rPr>
        <w:t xml:space="preserve">L1 Foundation: awareness-level credential. Covers understanding of all 19 AI-IRF® v1.0 control domains. Does not qualify the holder to conduct audits. Target audience: AI governance professionals, compliance officers, senior technology leaders. Exam: 60 MCQ, 90 minutes, 70% pass mark.</w:t>
      </w:r>
    </w:p>
    <w:p>
      <w:pPr>
        <w:pStyle w:val="ListParagraph"/>
        <w:numPr>
          <w:ilvl w:val="0"/>
          <w:numId w:val="2"/>
        </w:numPr>
        <w:spacing w:after="80" w:before="0"/>
      </w:pPr>
      <w:r>
        <w:rPr>
          <w:rFonts w:ascii="Arial" w:cs="Arial" w:eastAsia="Arial" w:hAnsi="Arial"/>
          <w:color w:val="3D3D3A"/>
          <w:sz w:val="24"/>
          <w:szCs w:val="24"/>
        </w:rPr>
        <w:t xml:space="preserve">L2 Practitioner: application-level credential. Covers control application in audit contexts, nonconformity identification and classification, audit methodology, and ethics. Qualifies the holder to participate in AI-IRF® v1.0 Stage 1 and Stage 2 audits as a team member under a Lead Auditor. Prerequisite: current L1. Exam: 40 MCQ + 2 case studies, 150 minutes, 70% overall.</w:t>
      </w:r>
    </w:p>
    <w:p>
      <w:pPr>
        <w:pStyle w:val="ListParagraph"/>
        <w:numPr>
          <w:ilvl w:val="0"/>
          <w:numId w:val="2"/>
        </w:numPr>
        <w:spacing w:after="80" w:before="0"/>
      </w:pPr>
      <w:r>
        <w:rPr>
          <w:rFonts w:ascii="Arial" w:cs="Arial" w:eastAsia="Arial" w:hAnsi="Arial"/>
          <w:color w:val="3D3D3A"/>
          <w:sz w:val="24"/>
          <w:szCs w:val="24"/>
        </w:rPr>
        <w:t xml:space="preserve">L3 Lead Auditor: expert-level credential. Covers leading certification engagements, complex audit planning, certification decision-making, stakeholder management, and regulatory context. Required designation for CB Lead Auditors. Prerequisite: current L2 + evidence of 5 completed Stage 2 audits. Exam: 3 case studies + technical assessment, 210 minutes, 75% overall.</w:t>
      </w:r>
    </w:p>
    <w:p>
      <w:pPr>
        <w:spacing w:after="80" w:before="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Q15  </w:t>
      </w:r>
      <w:r>
        <w:rPr>
          <w:rFonts w:ascii="Arial" w:cs="Arial" w:eastAsia="Arial" w:hAnsi="Arial"/>
          <w:b/>
          <w:bCs/>
          <w:color w:val="3D3D3A"/>
          <w:sz w:val="24"/>
          <w:szCs w:val="24"/>
        </w:rPr>
        <w:t xml:space="preserve">How are examinations delivered and when can I sit?</w:t>
      </w:r>
    </w:p>
    <w:p>
      <w:pPr>
        <w:spacing w:after="160" w:before="0"/>
        <w:ind w:left="160"/>
        <w:jc w:val="both"/>
      </w:pPr>
      <w:r>
        <w:rPr>
          <w:rFonts w:ascii="Arial" w:cs="Arial" w:eastAsia="Arial" w:hAnsi="Arial"/>
          <w:color w:val="3D3D3A"/>
          <w:sz w:val="24"/>
          <w:szCs w:val="24"/>
        </w:rPr>
        <w:t xml:space="preserve">AI-IRF® v1.0 examinations are available in two formats: remote proctored (online via webcam with a proctoring service) and in-person at approved examination centres. Sitting dates and centre locations are published by the appointed examination provider. Contact contact@oda3.org to register and receive the current examination schedule. The examination provider is to be confirmed; until confirmed, registration is managed directly by ODA3 Pvt Ltd.</w:t>
      </w:r>
    </w:p>
    <w:p>
      <w:pPr>
        <w:pBdr>
          <w:left w:val="single" w:color="3C3489" w:sz="6" w:space="6"/>
        </w:pBdr>
        <w:spacing w:after="80" w:before="240"/>
        <w:ind w:left="160"/>
      </w:pPr>
      <w:r>
        <w:rPr>
          <w:rFonts w:ascii="Arial" w:cs="Arial" w:eastAsia="Arial" w:hAnsi="Arial"/>
          <w:b/>
          <w:bCs/>
          <w:color w:val="3C3489"/>
          <w:sz w:val="24"/>
          <w:szCs w:val="24"/>
        </w:rPr>
        <w:t xml:space="preserve">Q16  </w:t>
      </w:r>
      <w:r>
        <w:rPr>
          <w:rFonts w:ascii="Arial" w:cs="Arial" w:eastAsia="Arial" w:hAnsi="Arial"/>
          <w:b/>
          <w:bCs/>
          <w:color w:val="3D3D3A"/>
          <w:sz w:val="24"/>
          <w:szCs w:val="24"/>
        </w:rPr>
        <w:t xml:space="preserve">What happens to my credential if I don't complete my annual CPD?</w:t>
      </w:r>
    </w:p>
    <w:p>
      <w:pPr>
        <w:spacing w:after="80" w:before="0"/>
        <w:ind w:left="160"/>
        <w:jc w:val="both"/>
      </w:pPr>
      <w:r>
        <w:rPr>
          <w:rFonts w:ascii="Arial" w:cs="Arial" w:eastAsia="Arial" w:hAnsi="Arial"/>
          <w:color w:val="3D3D3A"/>
          <w:sz w:val="24"/>
          <w:szCs w:val="24"/>
        </w:rPr>
        <w:t xml:space="preserve">Failure to meet the 20-hour annual CPD requirement results in credential suspension. A suspended credential does not entitle the holder to conduct AI-IRF® v1.0 audits under a CB. The suspension pathway is:</w:t>
      </w:r>
    </w:p>
    <w:p>
      <w:pPr>
        <w:pStyle w:val="ListParagraph"/>
        <w:numPr>
          <w:ilvl w:val="0"/>
          <w:numId w:val="2"/>
        </w:numPr>
        <w:spacing w:after="80" w:before="0"/>
      </w:pPr>
      <w:r>
        <w:rPr>
          <w:rFonts w:ascii="Arial" w:cs="Arial" w:eastAsia="Arial" w:hAnsi="Arial"/>
          <w:color w:val="3D3D3A"/>
          <w:sz w:val="24"/>
          <w:szCs w:val="24"/>
        </w:rPr>
        <w:t xml:space="preserve">Annual CPD Declaration not submitted by 31 January: reminder issued; suspension if not resolved within 14 days.</w:t>
      </w:r>
    </w:p>
    <w:p>
      <w:pPr>
        <w:pStyle w:val="ListParagraph"/>
        <w:numPr>
          <w:ilvl w:val="0"/>
          <w:numId w:val="2"/>
        </w:numPr>
        <w:spacing w:after="80" w:before="0"/>
      </w:pPr>
      <w:r>
        <w:rPr>
          <w:rFonts w:ascii="Arial" w:cs="Arial" w:eastAsia="Arial" w:hAnsi="Arial"/>
          <w:color w:val="3D3D3A"/>
          <w:sz w:val="24"/>
          <w:szCs w:val="24"/>
        </w:rPr>
        <w:t xml:space="preserve">CPD audit finds hours insufficient: 60-day remediation window to make up the shortfall from current-year activities.</w:t>
      </w:r>
    </w:p>
    <w:p>
      <w:pPr>
        <w:pStyle w:val="ListParagraph"/>
        <w:numPr>
          <w:ilvl w:val="0"/>
          <w:numId w:val="2"/>
        </w:numPr>
        <w:spacing w:after="80" w:before="0"/>
      </w:pPr>
      <w:r>
        <w:rPr>
          <w:rFonts w:ascii="Arial" w:cs="Arial" w:eastAsia="Arial" w:hAnsi="Arial"/>
          <w:color w:val="3D3D3A"/>
          <w:sz w:val="24"/>
          <w:szCs w:val="24"/>
        </w:rPr>
        <w:t xml:space="preserve">Suspension not resolved within 6 months: credential revoked.</w:t>
      </w:r>
    </w:p>
    <w:p>
      <w:pPr>
        <w:pStyle w:val="ListParagraph"/>
        <w:numPr>
          <w:ilvl w:val="0"/>
          <w:numId w:val="2"/>
        </w:numPr>
        <w:spacing w:after="80" w:before="0"/>
      </w:pPr>
      <w:r>
        <w:rPr>
          <w:rFonts w:ascii="Arial" w:cs="Arial" w:eastAsia="Arial" w:hAnsi="Arial"/>
          <w:color w:val="3D3D3A"/>
          <w:sz w:val="24"/>
          <w:szCs w:val="24"/>
        </w:rPr>
        <w:t xml:space="preserve">A revoked credential holder cannot re-sit the examination for a minimum of 2 years.</w:t>
      </w:r>
    </w:p>
    <w:p>
      <w:pPr>
        <w:pStyle w:val="ListParagraph"/>
        <w:numPr>
          <w:ilvl w:val="0"/>
          <w:numId w:val="2"/>
        </w:numPr>
        <w:spacing w:after="80" w:before="0"/>
      </w:pPr>
      <w:r>
        <w:rPr>
          <w:rFonts w:ascii="Arial" w:cs="Arial" w:eastAsia="Arial" w:hAnsi="Arial"/>
          <w:color w:val="3D3D3A"/>
          <w:sz w:val="24"/>
          <w:szCs w:val="24"/>
        </w:rPr>
        <w:t xml:space="preserve">The full CPD Policy is at ODA3-2026-06-MTH-TRN-019.</w:t>
      </w:r>
    </w:p>
    <w:p>
      <w:pPr>
        <w:spacing w:after="80" w:before="0"/>
      </w:pPr>
      <w:r>
        <w:t xml:space="preserve"/>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C3489" w:sz="1"/>
              <w:left w:val="single" w:color="3C3489" w:sz="1"/>
              <w:bottom w:val="single" w:color="3C3489" w:sz="1"/>
              <w:right w:val="single" w:color="3C3489" w:sz="1"/>
            </w:tcBorders>
            <w:shd w:fill="3C3489" w:val="clear"/>
            <w:tcMar>
              <w:top w:type="dxa" w:w="80"/>
              <w:left w:type="dxa" w:w="160"/>
              <w:bottom w:type="dxa" w:w="80"/>
              <w:right w:type="dxa" w:w="160"/>
            </w:tcMar>
          </w:tcPr>
          <w:p>
            <w:r>
              <w:rPr>
                <w:rFonts w:ascii="Arial" w:cs="Arial" w:eastAsia="Arial" w:hAnsi="Arial"/>
                <w:b/>
                <w:bCs/>
                <w:color w:val="FFFFFF"/>
                <w:spacing w:val="100"/>
                <w:sz w:val="22"/>
                <w:szCs w:val="22"/>
              </w:rPr>
              <w:t xml:space="preserve">E — CERTIFICATION BODIES AND PARTNERS</w:t>
            </w:r>
          </w:p>
        </w:tc>
      </w:tr>
    </w:tbl>
    <w:p>
      <w:pPr>
        <w:spacing w:after="0" w:before="8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Q17  </w:t>
      </w:r>
      <w:r>
        <w:rPr>
          <w:rFonts w:ascii="Arial" w:cs="Arial" w:eastAsia="Arial" w:hAnsi="Arial"/>
          <w:b/>
          <w:bCs/>
          <w:color w:val="3D3D3A"/>
          <w:sz w:val="24"/>
          <w:szCs w:val="24"/>
        </w:rPr>
        <w:t xml:space="preserve">How does a Certification Body become accredited for the AI-IRF® v1.0 scheme?</w:t>
      </w:r>
    </w:p>
    <w:p>
      <w:pPr>
        <w:spacing w:after="80" w:before="0"/>
        <w:ind w:left="160"/>
        <w:jc w:val="both"/>
      </w:pPr>
      <w:r>
        <w:rPr>
          <w:rFonts w:ascii="Arial" w:cs="Arial" w:eastAsia="Arial" w:hAnsi="Arial"/>
          <w:color w:val="3D3D3A"/>
          <w:sz w:val="24"/>
          <w:szCs w:val="24"/>
        </w:rPr>
        <w:t xml:space="preserve">A CB seeking accreditation must:</w:t>
      </w:r>
    </w:p>
    <w:p>
      <w:pPr>
        <w:pStyle w:val="ListParagraph"/>
        <w:numPr>
          <w:ilvl w:val="0"/>
          <w:numId w:val="2"/>
        </w:numPr>
        <w:spacing w:after="80" w:before="0"/>
      </w:pPr>
      <w:r>
        <w:rPr>
          <w:rFonts w:ascii="Arial" w:cs="Arial" w:eastAsia="Arial" w:hAnsi="Arial"/>
          <w:color w:val="3D3D3A"/>
          <w:sz w:val="24"/>
          <w:szCs w:val="24"/>
        </w:rPr>
        <w:t xml:space="preserve">Hold current ISO/IEC 17065 accreditation from a recognised IAF member body (or be actively pursuing accreditation — evidence of application must be provided).</w:t>
      </w:r>
    </w:p>
    <w:p>
      <w:pPr>
        <w:pStyle w:val="ListParagraph"/>
        <w:numPr>
          <w:ilvl w:val="0"/>
          <w:numId w:val="2"/>
        </w:numPr>
        <w:spacing w:after="80" w:before="0"/>
      </w:pPr>
      <w:r>
        <w:rPr>
          <w:rFonts w:ascii="Arial" w:cs="Arial" w:eastAsia="Arial" w:hAnsi="Arial"/>
          <w:color w:val="3D3D3A"/>
          <w:sz w:val="24"/>
          <w:szCs w:val="24"/>
        </w:rPr>
        <w:t xml:space="preserve">Execute a CB Licensing Agreement with ODA3 Pvt Ltd.</w:t>
      </w:r>
    </w:p>
    <w:p>
      <w:pPr>
        <w:pStyle w:val="ListParagraph"/>
        <w:numPr>
          <w:ilvl w:val="0"/>
          <w:numId w:val="2"/>
        </w:numPr>
        <w:spacing w:after="80" w:before="0"/>
      </w:pPr>
      <w:r>
        <w:rPr>
          <w:rFonts w:ascii="Arial" w:cs="Arial" w:eastAsia="Arial" w:hAnsi="Arial"/>
          <w:color w:val="3D3D3A"/>
          <w:sz w:val="24"/>
          <w:szCs w:val="24"/>
        </w:rPr>
        <w:t xml:space="preserve">Pay the CB initial accreditation fee (USD 4,500 placeholder — see ODA3-2026-06-MTH-STD-028).</w:t>
      </w:r>
    </w:p>
    <w:p>
      <w:pPr>
        <w:pStyle w:val="ListParagraph"/>
        <w:numPr>
          <w:ilvl w:val="0"/>
          <w:numId w:val="2"/>
        </w:numPr>
        <w:spacing w:after="80" w:before="0"/>
      </w:pPr>
      <w:r>
        <w:rPr>
          <w:rFonts w:ascii="Arial" w:cs="Arial" w:eastAsia="Arial" w:hAnsi="Arial"/>
          <w:color w:val="3D3D3A"/>
          <w:sz w:val="24"/>
          <w:szCs w:val="24"/>
        </w:rPr>
        <w:t xml:space="preserve">Complete the pre-audit readiness checklist in the CB Onboarding Package (ODA3-2026-06-MTH-OPS-015), demonstrating that at least one Lead Auditor holds a current AI IRF CERT® Lead Auditor (L3) credential.</w:t>
      </w:r>
    </w:p>
    <w:p>
      <w:pPr>
        <w:pStyle w:val="ListParagraph"/>
        <w:numPr>
          <w:ilvl w:val="0"/>
          <w:numId w:val="2"/>
        </w:numPr>
        <w:spacing w:after="80" w:before="0"/>
      </w:pPr>
      <w:r>
        <w:rPr>
          <w:rFonts w:ascii="Arial" w:cs="Arial" w:eastAsia="Arial" w:hAnsi="Arial"/>
          <w:color w:val="3D3D3A"/>
          <w:sz w:val="24"/>
          <w:szCs w:val="24"/>
        </w:rPr>
        <w:t xml:space="preserve">Receive written confirmation from ODA3 Pvt Ltd that the checklist has been acknowledged and the CB is cleared to open its first certification file.</w:t>
      </w:r>
    </w:p>
    <w:p>
      <w:pPr>
        <w:pStyle w:val="ListParagraph"/>
        <w:numPr>
          <w:ilvl w:val="0"/>
          <w:numId w:val="2"/>
        </w:numPr>
        <w:spacing w:after="80" w:before="0"/>
      </w:pPr>
      <w:r>
        <w:rPr>
          <w:rFonts w:ascii="Arial" w:cs="Arial" w:eastAsia="Arial" w:hAnsi="Arial"/>
          <w:color w:val="3D3D3A"/>
          <w:sz w:val="24"/>
          <w:szCs w:val="24"/>
        </w:rPr>
        <w:t xml:space="preserve">Contact contact@oda3.org to begin the accreditation process.</w:t>
      </w:r>
    </w:p>
    <w:p>
      <w:pPr>
        <w:spacing w:after="80" w:before="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Q18  </w:t>
      </w:r>
      <w:r>
        <w:rPr>
          <w:rFonts w:ascii="Arial" w:cs="Arial" w:eastAsia="Arial" w:hAnsi="Arial"/>
          <w:b/>
          <w:bCs/>
          <w:color w:val="3D3D3A"/>
          <w:sz w:val="24"/>
          <w:szCs w:val="24"/>
        </w:rPr>
        <w:t xml:space="preserve">What are the ongoing obligations of an accredited CB?</w:t>
      </w:r>
    </w:p>
    <w:p>
      <w:pPr>
        <w:spacing w:after="80" w:before="0"/>
        <w:ind w:left="160"/>
        <w:jc w:val="both"/>
      </w:pPr>
      <w:r>
        <w:rPr>
          <w:rFonts w:ascii="Arial" w:cs="Arial" w:eastAsia="Arial" w:hAnsi="Arial"/>
          <w:color w:val="3D3D3A"/>
          <w:sz w:val="24"/>
          <w:szCs w:val="24"/>
        </w:rPr>
        <w:t xml:space="preserve">Accredited CBs are bound by the CB Performance Standards (ODA3-2026-06-MTH-OPS-016), which include:</w:t>
      </w:r>
    </w:p>
    <w:p>
      <w:pPr>
        <w:pStyle w:val="ListParagraph"/>
        <w:numPr>
          <w:ilvl w:val="0"/>
          <w:numId w:val="2"/>
        </w:numPr>
        <w:spacing w:after="80" w:before="0"/>
      </w:pPr>
      <w:r>
        <w:rPr>
          <w:rFonts w:ascii="Arial" w:cs="Arial" w:eastAsia="Arial" w:hAnsi="Arial"/>
          <w:color w:val="3D3D3A"/>
          <w:sz w:val="24"/>
          <w:szCs w:val="24"/>
        </w:rPr>
        <w:t xml:space="preserve">Audit report issued within 10 working days of closing meeting.</w:t>
      </w:r>
    </w:p>
    <w:p>
      <w:pPr>
        <w:pStyle w:val="ListParagraph"/>
        <w:numPr>
          <w:ilvl w:val="0"/>
          <w:numId w:val="2"/>
        </w:numPr>
        <w:spacing w:after="80" w:before="0"/>
      </w:pPr>
      <w:r>
        <w:rPr>
          <w:rFonts w:ascii="Arial" w:cs="Arial" w:eastAsia="Arial" w:hAnsi="Arial"/>
          <w:color w:val="3D3D3A"/>
          <w:sz w:val="24"/>
          <w:szCs w:val="24"/>
        </w:rPr>
        <w:t xml:space="preserve">Certificate record submitted to ODA3 Pvt Ltd within 5 working days of issuance.</w:t>
      </w:r>
    </w:p>
    <w:p>
      <w:pPr>
        <w:pStyle w:val="ListParagraph"/>
        <w:numPr>
          <w:ilvl w:val="0"/>
          <w:numId w:val="2"/>
        </w:numPr>
        <w:spacing w:after="80" w:before="0"/>
      </w:pPr>
      <w:r>
        <w:rPr>
          <w:rFonts w:ascii="Arial" w:cs="Arial" w:eastAsia="Arial" w:hAnsi="Arial"/>
          <w:color w:val="3D3D3A"/>
          <w:sz w:val="24"/>
          <w:szCs w:val="24"/>
        </w:rPr>
        <w:t xml:space="preserve">Certificate suspensions notified to ODA3 Pvt Ltd within 2 working days.</w:t>
      </w:r>
    </w:p>
    <w:p>
      <w:pPr>
        <w:pStyle w:val="ListParagraph"/>
        <w:numPr>
          <w:ilvl w:val="0"/>
          <w:numId w:val="2"/>
        </w:numPr>
        <w:spacing w:after="80" w:before="0"/>
      </w:pPr>
      <w:r>
        <w:rPr>
          <w:rFonts w:ascii="Arial" w:cs="Arial" w:eastAsia="Arial" w:hAnsi="Arial"/>
          <w:color w:val="3D3D3A"/>
          <w:sz w:val="24"/>
          <w:szCs w:val="24"/>
        </w:rPr>
        <w:t xml:space="preserve">Quarterly scheme activity reports submitted within 14 days of each quarter end.</w:t>
      </w:r>
    </w:p>
    <w:p>
      <w:pPr>
        <w:pStyle w:val="ListParagraph"/>
        <w:numPr>
          <w:ilvl w:val="0"/>
          <w:numId w:val="2"/>
        </w:numPr>
        <w:spacing w:after="80" w:before="0"/>
      </w:pPr>
      <w:r>
        <w:rPr>
          <w:rFonts w:ascii="Arial" w:cs="Arial" w:eastAsia="Arial" w:hAnsi="Arial"/>
          <w:color w:val="3D3D3A"/>
          <w:sz w:val="24"/>
          <w:szCs w:val="24"/>
        </w:rPr>
        <w:t xml:space="preserve">Annual re-accreditation evidence submitted at least 60 days before the review date.</w:t>
      </w:r>
    </w:p>
    <w:p>
      <w:pPr>
        <w:pStyle w:val="ListParagraph"/>
        <w:numPr>
          <w:ilvl w:val="0"/>
          <w:numId w:val="2"/>
        </w:numPr>
        <w:spacing w:after="80" w:before="0"/>
      </w:pPr>
      <w:r>
        <w:rPr>
          <w:rFonts w:ascii="Arial" w:cs="Arial" w:eastAsia="Arial" w:hAnsi="Arial"/>
          <w:color w:val="3D3D3A"/>
          <w:sz w:val="24"/>
          <w:szCs w:val="24"/>
        </w:rPr>
        <w:t xml:space="preserve">Surveillance visits completed within 12 months (Year 1) and 24 months (Year 2) of each certificate issued.</w:t>
      </w:r>
    </w:p>
    <w:p>
      <w:pPr>
        <w:pStyle w:val="ListParagraph"/>
        <w:numPr>
          <w:ilvl w:val="0"/>
          <w:numId w:val="2"/>
        </w:numPr>
        <w:spacing w:after="80" w:before="0"/>
      </w:pPr>
      <w:r>
        <w:rPr>
          <w:rFonts w:ascii="Arial" w:cs="Arial" w:eastAsia="Arial" w:hAnsi="Arial"/>
          <w:color w:val="3D3D3A"/>
          <w:sz w:val="24"/>
          <w:szCs w:val="24"/>
        </w:rPr>
        <w:t xml:space="preserve">A KPI dashboard with 14 quantified targets is included in the Performance Standards.</w:t>
      </w:r>
    </w:p>
    <w:p>
      <w:pPr>
        <w:spacing w:after="80" w:before="0"/>
      </w:pPr>
      <w:r>
        <w:t xml:space="preserve"/>
      </w:r>
    </w:p>
    <w:p>
      <w:pPr>
        <w:pBdr>
          <w:left w:val="single" w:color="3C3489" w:sz="6" w:space="6"/>
        </w:pBdr>
        <w:spacing w:after="80" w:before="240"/>
        <w:ind w:left="160"/>
      </w:pPr>
      <w:r>
        <w:rPr>
          <w:rFonts w:ascii="Arial" w:cs="Arial" w:eastAsia="Arial" w:hAnsi="Arial"/>
          <w:b/>
          <w:bCs/>
          <w:color w:val="3C3489"/>
          <w:sz w:val="24"/>
          <w:szCs w:val="24"/>
        </w:rPr>
        <w:t xml:space="preserve">Q19  </w:t>
      </w:r>
      <w:r>
        <w:rPr>
          <w:rFonts w:ascii="Arial" w:cs="Arial" w:eastAsia="Arial" w:hAnsi="Arial"/>
          <w:b/>
          <w:bCs/>
          <w:color w:val="3D3D3A"/>
          <w:sz w:val="24"/>
          <w:szCs w:val="24"/>
        </w:rPr>
        <w:t xml:space="preserve">Can a CB also offer AI-IRF® v1.0 training?</w:t>
      </w:r>
    </w:p>
    <w:p>
      <w:pPr>
        <w:spacing w:after="160" w:before="0"/>
        <w:ind w:left="160"/>
        <w:jc w:val="both"/>
      </w:pPr>
      <w:r>
        <w:rPr>
          <w:rFonts w:ascii="Arial" w:cs="Arial" w:eastAsia="Arial" w:hAnsi="Arial"/>
          <w:color w:val="3D3D3A"/>
          <w:sz w:val="24"/>
          <w:szCs w:val="24"/>
        </w:rPr>
        <w:t xml:space="preserve">Yes, but the CB must obtain separate authorisation as an Authorised Training Provider. The two roles are governed by separate agreements and separate quality oversight. A CB acting as both a CB and a training provider must ensure there is no conflict of interest — specifically, the CB must not conduct a Stage 2 audit for an organisation whose lead contact completed the CB's own training course within the preceding 24 months. This conflict of interest obligation is in the Auditor Code of Conduct (ODA3-2026-06-MTH-SEC-009).</w:t>
      </w:r>
    </w:p>
    <w:p>
      <w:pPr>
        <w:pBdr>
          <w:left w:val="single" w:color="3C3489" w:sz="6" w:space="6"/>
        </w:pBdr>
        <w:spacing w:after="80" w:before="240"/>
        <w:ind w:left="160"/>
      </w:pPr>
      <w:r>
        <w:rPr>
          <w:rFonts w:ascii="Arial" w:cs="Arial" w:eastAsia="Arial" w:hAnsi="Arial"/>
          <w:b/>
          <w:bCs/>
          <w:color w:val="3C3489"/>
          <w:sz w:val="24"/>
          <w:szCs w:val="24"/>
        </w:rPr>
        <w:t xml:space="preserve">Q20  </w:t>
      </w:r>
      <w:r>
        <w:rPr>
          <w:rFonts w:ascii="Arial" w:cs="Arial" w:eastAsia="Arial" w:hAnsi="Arial"/>
          <w:b/>
          <w:bCs/>
          <w:color w:val="3D3D3A"/>
          <w:sz w:val="24"/>
          <w:szCs w:val="24"/>
        </w:rPr>
        <w:t xml:space="preserve">How can a technology vendor or GRC platform embed AI-IRF® v1.0 in its product?</w:t>
      </w:r>
    </w:p>
    <w:p>
      <w:pPr>
        <w:spacing w:after="80" w:before="0"/>
        <w:ind w:left="160"/>
        <w:jc w:val="both"/>
      </w:pPr>
      <w:r>
        <w:rPr>
          <w:rFonts w:ascii="Arial" w:cs="Arial" w:eastAsia="Arial" w:hAnsi="Arial"/>
          <w:color w:val="3D3D3A"/>
          <w:sz w:val="24"/>
          <w:szCs w:val="24"/>
        </w:rPr>
        <w:t xml:space="preserve">Technology vendors, GRC platform providers, and managed service providers can embed AI-IRF® v1.0 under a Tier 3 Enterprise OEM Licence — the highest licensing tier in the AI-IRF® v1.0 scheme. Under an OEM licence, the vendor may:</w:t>
      </w:r>
    </w:p>
    <w:p>
      <w:pPr>
        <w:pStyle w:val="ListParagraph"/>
        <w:numPr>
          <w:ilvl w:val="0"/>
          <w:numId w:val="2"/>
        </w:numPr>
        <w:spacing w:after="80" w:before="0"/>
      </w:pPr>
      <w:r>
        <w:rPr>
          <w:rFonts w:ascii="Arial" w:cs="Arial" w:eastAsia="Arial" w:hAnsi="Arial"/>
          <w:color w:val="3D3D3A"/>
          <w:sz w:val="24"/>
          <w:szCs w:val="24"/>
        </w:rPr>
        <w:t xml:space="preserve">Embed AI-IRF® v1.0 control identifiers and control statements in software products and documentation.</w:t>
      </w:r>
    </w:p>
    <w:p>
      <w:pPr>
        <w:pStyle w:val="ListParagraph"/>
        <w:numPr>
          <w:ilvl w:val="0"/>
          <w:numId w:val="2"/>
        </w:numPr>
        <w:spacing w:after="80" w:before="0"/>
      </w:pPr>
      <w:r>
        <w:rPr>
          <w:rFonts w:ascii="Arial" w:cs="Arial" w:eastAsia="Arial" w:hAnsi="Arial"/>
          <w:color w:val="3D3D3A"/>
          <w:sz w:val="24"/>
          <w:szCs w:val="24"/>
        </w:rPr>
        <w:t xml:space="preserve">Reference AI-IRF® v1.0 as a supported standard in product marketing.</w:t>
      </w:r>
    </w:p>
    <w:p>
      <w:pPr>
        <w:pStyle w:val="ListParagraph"/>
        <w:numPr>
          <w:ilvl w:val="0"/>
          <w:numId w:val="2"/>
        </w:numPr>
        <w:spacing w:after="80" w:before="0"/>
      </w:pPr>
      <w:r>
        <w:rPr>
          <w:rFonts w:ascii="Arial" w:cs="Arial" w:eastAsia="Arial" w:hAnsi="Arial"/>
          <w:color w:val="3D3D3A"/>
          <w:sz w:val="24"/>
          <w:szCs w:val="24"/>
        </w:rPr>
        <w:t xml:space="preserve">Use approved co-branding in specific agreed contexts.</w:t>
      </w:r>
    </w:p>
    <w:p>
      <w:pPr>
        <w:pStyle w:val="ListParagraph"/>
        <w:numPr>
          <w:ilvl w:val="0"/>
          <w:numId w:val="2"/>
        </w:numPr>
        <w:spacing w:after="80" w:before="0"/>
      </w:pPr>
      <w:r>
        <w:rPr>
          <w:rFonts w:ascii="Arial" w:cs="Arial" w:eastAsia="Arial" w:hAnsi="Arial"/>
          <w:color w:val="3D3D3A"/>
          <w:sz w:val="24"/>
          <w:szCs w:val="24"/>
        </w:rPr>
        <w:t xml:space="preserve">Receive early access to standard updates (60 days before public release).</w:t>
      </w:r>
    </w:p>
    <w:p>
      <w:pPr>
        <w:pStyle w:val="ListParagraph"/>
        <w:numPr>
          <w:ilvl w:val="0"/>
          <w:numId w:val="2"/>
        </w:numPr>
        <w:spacing w:after="80" w:before="0"/>
      </w:pPr>
      <w:r>
        <w:rPr>
          <w:rFonts w:ascii="Arial" w:cs="Arial" w:eastAsia="Arial" w:hAnsi="Arial"/>
          <w:color w:val="3D3D3A"/>
          <w:sz w:val="24"/>
          <w:szCs w:val="24"/>
        </w:rPr>
        <w:t xml:space="preserve">OEM licences are negotiated individually. Fees are structured on an annual basis tied to the vendor's revenue from AI-IRF-enabled products. Contact contact@oda3.org to initiate an OEM licensing conversation.</w:t>
      </w:r>
    </w:p>
    <w:p>
      <w:pPr>
        <w:spacing w:after="80" w:before="0"/>
      </w:pPr>
      <w:r>
        <w:t xml:space="preserve"/>
      </w:r>
    </w:p>
    <w:p>
      <w:pPr>
        <w:spacing w:after="0" w:before="200"/>
      </w:pPr>
      <w:r>
        <w:t xml:space="preserve"/>
      </w:r>
    </w:p>
    <w:p>
      <w:pPr>
        <w:jc w:val="center"/>
      </w:pPr>
      <w:r>
        <w:rPr>
          <w:rFonts w:ascii="Arial" w:cs="Arial" w:eastAsia="Arial" w:hAnsi="Arial"/>
          <w:color w:val="6B6B68"/>
          <w:sz w:val="18"/>
          <w:szCs w:val="18"/>
        </w:rPr>
        <w:t xml:space="preserve">ODA3-2026-06-FAQ-COM-030  |  Version 1.0  |  © 2026 ODA3 Pvt Ltd. All Rights Reserved. | GEL v1.0 | https://oda3.org/ Public document.</w:t>
      </w:r>
    </w:p>
    <w:sectPr>
      <w:headerReference w:type="default" r:id="rId7"/>
      <w:footerReference w:type="default" r:id="rId8"/>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EEDF9" w:sz="4" w:space="4"/>
      </w:pBdr>
      <w:spacing w:before="80"/>
    </w:pPr>
    <w:r>
      <w:rPr>
        <w:rFonts w:ascii="Arial" w:cs="Arial" w:eastAsia="Arial" w:hAnsi="Arial"/>
        <w:color w:val="6B6B68"/>
        <w:sz w:val="18"/>
        <w:szCs w:val="18"/>
      </w:rPr>
      <w:t xml:space="preserve">© 2026 ODA3 Institute. Public document.</w:t>
    </w:r>
    <w:r>
      <w:rPr>
        <w:rFonts w:ascii="Arial" w:cs="Arial" w:eastAsia="Arial" w:hAnsi="Arial"/>
        <w:sz w:val="18"/>
        <w:szCs w:val="18"/>
      </w:rPr>
      <w:ptab w:alignment="right" w:relativeTo="margin" w:leader="none"/>
    </w:r>
    <w:r>
      <w:rPr>
        <w:rFonts w:ascii="Arial" w:cs="Arial" w:eastAsia="Arial" w:hAnsi="Arial"/>
        <w:color w:val="6B6B68"/>
        <w:sz w:val="18"/>
        <w:szCs w:val="18"/>
      </w:rPr>
      <w:fldChar w:fldCharType="begin"/>
      <w:instrText xml:space="preserve">PAGE</w:instrText>
      <w:fldChar w:fldCharType="separate"/>
      <w:fldChar w:fldCharType="end"/>
    </w:r>
    <w:r>
      <w:rPr>
        <w:rFonts w:ascii="Arial" w:cs="Arial" w:eastAsia="Arial" w:hAnsi="Arial"/>
        <w:color w:val="6B6B68"/>
        <w:sz w:val="18"/>
        <w:szCs w:val="18"/>
      </w:rPr>
      <w:t xml:space="preserve"> / </w:t>
    </w:r>
    <w:r>
      <w:rPr>
        <w:rFonts w:ascii="Arial" w:cs="Arial" w:eastAsia="Arial" w:hAnsi="Arial"/>
        <w:color w:val="6B6B6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EEDF9" w:sz="4" w:space="4"/>
      </w:pBdr>
      <w:spacing w:after="100"/>
    </w:pPr>
    <w:r>
      <w:rPr>
        <w:rFonts w:ascii="Arial" w:cs="Arial" w:eastAsia="Arial" w:hAnsi="Arial"/>
        <w:color w:val="6B6B68"/>
        <w:sz w:val="18"/>
        <w:szCs w:val="18"/>
      </w:rPr>
      <w:t xml:space="preserve">ODA3 Institute  |  AI-IRF® v1.0 Frequently Asked Questions  |  ODA3-2026-06-FAQ-COM-030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3C3489"/>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3D3D3A"/>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2026-05-30T08:45:19.730Z</dcterms:created>
  <dcterms:modified xsi:type="dcterms:W3CDTF">2026-05-30T08:45:19.730Z</dcterms:modified>
</cp:coreProperties>
</file>

<file path=docProps/custom.xml><?xml version="1.0" encoding="utf-8"?>
<Properties xmlns="http://schemas.openxmlformats.org/officeDocument/2006/custom-properties" xmlns:vt="http://schemas.openxmlformats.org/officeDocument/2006/docPropsVTypes"/>
</file>