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400"/>
      </w:pPr>
      <w:r>
        <w:t xml:space="preserve"/>
      </w:r>
    </w:p>
    <w:p>
      <w:pPr>
        <w:spacing w:after="80"/>
      </w:pPr>
      <w:r>
        <w:rPr>
          <w:rFonts w:ascii="Arial" w:cs="Arial" w:eastAsia="Arial" w:hAnsi="Arial"/>
          <w:b/>
          <w:bCs/>
          <w:color w:val="6B6B68"/>
          <w:spacing w:val="200"/>
          <w:sz w:val="20"/>
          <w:szCs w:val="20"/>
        </w:rPr>
        <w:t xml:space="preserve">ODA3 INSTITUTE  —  SECTOR APPLICATION NOTE</w:t>
      </w:r>
    </w:p>
    <w:p>
      <w:pPr>
        <w:spacing w:after="80"/>
      </w:pPr>
      <w:r>
        <w:rPr>
          <w:rFonts w:ascii="Arial" w:cs="Arial" w:eastAsia="Arial" w:hAnsi="Arial"/>
          <w:b/>
          <w:bCs/>
          <w:color w:val="3C3489"/>
          <w:sz w:val="52"/>
          <w:szCs w:val="52"/>
        </w:rPr>
        <w:t xml:space="preserve">Financial Services</w:t>
      </w:r>
    </w:p>
    <w:p>
      <w:pPr>
        <w:spacing w:after="200"/>
      </w:pPr>
      <w:r>
        <w:rPr>
          <w:rFonts w:ascii="Arial" w:cs="Arial" w:eastAsia="Arial" w:hAnsi="Arial"/>
          <w:i/>
          <w:iCs/>
          <w:color w:val="6B6B68"/>
          <w:sz w:val="24"/>
          <w:szCs w:val="24"/>
        </w:rPr>
        <w:t xml:space="preserve">Applying AI-IRF® v1.0 in banking, insurance, capital markets, and payments — mapping controls to DORA, RBI AI governance guidelines, and EU AI Act high-risk obligations</w:t>
      </w:r>
    </w:p>
    <w:p>
      <w:pPr>
        <w:pBdr>
          <w:bottom w:val="single" w:color="3C3489" w:sz="6" w:space="1"/>
        </w:pBdr>
        <w:spacing w:after="16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80"/>
        <w:gridCol w:w="2400"/>
        <w:gridCol w:w="2080"/>
      </w:tblGrid>
      <w:tr>
        <w:tc>
          <w:tcPr>
            <w:tcW w:type="dxa" w:w="2400"/>
            <w:tcBorders>
              <w:top w:val="single" w:color="CCCCCC" w:sz="1"/>
              <w:left w:val="single" w:color="CCCCCC" w:sz="1"/>
              <w:bottom w:val="single" w:color="CCCCCC" w:sz="1"/>
              <w:right w:val="single" w:color="CCCCCC" w:sz="1"/>
            </w:tcBorders>
            <w:shd w:fill="3C3489" w:val="clear"/>
            <w:tcMar>
              <w:top w:type="dxa" w:w="80"/>
              <w:left w:type="dxa" w:w="120"/>
              <w:bottom w:type="dxa" w:w="80"/>
              <w:right w:type="dxa" w:w="120"/>
            </w:tcMar>
          </w:tcPr>
          <w:p>
            <w:r>
              <w:rPr>
                <w:rFonts w:ascii="Arial" w:cs="Arial" w:eastAsia="Arial" w:hAnsi="Arial"/>
                <w:b/>
                <w:bCs/>
                <w:color w:val="FFFFFF"/>
                <w:sz w:val="20"/>
                <w:szCs w:val="20"/>
              </w:rPr>
              <w:t xml:space="preserve">Document Number</w:t>
            </w:r>
          </w:p>
        </w:tc>
        <w:tc>
          <w:tcPr>
            <w:tcW w:type="dxa" w:w="24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3C3489"/>
                <w:sz w:val="20"/>
                <w:szCs w:val="20"/>
              </w:rPr>
              <w:t xml:space="preserve">ODA3-2026-06-RPT-SCS-024</w:t>
            </w:r>
          </w:p>
        </w:tc>
        <w:tc>
          <w:tcPr>
            <w:tcW w:type="dxa" w:w="2400"/>
            <w:tcBorders>
              <w:top w:val="single" w:color="CCCCCC" w:sz="1"/>
              <w:left w:val="single" w:color="CCCCCC" w:sz="1"/>
              <w:bottom w:val="single" w:color="CCCCCC" w:sz="1"/>
              <w:right w:val="single" w:color="CCCCCC" w:sz="1"/>
            </w:tcBorders>
            <w:shd w:fill="EEEDF9" w:val="clear"/>
            <w:tcMar>
              <w:top w:type="dxa" w:w="80"/>
              <w:left w:type="dxa" w:w="120"/>
              <w:bottom w:type="dxa" w:w="80"/>
              <w:right w:type="dxa" w:w="120"/>
            </w:tcMar>
          </w:tcPr>
          <w:p>
            <w:r>
              <w:rPr>
                <w:rFonts w:ascii="Arial" w:cs="Arial" w:eastAsia="Arial" w:hAnsi="Arial"/>
                <w:b/>
                <w:bCs/>
                <w:color w:val="3C3489"/>
                <w:sz w:val="20"/>
                <w:szCs w:val="20"/>
              </w:rPr>
              <w:t xml:space="preserve">Version</w:t>
            </w:r>
          </w:p>
        </w:tc>
        <w:tc>
          <w:tcPr>
            <w:tcW w:type="dxa" w:w="20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3D3D3A"/>
                <w:sz w:val="20"/>
                <w:szCs w:val="20"/>
              </w:rPr>
              <w:t xml:space="preserve">1.0</w:t>
            </w:r>
          </w:p>
        </w:tc>
      </w:tr>
      <w:tr>
        <w:tc>
          <w:tcPr>
            <w:tcW w:type="dxa" w:w="2400"/>
            <w:tcBorders>
              <w:top w:val="single" w:color="CCCCCC" w:sz="1"/>
              <w:left w:val="single" w:color="CCCCCC" w:sz="1"/>
              <w:bottom w:val="single" w:color="CCCCCC" w:sz="1"/>
              <w:right w:val="single" w:color="CCCCCC" w:sz="1"/>
            </w:tcBorders>
            <w:shd w:fill="3C3489" w:val="clear"/>
            <w:tcMar>
              <w:top w:type="dxa" w:w="80"/>
              <w:left w:type="dxa" w:w="120"/>
              <w:bottom w:type="dxa" w:w="80"/>
              <w:right w:type="dxa" w:w="120"/>
            </w:tcMar>
          </w:tcPr>
          <w:p>
            <w:r>
              <w:rPr>
                <w:rFonts w:ascii="Arial" w:cs="Arial" w:eastAsia="Arial" w:hAnsi="Arial"/>
                <w:b/>
                <w:bCs/>
                <w:color w:val="FFFFFF"/>
                <w:sz w:val="20"/>
                <w:szCs w:val="20"/>
              </w:rPr>
              <w:t xml:space="preserve">Sector</w:t>
            </w:r>
          </w:p>
        </w:tc>
        <w:tc>
          <w:tcPr>
            <w:tcW w:type="dxa" w:w="24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D3D3A"/>
                <w:sz w:val="20"/>
                <w:szCs w:val="20"/>
              </w:rPr>
              <w:t xml:space="preserve">Financial Services — Banking, Insurance, Capital Markets, Payments</w:t>
            </w:r>
          </w:p>
        </w:tc>
        <w:tc>
          <w:tcPr>
            <w:tcW w:type="dxa" w:w="2400"/>
            <w:tcBorders>
              <w:top w:val="single" w:color="CCCCCC" w:sz="1"/>
              <w:left w:val="single" w:color="CCCCCC" w:sz="1"/>
              <w:bottom w:val="single" w:color="CCCCCC" w:sz="1"/>
              <w:right w:val="single" w:color="CCCCCC" w:sz="1"/>
            </w:tcBorders>
            <w:shd w:fill="EEEDF9" w:val="clear"/>
            <w:tcMar>
              <w:top w:type="dxa" w:w="80"/>
              <w:left w:type="dxa" w:w="120"/>
              <w:bottom w:type="dxa" w:w="80"/>
              <w:right w:type="dxa" w:w="120"/>
            </w:tcMar>
          </w:tcPr>
          <w:p>
            <w:r>
              <w:rPr>
                <w:rFonts w:ascii="Arial" w:cs="Arial" w:eastAsia="Arial" w:hAnsi="Arial"/>
                <w:b/>
                <w:bCs/>
                <w:color w:val="3C3489"/>
                <w:sz w:val="20"/>
                <w:szCs w:val="20"/>
              </w:rPr>
              <w:t xml:space="preserve">Classification</w:t>
            </w:r>
          </w:p>
        </w:tc>
        <w:tc>
          <w:tcPr>
            <w:tcW w:type="dxa" w:w="20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3D3D3A"/>
                <w:sz w:val="20"/>
                <w:szCs w:val="20"/>
              </w:rPr>
              <w:t xml:space="preserve">Public</w:t>
            </w:r>
          </w:p>
        </w:tc>
      </w:tr>
      <w:tr>
        <w:tc>
          <w:tcPr>
            <w:tcW w:type="dxa" w:w="2400"/>
            <w:tcBorders>
              <w:top w:val="single" w:color="CCCCCC" w:sz="1"/>
              <w:left w:val="single" w:color="CCCCCC" w:sz="1"/>
              <w:bottom w:val="single" w:color="CCCCCC" w:sz="1"/>
              <w:right w:val="single" w:color="CCCCCC" w:sz="1"/>
            </w:tcBorders>
            <w:shd w:fill="3C3489" w:val="clear"/>
            <w:tcMar>
              <w:top w:type="dxa" w:w="80"/>
              <w:left w:type="dxa" w:w="120"/>
              <w:bottom w:type="dxa" w:w="80"/>
              <w:right w:type="dxa" w:w="120"/>
            </w:tcMar>
          </w:tcPr>
          <w:p>
            <w:r>
              <w:rPr>
                <w:rFonts w:ascii="Arial" w:cs="Arial" w:eastAsia="Arial" w:hAnsi="Arial"/>
                <w:b/>
                <w:bCs/>
                <w:color w:val="FFFFFF"/>
                <w:sz w:val="20"/>
                <w:szCs w:val="20"/>
              </w:rPr>
              <w:t xml:space="preserve">Primary regulations</w:t>
            </w:r>
          </w:p>
        </w:tc>
        <w:tc>
          <w:tcPr>
            <w:tcW w:type="dxa" w:w="24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D3D3A"/>
                <w:sz w:val="20"/>
                <w:szCs w:val="20"/>
              </w:rPr>
              <w:t xml:space="preserve">DORA (EU) 2022/2554; RBI AI Governance Guidelines (India); EU AI Act 2024/1689; GDPR; SEBI AI framework</w:t>
            </w:r>
          </w:p>
        </w:tc>
        <w:tc>
          <w:tcPr>
            <w:tcW w:type="dxa" w:w="2400"/>
            <w:tcBorders>
              <w:top w:val="single" w:color="CCCCCC" w:sz="1"/>
              <w:left w:val="single" w:color="CCCCCC" w:sz="1"/>
              <w:bottom w:val="single" w:color="CCCCCC" w:sz="1"/>
              <w:right w:val="single" w:color="CCCCCC" w:sz="1"/>
            </w:tcBorders>
            <w:shd w:fill="EEEDF9" w:val="clear"/>
            <w:tcMar>
              <w:top w:type="dxa" w:w="80"/>
              <w:left w:type="dxa" w:w="120"/>
              <w:bottom w:type="dxa" w:w="80"/>
              <w:right w:type="dxa" w:w="120"/>
            </w:tcMar>
          </w:tcPr>
          <w:p>
            <w:r>
              <w:rPr>
                <w:rFonts w:ascii="Arial" w:cs="Arial" w:eastAsia="Arial" w:hAnsi="Arial"/>
                <w:b/>
                <w:bCs/>
                <w:color w:val="3C3489"/>
                <w:sz w:val="20"/>
                <w:szCs w:val="20"/>
              </w:rPr>
              <w:t xml:space="preserve">Companion documents</w:t>
            </w:r>
          </w:p>
        </w:tc>
        <w:tc>
          <w:tcPr>
            <w:tcW w:type="dxa" w:w="20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3D3D3A"/>
                <w:sz w:val="20"/>
                <w:szCs w:val="20"/>
              </w:rPr>
              <w:t xml:space="preserve">ODA3-2026-06-TCR-HAI-001; ODA3-2026-06-EXB-HAI-002</w:t>
            </w:r>
          </w:p>
        </w:tc>
      </w:tr>
    </w:tbl>
    <w:p>
      <w:pPr>
        <w:spacing w:after="0" w:before="1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60"/>
        <w:gridCol w:w="9000"/>
      </w:tblGrid>
      <w:tr>
        <w:tc>
          <w:tcPr>
            <w:tcW w:type="dxa" w:w="360"/>
            <w:tcBorders>
              <w:top w:val="single" w:color="0F6E56" w:sz="1"/>
              <w:left w:val="single" w:color="0F6E56" w:sz="1"/>
              <w:bottom w:val="single" w:color="0F6E56" w:sz="1"/>
              <w:right w:val="single" w:color="0F6E56" w:sz="1"/>
            </w:tcBorders>
            <w:shd w:fill="0F6E56" w:val="clear"/>
            <w:tcMar>
              <w:top w:type="dxa" w:w="80"/>
              <w:left w:type="dxa" w:w="80"/>
              <w:bottom w:type="dxa" w:w="80"/>
              <w:right w:type="dxa" w:w="80"/>
            </w:tcMar>
            <w:vAlign w:val="center"/>
          </w:tcPr>
          <w:p>
            <w:pPr>
              <w:jc w:val="center"/>
            </w:pPr>
            <w:r>
              <w:rPr>
                <w:rFonts w:ascii="Arial" w:cs="Arial" w:eastAsia="Arial" w:hAnsi="Arial"/>
                <w:b/>
                <w:bCs/>
                <w:color w:val="FFFFFF"/>
                <w:sz w:val="18"/>
                <w:szCs w:val="18"/>
              </w:rPr>
              <w:t xml:space="preserve">PURPOSE</w:t>
            </w:r>
          </w:p>
        </w:tc>
        <w:tc>
          <w:tcPr>
            <w:tcW w:type="dxa" w:w="9000"/>
            <w:tcBorders>
              <w:top w:val="single" w:color="0F6E56" w:sz="1"/>
              <w:left w:val="single" w:color="0F6E56" w:sz="1"/>
              <w:bottom w:val="single" w:color="0F6E56" w:sz="1"/>
              <w:right w:val="single" w:color="0F6E56" w:sz="1"/>
            </w:tcBorders>
            <w:shd w:fill="E8F5EE" w:val="clear"/>
            <w:tcMar>
              <w:top w:type="dxa" w:w="80"/>
              <w:left w:type="dxa" w:w="160"/>
              <w:bottom w:type="dxa" w:w="80"/>
              <w:right w:type="dxa" w:w="120"/>
            </w:tcMar>
          </w:tcPr>
          <w:p>
            <w:pPr>
              <w:jc w:val="both"/>
            </w:pPr>
            <w:r>
              <w:rPr>
                <w:rFonts w:ascii="Arial" w:cs="Arial" w:eastAsia="Arial" w:hAnsi="Arial"/>
                <w:color w:val="3D3D3A"/>
                <w:sz w:val="22"/>
                <w:szCs w:val="22"/>
              </w:rPr>
              <w:t xml:space="preserve">This Sector Application Note translates AI-IRF® v1.0 controls into the language and obligations of financial services regulators. It is a lead-generation and client-enablement document. Prospects and certified organisations use it to understand how AI IRF CERT® certification supports their regulatory compliance. It does not constitute legal or regulatory advice.</w:t>
            </w:r>
          </w:p>
        </w:tc>
      </w:tr>
    </w:tbl>
    <w:tbl>
      <w:tblPr>
        <w:tblW w:w="9360" w:type="dxa"/>
        <w:tblBorders>
          <w:top w:val="single" w:sz="8" w:space="0" w:color="0D8C96"/>
          <w:bottom w:val="single" w:sz="8" w:space="0" w:color="0D8C96"/>
          <w:insideH w:val="none"/>
          <w:insideV w:val="none"/>
        </w:tblBorders>
      </w:tblPr>
      <w:tblGrid>
        <w:gridCol w:w="9360"/>
      </w:tblGrid>
      <w:tr>
        <w:tc>
          <w:tcPr>
            <w:tcW w:w="9360" w:type="dxa"/>
            <w:shd w:val="clear" w:color="auto" w:fill="E6F7F8"/>
            <w:tcMar>
              <w:top w:w="120" w:type="dxa"/>
              <w:bottom w:w="120" w:type="dxa"/>
            </w:tcMar>
          </w:tcPr>
          <w:p>
            <w:pPr>
              <w:spacing w:before="80" w:after="40"/>
              <w:jc w:val="left"/>
            </w:pPr>
            <w:r>
              <w:rPr>
                <w:rFonts w:ascii="Arial" w:hAnsi="Arial"/>
                <w:b/>
                <w:sz w:val="18"/>
                <w:color w:val="0D8C96"/>
              </w:rPr>
              <w:t xml:space="preserve">LICENCE NOTICE — GEL v1.0  |  Public Document</w:t>
            </w:r>
          </w:p>
          <w:p>
            <w:pPr>
              <w:spacing w:before="20" w:after="80"/>
              <w:jc w:val="left"/>
            </w:pPr>
            <w:r>
              <w:rPr>
                <w:rFonts w:ascii="Arial" w:hAnsi="Arial"/>
                <w:sz w:val="18"/>
                <w:color w:val="1A1A1A"/>
              </w:rPr>
              <w:t xml:space="preserve">This document is part of the GAISSF Ecosystem published by ODA3 Institute (ODA3 Pvt Ltd) under the GAISSF Ecosystem Licence (GEL v1.0), effective 1 June 2026. GAISSF®, UAIF®, AI-IRF®, AI IRF CERT®, and ODA3® are registered trademarks of ODA3 Pvt Ltd (GEL §9.1). ODA3 Institute is the sole owner, proprietor, and governing body of the AI-IRF® framework and AI IRF CERT® scheme in perpetuity (GEL §10.5). Commercial Use of this document — including use in consulting, advisory, regulatory submissions prepared for fee, or training delivery — requires a separate written commercial licence from ODA3 Institute (GEL §3.4). AI training data use prohibited without licence (GEL §3.6). Disclaimer: provided “AS IS” without warranties (GEL §12). Governing law: Republic of India; DIAC arbitration, New Delhi seat (GEL §14). All enquiries: https://oda3.org/ — Attribution (GEL §6): AI-IRF® v1.0 Sector Application Note — Financial Services © ODA3 Institute, GEL v1.0.</w:t>
            </w:r>
          </w:p>
        </w:tc>
      </w:tr>
    </w:tbl>
    <w:p>
      <w:pPr>
        <w:pStyle w:val="Heading1"/>
        <w:pBdr>
          <w:bottom w:val="single" w:color="EEEDF9" w:sz="4" w:space="4"/>
        </w:pBdr>
        <w:spacing w:after="160" w:before="360"/>
      </w:pPr>
      <w:r>
        <w:rPr>
          <w:rFonts w:ascii="Arial" w:cs="Arial" w:eastAsia="Arial" w:hAnsi="Arial"/>
          <w:b/>
          <w:bCs/>
          <w:color w:val="3C3489"/>
          <w:sz w:val="28"/>
          <w:szCs w:val="28"/>
        </w:rPr>
        <w:t xml:space="preserve">1. Why AI Governance Certification Matters in Financial Services</w:t>
      </w:r>
    </w:p>
    <w:p>
      <w:pPr>
        <w:spacing w:after="120" w:before="0"/>
        <w:jc w:val="both"/>
      </w:pPr>
      <w:r>
        <w:rPr>
          <w:rFonts w:ascii="Arial" w:cs="Arial" w:eastAsia="Arial" w:hAnsi="Arial"/>
          <w:color w:val="3D3D3A"/>
          <w:sz w:val="24"/>
          <w:szCs w:val="24"/>
        </w:rPr>
        <w:t xml:space="preserve">Financial services organisations are among the most intensive deployers of AI systems globally — credit decisioning, fraud detection, algorithmic trading, insurance underwriting, AML/KYC screening, customer service automation, and regulatory reporting are all increasingly AI-driven. They are also among the most heavily regulated, with AI-specific obligations now embedded in DORA, the EU AI Act, and India's RBI AI governance guidelines. Regulators in all major markets have moved beyond principles to requirements — and requirements need evidence.</w:t>
      </w:r>
    </w:p>
    <w:p>
      <w:pPr>
        <w:spacing w:after="120" w:before="0"/>
        <w:jc w:val="both"/>
      </w:pPr>
      <w:r>
        <w:rPr>
          <w:rFonts w:ascii="Arial" w:cs="Arial" w:eastAsia="Arial" w:hAnsi="Arial"/>
          <w:color w:val="3D3D3A"/>
          <w:sz w:val="24"/>
          <w:szCs w:val="24"/>
        </w:rPr>
        <w:t>AI IRF CERT® certification provides that evidence. A Stage 2 audit against the standard (79 controls across 19 domains, including Option B extensions CSS/FL/MMD/QBS/HAL/PQC) produces a documented, independently verified assessment of an organisation's AI governance controls — precisely the artefact that compliance teams, boards, and regulators are asking for. This note explains how.</w:t>
      </w:r>
    </w:p>
    <w:p>
      <w:pPr>
        <w:pStyle w:val="Heading1"/>
        <w:pBdr>
          <w:bottom w:val="single" w:color="EEEDF9" w:sz="4" w:space="4"/>
        </w:pBdr>
        <w:spacing w:after="160" w:before="360"/>
      </w:pPr>
      <w:r>
        <w:rPr>
          <w:rFonts w:ascii="Arial" w:cs="Arial" w:eastAsia="Arial" w:hAnsi="Arial"/>
          <w:b/>
          <w:bCs/>
          <w:color w:val="3C3489"/>
          <w:sz w:val="28"/>
          <w:szCs w:val="28"/>
        </w:rPr>
        <w:t xml:space="preserve">2. Regulatory Landscape</w:t>
      </w:r>
    </w:p>
    <w:p>
      <w:pPr>
        <w:pStyle w:val="Heading2"/>
        <w:spacing w:after="120" w:before="240"/>
      </w:pPr>
      <w:r>
        <w:rPr>
          <w:rFonts w:ascii="Arial" w:cs="Arial" w:eastAsia="Arial" w:hAnsi="Arial"/>
          <w:b/>
          <w:bCs/>
          <w:color w:val="3D3D3A"/>
          <w:sz w:val="26"/>
          <w:szCs w:val="26"/>
        </w:rPr>
        <w:t xml:space="preserve">2.1 DORA — Digital Operational Resilience Act (EU) 2022/2554</w:t>
      </w:r>
    </w:p>
    <w:p>
      <w:pPr>
        <w:spacing w:after="120" w:before="0"/>
        <w:jc w:val="both"/>
      </w:pPr>
      <w:r>
        <w:rPr>
          <w:rFonts w:ascii="Arial" w:cs="Arial" w:eastAsia="Arial" w:hAnsi="Arial"/>
          <w:color w:val="3D3D3A"/>
          <w:sz w:val="24"/>
          <w:szCs w:val="24"/>
        </w:rPr>
        <w:t xml:space="preserve">DORA applies to all financial entities operating in the EU — banks, investment firms, insurance companies, payment institutions, crypto asset service providers, and their critical ICT third-party service providers. It came into full effect on 17 January 2025. DORA's ICT risk management requirements (Articles 5–16) and the requirements for ICT third-party risk (Articles 28–44) are directly relevant to AI systems, which are ICT assets under DORA's definition.</w:t>
      </w:r>
    </w:p>
    <w:p>
      <w:pPr>
        <w:pStyle w:val="ListParagraph"/>
        <w:numPr>
          <w:ilvl w:val="0"/>
          <w:numId w:val="2"/>
        </w:numPr>
        <w:spacing w:after="80" w:before="0"/>
      </w:pPr>
      <w:r>
        <w:rPr>
          <w:rFonts w:ascii="Arial" w:cs="Arial" w:eastAsia="Arial" w:hAnsi="Arial"/>
          <w:color w:val="3D3D3A"/>
          <w:sz w:val="24"/>
          <w:szCs w:val="24"/>
        </w:rPr>
        <w:t xml:space="preserve">Article 6 — ICT risk management framework: requires a documented, tested framework for identifying, classifying, and managing ICT risks including AI system risks.</w:t>
      </w:r>
    </w:p>
    <w:p>
      <w:pPr>
        <w:pStyle w:val="ListParagraph"/>
        <w:numPr>
          <w:ilvl w:val="0"/>
          <w:numId w:val="2"/>
        </w:numPr>
        <w:spacing w:after="80" w:before="0"/>
      </w:pPr>
      <w:r>
        <w:rPr>
          <w:rFonts w:ascii="Arial" w:cs="Arial" w:eastAsia="Arial" w:hAnsi="Arial"/>
          <w:color w:val="3D3D3A"/>
          <w:sz w:val="24"/>
          <w:szCs w:val="24"/>
        </w:rPr>
        <w:t xml:space="preserve">Article 8 — Identification: requires identification and classification of all ICT assets, functions, and dependencies — AI systems must be inventoried.</w:t>
      </w:r>
    </w:p>
    <w:p>
      <w:pPr>
        <w:pStyle w:val="ListParagraph"/>
        <w:numPr>
          <w:ilvl w:val="0"/>
          <w:numId w:val="2"/>
        </w:numPr>
        <w:spacing w:after="80" w:before="0"/>
      </w:pPr>
      <w:r>
        <w:rPr>
          <w:rFonts w:ascii="Arial" w:cs="Arial" w:eastAsia="Arial" w:hAnsi="Arial"/>
          <w:color w:val="3D3D3A"/>
          <w:sz w:val="24"/>
          <w:szCs w:val="24"/>
        </w:rPr>
        <w:t xml:space="preserve">Article 9 — Protection and prevention: requires controls to protect ICT systems including AI models from failure, manipulation, and adversarial attack.</w:t>
      </w:r>
    </w:p>
    <w:p>
      <w:pPr>
        <w:pStyle w:val="ListParagraph"/>
        <w:numPr>
          <w:ilvl w:val="0"/>
          <w:numId w:val="2"/>
        </w:numPr>
        <w:spacing w:after="80" w:before="0"/>
      </w:pPr>
      <w:r>
        <w:rPr>
          <w:rFonts w:ascii="Arial" w:cs="Arial" w:eastAsia="Arial" w:hAnsi="Arial"/>
          <w:color w:val="3D3D3A"/>
          <w:sz w:val="24"/>
          <w:szCs w:val="24"/>
        </w:rPr>
        <w:t xml:space="preserve">Article 10 — Detection: requires monitoring and detection capabilities for anomalies and incidents in ICT systems including AI-driven processes.</w:t>
      </w:r>
    </w:p>
    <w:p>
      <w:pPr>
        <w:pStyle w:val="ListParagraph"/>
        <w:numPr>
          <w:ilvl w:val="0"/>
          <w:numId w:val="2"/>
        </w:numPr>
        <w:spacing w:after="80" w:before="0"/>
      </w:pPr>
      <w:r>
        <w:rPr>
          <w:rFonts w:ascii="Arial" w:cs="Arial" w:eastAsia="Arial" w:hAnsi="Arial"/>
          <w:color w:val="3D3D3A"/>
          <w:sz w:val="24"/>
          <w:szCs w:val="24"/>
        </w:rPr>
        <w:t xml:space="preserve">Article 11 — Response and recovery: requires tested business continuity and recovery plans for ICT failures — AI system outages are in scope.</w:t>
      </w:r>
    </w:p>
    <w:p>
      <w:pPr>
        <w:pStyle w:val="ListParagraph"/>
        <w:numPr>
          <w:ilvl w:val="0"/>
          <w:numId w:val="2"/>
        </w:numPr>
        <w:spacing w:after="80" w:before="0"/>
      </w:pPr>
      <w:r>
        <w:rPr>
          <w:rFonts w:ascii="Arial" w:cs="Arial" w:eastAsia="Arial" w:hAnsi="Arial"/>
          <w:color w:val="3D3D3A"/>
          <w:sz w:val="24"/>
          <w:szCs w:val="24"/>
        </w:rPr>
        <w:t xml:space="preserve">Article 16 — Simplified ICT risk management: lighter regime for smaller entities — but AI system governance obligations still apply.</w:t>
      </w:r>
    </w:p>
    <w:p>
      <w:pPr>
        <w:pStyle w:val="ListParagraph"/>
        <w:numPr>
          <w:ilvl w:val="0"/>
          <w:numId w:val="2"/>
        </w:numPr>
        <w:spacing w:after="80" w:before="0"/>
      </w:pPr>
      <w:r>
        <w:rPr>
          <w:rFonts w:ascii="Arial" w:cs="Arial" w:eastAsia="Arial" w:hAnsi="Arial"/>
          <w:color w:val="3D3D3A"/>
          <w:sz w:val="24"/>
          <w:szCs w:val="24"/>
        </w:rPr>
        <w:t xml:space="preserve">Article 28 — General principles on ICT third-party risk: where AI models or platforms are sourced from third parties, DORA requires documented risk assessment, contractual safeguards, and ongoing monitoring.</w:t>
      </w:r>
    </w:p>
    <w:p>
      <w:pPr>
        <w:spacing w:after="0" w:before="80"/>
      </w:pPr>
      <w:r>
        <w:t xml:space="preserve"/>
      </w:r>
    </w:p>
    <w:p>
      <w:pPr>
        <w:pStyle w:val="Heading2"/>
        <w:spacing w:after="120" w:before="240"/>
      </w:pPr>
      <w:r>
        <w:rPr>
          <w:rFonts w:ascii="Arial" w:cs="Arial" w:eastAsia="Arial" w:hAnsi="Arial"/>
          <w:b/>
          <w:bCs/>
          <w:color w:val="3D3D3A"/>
          <w:sz w:val="26"/>
          <w:szCs w:val="26"/>
        </w:rPr>
        <w:t xml:space="preserve">2.2 RBI Guidance on AI Governance (India)</w:t>
      </w:r>
    </w:p>
    <w:p>
      <w:pPr>
        <w:spacing w:after="120" w:before="0"/>
        <w:jc w:val="both"/>
      </w:pPr>
      <w:r>
        <w:rPr>
          <w:rFonts w:ascii="Arial" w:cs="Arial" w:eastAsia="Arial" w:hAnsi="Arial"/>
          <w:color w:val="3D3D3A"/>
          <w:sz w:val="24"/>
          <w:szCs w:val="24"/>
        </w:rPr>
        <w:t xml:space="preserve">The Reserve Bank of India issued its guidance on responsible and ethical AI use in regulated entities in 2024, applicable to all RBI-regulated entities (banks, NBFCs, payment system operators, credit information companies). The guidance establishes expectations across five pillars: accountability and governance, fairness and non-discrimination, transparency and explainability, data management, and risk management and security.</w:t>
      </w:r>
    </w:p>
    <w:p>
      <w:pPr>
        <w:pStyle w:val="ListParagraph"/>
        <w:numPr>
          <w:ilvl w:val="0"/>
          <w:numId w:val="2"/>
        </w:numPr>
        <w:spacing w:after="80" w:before="0"/>
      </w:pPr>
      <w:r>
        <w:rPr>
          <w:rFonts w:ascii="Arial" w:cs="Arial" w:eastAsia="Arial" w:hAnsi="Arial"/>
          <w:color w:val="3D3D3A"/>
          <w:sz w:val="24"/>
          <w:szCs w:val="24"/>
        </w:rPr>
        <w:t xml:space="preserve">Pillar 1 — Accountability and governance: board-level AI governance policy; defined roles and responsibilities; senior management accountability for AI decisions.</w:t>
      </w:r>
    </w:p>
    <w:p>
      <w:pPr>
        <w:pStyle w:val="ListParagraph"/>
        <w:numPr>
          <w:ilvl w:val="0"/>
          <w:numId w:val="2"/>
        </w:numPr>
        <w:spacing w:after="80" w:before="0"/>
      </w:pPr>
      <w:r>
        <w:rPr>
          <w:rFonts w:ascii="Arial" w:cs="Arial" w:eastAsia="Arial" w:hAnsi="Arial"/>
          <w:color w:val="3D3D3A"/>
          <w:sz w:val="24"/>
          <w:szCs w:val="24"/>
        </w:rPr>
        <w:t xml:space="preserve">Pillar 2 — Fairness and non-discrimination: bias testing of AI models; monitoring of AI outputs for discriminatory patterns; explainability requirements for credit decisions under FEMA/consumer protection rules.</w:t>
      </w:r>
    </w:p>
    <w:p>
      <w:pPr>
        <w:pStyle w:val="ListParagraph"/>
        <w:numPr>
          <w:ilvl w:val="0"/>
          <w:numId w:val="2"/>
        </w:numPr>
        <w:spacing w:after="80" w:before="0"/>
      </w:pPr>
      <w:r>
        <w:rPr>
          <w:rFonts w:ascii="Arial" w:cs="Arial" w:eastAsia="Arial" w:hAnsi="Arial"/>
          <w:color w:val="3D3D3A"/>
          <w:sz w:val="24"/>
          <w:szCs w:val="24"/>
        </w:rPr>
        <w:t xml:space="preserve">Pillar 3 — Transparency and explainability: customer-facing disclosure of AI use in decisions; model explainability sufficient for regulatory examination.</w:t>
      </w:r>
    </w:p>
    <w:p>
      <w:pPr>
        <w:pStyle w:val="ListParagraph"/>
        <w:numPr>
          <w:ilvl w:val="0"/>
          <w:numId w:val="2"/>
        </w:numPr>
        <w:spacing w:after="80" w:before="0"/>
      </w:pPr>
      <w:r>
        <w:rPr>
          <w:rFonts w:ascii="Arial" w:cs="Arial" w:eastAsia="Arial" w:hAnsi="Arial"/>
          <w:color w:val="3D3D3A"/>
          <w:sz w:val="24"/>
          <w:szCs w:val="24"/>
        </w:rPr>
        <w:t xml:space="preserve">Pillar 4 — Data management: training data quality; data lineage documentation; data minimisation; retention compliance.</w:t>
      </w:r>
    </w:p>
    <w:p>
      <w:pPr>
        <w:pStyle w:val="ListParagraph"/>
        <w:numPr>
          <w:ilvl w:val="0"/>
          <w:numId w:val="2"/>
        </w:numPr>
        <w:spacing w:after="80" w:before="0"/>
      </w:pPr>
      <w:r>
        <w:rPr>
          <w:rFonts w:ascii="Arial" w:cs="Arial" w:eastAsia="Arial" w:hAnsi="Arial"/>
          <w:color w:val="3D3D3A"/>
          <w:sz w:val="24"/>
          <w:szCs w:val="24"/>
        </w:rPr>
        <w:t xml:space="preserve">Pillar 5 — Risk management and security: AI model risk management framework; adversarial testing; operational resilience of AI systems.</w:t>
      </w:r>
    </w:p>
    <w:p>
      <w:pPr>
        <w:spacing w:after="0" w:before="80"/>
      </w:pPr>
      <w:r>
        <w:t xml:space="preserve"/>
      </w:r>
    </w:p>
    <w:p>
      <w:pPr>
        <w:pStyle w:val="Heading2"/>
        <w:spacing w:after="120" w:before="240"/>
      </w:pPr>
      <w:r>
        <w:rPr>
          <w:rFonts w:ascii="Arial" w:cs="Arial" w:eastAsia="Arial" w:hAnsi="Arial"/>
          <w:b/>
          <w:bCs/>
          <w:color w:val="3D3D3A"/>
          <w:sz w:val="26"/>
          <w:szCs w:val="26"/>
        </w:rPr>
        <w:t xml:space="preserve">2.3 EU AI Act — High-Risk AI Systems in Financial Services</w:t>
      </w:r>
    </w:p>
    <w:p>
      <w:pPr>
        <w:spacing w:after="120" w:before="0"/>
        <w:jc w:val="both"/>
      </w:pPr>
      <w:r>
        <w:rPr>
          <w:rFonts w:ascii="Arial" w:cs="Arial" w:eastAsia="Arial" w:hAnsi="Arial"/>
          <w:color w:val="3D3D3A"/>
          <w:sz w:val="24"/>
          <w:szCs w:val="24"/>
        </w:rPr>
        <w:t xml:space="preserve">The EU AI Act (Regulation 2024/1689) classifies AI systems used for creditworthiness assessment, insurance risk and pricing, employment decisions, and certain biometric identification as high-risk (Annex III). High-risk AI systems must comply with Article 9 (risk management system), Article 10 (data and data governance), Article 11 (technical documentation), Article 12 (record-keeping), Article 13 (transparency), Article 14 (human oversight), and Article 15 (accuracy, robustness, cybersecurity) before market placement or putting into service.</w:t>
      </w:r>
    </w:p>
    <w:p>
      <w:pPr>
        <w:spacing w:after="120" w:before="0"/>
        <w:jc w:val="both"/>
      </w:pPr>
      <w:r>
        <w:rPr>
          <w:rFonts w:ascii="Arial" w:cs="Arial" w:eastAsia="Arial" w:hAnsi="Arial"/>
          <w:color w:val="3D3D3A"/>
          <w:sz w:val="24"/>
          <w:szCs w:val="24"/>
        </w:rPr>
        <w:t xml:space="preserve">Financial services AI systems in scope include: retail credit scoring, mortgage affordability assessments, insurance premium pricing models, AML/KYC screening systems, and employee performance evaluation AI. The conformity assessment pathway for most of these is self-assessment under Article 43(2) — but the assessment must be documented and the documentation must be available to regulators on request.</w:t>
      </w:r>
    </w:p>
    <w:p>
      <w:pPr>
        <w:spacing w:after="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60"/>
        <w:gridCol w:w="9000"/>
      </w:tblGrid>
      <w:tr>
        <w:tc>
          <w:tcPr>
            <w:tcW w:type="dxa" w:w="360"/>
            <w:tcBorders>
              <w:top w:val="single" w:color="D4A017" w:sz="1"/>
              <w:left w:val="single" w:color="D4A017" w:sz="1"/>
              <w:bottom w:val="single" w:color="D4A017" w:sz="1"/>
              <w:right w:val="single" w:color="D4A017" w:sz="1"/>
            </w:tcBorders>
            <w:shd w:fill="D4A017" w:val="clear"/>
            <w:tcMar>
              <w:top w:type="dxa" w:w="80"/>
              <w:left w:type="dxa" w:w="80"/>
              <w:bottom w:type="dxa" w:w="80"/>
              <w:right w:type="dxa" w:w="80"/>
            </w:tcMar>
            <w:vAlign w:val="center"/>
          </w:tcPr>
          <w:p>
            <w:pPr>
              <w:jc w:val="center"/>
            </w:pPr>
            <w:r>
              <w:rPr>
                <w:rFonts w:ascii="Arial" w:cs="Arial" w:eastAsia="Arial" w:hAnsi="Arial"/>
                <w:b/>
                <w:bCs/>
                <w:color w:val="FFFFFF"/>
                <w:sz w:val="18"/>
                <w:szCs w:val="18"/>
              </w:rPr>
              <w:t xml:space="preserve">SEBI</w:t>
            </w:r>
          </w:p>
        </w:tc>
        <w:tc>
          <w:tcPr>
            <w:tcW w:type="dxa" w:w="9000"/>
            <w:tcBorders>
              <w:top w:val="single" w:color="D4A017" w:sz="1"/>
              <w:left w:val="single" w:color="D4A017" w:sz="1"/>
              <w:bottom w:val="single" w:color="D4A017" w:sz="1"/>
              <w:right w:val="single" w:color="D4A017" w:sz="1"/>
            </w:tcBorders>
            <w:shd w:fill="FFF8E7" w:val="clear"/>
            <w:tcMar>
              <w:top w:type="dxa" w:w="80"/>
              <w:left w:type="dxa" w:w="160"/>
              <w:bottom w:type="dxa" w:w="80"/>
              <w:right w:type="dxa" w:w="120"/>
            </w:tcMar>
          </w:tcPr>
          <w:p>
            <w:pPr>
              <w:jc w:val="both"/>
            </w:pPr>
            <w:r>
              <w:rPr>
                <w:rFonts w:ascii="Arial" w:cs="Arial" w:eastAsia="Arial" w:hAnsi="Arial"/>
                <w:color w:val="3D3D3A"/>
                <w:sz w:val="22"/>
                <w:szCs w:val="22"/>
              </w:rPr>
              <w:t xml:space="preserve">SEBI's consultation on AI/ML in capital markets (2024) signals forthcoming obligations for exchanges, brokers, and asset managers using algorithmic trading and AI-driven advisory systems. AI-IRF® v1.0 is structurally aligned with the emerging SEBI framework — organisations certifying now will be ahead of mandatory requirements.</w:t>
            </w:r>
          </w:p>
        </w:tc>
      </w:tr>
    </w:tbl>
    <w:p>
      <w:pPr>
        <w:pStyle w:val="Heading1"/>
        <w:pBdr>
          <w:bottom w:val="single" w:color="EEEDF9" w:sz="4" w:space="4"/>
        </w:pBdr>
        <w:spacing w:after="160" w:before="360"/>
      </w:pPr>
      <w:r>
        <w:rPr>
          <w:rFonts w:ascii="Arial" w:cs="Arial" w:eastAsia="Arial" w:hAnsi="Arial"/>
          <w:b/>
          <w:bCs/>
          <w:color w:val="3C3489"/>
          <w:sz w:val="28"/>
          <w:szCs w:val="28"/>
        </w:rPr>
        <w:t xml:space="preserve">3. AI-IRF® v1.0 Control Mapping — Financial Services
Note: The following mapping covers the 13 original AI-IRF® v1.0 domains. The 6 normative extension domains (CSS-1–7, FL-1–4, MMD-1–3, QBS-1–3, HAL-1–3, PQC-1) from ODA3-ECO-011/013/014/015 are additionally applicable in sectors handling synthetic media, federated model training, AI-generated content, or quantum-sensitive data.</w:t>
      </w:r>
    </w:p>
    <w:p>
      <w:pPr>
        <w:spacing w:after="120" w:before="0"/>
        <w:jc w:val="both"/>
      </w:pPr>
      <w:r>
        <w:rPr>
          <w:rFonts w:ascii="Arial" w:cs="Arial" w:eastAsia="Arial" w:hAnsi="Arial"/>
          <w:color w:val="3D3D3A"/>
          <w:sz w:val="24"/>
          <w:szCs w:val="24"/>
        </w:rPr>
        <w:t xml:space="preserve">The following table maps AI-IRF® v1.0 control domains to specific regulatory obligations in DORA, the RBI guidelines, and the EU AI Act. This mapping enables compliance teams to use AI IRF CERT® certification as documentary evidence across multiple regulatory frameworks simultaneously.</w:t>
      </w:r>
    </w:p>
    <w:p>
      <w:pPr>
        <w:spacing w:after="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3480"/>
        <w:gridCol w:w="3480"/>
      </w:tblGrid>
      <w:tr>
        <w:tc>
          <w:tcPr>
            <w:tcW w:type="dxa" w:w="2400"/>
            <w:tcBorders>
              <w:top w:val="single" w:color="CCCCCC" w:sz="1"/>
              <w:left w:val="single" w:color="CCCCCC" w:sz="1"/>
              <w:bottom w:val="single" w:color="CCCCCC" w:sz="1"/>
              <w:right w:val="single" w:color="CCCCCC" w:sz="1"/>
            </w:tcBorders>
            <w:shd w:fill="3C3489" w:val="clear"/>
            <w:tcMar>
              <w:top w:type="dxa" w:w="80"/>
              <w:left w:type="dxa" w:w="120"/>
              <w:bottom w:type="dxa" w:w="80"/>
              <w:right w:type="dxa" w:w="120"/>
            </w:tcMar>
          </w:tcPr>
          <w:p>
            <w:r>
              <w:rPr>
                <w:rFonts w:ascii="Arial" w:cs="Arial" w:eastAsia="Arial" w:hAnsi="Arial"/>
                <w:b/>
                <w:bCs/>
                <w:color w:val="FFFFFF"/>
                <w:sz w:val="21"/>
                <w:szCs w:val="21"/>
              </w:rPr>
              <w:t xml:space="preserve">AI-IRF® v1.0 Domain</w:t>
            </w:r>
          </w:p>
        </w:tc>
        <w:tc>
          <w:tcPr>
            <w:tcW w:type="dxa" w:w="3480"/>
            <w:tcBorders>
              <w:top w:val="single" w:color="CCCCCC" w:sz="1"/>
              <w:left w:val="single" w:color="CCCCCC" w:sz="1"/>
              <w:bottom w:val="single" w:color="CCCCCC" w:sz="1"/>
              <w:right w:val="single" w:color="CCCCCC" w:sz="1"/>
            </w:tcBorders>
            <w:shd w:fill="3C3489" w:val="clear"/>
            <w:tcMar>
              <w:top w:type="dxa" w:w="80"/>
              <w:left w:type="dxa" w:w="120"/>
              <w:bottom w:type="dxa" w:w="80"/>
              <w:right w:type="dxa" w:w="120"/>
            </w:tcMar>
          </w:tcPr>
          <w:p>
            <w:r>
              <w:rPr>
                <w:rFonts w:ascii="Arial" w:cs="Arial" w:eastAsia="Arial" w:hAnsi="Arial"/>
                <w:b/>
                <w:bCs/>
                <w:color w:val="FFFFFF"/>
                <w:sz w:val="21"/>
                <w:szCs w:val="21"/>
              </w:rPr>
              <w:t xml:space="preserve">Regulatory obligation(s)</w:t>
            </w:r>
          </w:p>
        </w:tc>
        <w:tc>
          <w:tcPr>
            <w:tcW w:type="dxa" w:w="3480"/>
            <w:tcBorders>
              <w:top w:val="single" w:color="CCCCCC" w:sz="1"/>
              <w:left w:val="single" w:color="CCCCCC" w:sz="1"/>
              <w:bottom w:val="single" w:color="CCCCCC" w:sz="1"/>
              <w:right w:val="single" w:color="CCCCCC" w:sz="1"/>
            </w:tcBorders>
            <w:shd w:fill="3C3489" w:val="clear"/>
            <w:tcMar>
              <w:top w:type="dxa" w:w="80"/>
              <w:left w:type="dxa" w:w="120"/>
              <w:bottom w:type="dxa" w:w="80"/>
              <w:right w:type="dxa" w:w="120"/>
            </w:tcMar>
          </w:tcPr>
          <w:p>
            <w:r>
              <w:rPr>
                <w:rFonts w:ascii="Arial" w:cs="Arial" w:eastAsia="Arial" w:hAnsi="Arial"/>
                <w:b/>
                <w:bCs/>
                <w:color w:val="FFFFFF"/>
                <w:sz w:val="21"/>
                <w:szCs w:val="21"/>
              </w:rPr>
              <w:t xml:space="preserve">How AI IRF CERT® certification supports compliance</w:t>
            </w:r>
          </w:p>
        </w:tc>
      </w:tr>
      <w:tr>
        <w:tc>
          <w:tcPr>
            <w:tcW w:type="dxa" w:w="2400"/>
            <w:tcBorders>
              <w:top w:val="single" w:color="CCCCCC" w:sz="1"/>
              <w:left w:val="single" w:color="CCCCCC" w:sz="1"/>
              <w:bottom w:val="single" w:color="CCCCCC" w:sz="1"/>
              <w:right w:val="single" w:color="CCCCCC" w:sz="1"/>
            </w:tcBorders>
            <w:shd w:fill="EEEDF9" w:val="clear"/>
            <w:tcMar>
              <w:top w:type="dxa" w:w="80"/>
              <w:left w:type="dxa" w:w="120"/>
              <w:bottom w:type="dxa" w:w="80"/>
              <w:right w:type="dxa" w:w="120"/>
            </w:tcMar>
          </w:tcPr>
          <w:p>
            <w:r>
              <w:rPr>
                <w:rFonts w:ascii="Arial" w:cs="Arial" w:eastAsia="Arial" w:hAnsi="Arial"/>
                <w:b w:val="false"/>
                <w:bCs w:val="false"/>
                <w:color w:val="3C3489"/>
                <w:sz w:val="21"/>
                <w:szCs w:val="21"/>
              </w:rPr>
              <w:t xml:space="preserve">Model Lifecycle Security &amp; Severity (MLC-1–5, APA-3, SEV-CLS/RPT)</w:t>
            </w:r>
          </w:p>
        </w:tc>
        <w:tc>
          <w:tcPr>
            <w:tcW w:type="dxa" w:w="34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D3D3A"/>
                <w:sz w:val="21"/>
                <w:szCs w:val="21"/>
              </w:rPr>
              <w:t xml:space="preserve">DORA Art. 9 (protection/prevention); EU AI Act Art. 9 (risk management system); Art. 15 (accuracy, robustness, cybersecurity); RBI Pillar 5 (model risk management)</w:t>
            </w:r>
          </w:p>
        </w:tc>
        <w:tc>
          <w:tcPr>
            <w:tcW w:type="dxa" w:w="34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D3D3A"/>
                <w:sz w:val="21"/>
                <w:szCs w:val="21"/>
              </w:rPr>
              <w:t xml:space="preserve">Stage 2 audit verifies that model testing, validation, and performance monitoring controls are implemented — provides documented evidence for DORA ICT risk management framework and EU AI Act conformity assessment</w:t>
            </w:r>
          </w:p>
        </w:tc>
      </w:tr>
      <w:tr>
        <w:tc>
          <w:tcPr>
            <w:tcW w:type="dxa" w:w="2400"/>
            <w:tcBorders>
              <w:top w:val="single" w:color="CCCCCC" w:sz="1"/>
              <w:left w:val="single" w:color="CCCCCC" w:sz="1"/>
              <w:bottom w:val="single" w:color="CCCCCC" w:sz="1"/>
              <w:right w:val="single" w:color="CCCCCC" w:sz="1"/>
            </w:tcBorders>
            <w:shd w:fill="EEEDF9" w:val="clear"/>
            <w:tcMar>
              <w:top w:type="dxa" w:w="80"/>
              <w:left w:type="dxa" w:w="120"/>
              <w:bottom w:type="dxa" w:w="80"/>
              <w:right w:type="dxa" w:w="120"/>
            </w:tcMar>
          </w:tcPr>
          <w:p>
            <w:r>
              <w:rPr>
                <w:rFonts w:ascii="Arial" w:cs="Arial" w:eastAsia="Arial" w:hAnsi="Arial"/>
                <w:b w:val="false"/>
                <w:bCs w:val="false"/>
                <w:color w:val="3C3489"/>
                <w:sz w:val="21"/>
                <w:szCs w:val="21"/>
              </w:rPr>
              <w:t xml:space="preserve">AI Supply Chain &amp; BOM (BOM-1–5, REG-4)</w:t>
            </w:r>
          </w:p>
        </w:tc>
        <w:tc>
          <w:tcPr>
            <w:tcW w:type="dxa" w:w="34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D3D3A"/>
                <w:sz w:val="21"/>
                <w:szCs w:val="21"/>
              </w:rPr>
              <w:t xml:space="preserve">EU AI Act Art. 10 (data governance); DORA Art. 8 (identification/classification); RBI Pillar 4 (data management); GDPR Art. 5 (data minimisation, accuracy)</w:t>
            </w:r>
          </w:p>
        </w:tc>
        <w:tc>
          <w:tcPr>
            <w:tcW w:type="dxa" w:w="34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D3D3A"/>
                <w:sz w:val="21"/>
                <w:szCs w:val="21"/>
              </w:rPr>
              <w:t xml:space="preserve">Audit evidence covers training data quality, bias assessment, lineage, and retention — directly addresses EU AI Act Art. 10 data governance documentation requirements and RBI data management pillar</w:t>
            </w:r>
          </w:p>
        </w:tc>
      </w:tr>
      <w:tr>
        <w:tc>
          <w:tcPr>
            <w:tcW w:type="dxa" w:w="2400"/>
            <w:tcBorders>
              <w:top w:val="single" w:color="CCCCCC" w:sz="1"/>
              <w:left w:val="single" w:color="CCCCCC" w:sz="1"/>
              <w:bottom w:val="single" w:color="CCCCCC" w:sz="1"/>
              <w:right w:val="single" w:color="CCCCCC" w:sz="1"/>
            </w:tcBorders>
            <w:shd w:fill="EEEDF9" w:val="clear"/>
            <w:tcMar>
              <w:top w:type="dxa" w:w="80"/>
              <w:left w:type="dxa" w:w="120"/>
              <w:bottom w:type="dxa" w:w="80"/>
              <w:right w:type="dxa" w:w="120"/>
            </w:tcMar>
          </w:tcPr>
          <w:p>
            <w:r>
              <w:rPr>
                <w:rFonts w:ascii="Arial" w:cs="Arial" w:eastAsia="Arial" w:hAnsi="Arial"/>
                <w:b w:val="false"/>
                <w:bCs w:val="false"/>
                <w:color w:val="3C3489"/>
                <w:sz w:val="21"/>
                <w:szCs w:val="21"/>
              </w:rPr>
              <w:t xml:space="preserve">Regulatory Compliance &amp; Transparency (REG-1–4)</w:t>
            </w:r>
          </w:p>
        </w:tc>
        <w:tc>
          <w:tcPr>
            <w:tcW w:type="dxa" w:w="34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D3D3A"/>
                <w:sz w:val="21"/>
                <w:szCs w:val="21"/>
              </w:rPr>
              <w:t xml:space="preserve">EU AI Act Art. 13 (transparency); RBI Pillar 3 (transparency/explainability); RBI credit decision disclosure obligations</w:t>
            </w:r>
          </w:p>
        </w:tc>
        <w:tc>
          <w:tcPr>
            <w:tcW w:type="dxa" w:w="34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D3D3A"/>
                <w:sz w:val="21"/>
                <w:szCs w:val="21"/>
              </w:rPr>
              <w:t xml:space="preserve">Certification demonstrates that AI systems meet explainability requirements by risk tier — supports regulatory examination and customer-facing disclosure obligations for credit, insurance, and advisory AI</w:t>
            </w:r>
          </w:p>
        </w:tc>
      </w:tr>
      <w:tr>
        <w:tc>
          <w:tcPr>
            <w:tcW w:type="dxa" w:w="2400"/>
            <w:tcBorders>
              <w:top w:val="single" w:color="CCCCCC" w:sz="1"/>
              <w:left w:val="single" w:color="CCCCCC" w:sz="1"/>
              <w:bottom w:val="single" w:color="CCCCCC" w:sz="1"/>
              <w:right w:val="single" w:color="CCCCCC" w:sz="1"/>
            </w:tcBorders>
            <w:shd w:fill="EEEDF9" w:val="clear"/>
            <w:tcMar>
              <w:top w:type="dxa" w:w="80"/>
              <w:left w:type="dxa" w:w="120"/>
              <w:bottom w:type="dxa" w:w="80"/>
              <w:right w:type="dxa" w:w="120"/>
            </w:tcMar>
          </w:tcPr>
          <w:p>
            <w:r>
              <w:rPr>
                <w:rFonts w:ascii="Arial" w:cs="Arial" w:eastAsia="Arial" w:hAnsi="Arial"/>
                <w:b w:val="false"/>
                <w:bCs w:val="false"/>
                <w:color w:val="3C3489"/>
                <w:sz w:val="21"/>
                <w:szCs w:val="21"/>
              </w:rPr>
              <w:t xml:space="preserve">Agentic Permissions (APA-1–5, REL-2–3)</w:t>
            </w:r>
          </w:p>
        </w:tc>
        <w:tc>
          <w:tcPr>
            <w:tcW w:type="dxa" w:w="34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D3D3A"/>
                <w:sz w:val="21"/>
                <w:szCs w:val="21"/>
              </w:rPr>
              <w:t xml:space="preserve">EU AI Act Art. 14 (human oversight); DORA Art. 10 (detection); RBI Pillar 1 (accountability — escalation obligations)</w:t>
            </w:r>
          </w:p>
        </w:tc>
        <w:tc>
          <w:tcPr>
            <w:tcW w:type="dxa" w:w="34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D3D3A"/>
                <w:sz w:val="21"/>
                <w:szCs w:val="21"/>
              </w:rPr>
              <w:t xml:space="preserve">Audit verifies human-in-the-loop mechanisms, override capabilities, and escalation procedures — evidences EU AI Act Art. 14 compliance and DORA detection/response requirements for AI-driven processes</w:t>
            </w:r>
          </w:p>
        </w:tc>
      </w:tr>
      <w:tr>
        <w:tc>
          <w:tcPr>
            <w:tcW w:type="dxa" w:w="2400"/>
            <w:tcBorders>
              <w:top w:val="single" w:color="CCCCCC" w:sz="1"/>
              <w:left w:val="single" w:color="CCCCCC" w:sz="1"/>
              <w:bottom w:val="single" w:color="CCCCCC" w:sz="1"/>
              <w:right w:val="single" w:color="CCCCCC" w:sz="1"/>
            </w:tcBorders>
            <w:shd w:fill="EEEDF9" w:val="clear"/>
            <w:tcMar>
              <w:top w:type="dxa" w:w="80"/>
              <w:left w:type="dxa" w:w="120"/>
              <w:bottom w:type="dxa" w:w="80"/>
              <w:right w:type="dxa" w:w="120"/>
            </w:tcMar>
          </w:tcPr>
          <w:p>
            <w:r>
              <w:rPr>
                <w:rFonts w:ascii="Arial" w:cs="Arial" w:eastAsia="Arial" w:hAnsi="Arial"/>
                <w:b w:val="false"/>
                <w:bCs w:val="false"/>
                <w:color w:val="3C3489"/>
                <w:sz w:val="21"/>
                <w:szCs w:val="21"/>
              </w:rPr>
              <w:t xml:space="preserve">Regulatory Compliance &amp; Severity (REG-1–4, SEV-CLS/RPT)</w:t>
            </w:r>
          </w:p>
        </w:tc>
        <w:tc>
          <w:tcPr>
            <w:tcW w:type="dxa" w:w="34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D3D3A"/>
                <w:sz w:val="21"/>
                <w:szCs w:val="21"/>
              </w:rPr>
              <w:t xml:space="preserve">DORA Art. 5 (governance arrangements); DORA Art. 6 (ICT risk management framework); RBI Pillar 1 (board-level AI governance); EU AI Act Art. 9 (risk management)</w:t>
            </w:r>
          </w:p>
        </w:tc>
        <w:tc>
          <w:tcPr>
            <w:tcW w:type="dxa" w:w="34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D3D3A"/>
                <w:sz w:val="21"/>
                <w:szCs w:val="21"/>
              </w:rPr>
              <w:t xml:space="preserve">Board-level AI governance policy, defined roles, and incident response procedures are verified — maps directly to DORA Art. 5/6 management body responsibilities and RBI board accountability expectations</w:t>
            </w:r>
          </w:p>
        </w:tc>
      </w:tr>
      <w:tr>
        <w:tc>
          <w:tcPr>
            <w:tcW w:type="dxa" w:w="2400"/>
            <w:tcBorders>
              <w:top w:val="single" w:color="CCCCCC" w:sz="1"/>
              <w:left w:val="single" w:color="CCCCCC" w:sz="1"/>
              <w:bottom w:val="single" w:color="CCCCCC" w:sz="1"/>
              <w:right w:val="single" w:color="CCCCCC" w:sz="1"/>
            </w:tcBorders>
            <w:shd w:fill="EEEDF9" w:val="clear"/>
            <w:tcMar>
              <w:top w:type="dxa" w:w="80"/>
              <w:left w:type="dxa" w:w="120"/>
              <w:bottom w:type="dxa" w:w="80"/>
              <w:right w:type="dxa" w:w="120"/>
            </w:tcMar>
          </w:tcPr>
          <w:p>
            <w:r>
              <w:rPr>
                <w:rFonts w:ascii="Arial" w:cs="Arial" w:eastAsia="Arial" w:hAnsi="Arial"/>
                <w:b w:val="false"/>
                <w:bCs w:val="false"/>
                <w:color w:val="3C3489"/>
                <w:sz w:val="21"/>
                <w:szCs w:val="21"/>
              </w:rPr>
              <w:t xml:space="preserve">Physical AI Safety &amp; Zero Trust (PHY-1–4, ZTA-3–4)</w:t>
            </w:r>
          </w:p>
        </w:tc>
        <w:tc>
          <w:tcPr>
            <w:tcW w:type="dxa" w:w="34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D3D3A"/>
                <w:sz w:val="21"/>
                <w:szCs w:val="21"/>
              </w:rPr>
              <w:t xml:space="preserve">DORA Art. 11 (response and recovery); DORA Art. 12 (backup policies); DORA Art. 17/18 (incident management/reporting)</w:t>
            </w:r>
          </w:p>
        </w:tc>
        <w:tc>
          <w:tcPr>
            <w:tcW w:type="dxa" w:w="34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D3D3A"/>
                <w:sz w:val="21"/>
                <w:szCs w:val="21"/>
              </w:rPr>
              <w:t xml:space="preserve">Certification covers AI system continuity, dependency mapping, and recovery testing — provides evidence base for DORA operational resilience requirements specific to AI systems</w:t>
            </w:r>
          </w:p>
        </w:tc>
      </w:tr>
      <w:tr>
        <w:tc>
          <w:tcPr>
            <w:tcW w:type="dxa" w:w="2400"/>
            <w:tcBorders>
              <w:top w:val="single" w:color="CCCCCC" w:sz="1"/>
              <w:left w:val="single" w:color="CCCCCC" w:sz="1"/>
              <w:bottom w:val="single" w:color="CCCCCC" w:sz="1"/>
              <w:right w:val="single" w:color="CCCCCC" w:sz="1"/>
            </w:tcBorders>
            <w:shd w:fill="EEEDF9" w:val="clear"/>
            <w:tcMar>
              <w:top w:type="dxa" w:w="80"/>
              <w:left w:type="dxa" w:w="120"/>
              <w:bottom w:type="dxa" w:w="80"/>
              <w:right w:type="dxa" w:w="120"/>
            </w:tcMar>
          </w:tcPr>
          <w:p>
            <w:r>
              <w:rPr>
                <w:rFonts w:ascii="Arial" w:cs="Arial" w:eastAsia="Arial" w:hAnsi="Arial"/>
                <w:b w:val="false"/>
                <w:bCs w:val="false"/>
                <w:color w:val="3C3489"/>
                <w:sz w:val="21"/>
                <w:szCs w:val="21"/>
              </w:rPr>
              <w:t xml:space="preserve">Zero Trust AI Architecture &amp; Model Extraction Defense (ZTA-1–4, MEX-1–2)</w:t>
            </w:r>
          </w:p>
        </w:tc>
        <w:tc>
          <w:tcPr>
            <w:tcW w:type="dxa" w:w="34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D3D3A"/>
                <w:sz w:val="21"/>
                <w:szCs w:val="21"/>
              </w:rPr>
              <w:t xml:space="preserve">DORA Art. 9 (protection and prevention); EU AI Act Art. 15 (cybersecurity); RBI Pillar 5 (security)</w:t>
            </w:r>
          </w:p>
        </w:tc>
        <w:tc>
          <w:tcPr>
            <w:tcW w:type="dxa" w:w="34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D3D3A"/>
                <w:sz w:val="21"/>
                <w:szCs w:val="21"/>
              </w:rPr>
              <w:t xml:space="preserve">Security controls for AI systems — access control, adversarial attack testing, model integrity — are audited and evidenced, supporting DORA protection obligations and EU AI Act robustness requirements</w:t>
            </w:r>
          </w:p>
        </w:tc>
      </w:tr>
      <w:tr>
        <w:tc>
          <w:tcPr>
            <w:tcW w:type="dxa" w:w="2400"/>
            <w:tcBorders>
              <w:top w:val="single" w:color="CCCCCC" w:sz="1"/>
              <w:left w:val="single" w:color="CCCCCC" w:sz="1"/>
              <w:bottom w:val="single" w:color="CCCCCC" w:sz="1"/>
              <w:right w:val="single" w:color="CCCCCC" w:sz="1"/>
            </w:tcBorders>
            <w:shd w:fill="EEEDF9" w:val="clear"/>
            <w:tcMar>
              <w:top w:type="dxa" w:w="80"/>
              <w:left w:type="dxa" w:w="120"/>
              <w:bottom w:type="dxa" w:w="80"/>
              <w:right w:type="dxa" w:w="120"/>
            </w:tcMar>
          </w:tcPr>
          <w:p>
            <w:r>
              <w:rPr>
                <w:rFonts w:ascii="Arial" w:cs="Arial" w:eastAsia="Arial" w:hAnsi="Arial"/>
                <w:b w:val="false"/>
                <w:bCs w:val="false"/>
                <w:color w:val="3C3489"/>
                <w:sz w:val="21"/>
                <w:szCs w:val="21"/>
              </w:rPr>
              <w:t xml:space="preserve">AI Supply Chain &amp; BOM (BOM-3–5)</w:t>
            </w:r>
          </w:p>
        </w:tc>
        <w:tc>
          <w:tcPr>
            <w:tcW w:type="dxa" w:w="34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D3D3A"/>
                <w:sz w:val="21"/>
                <w:szCs w:val="21"/>
              </w:rPr>
              <w:t xml:space="preserve">DORA Art. 28 (ICT third-party risk); DORA Art. 30 (contractual provisions); EU AI Act Art. 25 (obligations of deployers using third-party AI)</w:t>
            </w:r>
          </w:p>
        </w:tc>
        <w:tc>
          <w:tcPr>
            <w:tcW w:type="dxa" w:w="34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D3D3A"/>
                <w:sz w:val="21"/>
                <w:szCs w:val="21"/>
              </w:rPr>
              <w:t xml:space="preserve">Where AI models or platforms are sourced from third parties, certification verifies that due diligence, contractual safeguards, and ongoing monitoring controls are in place — directly addresses DORA Art. 28/30 requirements</w:t>
            </w:r>
          </w:p>
        </w:tc>
      </w:tr>
    </w:tbl>
    <w:p>
      <w:pPr>
        <w:spacing w:after="0" w:before="120"/>
      </w:pPr>
      <w:r>
        <w:t xml:space="preserve"/>
      </w:r>
    </w:p>
    <w:p>
      <w:pPr>
        <w:pStyle w:val="Heading1"/>
        <w:pBdr>
          <w:bottom w:val="single" w:color="EEEDF9" w:sz="4" w:space="4"/>
        </w:pBdr>
        <w:spacing w:after="160" w:before="360"/>
      </w:pPr>
      <w:r>
        <w:rPr>
          <w:rFonts w:ascii="Arial" w:cs="Arial" w:eastAsia="Arial" w:hAnsi="Arial"/>
          <w:b/>
          <w:bCs/>
          <w:color w:val="3C3489"/>
          <w:sz w:val="28"/>
          <w:szCs w:val="28"/>
        </w:rPr>
        <w:t xml:space="preserve">4. Sector-Specific Control Guidance</w:t>
      </w:r>
    </w:p>
    <w:p>
      <w:pPr>
        <w:pStyle w:val="Heading2"/>
        <w:spacing w:after="120" w:before="240"/>
      </w:pPr>
      <w:r>
        <w:rPr>
          <w:rFonts w:ascii="Arial" w:cs="Arial" w:eastAsia="Arial" w:hAnsi="Arial"/>
          <w:b/>
          <w:bCs/>
          <w:color w:val="3D3D3A"/>
          <w:sz w:val="26"/>
          <w:szCs w:val="26"/>
        </w:rPr>
        <w:t xml:space="preserve">4.1 Credit Decisioning AI</w:t>
      </w:r>
    </w:p>
    <w:p>
      <w:pPr>
        <w:spacing w:after="120" w:before="0"/>
        <w:jc w:val="both"/>
      </w:pPr>
      <w:r>
        <w:rPr>
          <w:rFonts w:ascii="Arial" w:cs="Arial" w:eastAsia="Arial" w:hAnsi="Arial"/>
          <w:color w:val="3D3D3A"/>
          <w:sz w:val="24"/>
          <w:szCs w:val="24"/>
        </w:rPr>
        <w:t xml:space="preserve">AI systems used in retail credit scoring, mortgage affordability assessment, and SME lending are among the highest-risk AI deployments in financial services under both the EU AI Act and RBI guidelines. Specific implementation guidance for AI-IRF® v1.0 controls in this context:</w:t>
      </w:r>
    </w:p>
    <w:p>
      <w:pPr>
        <w:pStyle w:val="ListParagraph"/>
        <w:numPr>
          <w:ilvl w:val="0"/>
          <w:numId w:val="2"/>
        </w:numPr>
        <w:spacing w:after="80" w:before="0"/>
      </w:pPr>
      <w:r>
        <w:rPr>
          <w:rFonts w:ascii="Arial" w:cs="Arial" w:eastAsia="Arial" w:hAnsi="Arial"/>
          <w:color w:val="3D3D3A"/>
          <w:sz w:val="24"/>
          <w:szCs w:val="24"/>
        </w:rPr>
        <w:t xml:space="preserve">MLC-5 (performance monitoring): credit models must be monitored for population shift — the distribution of applicants may change over time in ways that degrade model accuracy without triggering traditional error metrics. Monitoring must include population stability indices and characteristic analysis.</w:t>
      </w:r>
    </w:p>
    <w:p>
      <w:pPr>
        <w:pStyle w:val="ListParagraph"/>
        <w:numPr>
          <w:ilvl w:val="0"/>
          <w:numId w:val="2"/>
        </w:numPr>
        <w:spacing w:after="80" w:before="0"/>
      </w:pPr>
      <w:r>
        <w:rPr>
          <w:rFonts w:ascii="Arial" w:cs="Arial" w:eastAsia="Arial" w:hAnsi="Arial"/>
          <w:color w:val="3D3D3A"/>
          <w:sz w:val="24"/>
          <w:szCs w:val="24"/>
        </w:rPr>
        <w:t xml:space="preserve">BOM-2 (bias assessment): credit models must be assessed for disparate impact across protected characteristics. The audit expects documented testing methodology, test results, and remediation records — not merely a policy commitment to test.</w:t>
      </w:r>
    </w:p>
    <w:p>
      <w:pPr>
        <w:pStyle w:val="ListParagraph"/>
        <w:numPr>
          <w:ilvl w:val="0"/>
          <w:numId w:val="2"/>
        </w:numPr>
        <w:spacing w:after="80" w:before="0"/>
      </w:pPr>
      <w:r>
        <w:rPr>
          <w:rFonts w:ascii="Arial" w:cs="Arial" w:eastAsia="Arial" w:hAnsi="Arial"/>
          <w:color w:val="3D3D3A"/>
          <w:sz w:val="24"/>
          <w:szCs w:val="24"/>
        </w:rPr>
        <w:t xml:space="preserve">REG-2 (explainability by risk tier): credit decisions classified as adverse action under applicable consumer protection rules require explanations sufficient for a non-technical applicant to understand. AI-IRF® v1.0 REG-2 requires that explainability is tested and documented, not merely asserted.</w:t>
      </w:r>
    </w:p>
    <w:p>
      <w:pPr>
        <w:pStyle w:val="ListParagraph"/>
        <w:numPr>
          <w:ilvl w:val="0"/>
          <w:numId w:val="2"/>
        </w:numPr>
        <w:spacing w:after="80" w:before="0"/>
      </w:pPr>
      <w:r>
        <w:rPr>
          <w:rFonts w:ascii="Arial" w:cs="Arial" w:eastAsia="Arial" w:hAnsi="Arial"/>
          <w:color w:val="3D3D3A"/>
          <w:sz w:val="24"/>
          <w:szCs w:val="24"/>
        </w:rPr>
        <w:t xml:space="preserve">APA-3 (human oversight of material decisions): automated credit decisioning without human review of edge cases is a Major NC risk under APA-3. Define the population of decisions requiring human review and document the process.</w:t>
      </w:r>
    </w:p>
    <w:p>
      <w:pPr>
        <w:spacing w:after="0" w:before="80"/>
      </w:pPr>
      <w:r>
        <w:t xml:space="preserve"/>
      </w:r>
    </w:p>
    <w:p>
      <w:pPr>
        <w:pStyle w:val="Heading2"/>
        <w:spacing w:after="120" w:before="240"/>
      </w:pPr>
      <w:r>
        <w:rPr>
          <w:rFonts w:ascii="Arial" w:cs="Arial" w:eastAsia="Arial" w:hAnsi="Arial"/>
          <w:b/>
          <w:bCs/>
          <w:color w:val="3D3D3A"/>
          <w:sz w:val="26"/>
          <w:szCs w:val="26"/>
        </w:rPr>
        <w:t xml:space="preserve">4.2 AML/KYC Screening AI</w:t>
      </w:r>
    </w:p>
    <w:p>
      <w:pPr>
        <w:pStyle w:val="ListParagraph"/>
        <w:numPr>
          <w:ilvl w:val="0"/>
          <w:numId w:val="2"/>
        </w:numPr>
        <w:spacing w:after="80" w:before="0"/>
      </w:pPr>
      <w:r>
        <w:rPr>
          <w:rFonts w:ascii="Arial" w:cs="Arial" w:eastAsia="Arial" w:hAnsi="Arial"/>
          <w:color w:val="3D3D3A"/>
          <w:sz w:val="24"/>
          <w:szCs w:val="24"/>
        </w:rPr>
        <w:t xml:space="preserve">MLC-1 (model validation): AML models must be validated against typology libraries as well as historical SAR data. Validation must cover false negative rates — AML regulators focus on missed cases, not just false positives.</w:t>
      </w:r>
    </w:p>
    <w:p>
      <w:pPr>
        <w:pStyle w:val="ListParagraph"/>
        <w:numPr>
          <w:ilvl w:val="0"/>
          <w:numId w:val="2"/>
        </w:numPr>
        <w:spacing w:after="80" w:before="0"/>
      </w:pPr>
      <w:r>
        <w:rPr>
          <w:rFonts w:ascii="Arial" w:cs="Arial" w:eastAsia="Arial" w:hAnsi="Arial"/>
          <w:color w:val="3D3D3A"/>
          <w:sz w:val="24"/>
          <w:szCs w:val="24"/>
        </w:rPr>
        <w:t xml:space="preserve">SEV-CLS (incident response): suspicious transaction alerts that are suppressed or overridden by AI require a documented escalation and record-keeping procedure. Compliance teams must be able to reconstruct the AI's decision path for regulatory examination.</w:t>
      </w:r>
    </w:p>
    <w:p>
      <w:pPr>
        <w:pStyle w:val="ListParagraph"/>
        <w:numPr>
          <w:ilvl w:val="0"/>
          <w:numId w:val="2"/>
        </w:numPr>
        <w:spacing w:after="80" w:before="0"/>
      </w:pPr>
      <w:r>
        <w:rPr>
          <w:rFonts w:ascii="Arial" w:cs="Arial" w:eastAsia="Arial" w:hAnsi="Arial"/>
          <w:color w:val="3D3D3A"/>
          <w:sz w:val="24"/>
          <w:szCs w:val="24"/>
        </w:rPr>
        <w:t xml:space="preserve">BOM-3 (supplier assessment): where AML screening uses a third-party watchlist or typology database, the supplier's data quality and update frequency must be formally assessed.</w:t>
      </w:r>
    </w:p>
    <w:p>
      <w:pPr>
        <w:spacing w:after="0" w:before="80"/>
      </w:pPr>
      <w:r>
        <w:t xml:space="preserve"/>
      </w:r>
    </w:p>
    <w:p>
      <w:pPr>
        <w:pStyle w:val="Heading2"/>
        <w:spacing w:after="120" w:before="240"/>
      </w:pPr>
      <w:r>
        <w:rPr>
          <w:rFonts w:ascii="Arial" w:cs="Arial" w:eastAsia="Arial" w:hAnsi="Arial"/>
          <w:b/>
          <w:bCs/>
          <w:color w:val="3D3D3A"/>
          <w:sz w:val="26"/>
          <w:szCs w:val="26"/>
        </w:rPr>
        <w:t xml:space="preserve">4.3 Algorithmic Trading and Capital Markets AI</w:t>
      </w:r>
    </w:p>
    <w:p>
      <w:pPr>
        <w:pStyle w:val="ListParagraph"/>
        <w:numPr>
          <w:ilvl w:val="0"/>
          <w:numId w:val="2"/>
        </w:numPr>
        <w:spacing w:after="80" w:before="0"/>
      </w:pPr>
      <w:r>
        <w:rPr>
          <w:rFonts w:ascii="Arial" w:cs="Arial" w:eastAsia="Arial" w:hAnsi="Arial"/>
          <w:color w:val="3D3D3A"/>
          <w:sz w:val="24"/>
          <w:szCs w:val="24"/>
        </w:rPr>
        <w:t xml:space="preserve">BOM-4 (dependency mapping): trading AI systems have complex dependencies on market data feeds, execution venues, and risk limits systems. Dependency mapping must cover failure modes of upstream data providers.</w:t>
      </w:r>
    </w:p>
    <w:p>
      <w:pPr>
        <w:pStyle w:val="ListParagraph"/>
        <w:numPr>
          <w:ilvl w:val="0"/>
          <w:numId w:val="2"/>
        </w:numPr>
        <w:spacing w:after="80" w:before="0"/>
      </w:pPr>
      <w:r>
        <w:rPr>
          <w:rFonts w:ascii="Arial" w:cs="Arial" w:eastAsia="Arial" w:hAnsi="Arial"/>
          <w:color w:val="3D3D3A"/>
          <w:sz w:val="24"/>
          <w:szCs w:val="24"/>
        </w:rPr>
        <w:t xml:space="preserve">MEX-1 (adversarial testing): trading algorithms are targets for adversarial manipulation through market microstructure exploitation. AI-IRF® v1.0 MEX-1 requires documented adversarial testing — this is directly relevant to market manipulation risk.</w:t>
      </w:r>
    </w:p>
    <w:p>
      <w:pPr>
        <w:pStyle w:val="ListParagraph"/>
        <w:numPr>
          <w:ilvl w:val="0"/>
          <w:numId w:val="2"/>
        </w:numPr>
        <w:spacing w:after="80" w:before="0"/>
      </w:pPr>
      <w:r>
        <w:rPr>
          <w:rFonts w:ascii="Arial" w:cs="Arial" w:eastAsia="Arial" w:hAnsi="Arial"/>
          <w:color w:val="3D3D3A"/>
          <w:sz w:val="24"/>
          <w:szCs w:val="24"/>
        </w:rPr>
        <w:t xml:space="preserve">MSR-3/REL-3 (kill switch / circuit breaker): automated trading systems must have documented and tested circuit breakers. The audit will require evidence that the mechanism has been tested and that the threshold parameters are reviewed periodically.</w:t>
      </w:r>
    </w:p>
    <w:p>
      <w:pPr>
        <w:spacing w:after="0" w:before="80"/>
      </w:pPr>
      <w:r>
        <w:t xml:space="preserve"/>
      </w:r>
    </w:p>
    <w:p>
      <w:pPr>
        <w:pStyle w:val="Heading2"/>
        <w:spacing w:after="120" w:before="240"/>
      </w:pPr>
      <w:r>
        <w:rPr>
          <w:rFonts w:ascii="Arial" w:cs="Arial" w:eastAsia="Arial" w:hAnsi="Arial"/>
          <w:b/>
          <w:bCs/>
          <w:color w:val="3D3D3A"/>
          <w:sz w:val="26"/>
          <w:szCs w:val="26"/>
        </w:rPr>
        <w:t xml:space="preserve">4.4 Insurance Underwriting and Pricing AI</w:t>
      </w:r>
    </w:p>
    <w:p>
      <w:pPr>
        <w:pStyle w:val="ListParagraph"/>
        <w:numPr>
          <w:ilvl w:val="0"/>
          <w:numId w:val="2"/>
        </w:numPr>
        <w:spacing w:after="80" w:before="0"/>
      </w:pPr>
      <w:r>
        <w:rPr>
          <w:rFonts w:ascii="Arial" w:cs="Arial" w:eastAsia="Arial" w:hAnsi="Arial"/>
          <w:color w:val="3D3D3A"/>
          <w:sz w:val="24"/>
          <w:szCs w:val="24"/>
        </w:rPr>
        <w:t xml:space="preserve">BOM-2 (bias assessment): insurance pricing AI that uses proxies for protected characteristics (postcodes, device type, social media behaviour) is under increasing regulatory scrutiny in the EU and UK. AI-IRF® v1.0 BOM-2 requires documented proxy testing.</w:t>
      </w:r>
    </w:p>
    <w:p>
      <w:pPr>
        <w:pStyle w:val="ListParagraph"/>
        <w:numPr>
          <w:ilvl w:val="0"/>
          <w:numId w:val="2"/>
        </w:numPr>
        <w:spacing w:after="80" w:before="0"/>
      </w:pPr>
      <w:r>
        <w:rPr>
          <w:rFonts w:ascii="Arial" w:cs="Arial" w:eastAsia="Arial" w:hAnsi="Arial"/>
          <w:color w:val="3D3D3A"/>
          <w:sz w:val="24"/>
          <w:szCs w:val="24"/>
        </w:rPr>
        <w:t xml:space="preserve">REG-1 (system disclosure): where AI is used in underwriting or claims assessment, policyholders must be informed. REG-1 requires that disclosure obligations are documented and implemented.</w:t>
      </w:r>
    </w:p>
    <w:p>
      <w:pPr>
        <w:pStyle w:val="ListParagraph"/>
        <w:numPr>
          <w:ilvl w:val="0"/>
          <w:numId w:val="2"/>
        </w:numPr>
        <w:spacing w:after="80" w:before="0"/>
      </w:pPr>
      <w:r>
        <w:rPr>
          <w:rFonts w:ascii="Arial" w:cs="Arial" w:eastAsia="Arial" w:hAnsi="Arial"/>
          <w:color w:val="3D3D3A"/>
          <w:sz w:val="24"/>
          <w:szCs w:val="24"/>
        </w:rPr>
        <w:t xml:space="preserve">SEV-CLS/SEV-RPT (model failure response): insurance pricing models that produce anomalous outputs (negative premiums, extreme outliers) must have automated detection and a response procedure. The audit will test whether this is implemented and not merely designed.</w:t>
      </w:r>
    </w:p>
    <w:p>
      <w:pPr>
        <w:spacing w:after="0" w:before="80"/>
      </w:pPr>
      <w:r>
        <w:t xml:space="preserve"/>
      </w:r>
    </w:p>
    <w:p>
      <w:pPr>
        <w:pStyle w:val="Heading1"/>
        <w:pBdr>
          <w:bottom w:val="single" w:color="EEEDF9" w:sz="4" w:space="4"/>
        </w:pBdr>
        <w:spacing w:after="160" w:before="360"/>
      </w:pPr>
      <w:r>
        <w:rPr>
          <w:rFonts w:ascii="Arial" w:cs="Arial" w:eastAsia="Arial" w:hAnsi="Arial"/>
          <w:b/>
          <w:bCs/>
          <w:color w:val="3C3489"/>
          <w:sz w:val="28"/>
          <w:szCs w:val="28"/>
        </w:rPr>
        <w:t xml:space="preserve">5. Certification Pathway for Financial Services Organisations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40"/>
        <w:gridCol w:w="2960"/>
        <w:gridCol w:w="5760"/>
      </w:tblGrid>
      <w:tr>
        <w:tc>
          <w:tcPr>
            <w:tcW w:type="dxa" w:w="640"/>
            <w:tcBorders>
              <w:top w:val="single" w:color="CCCCCC" w:sz="1"/>
              <w:left w:val="single" w:color="CCCCCC" w:sz="1"/>
              <w:bottom w:val="single" w:color="CCCCCC" w:sz="1"/>
              <w:right w:val="single" w:color="CCCCCC" w:sz="1"/>
            </w:tcBorders>
            <w:shd w:fill="3C3489" w:val="clear"/>
            <w:tcMar>
              <w:top w:type="dxa" w:w="80"/>
              <w:left w:type="dxa" w:w="80"/>
              <w:bottom w:type="dxa" w:w="80"/>
              <w:right w:type="dxa" w:w="80"/>
            </w:tcMar>
          </w:tcPr>
          <w:p>
            <w:pPr>
              <w:jc w:val="center"/>
            </w:pPr>
            <w:r>
              <w:rPr>
                <w:rFonts w:ascii="Arial" w:cs="Arial" w:eastAsia="Arial" w:hAnsi="Arial"/>
                <w:b/>
                <w:bCs/>
                <w:color w:val="FFFFFF"/>
                <w:sz w:val="22"/>
                <w:szCs w:val="22"/>
              </w:rPr>
              <w:t xml:space="preserve">Step</w:t>
            </w:r>
          </w:p>
        </w:tc>
        <w:tc>
          <w:tcPr>
            <w:tcW w:type="dxa" w:w="2960"/>
            <w:tcBorders>
              <w:top w:val="single" w:color="CCCCCC" w:sz="1"/>
              <w:left w:val="single" w:color="CCCCCC" w:sz="1"/>
              <w:bottom w:val="single" w:color="CCCCCC" w:sz="1"/>
              <w:right w:val="single" w:color="CCCCCC" w:sz="1"/>
            </w:tcBorders>
            <w:shd w:fill="3C3489" w:val="clear"/>
            <w:tcMar>
              <w:top w:type="dxa" w:w="80"/>
              <w:left w:type="dxa" w:w="120"/>
              <w:bottom w:type="dxa" w:w="80"/>
              <w:right w:type="dxa" w:w="120"/>
            </w:tcMar>
          </w:tcPr>
          <w:p>
            <w:r>
              <w:rPr>
                <w:rFonts w:ascii="Arial" w:cs="Arial" w:eastAsia="Arial" w:hAnsi="Arial"/>
                <w:b/>
                <w:bCs/>
                <w:color w:val="FFFFFF"/>
                <w:sz w:val="22"/>
                <w:szCs w:val="22"/>
              </w:rPr>
              <w:t xml:space="preserve">Activity</w:t>
            </w:r>
          </w:p>
        </w:tc>
        <w:tc>
          <w:tcPr>
            <w:tcW w:type="dxa" w:w="5760"/>
            <w:tcBorders>
              <w:top w:val="single" w:color="CCCCCC" w:sz="1"/>
              <w:left w:val="single" w:color="CCCCCC" w:sz="1"/>
              <w:bottom w:val="single" w:color="CCCCCC" w:sz="1"/>
              <w:right w:val="single" w:color="CCCCCC" w:sz="1"/>
            </w:tcBorders>
            <w:shd w:fill="3C3489" w:val="clear"/>
            <w:tcMar>
              <w:top w:type="dxa" w:w="80"/>
              <w:left w:type="dxa" w:w="120"/>
              <w:bottom w:type="dxa" w:w="80"/>
              <w:right w:type="dxa" w:w="120"/>
            </w:tcMar>
          </w:tcPr>
          <w:p>
            <w:r>
              <w:rPr>
                <w:rFonts w:ascii="Arial" w:cs="Arial" w:eastAsia="Arial" w:hAnsi="Arial"/>
                <w:b/>
                <w:bCs/>
                <w:color w:val="FFFFFF"/>
                <w:sz w:val="22"/>
                <w:szCs w:val="22"/>
              </w:rPr>
              <w:t xml:space="preserve">Financial services context</w:t>
            </w:r>
          </w:p>
        </w:tc>
      </w:tr>
      <w:tr>
        <w:tc>
          <w:tcPr>
            <w:tcW w:type="dxa" w:w="640"/>
            <w:tcBorders>
              <w:top w:val="single" w:color="CCCCCC" w:sz="1"/>
              <w:left w:val="single" w:color="CCCCCC" w:sz="1"/>
              <w:bottom w:val="single" w:color="CCCCCC" w:sz="1"/>
              <w:right w:val="single" w:color="CCCCCC" w:sz="1"/>
            </w:tcBorders>
            <w:shd w:fill="EEEDF9" w:val="clear"/>
            <w:tcMar>
              <w:top w:type="dxa" w:w="80"/>
              <w:left w:type="dxa" w:w="80"/>
              <w:bottom w:type="dxa" w:w="80"/>
              <w:right w:type="dxa" w:w="80"/>
            </w:tcMar>
          </w:tcPr>
          <w:p>
            <w:pPr>
              <w:jc w:val="center"/>
            </w:pPr>
            <w:r>
              <w:rPr>
                <w:rFonts w:ascii="Arial" w:cs="Arial" w:eastAsia="Arial" w:hAnsi="Arial"/>
                <w:b/>
                <w:bCs/>
                <w:color w:val="3C3489"/>
                <w:sz w:val="22"/>
                <w:szCs w:val="22"/>
              </w:rPr>
              <w:t xml:space="preserve">1</w:t>
            </w:r>
          </w:p>
        </w:tc>
        <w:tc>
          <w:tcPr>
            <w:tcW w:type="dxa" w:w="29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3D3D3A"/>
                <w:sz w:val="22"/>
                <w:szCs w:val="22"/>
              </w:rPr>
              <w:t xml:space="preserve">Scope definition</w:t>
            </w:r>
          </w:p>
        </w:tc>
        <w:tc>
          <w:tcPr>
            <w:tcW w:type="dxa" w:w="57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3D3D3A"/>
                <w:sz w:val="22"/>
                <w:szCs w:val="22"/>
              </w:rPr>
              <w:t xml:space="preserve">Define which AI systems are in scope. For most financial services organisations, start with the highest-risk AI — credit scoring, AML, or algorithmic trading — rather than the full AI portfolio.</w:t>
            </w:r>
          </w:p>
        </w:tc>
      </w:tr>
      <w:tr>
        <w:tc>
          <w:tcPr>
            <w:tcW w:type="dxa" w:w="640"/>
            <w:tcBorders>
              <w:top w:val="single" w:color="CCCCCC" w:sz="1"/>
              <w:left w:val="single" w:color="CCCCCC" w:sz="1"/>
              <w:bottom w:val="single" w:color="CCCCCC" w:sz="1"/>
              <w:right w:val="single" w:color="CCCCCC" w:sz="1"/>
            </w:tcBorders>
            <w:shd w:fill="EEEDF9" w:val="clear"/>
            <w:tcMar>
              <w:top w:type="dxa" w:w="80"/>
              <w:left w:type="dxa" w:w="80"/>
              <w:bottom w:type="dxa" w:w="80"/>
              <w:right w:type="dxa" w:w="80"/>
            </w:tcMar>
          </w:tcPr>
          <w:p>
            <w:pPr>
              <w:jc w:val="center"/>
            </w:pPr>
            <w:r>
              <w:rPr>
                <w:rFonts w:ascii="Arial" w:cs="Arial" w:eastAsia="Arial" w:hAnsi="Arial"/>
                <w:b/>
                <w:bCs/>
                <w:color w:val="3C3489"/>
                <w:sz w:val="22"/>
                <w:szCs w:val="22"/>
              </w:rPr>
              <w:t xml:space="preserve">2</w:t>
            </w:r>
          </w:p>
        </w:tc>
        <w:tc>
          <w:tcPr>
            <w:tcW w:type="dxa" w:w="29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3D3D3A"/>
                <w:sz w:val="22"/>
                <w:szCs w:val="22"/>
              </w:rPr>
              <w:t xml:space="preserve">Readiness assessment</w:t>
            </w:r>
          </w:p>
        </w:tc>
        <w:tc>
          <w:tcPr>
            <w:tcW w:type="dxa" w:w="57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3D3D3A"/>
                <w:sz w:val="22"/>
                <w:szCs w:val="22"/>
              </w:rPr>
              <w:t xml:space="preserve">Complete the AI-IRF® v1.0 Readiness Assessment (ODA3-2026-06-MTH-SEC-010). Financial services organisations typically find strong governance documentation but weaker model monitoring and bias testing evidence.</w:t>
            </w:r>
          </w:p>
        </w:tc>
      </w:tr>
      <w:tr>
        <w:tc>
          <w:tcPr>
            <w:tcW w:type="dxa" w:w="640"/>
            <w:tcBorders>
              <w:top w:val="single" w:color="CCCCCC" w:sz="1"/>
              <w:left w:val="single" w:color="CCCCCC" w:sz="1"/>
              <w:bottom w:val="single" w:color="CCCCCC" w:sz="1"/>
              <w:right w:val="single" w:color="CCCCCC" w:sz="1"/>
            </w:tcBorders>
            <w:shd w:fill="EEEDF9" w:val="clear"/>
            <w:tcMar>
              <w:top w:type="dxa" w:w="80"/>
              <w:left w:type="dxa" w:w="80"/>
              <w:bottom w:type="dxa" w:w="80"/>
              <w:right w:type="dxa" w:w="80"/>
            </w:tcMar>
          </w:tcPr>
          <w:p>
            <w:pPr>
              <w:jc w:val="center"/>
            </w:pPr>
            <w:r>
              <w:rPr>
                <w:rFonts w:ascii="Arial" w:cs="Arial" w:eastAsia="Arial" w:hAnsi="Arial"/>
                <w:b/>
                <w:bCs/>
                <w:color w:val="3C3489"/>
                <w:sz w:val="22"/>
                <w:szCs w:val="22"/>
              </w:rPr>
              <w:t xml:space="preserve">3</w:t>
            </w:r>
          </w:p>
        </w:tc>
        <w:tc>
          <w:tcPr>
            <w:tcW w:type="dxa" w:w="29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3D3D3A"/>
                <w:sz w:val="22"/>
                <w:szCs w:val="22"/>
              </w:rPr>
              <w:t xml:space="preserve">Gap remediation</w:t>
            </w:r>
          </w:p>
        </w:tc>
        <w:tc>
          <w:tcPr>
            <w:tcW w:type="dxa" w:w="57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3D3D3A"/>
                <w:sz w:val="22"/>
                <w:szCs w:val="22"/>
              </w:rPr>
              <w:t xml:space="preserve">Address gaps before Stage 1. Common financial services gaps: no formal model validation procedure; bias testing not documented; explainability not tested by risk tier; AML override records not AI-specific.</w:t>
            </w:r>
          </w:p>
        </w:tc>
      </w:tr>
      <w:tr>
        <w:tc>
          <w:tcPr>
            <w:tcW w:type="dxa" w:w="640"/>
            <w:tcBorders>
              <w:top w:val="single" w:color="CCCCCC" w:sz="1"/>
              <w:left w:val="single" w:color="CCCCCC" w:sz="1"/>
              <w:bottom w:val="single" w:color="CCCCCC" w:sz="1"/>
              <w:right w:val="single" w:color="CCCCCC" w:sz="1"/>
            </w:tcBorders>
            <w:shd w:fill="EEEDF9" w:val="clear"/>
            <w:tcMar>
              <w:top w:type="dxa" w:w="80"/>
              <w:left w:type="dxa" w:w="80"/>
              <w:bottom w:type="dxa" w:w="80"/>
              <w:right w:type="dxa" w:w="80"/>
            </w:tcMar>
          </w:tcPr>
          <w:p>
            <w:pPr>
              <w:jc w:val="center"/>
            </w:pPr>
            <w:r>
              <w:rPr>
                <w:rFonts w:ascii="Arial" w:cs="Arial" w:eastAsia="Arial" w:hAnsi="Arial"/>
                <w:b/>
                <w:bCs/>
                <w:color w:val="3C3489"/>
                <w:sz w:val="22"/>
                <w:szCs w:val="22"/>
              </w:rPr>
              <w:t xml:space="preserve">4</w:t>
            </w:r>
          </w:p>
        </w:tc>
        <w:tc>
          <w:tcPr>
            <w:tcW w:type="dxa" w:w="29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3D3D3A"/>
                <w:sz w:val="22"/>
                <w:szCs w:val="22"/>
              </w:rPr>
              <w:t xml:space="preserve">Stage 1 audit</w:t>
            </w:r>
          </w:p>
        </w:tc>
        <w:tc>
          <w:tcPr>
            <w:tcW w:type="dxa" w:w="57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3D3D3A"/>
                <w:sz w:val="22"/>
                <w:szCs w:val="22"/>
              </w:rPr>
              <w:t xml:space="preserve">Document review by an accredited CB. The CB will review the AI governance policy, risk assessment, SoA, and model inventory. DORA-regulated entities should provide their DORA ICT risk management framework — it reduces Stage 1 documentation burden.</w:t>
            </w:r>
          </w:p>
        </w:tc>
      </w:tr>
      <w:tr>
        <w:tc>
          <w:tcPr>
            <w:tcW w:type="dxa" w:w="640"/>
            <w:tcBorders>
              <w:top w:val="single" w:color="CCCCCC" w:sz="1"/>
              <w:left w:val="single" w:color="CCCCCC" w:sz="1"/>
              <w:bottom w:val="single" w:color="CCCCCC" w:sz="1"/>
              <w:right w:val="single" w:color="CCCCCC" w:sz="1"/>
            </w:tcBorders>
            <w:shd w:fill="EEEDF9" w:val="clear"/>
            <w:tcMar>
              <w:top w:type="dxa" w:w="80"/>
              <w:left w:type="dxa" w:w="80"/>
              <w:bottom w:type="dxa" w:w="80"/>
              <w:right w:type="dxa" w:w="80"/>
            </w:tcMar>
          </w:tcPr>
          <w:p>
            <w:pPr>
              <w:jc w:val="center"/>
            </w:pPr>
            <w:r>
              <w:rPr>
                <w:rFonts w:ascii="Arial" w:cs="Arial" w:eastAsia="Arial" w:hAnsi="Arial"/>
                <w:b/>
                <w:bCs/>
                <w:color w:val="3C3489"/>
                <w:sz w:val="22"/>
                <w:szCs w:val="22"/>
              </w:rPr>
              <w:t xml:space="preserve">5</w:t>
            </w:r>
          </w:p>
        </w:tc>
        <w:tc>
          <w:tcPr>
            <w:tcW w:type="dxa" w:w="29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3D3D3A"/>
                <w:sz w:val="22"/>
                <w:szCs w:val="22"/>
              </w:rPr>
              <w:t xml:space="preserve">Stage 2 audit</w:t>
            </w:r>
          </w:p>
        </w:tc>
        <w:tc>
          <w:tcPr>
            <w:tcW w:type="dxa" w:w="57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3D3D3A"/>
                <w:sz w:val="22"/>
                <w:szCs w:val="22"/>
              </w:rPr>
              <w:t xml:space="preserve">On-site or remote conformity assessment. Expect 2–4 audit days depending on the number of AI systems in scope. Regulators in DORA-regulated entities may request to observe or review Stage 2 findings.</w:t>
            </w:r>
          </w:p>
        </w:tc>
      </w:tr>
      <w:tr>
        <w:tc>
          <w:tcPr>
            <w:tcW w:type="dxa" w:w="640"/>
            <w:tcBorders>
              <w:top w:val="single" w:color="CCCCCC" w:sz="1"/>
              <w:left w:val="single" w:color="CCCCCC" w:sz="1"/>
              <w:bottom w:val="single" w:color="CCCCCC" w:sz="1"/>
              <w:right w:val="single" w:color="CCCCCC" w:sz="1"/>
            </w:tcBorders>
            <w:shd w:fill="EEEDF9" w:val="clear"/>
            <w:tcMar>
              <w:top w:type="dxa" w:w="80"/>
              <w:left w:type="dxa" w:w="80"/>
              <w:bottom w:type="dxa" w:w="80"/>
              <w:right w:type="dxa" w:w="80"/>
            </w:tcMar>
          </w:tcPr>
          <w:p>
            <w:pPr>
              <w:jc w:val="center"/>
            </w:pPr>
            <w:r>
              <w:rPr>
                <w:rFonts w:ascii="Arial" w:cs="Arial" w:eastAsia="Arial" w:hAnsi="Arial"/>
                <w:b/>
                <w:bCs/>
                <w:color w:val="3C3489"/>
                <w:sz w:val="22"/>
                <w:szCs w:val="22"/>
              </w:rPr>
              <w:t xml:space="preserve">6</w:t>
            </w:r>
          </w:p>
        </w:tc>
        <w:tc>
          <w:tcPr>
            <w:tcW w:type="dxa" w:w="29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3D3D3A"/>
                <w:sz w:val="22"/>
                <w:szCs w:val="22"/>
              </w:rPr>
              <w:t xml:space="preserve">Certificate and regulatory use</w:t>
            </w:r>
          </w:p>
        </w:tc>
        <w:tc>
          <w:tcPr>
            <w:tcW w:type="dxa" w:w="57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3D3D3A"/>
                <w:sz w:val="22"/>
                <w:szCs w:val="22"/>
              </w:rPr>
              <w:t xml:space="preserve">Use the AI IRF CERT® certificate and audit report as evidence in DORA Art. 6 ICT risk management framework documentation, EU AI Act conformity assessment files, RBI regulatory submissions, and board AI governance reporting.</w:t>
            </w:r>
          </w:p>
        </w:tc>
      </w:tr>
    </w:tbl>
    <w:p>
      <w:pPr>
        <w:spacing w:after="0" w:before="120"/>
      </w:pPr>
      <w:r>
        <w:t xml:space="preserve"/>
      </w:r>
    </w:p>
    <w:p>
      <w:pPr>
        <w:pStyle w:val="Heading1"/>
        <w:pBdr>
          <w:bottom w:val="single" w:color="EEEDF9" w:sz="4" w:space="4"/>
        </w:pBdr>
        <w:spacing w:after="160" w:before="360"/>
      </w:pPr>
      <w:r>
        <w:rPr>
          <w:rFonts w:ascii="Arial" w:cs="Arial" w:eastAsia="Arial" w:hAnsi="Arial"/>
          <w:b/>
          <w:bCs/>
          <w:color w:val="3C3489"/>
          <w:sz w:val="28"/>
          <w:szCs w:val="28"/>
        </w:rPr>
        <w:t xml:space="preserve">6. Frequently Asked Questions — Financial Services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600"/>
        <w:gridCol w:w="5760"/>
      </w:tblGrid>
      <w:tr>
        <w:tc>
          <w:tcPr>
            <w:tcW w:type="dxa" w:w="3600"/>
            <w:tcBorders>
              <w:top w:val="single" w:color="CCCCCC" w:sz="1"/>
              <w:left w:val="single" w:color="CCCCCC" w:sz="1"/>
              <w:bottom w:val="single" w:color="CCCCCC" w:sz="1"/>
              <w:right w:val="single" w:color="CCCCCC" w:sz="1"/>
            </w:tcBorders>
            <w:shd w:fill="3C3489" w:val="clear"/>
            <w:tcMar>
              <w:top w:type="dxa" w:w="80"/>
              <w:left w:type="dxa" w:w="120"/>
              <w:bottom w:type="dxa" w:w="80"/>
              <w:right w:type="dxa" w:w="120"/>
            </w:tcMar>
          </w:tcPr>
          <w:p>
            <w:r>
              <w:rPr>
                <w:rFonts w:ascii="Arial" w:cs="Arial" w:eastAsia="Arial" w:hAnsi="Arial"/>
                <w:b/>
                <w:bCs/>
                <w:color w:val="FFFFFF"/>
                <w:sz w:val="22"/>
                <w:szCs w:val="22"/>
              </w:rPr>
              <w:t xml:space="preserve">Question</w:t>
            </w:r>
          </w:p>
        </w:tc>
        <w:tc>
          <w:tcPr>
            <w:tcW w:type="dxa" w:w="57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both"/>
            </w:pPr>
            <w:r>
              <w:rPr>
                <w:rFonts w:ascii="Arial" w:cs="Arial" w:eastAsia="Arial" w:hAnsi="Arial"/>
                <w:color w:val="3D3D3A"/>
                <w:sz w:val="22"/>
                <w:szCs w:val="22"/>
              </w:rPr>
              <w:t xml:space="preserve">Answer</w:t>
            </w:r>
          </w:p>
        </w:tc>
      </w:tr>
      <w:tr>
        <w:tc>
          <w:tcPr>
            <w:tcW w:type="dxa" w:w="3600"/>
            <w:tcBorders>
              <w:top w:val="single" w:color="CCCCCC" w:sz="1"/>
              <w:left w:val="single" w:color="CCCCCC" w:sz="1"/>
              <w:bottom w:val="single" w:color="CCCCCC" w:sz="1"/>
              <w:right w:val="single" w:color="CCCCCC" w:sz="1"/>
            </w:tcBorders>
            <w:shd w:fill="EEEDF9" w:val="clear"/>
            <w:tcMar>
              <w:top w:type="dxa" w:w="80"/>
              <w:left w:type="dxa" w:w="120"/>
              <w:bottom w:type="dxa" w:w="80"/>
              <w:right w:type="dxa" w:w="120"/>
            </w:tcMar>
          </w:tcPr>
          <w:p>
            <w:r>
              <w:rPr>
                <w:rFonts w:ascii="Arial" w:cs="Arial" w:eastAsia="Arial" w:hAnsi="Arial"/>
                <w:b/>
                <w:bCs/>
                <w:color w:val="3C3489"/>
                <w:sz w:val="22"/>
                <w:szCs w:val="22"/>
              </w:rPr>
              <w:t xml:space="preserve">Does AI IRF CERT® satisfy DORA Art. 6?</w:t>
            </w:r>
          </w:p>
        </w:tc>
        <w:tc>
          <w:tcPr>
            <w:tcW w:type="dxa" w:w="57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both"/>
            </w:pPr>
            <w:r>
              <w:rPr>
                <w:rFonts w:ascii="Arial" w:cs="Arial" w:eastAsia="Arial" w:hAnsi="Arial"/>
                <w:color w:val="3D3D3A"/>
                <w:sz w:val="22"/>
                <w:szCs w:val="22"/>
              </w:rPr>
              <w:t xml:space="preserve">AI IRF CERT® certification provides documented evidence for the ICT risk management framework required by DORA Art. 6, specifically for AI systems within scope. It does not replace DORA's broader ICT risk management obligations but materially reduces the evidence gap for AI-specific controls.</w:t>
            </w:r>
          </w:p>
        </w:tc>
      </w:tr>
      <w:tr>
        <w:tc>
          <w:tcPr>
            <w:tcW w:type="dxa" w:w="3600"/>
            <w:tcBorders>
              <w:top w:val="single" w:color="CCCCCC" w:sz="1"/>
              <w:left w:val="single" w:color="CCCCCC" w:sz="1"/>
              <w:bottom w:val="single" w:color="CCCCCC" w:sz="1"/>
              <w:right w:val="single" w:color="CCCCCC" w:sz="1"/>
            </w:tcBorders>
            <w:shd w:fill="EEEDF9" w:val="clear"/>
            <w:tcMar>
              <w:top w:type="dxa" w:w="80"/>
              <w:left w:type="dxa" w:w="120"/>
              <w:bottom w:type="dxa" w:w="80"/>
              <w:right w:type="dxa" w:w="120"/>
            </w:tcMar>
          </w:tcPr>
          <w:p>
            <w:r>
              <w:rPr>
                <w:rFonts w:ascii="Arial" w:cs="Arial" w:eastAsia="Arial" w:hAnsi="Arial"/>
                <w:b/>
                <w:bCs/>
                <w:color w:val="3C3489"/>
                <w:sz w:val="22"/>
                <w:szCs w:val="22"/>
              </w:rPr>
              <w:t xml:space="preserve">Will regulators (ECB, PRA, RBI) accept AI IRF CERT® as evidence?</w:t>
            </w:r>
          </w:p>
        </w:tc>
        <w:tc>
          <w:tcPr>
            <w:tcW w:type="dxa" w:w="57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both"/>
            </w:pPr>
            <w:r>
              <w:rPr>
                <w:rFonts w:ascii="Arial" w:cs="Arial" w:eastAsia="Arial" w:hAnsi="Arial"/>
                <w:color w:val="3D3D3A"/>
                <w:sz w:val="22"/>
                <w:szCs w:val="22"/>
              </w:rPr>
              <w:t xml:space="preserve">AI-IRF® v1.0 is aligned with DORA, RBI, and EU AI Act requirements. Accredited CBs conduct audits under ISO/IEC 17065 governance. Regulators do not pre-approve third-party certification schemes, but a third-party audited certification is materially stronger evidence than self-attestation.</w:t>
            </w:r>
          </w:p>
        </w:tc>
      </w:tr>
      <w:tr>
        <w:tc>
          <w:tcPr>
            <w:tcW w:type="dxa" w:w="3600"/>
            <w:tcBorders>
              <w:top w:val="single" w:color="CCCCCC" w:sz="1"/>
              <w:left w:val="single" w:color="CCCCCC" w:sz="1"/>
              <w:bottom w:val="single" w:color="CCCCCC" w:sz="1"/>
              <w:right w:val="single" w:color="CCCCCC" w:sz="1"/>
            </w:tcBorders>
            <w:shd w:fill="EEEDF9" w:val="clear"/>
            <w:tcMar>
              <w:top w:type="dxa" w:w="80"/>
              <w:left w:type="dxa" w:w="120"/>
              <w:bottom w:type="dxa" w:w="80"/>
              <w:right w:type="dxa" w:w="120"/>
            </w:tcMar>
          </w:tcPr>
          <w:p>
            <w:r>
              <w:rPr>
                <w:rFonts w:ascii="Arial" w:cs="Arial" w:eastAsia="Arial" w:hAnsi="Arial"/>
                <w:b/>
                <w:bCs/>
                <w:color w:val="3C3489"/>
                <w:sz w:val="22"/>
                <w:szCs w:val="22"/>
              </w:rPr>
              <w:t xml:space="preserve">How does this interact with our existing ISO 27001 certification?</w:t>
            </w:r>
          </w:p>
        </w:tc>
        <w:tc>
          <w:tcPr>
            <w:tcW w:type="dxa" w:w="57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both"/>
            </w:pPr>
            <w:r>
              <w:rPr>
                <w:rFonts w:ascii="Arial" w:cs="Arial" w:eastAsia="Arial" w:hAnsi="Arial"/>
                <w:color w:val="3D3D3A"/>
                <w:sz w:val="22"/>
                <w:szCs w:val="22"/>
              </w:rPr>
              <w:t xml:space="preserve">AI-IRF® v1.0 is complementary to ISO 27001. ISO 27001 covers information security broadly; AI-IRF® v1.0 covers AI-specific governance, model risk, bias, and explainability — areas ISO 27001 does not address. Many financial services organisations pursue both.</w:t>
            </w:r>
          </w:p>
        </w:tc>
      </w:tr>
      <w:tr>
        <w:tc>
          <w:tcPr>
            <w:tcW w:type="dxa" w:w="3600"/>
            <w:tcBorders>
              <w:top w:val="single" w:color="CCCCCC" w:sz="1"/>
              <w:left w:val="single" w:color="CCCCCC" w:sz="1"/>
              <w:bottom w:val="single" w:color="CCCCCC" w:sz="1"/>
              <w:right w:val="single" w:color="CCCCCC" w:sz="1"/>
            </w:tcBorders>
            <w:shd w:fill="EEEDF9" w:val="clear"/>
            <w:tcMar>
              <w:top w:type="dxa" w:w="80"/>
              <w:left w:type="dxa" w:w="120"/>
              <w:bottom w:type="dxa" w:w="80"/>
              <w:right w:type="dxa" w:w="120"/>
            </w:tcMar>
          </w:tcPr>
          <w:p>
            <w:r>
              <w:rPr>
                <w:rFonts w:ascii="Arial" w:cs="Arial" w:eastAsia="Arial" w:hAnsi="Arial"/>
                <w:b/>
                <w:bCs/>
                <w:color w:val="3C3489"/>
                <w:sz w:val="22"/>
                <w:szCs w:val="22"/>
              </w:rPr>
              <w:t xml:space="preserve">Can we certify a single AI system rather than our full AI portfolio?</w:t>
            </w:r>
          </w:p>
        </w:tc>
        <w:tc>
          <w:tcPr>
            <w:tcW w:type="dxa" w:w="57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both"/>
            </w:pPr>
            <w:r>
              <w:rPr>
                <w:rFonts w:ascii="Arial" w:cs="Arial" w:eastAsia="Arial" w:hAnsi="Arial"/>
                <w:color w:val="3D3D3A"/>
                <w:sz w:val="22"/>
                <w:szCs w:val="22"/>
              </w:rPr>
              <w:t xml:space="preserve">Yes. Certification scope is agreed between the organisation and the CB. Starting with one high-risk AI system (e.g. the credit scoring model) and expanding scope at recertification is a valid and recommended approach.</w:t>
            </w:r>
          </w:p>
        </w:tc>
      </w:tr>
      <w:tr>
        <w:tc>
          <w:tcPr>
            <w:tcW w:type="dxa" w:w="3600"/>
            <w:tcBorders>
              <w:top w:val="single" w:color="CCCCCC" w:sz="1"/>
              <w:left w:val="single" w:color="CCCCCC" w:sz="1"/>
              <w:bottom w:val="single" w:color="CCCCCC" w:sz="1"/>
              <w:right w:val="single" w:color="CCCCCC" w:sz="1"/>
            </w:tcBorders>
            <w:shd w:fill="EEEDF9" w:val="clear"/>
            <w:tcMar>
              <w:top w:type="dxa" w:w="80"/>
              <w:left w:type="dxa" w:w="120"/>
              <w:bottom w:type="dxa" w:w="80"/>
              <w:right w:type="dxa" w:w="120"/>
            </w:tcMar>
          </w:tcPr>
          <w:p>
            <w:r>
              <w:rPr>
                <w:rFonts w:ascii="Arial" w:cs="Arial" w:eastAsia="Arial" w:hAnsi="Arial"/>
                <w:b/>
                <w:bCs/>
                <w:color w:val="3C3489"/>
                <w:sz w:val="22"/>
                <w:szCs w:val="22"/>
              </w:rPr>
              <w:t xml:space="preserve">What is the typical timeline for a financial services organisation to achieve certification?</w:t>
            </w:r>
          </w:p>
        </w:tc>
        <w:tc>
          <w:tcPr>
            <w:tcW w:type="dxa" w:w="57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both"/>
            </w:pPr>
            <w:r>
              <w:rPr>
                <w:rFonts w:ascii="Arial" w:cs="Arial" w:eastAsia="Arial" w:hAnsi="Arial"/>
                <w:color w:val="3D3D3A"/>
                <w:sz w:val="22"/>
                <w:szCs w:val="22"/>
              </w:rPr>
              <w:t xml:space="preserve">6–12 months from readiness assessment to certificate, depending on the number of AI systems in scope and the maturity of existing governance documentation. Organisations with DORA-compliant ICT risk frameworks typically achieve this in 6–8 months.</w:t>
            </w:r>
          </w:p>
        </w:tc>
      </w:tr>
    </w:tbl>
    <w:p>
      <w:pPr>
        <w:spacing w:after="0" w:before="120"/>
      </w:pPr>
      <w:r>
        <w:t xml:space="preserve"/>
      </w:r>
    </w:p>
    <w:p>
      <w:pPr>
        <w:pStyle w:val="Heading1"/>
        <w:pBdr>
          <w:bottom w:val="single" w:color="EEEDF9" w:sz="4" w:space="4"/>
        </w:pBdr>
        <w:spacing w:after="160" w:before="360"/>
      </w:pPr>
      <w:r>
        <w:rPr>
          <w:rFonts w:ascii="Arial" w:cs="Arial" w:eastAsia="Arial" w:hAnsi="Arial"/>
          <w:b/>
          <w:bCs/>
          <w:color w:val="3C3489"/>
          <w:sz w:val="28"/>
          <w:szCs w:val="28"/>
        </w:rPr>
        <w:t xml:space="preserve">7. Contact and Next Steps</w:t>
      </w:r>
    </w:p>
    <w:p>
      <w:pPr>
        <w:spacing w:after="120" w:before="0"/>
        <w:jc w:val="both"/>
      </w:pPr>
      <w:r>
        <w:rPr>
          <w:rFonts w:ascii="Arial" w:cs="Arial" w:eastAsia="Arial" w:hAnsi="Arial"/>
          <w:color w:val="3D3D3A"/>
          <w:sz w:val="24"/>
          <w:szCs w:val="24"/>
        </w:rPr>
        <w:t xml:space="preserve">To begin the AI IRF CERT® certification journey, contact ODA3 Pvt Ltd to: identify an accredited CB in your jurisdiction; access the AI-IRF® v1.0 Readiness Assessment tool; and receive a copy of the AI-IRF® v1.0 Technical Report. Contact: contact@oda3.org. For regulatory mapping enquiries specific to your jurisdiction: contact@oda3.org.</w:t>
      </w:r>
    </w:p>
    <w:p>
      <w:pPr>
        <w:spacing w:after="0" w:before="200"/>
      </w:pPr>
      <w:r>
        <w:t xml:space="preserve"/>
      </w:r>
    </w:p>
    <w:p>
      <w:pPr>
        <w:jc w:val="center"/>
      </w:pPr>
      <w:r>
        <w:rPr>
          <w:rFonts w:ascii="Arial" w:cs="Arial" w:eastAsia="Arial" w:hAnsi="Arial"/>
          <w:color w:val="6B6B68"/>
          <w:sz w:val="18"/>
          <w:szCs w:val="18"/>
        </w:rPr>
        <w:t xml:space="preserve">ODA3-2026-06-RPT-SCS-024  |  Version 1.0  |  © 2026 ODA3 Pvt Ltd. All Rights Reserved. | GEL v1.0 | https://oda3.org/ Public document.</w:t>
      </w:r>
    </w:p>
    <w:sectPr>
      <w:headerReference w:type="default" r:id="rId7"/>
      <w:footerReference w:type="default" r:id="rId8"/>
      <w:pgSz w:w="11906" w:h="16838" w:orient="portrait"/>
      <w:pgMar w:top="1080" w:right="1260" w:bottom="10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EEDF9" w:sz="4" w:space="4"/>
      </w:pBdr>
      <w:spacing w:before="80"/>
    </w:pPr>
    <w:r>
      <w:rPr>
        <w:rFonts w:ascii="Arial" w:cs="Arial" w:eastAsia="Arial" w:hAnsi="Arial"/>
        <w:color w:val="6B6B68"/>
        <w:sz w:val="18"/>
        <w:szCs w:val="18"/>
      </w:rPr>
      <w:t xml:space="preserve">© 2026 ODA3 Pvt Ltd. All Rights Reserved. — Financial Services. Public document.</w:t>
    </w:r>
    <w:r>
      <w:rPr>
        <w:rFonts w:ascii="Arial" w:cs="Arial" w:eastAsia="Arial" w:hAnsi="Arial"/>
        <w:sz w:val="18"/>
        <w:szCs w:val="18"/>
      </w:rPr>
      <w:ptab w:alignment="right" w:relativeTo="margin" w:leader="none"/>
    </w:r>
    <w:r>
      <w:rPr>
        <w:rFonts w:ascii="Arial" w:cs="Arial" w:eastAsia="Arial" w:hAnsi="Arial"/>
        <w:color w:val="6B6B68"/>
        <w:sz w:val="18"/>
        <w:szCs w:val="18"/>
      </w:rPr>
      <w:fldChar w:fldCharType="begin"/>
      <w:instrText xml:space="preserve">PAGE</w:instrText>
      <w:fldChar w:fldCharType="separate"/>
      <w:fldChar w:fldCharType="end"/>
    </w:r>
    <w:r>
      <w:rPr>
        <w:rFonts w:ascii="Arial" w:cs="Arial" w:eastAsia="Arial" w:hAnsi="Arial"/>
        <w:color w:val="6B6B68"/>
        <w:sz w:val="18"/>
        <w:szCs w:val="18"/>
      </w:rPr>
      <w:t xml:space="preserve"> / </w:t>
    </w:r>
    <w:r>
      <w:rPr>
        <w:rFonts w:ascii="Arial" w:cs="Arial" w:eastAsia="Arial" w:hAnsi="Arial"/>
        <w:color w:val="6B6B68"/>
        <w:sz w:val="18"/>
        <w:szCs w:val="18"/>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EEEDF9" w:sz="4" w:space="4"/>
      </w:pBdr>
      <w:spacing w:after="100"/>
    </w:pPr>
    <w:r>
      <w:rPr>
        <w:rFonts w:ascii="Arial" w:cs="Arial" w:eastAsia="Arial" w:hAnsi="Arial"/>
        <w:color w:val="6B6B68"/>
        <w:sz w:val="18"/>
        <w:szCs w:val="18"/>
      </w:rPr>
      <w:t xml:space="preserve">ODA3 Institute  |  Sector Application Note — Financial Services  |  ODA3-2026-06-RPT-SCS-024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08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360"/>
      <w:outlineLvl w:val="0"/>
    </w:pPr>
    <w:rPr>
      <w:rFonts w:ascii="Arial" w:cs="Arial" w:eastAsia="Arial" w:hAnsi="Arial"/>
      <w:b/>
      <w:bCs/>
      <w:color w:val="3C3489"/>
      <w:sz w:val="28"/>
      <w:szCs w:val="28"/>
    </w:rPr>
  </w:style>
  <w:style w:type="paragraph" w:styleId="Heading2">
    <w:name w:val="Heading 2"/>
    <w:basedOn w:val="Normal"/>
    <w:next w:val="Normal"/>
    <w:qFormat/>
    <w:pPr>
      <w:spacing w:after="120" w:before="240"/>
      <w:outlineLvl w:val="1"/>
    </w:pPr>
    <w:rPr>
      <w:rFonts w:ascii="Arial" w:cs="Arial" w:eastAsia="Arial" w:hAnsi="Arial"/>
      <w:b/>
      <w:bCs/>
      <w:color w:val="3D3D3A"/>
      <w:sz w:val="26"/>
      <w:szCs w:val="26"/>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2026-05-30T03:03:26.081Z</dcterms:created>
  <dcterms:modified xsi:type="dcterms:W3CDTF">2026-05-30T03:03:26.081Z</dcterms:modified>
</cp:coreProperties>
</file>

<file path=docProps/custom.xml><?xml version="1.0" encoding="utf-8"?>
<Properties xmlns="http://schemas.openxmlformats.org/officeDocument/2006/custom-properties" xmlns:vt="http://schemas.openxmlformats.org/officeDocument/2006/docPropsVTypes"/>
</file>