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W w:type="dxa" w:w="12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2240"/>
      </w:tblGrid>
      <w:tr>
        <w:trPr>
          <w:trHeight w:val="15840" w:hRule="atLeast"/>
        </w:trPr>
        <w:tc>
          <w:tcPr>
            <w:tcW w:type="dxa" w:w="12240"/>
            <w:shd w:fill="011961" w:val="clear"/>
            <w:tcMar>
              <w:top w:type="dxa" w:w="1900"/>
              <w:left w:type="dxa" w:w="720"/>
              <w:bottom w:type="dxa" w:w="360"/>
              <w:right w:type="dxa" w:w="720"/>
            </w:tcMar>
            <w:vAlign w:val="top"/>
          </w:tcPr>
          <w:p>
            <w:pPr>
              <w:spacing w:before="0" w:after="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8"/>
                <w:szCs w:val="28"/>
              </w:rPr>
              <w:t xml:space="preserve">ODA3 INSTITUTE</w:t>
            </w:r>
          </w:p>
          <w:p>
            <w:pPr>
              <w:spacing w:before="0" w:after="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0C052"/>
                <w:sz w:val="24"/>
                <w:szCs w:val="24"/>
              </w:rPr>
              <w:t xml:space="preserve">Cheat Sheet</w:t>
            </w:r>
          </w:p>
          <w:p>
            <w:pPr>
              <w:spacing w:before="0" w:after="3200"/>
              <w:jc w:val="left"/>
            </w:pPr>
          </w:p>
          <w:p>
            <w:pPr>
              <w:spacing w:before="0" w:after="6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40"/>
                <w:szCs w:val="40"/>
              </w:rPr>
              <w:t xml:space="preserve">30/60/90-Day Operational</w:t>
            </w:r>
          </w:p>
          <w:p>
            <w:pPr>
              <w:spacing w:before="0" w:after="10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40"/>
                <w:szCs w:val="40"/>
              </w:rPr>
              <w:t xml:space="preserve">Readiness Pathway</w:t>
            </w:r>
          </w:p>
          <w:p>
            <w:pPr>
              <w:spacing w:before="0" w:after="300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D3E1F0"/>
                <w:sz w:val="20"/>
                <w:szCs w:val="20"/>
              </w:rPr>
              <w:t xml:space="preserve">GAISSF™, UAIF™ and AI-IRF™ Implementation Checklist</w:t>
            </w:r>
          </w:p>
          <w:p>
            <w:pPr>
              <w:spacing w:before="0" w:after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D3E1F0"/>
                <w:sz w:val="20"/>
                <w:szCs w:val="20"/>
              </w:rPr>
              <w:t xml:space="preserve">DocID: ODA3-2026-07-CHT-HAI-002</w:t>
            </w:r>
          </w:p>
          <w:p>
            <w:pPr>
              <w:spacing w:before="0" w:after="24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D3E1F0"/>
                <w:sz w:val="20"/>
                <w:szCs w:val="20"/>
              </w:rPr>
              <w:t xml:space="preserve">Classification: Public</w:t>
            </w:r>
          </w:p>
          <w:p>
            <w:pPr>
              <w:spacing w:before="0"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DBD9DC"/>
                <w:sz w:val="16"/>
                <w:szCs w:val="16"/>
              </w:rPr>
              <w:t xml:space="preserve">© ODA3 Pvt Ltd</w:t>
            </w:r>
          </w:p>
        </w:tc>
      </w:tr>
    </w:tbl>
    <w:p>
      <w:pPr>
        <w:sectPr>
          <w:pgSz w:w="12240" w:h="15840" w:orient="portrait"/>
          <w:pgMar w:top="0" w:right="0" w:bottom="0" w:left="0" w:header="0" w:footer="0" w:gutter="0"/>
        </w:sectPr>
      </w:pP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5" w:name="X21dc12af4d3eb68c35ec6d5b325ada6cc166bf9"/>
    <w:p>
      <w:pPr>
        <w:pStyle w:val="Heading1"/>
      </w:pPr>
      <w:r>
        <w:t xml:space="preserve">30/60/90-Day EU AI Act Operational-Readiness Pathway</w:t>
      </w:r>
    </w:p>
    <w:p>
      <w:pPr>
        <w:pStyle w:val="FirstParagraph"/>
      </w:pPr>
      <w:r>
        <w:rPr>
          <w:bCs/>
          <w:b/>
        </w:rPr>
        <w:t xml:space="preserve">Governing source:</w:t>
      </w:r>
      <w:r>
        <w:t xml:space="preserve"> </w:t>
      </w:r>
      <w:r>
        <w:t xml:space="preserve">ODA3-2026-07-TCR-HAI-004</w:t>
      </w:r>
      <w:r>
        <w:br/>
      </w:r>
      <w:r>
        <w:rPr>
          <w:bCs/>
          <w:b/>
        </w:rPr>
        <w:t xml:space="preserve">Publication candidate ID:</w:t>
      </w:r>
      <w:r>
        <w:t xml:space="preserve"> </w:t>
      </w:r>
      <w:r>
        <w:t xml:space="preserve">ODA3-2026-07-CHT-HAI-002 — confirm sequence before publication</w:t>
      </w:r>
      <w:r>
        <w:br/>
      </w:r>
      <w:r>
        <w:rPr>
          <w:bCs/>
          <w:b/>
        </w:rPr>
        <w:t xml:space="preserve">Use:</w:t>
      </w:r>
      <w:r>
        <w:t xml:space="preserve"> </w:t>
      </w:r>
      <w:r>
        <w:t xml:space="preserve">Implementation planning; not certification or legal advice</w:t>
      </w:r>
    </w:p>
    <w:bookmarkStart w:id="20" w:name="days-030--scope-classify-and-assign"/>
    <w:p>
      <w:pPr>
        <w:pStyle w:val="Heading2"/>
      </w:pPr>
      <w:r>
        <w:t xml:space="preserve">Days 0–30 — Scope, classify and assign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  <w:tblBorders>
          <w:top w:val="single" w:sz="4" w:color="D5DEE8"/>
          <w:left w:val="single" w:sz="4" w:color="D5DEE8"/>
          <w:bottom w:val="single" w:sz="4" w:color="D5DEE8"/>
          <w:right w:val="single" w:sz="4" w:color="D5DEE8"/>
          <w:insideH w:val="single" w:sz="4" w:color="D5DEE8"/>
          <w:insideV w:val="single" w:sz="4" w:color="D5DEE8"/>
        </w:tblBorders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>
            <w:shd w:fill="011961"/>
            <w:vAlign w:val="center"/>
          </w:tcPr>
          <w:p>
            <w:pPr>
              <w:pStyle w:val="Compact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 xml:space="preserve">Action</w:t>
            </w:r>
          </w:p>
        </w:tc>
        <w:tc>
          <w:tcPr>
            <w:shd w:fill="011961"/>
            <w:vAlign w:val="center"/>
          </w:tcPr>
          <w:p>
            <w:pPr>
              <w:pStyle w:val="Compact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 xml:space="preserve">Primary owner</w:t>
            </w:r>
          </w:p>
        </w:tc>
        <w:tc>
          <w:tcPr>
            <w:shd w:fill="011961"/>
            <w:vAlign w:val="center"/>
          </w:tcPr>
          <w:p>
            <w:pPr>
              <w:pStyle w:val="Compact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 xml:space="preserve">Required evidence</w:t>
            </w:r>
          </w:p>
        </w:tc>
        <w:tc>
          <w:tcPr>
            <w:shd w:fill="011961"/>
            <w:vAlign w:val="center"/>
          </w:tcPr>
          <w:p>
            <w:pPr>
              <w:pStyle w:val="Compact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 xml:space="preserve">Framework support</w:t>
            </w:r>
          </w:p>
        </w:tc>
      </w:tr>
      <w:tr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Reconcile AI-system and GPAI-model inventory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AI governance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Approved inventory and system identifiers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GAISSF</w:t>
            </w:r>
          </w:p>
        </w:tc>
      </w:tr>
      <w:tr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Record actor role and legal entity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Legal/compliance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Dated applicability memorandum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GAISSF traceability</w:t>
            </w:r>
          </w:p>
        </w:tc>
      </w:tr>
      <w:tr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Screen Article 5 prohibited practices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Legal + product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Screening decision and escalation record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GAISSF + AI-IRF</w:t>
            </w:r>
          </w:p>
        </w:tc>
      </w:tr>
      <w:tr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Assess high-risk classification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Legal + risk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Classification rationale and assumptions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GAISSF D8-CTL-01</w:t>
            </w:r>
          </w:p>
        </w:tc>
      </w:tr>
      <w:tr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Assess Article 50 modalities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Product + legal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Disclosure/marking decision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GAISSF D5 controls</w:t>
            </w:r>
          </w:p>
        </w:tc>
      </w:tr>
      <w:tr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Assign control and evidence owners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Executive sponsor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RACI and evidence register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GAISSF D6</w:t>
            </w:r>
          </w:p>
        </w:tc>
      </w:tr>
      <w:tr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Establish incident identity and minimum record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CISO/IR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UAIF record template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UAIF L0–L6</w:t>
            </w:r>
          </w:p>
        </w:tc>
      </w:tr>
      <w:tr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Decide whether physical AI is in scope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Engineering + risk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Documented D9 inclusion/exclusion rationale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GAISSF D9 conditional scope</w:t>
            </w:r>
          </w:p>
        </w:tc>
      </w:tr>
    </w:tbl>
    <w:p>
      <w:pPr>
        <w:pStyle w:val="BodyText"/>
      </w:pPr>
      <w:r>
        <w:rPr>
          <w:bCs/>
          <w:b/>
        </w:rPr>
        <w:t xml:space="preserve">Gate:</w:t>
      </w:r>
      <w:r>
        <w:t xml:space="preserve"> </w:t>
      </w:r>
      <w:r>
        <w:t xml:space="preserve">No system moves to the implementation phase without an owner, classification record and unresolved-dependency log.</w:t>
      </w:r>
    </w:p>
    <w:bookmarkEnd w:id="20"/>
    <w:bookmarkStart w:id="21" w:name="X521d927fd46d19187828839f809fbd29f7386ba"/>
    <w:p>
      <w:pPr>
        <w:pStyle w:val="Heading2"/>
      </w:pPr>
      <w:r>
        <w:t xml:space="preserve">Days 31–60 — Implement, document and connect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  <w:tblBorders>
          <w:top w:val="single" w:sz="4" w:color="D5DEE8"/>
          <w:left w:val="single" w:sz="4" w:color="D5DEE8"/>
          <w:bottom w:val="single" w:sz="4" w:color="D5DEE8"/>
          <w:right w:val="single" w:sz="4" w:color="D5DEE8"/>
          <w:insideH w:val="single" w:sz="4" w:color="D5DEE8"/>
          <w:insideV w:val="single" w:sz="4" w:color="D5DEE8"/>
        </w:tblBorders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>
            <w:shd w:fill="011961"/>
            <w:vAlign w:val="center"/>
          </w:tcPr>
          <w:p>
            <w:pPr>
              <w:pStyle w:val="Compact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 xml:space="preserve">Action</w:t>
            </w:r>
          </w:p>
        </w:tc>
        <w:tc>
          <w:tcPr>
            <w:shd w:fill="011961"/>
            <w:vAlign w:val="center"/>
          </w:tcPr>
          <w:p>
            <w:pPr>
              <w:pStyle w:val="Compact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 xml:space="preserve">Primary owner</w:t>
            </w:r>
          </w:p>
        </w:tc>
        <w:tc>
          <w:tcPr>
            <w:shd w:fill="011961"/>
            <w:vAlign w:val="center"/>
          </w:tcPr>
          <w:p>
            <w:pPr>
              <w:pStyle w:val="Compact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 xml:space="preserve">Required evidence</w:t>
            </w:r>
          </w:p>
        </w:tc>
        <w:tc>
          <w:tcPr>
            <w:shd w:fill="011961"/>
            <w:vAlign w:val="center"/>
          </w:tcPr>
          <w:p>
            <w:pPr>
              <w:pStyle w:val="Compact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 xml:space="preserve">Framework support</w:t>
            </w:r>
          </w:p>
        </w:tc>
      </w:tr>
      <w:tr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Implement priority security and oversight controls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Engineering + CISO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Configuration, tests and approvals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GAISSF D1–D6</w:t>
            </w:r>
          </w:p>
        </w:tc>
      </w:tr>
      <w:tr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Define logging and retention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Security architecture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Log specification and retention proof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GAISSF D6-CTL-02 + UAIF</w:t>
            </w:r>
          </w:p>
        </w:tc>
      </w:tr>
      <w:tr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Complete technical-documentation index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Model owner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Controlled document set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GAISSF D6-CTL-03</w:t>
            </w:r>
          </w:p>
        </w:tc>
      </w:tr>
      <w:tr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Configure incident classification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IR lead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Valid UAIF examples and review workflow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UAIF</w:t>
            </w:r>
          </w:p>
        </w:tc>
      </w:tr>
      <w:tr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Calibrate provisional scoring inputs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IR + risk + legal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Calibration rationale and human-review rule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UAIF L2; routing only</w:t>
            </w:r>
          </w:p>
        </w:tc>
      </w:tr>
      <w:tr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Map playbooks and command roles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CISO + legal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Approved AI-IRF playbooks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AI-IRF</w:t>
            </w:r>
          </w:p>
        </w:tc>
      </w:tr>
      <w:tr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Test Article 50 notices/marking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Product owner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Test results and exceptions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GAISSF D5-CTL-04 supporting</w:t>
            </w:r>
          </w:p>
        </w:tc>
      </w:tr>
      <w:tr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Define potential Article 73 review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Legal + IR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Decision tree and escalation contacts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UAIF + AI-IRF</w:t>
            </w:r>
          </w:p>
        </w:tc>
      </w:tr>
    </w:tbl>
    <w:p>
      <w:pPr>
        <w:pStyle w:val="BodyText"/>
      </w:pPr>
      <w:r>
        <w:rPr>
          <w:bCs/>
          <w:b/>
        </w:rPr>
        <w:t xml:space="preserve">Gate:</w:t>
      </w:r>
      <w:r>
        <w:t xml:space="preserve"> </w:t>
      </w:r>
      <w:r>
        <w:t xml:space="preserve">Controls must produce reviewable evidence; policy text alone does not close the gate.</w:t>
      </w:r>
    </w:p>
    <w:bookmarkEnd w:id="21"/>
    <w:bookmarkStart w:id="22" w:name="Xce7e111f2787bda32bd6c3794e9025becb69546"/>
    <w:p>
      <w:pPr>
        <w:pStyle w:val="Heading2"/>
      </w:pPr>
      <w:r>
        <w:t xml:space="preserve">Days 61–90 — Exercise, challenge and remediate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  <w:tblBorders>
          <w:top w:val="single" w:sz="4" w:color="D5DEE8"/>
          <w:left w:val="single" w:sz="4" w:color="D5DEE8"/>
          <w:bottom w:val="single" w:sz="4" w:color="D5DEE8"/>
          <w:right w:val="single" w:sz="4" w:color="D5DEE8"/>
          <w:insideH w:val="single" w:sz="4" w:color="D5DEE8"/>
          <w:insideV w:val="single" w:sz="4" w:color="D5DEE8"/>
        </w:tblBorders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shd w:fill="011961"/>
            <w:vAlign w:val="center"/>
          </w:tcPr>
          <w:p>
            <w:pPr>
              <w:pStyle w:val="Compact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 xml:space="preserve">Exercise</w:t>
            </w:r>
          </w:p>
        </w:tc>
        <w:tc>
          <w:tcPr>
            <w:shd w:fill="011961"/>
            <w:vAlign w:val="center"/>
          </w:tcPr>
          <w:p>
            <w:pPr>
              <w:pStyle w:val="Compact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 xml:space="preserve">Decision tested</w:t>
            </w:r>
          </w:p>
        </w:tc>
        <w:tc>
          <w:tcPr>
            <w:shd w:fill="011961"/>
            <w:vAlign w:val="center"/>
          </w:tcPr>
          <w:p>
            <w:pPr>
              <w:pStyle w:val="Compact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 xml:space="preserve">Evidence retained</w:t>
            </w:r>
          </w:p>
        </w:tc>
      </w:tr>
      <w:tr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Prohibited-use discovery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Cease, contain, escalate and preserve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Timeline, approvals and corrective action</w:t>
            </w:r>
          </w:p>
        </w:tc>
      </w:tr>
      <w:tr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Transparency-control failure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Detect, disclose, remediate and validate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Failure record, fix and retest</w:t>
            </w:r>
          </w:p>
        </w:tc>
      </w:tr>
      <w:tr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Potential serious incident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Separate severity from reportability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UAIF record, AI-IRF timeline and legal rationale</w:t>
            </w:r>
          </w:p>
        </w:tc>
      </w:tr>
      <w:tr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Model rollback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Authority, integrity and recovery validation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Signed version record and test result</w:t>
            </w:r>
          </w:p>
        </w:tc>
      </w:tr>
      <w:tr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Evidence challenge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Can an independent reviewer reproduce the conclusion?</w:t>
            </w:r>
          </w:p>
        </w:tc>
        <w:tc>
          <w:tcPr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Findings and remediation register</w:t>
            </w:r>
          </w:p>
        </w:tc>
      </w:tr>
      <w:tr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Conditional physical-AI evidence flow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If D9 applies, can a D9-CTL-07 evidence package populate the required UAIF record fields?</w:t>
            </w:r>
          </w:p>
        </w:tc>
        <w:tc>
          <w:tcPr>
            <w:shd w:fill="E6F7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pStyle w:val="Compact"/>
              <w:jc w:val="left"/>
            </w:pPr>
            <w:r>
              <w:rPr>
                <w:rFonts w:ascii="Arial" w:hAnsi="Arial"/>
                <w:color w:val="011961"/>
                <w:sz w:val="15"/>
              </w:rPr>
              <w:t xml:space="preserve">Transformation test, signed evidence and validation result</w:t>
            </w:r>
          </w:p>
        </w:tc>
      </w:tr>
    </w:tbl>
    <w:p>
      <w:pPr>
        <w:pStyle w:val="BodyText"/>
      </w:pPr>
      <w:r>
        <w:rPr>
          <w:bCs/>
          <w:b/>
        </w:rPr>
        <w:t xml:space="preserve">Final gate:</w:t>
      </w:r>
      <w:r>
        <w:t xml:space="preserve"> </w:t>
      </w:r>
      <w:r>
        <w:t xml:space="preserve">Executive approval of residual gaps, exceptions, accountable owners and the roadmap to the applicable 2027 or 2028 date.</w:t>
      </w:r>
    </w:p>
    <w:bookmarkEnd w:id="22"/>
    <w:bookmarkStart w:id="23" w:name="required-recurring-cycle"/>
    <w:p>
      <w:pPr>
        <w:pStyle w:val="Heading2"/>
      </w:pPr>
      <w:r>
        <w:t xml:space="preserve">Required recurring cycle</w:t>
      </w:r>
    </w:p>
    <w:p>
      <w:pPr>
        <w:numPr>
          <w:ilvl w:val="0"/>
          <w:numId w:val="1001"/>
        </w:numPr>
        <w:pStyle w:val="Compact"/>
      </w:pPr>
      <w:r>
        <w:t xml:space="preserve">Monthly: inventory and change review</w:t>
      </w:r>
    </w:p>
    <w:p>
      <w:pPr>
        <w:numPr>
          <w:ilvl w:val="0"/>
          <w:numId w:val="1001"/>
        </w:numPr>
        <w:pStyle w:val="Compact"/>
      </w:pPr>
      <w:r>
        <w:t xml:space="preserve">Quarterly: evidence-quality sampling and playbook exercise</w:t>
      </w:r>
    </w:p>
    <w:p>
      <w:pPr>
        <w:numPr>
          <w:ilvl w:val="0"/>
          <w:numId w:val="1001"/>
        </w:numPr>
        <w:pStyle w:val="Compact"/>
      </w:pPr>
      <w:r>
        <w:t xml:space="preserve">Following material change: applicability and classification reassessment</w:t>
      </w:r>
    </w:p>
    <w:p>
      <w:pPr>
        <w:numPr>
          <w:ilvl w:val="0"/>
          <w:numId w:val="1001"/>
        </w:numPr>
        <w:pStyle w:val="Compact"/>
      </w:pPr>
      <w:r>
        <w:t xml:space="preserve">Following incident: UAIF/AI-IRF lessons fed back into GAISSF controls</w:t>
      </w:r>
    </w:p>
    <w:p>
      <w:pPr>
        <w:numPr>
          <w:ilvl w:val="0"/>
          <w:numId w:val="1001"/>
        </w:numPr>
        <w:pStyle w:val="Compact"/>
      </w:pPr>
      <w:r>
        <w:t xml:space="preserve">Following regulatory change: update source references and dated applicability records</w:t>
      </w:r>
    </w:p>
    <w:bookmarkEnd w:id="23"/>
    <w:bookmarkStart w:id="24" w:name="notably-absent"/>
    <w:p>
      <w:pPr>
        <w:pStyle w:val="Heading2"/>
      </w:pPr>
      <w:r>
        <w:t xml:space="preserve">Notably absent</w:t>
      </w:r>
    </w:p>
    <w:p>
      <w:pPr>
        <w:pStyle w:val="FirstParagraph"/>
      </w:pPr>
      <w:r>
        <w:t xml:space="preserve">This pathway supplies recommended sequencing, not an empirically proven universal implementation duration. It provides no fixed staffing-hour estimate, tooling budget, sector-validated UAIF weights, integration warranty, legal safe harbor or certification result. Retention periods must be determined for the applicable actor, provision, sector and evidence type; the pathway does not impose a universal ten-year rule.</w:t>
      </w:r>
    </w:p>
    <w:bookmarkEnd w:id="24"/>
    <w:bookmarkEnd w:id="25"/>
    <w:p>
      <w:r>
        <w:br w:type="page"/>
      </w:r>
    </w:p>
    <w:p>
      <w:r>
        <w:rPr>
          <w:b/>
          <w:color w:val="011961"/>
          <w:sz w:val="36"/>
        </w:rPr>
        <w:t>Publication control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</w:tcPr>
          <w:p>
            <w:r>
              <w:t>Document ID</w:t>
            </w:r>
          </w:p>
        </w:tc>
        <w:tc>
          <w:tcPr>
            <w:tcW w:type="dxa" w:w="5083"/>
          </w:tcPr>
          <w:p>
            <w:r>
              <w:t>ODA3-2026-07-CHT-HAI-002</w:t>
            </w:r>
          </w:p>
        </w:tc>
      </w:tr>
      <w:tr>
        <w:tc>
          <w:tcPr>
            <w:tcW w:type="dxa" w:w="5083"/>
          </w:tcPr>
          <w:p>
            <w:r>
              <w:t>Status</w:t>
            </w:r>
          </w:p>
        </w:tc>
        <w:tc>
          <w:tcPr>
            <w:tcW w:type="dxa" w:w="5083"/>
          </w:tcPr>
          <w:p>
            <w:r>
              <w:t>Publication candidate — register confirmation required</w:t>
            </w:r>
          </w:p>
        </w:tc>
      </w:tr>
      <w:tr>
        <w:tc>
          <w:tcPr>
            <w:tcW w:type="dxa" w:w="5083"/>
          </w:tcPr>
          <w:p>
            <w:r>
              <w:t>Regulatory baseline</w:t>
            </w:r>
          </w:p>
        </w:tc>
        <w:tc>
          <w:tcPr>
            <w:tcW w:type="dxa" w:w="5083"/>
          </w:tcPr>
          <w:p>
            <w:r>
              <w:t>19 July 2026</w:t>
            </w:r>
          </w:p>
        </w:tc>
      </w:tr>
      <w:tr>
        <w:tc>
          <w:tcPr>
            <w:tcW w:type="dxa" w:w="5083"/>
          </w:tcPr>
          <w:p>
            <w:r>
              <w:t>Publisher</w:t>
            </w:r>
          </w:p>
        </w:tc>
        <w:tc>
          <w:tcPr>
            <w:tcW w:type="dxa" w:w="5083"/>
          </w:tcPr>
          <w:p>
            <w:r>
              <w:t>ODA3 Institute</w:t>
            </w:r>
          </w:p>
        </w:tc>
      </w:tr>
      <w:tr>
        <w:tc>
          <w:tcPr>
            <w:tcW w:type="dxa" w:w="5083"/>
          </w:tcPr>
          <w:p>
            <w:r>
              <w:t>Legal entity</w:t>
            </w:r>
          </w:p>
        </w:tc>
        <w:tc>
          <w:tcPr>
            <w:tcW w:type="dxa" w:w="5083"/>
          </w:tcPr>
          <w:p>
            <w:r>
              <w:t>ODA3 Pvt Ltd</w:t>
            </w:r>
          </w:p>
        </w:tc>
      </w:tr>
      <w:tr>
        <w:tc>
          <w:tcPr>
            <w:tcW w:type="dxa" w:w="5083"/>
          </w:tcPr>
          <w:p>
            <w:r>
              <w:t>Licence</w:t>
            </w:r>
          </w:p>
        </w:tc>
        <w:tc>
          <w:tcPr>
            <w:tcW w:type="dxa" w:w="5083"/>
          </w:tcPr>
          <w:p>
            <w:r>
              <w:t>GAISSF Ecosystem Licence (GEL v1.0)</w:t>
            </w:r>
          </w:p>
        </w:tc>
      </w:tr>
    </w:tbl>
    <w:p>
      <w:r>
        <w:rPr>
          <w:b/>
        </w:rPr>
        <w:t>GAISSF™, UAIF™, and AI-IRF™ are frameworks of ODA3 Institute, referenced under the GAISSF Ecosystem License (GEL) v1.0.</w:t>
      </w:r>
    </w:p>
    <w:p>
      <w:r>
        <w:t>This publication provides operational and implementation guidance. It is not legal advice, certification, conformity assessment, regulatory approval or a guarantee of compliance. Applicability and legal sufficiency require review for the relevant actor, system, model, sector, jurisdiction and facts.</w:t>
      </w:r>
    </w:p>
    <w:sectPr>
      <w:headerReference w:type="default" r:id="rId9"/>
      <w:footerReference w:type="default" r:id="rId10"/>
      <w:pgMar w:top="1037" w:bottom="979" w:left="1037" w:right="1037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011961"/>
        <w:sz w:val="16"/>
      </w:rPr>
      <w:t xml:space="preserve">ODA3-2026-07-CHT-HAI-002 | Page </w:t>
    </w:r>
    <w:r>
      <w:rPr>
        <w:rFonts w:ascii="Arial" w:hAnsi="Arial"/>
        <w:color w:val="011961"/>
        <w:sz w:val="16"/>
      </w:rPr>
      <w:fldChar w:fldCharType="begin"/>
      <w:instrText xml:space="preserve">PAGE</w:instrText>
      <w:fldChar w:fldCharType="end"/>
    </w:r>
    <w:r>
      <w:rPr>
        <w:rFonts w:ascii="Arial" w:hAnsi="Arial"/>
        <w:color w:val="011961"/>
        <w:sz w:val="16"/>
      </w:rPr>
      <w:t xml:space="preserve"> | ODA3 Pvt Ltd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Bdr>
        <w:bottom w:val="single" w:sz="12" w:color="00A6A6"/>
      </w:pBdr>
    </w:pPr>
    <w:r>
      <w:rPr>
        <w:b/>
        <w:color w:val="011961"/>
        <w:sz w:val="16"/>
      </w:rPr>
      <w:t>ODA3 Institute | Cheat Sheet | 30 / 60 / 90-Day Operational Readiness Pathway</w:t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90" w:line="254" w:lineRule="auto"/>
    </w:pPr>
    <w:rPr>
      <w:rFonts w:ascii="Arial" w:hAnsi="Arial" w:eastAsia="Arial"/>
      <w:color w:val="011961"/>
      <w:sz w:val="18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Arial" w:hAnsi="Arial" w:eastAsia="Arial"/>
    </w:rPr>
  </w:style>
  <w:style w:customStyle="1" w:styleId="FirstParagraph" w:type="paragraph">
    <w:name w:val="First Paragraph"/>
    <w:basedOn w:val="BodyText"/>
    <w:next w:val="BodyText"/>
    <w:qFormat/>
    <w:rPr>
      <w:rFonts w:ascii="Arial" w:hAnsi="Arial" w:eastAsia="Arial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Arial" w:hAnsi="Arial" w:eastAsia="Arial"/>
    </w:r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 w:ascii="Arial" w:hAnsi="Arial" w:eastAsia="Arial"/>
      <w:b/>
      <w:bCs/>
      <w:color w:val="011961"/>
      <w:sz w:val="5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Arial" w:hAnsi="Arial" w:eastAsia="Arial"/>
      <w:b/>
      <w:color w:val="00A6A6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Arial" w:hAnsi="Arial" w:eastAsia="Arial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Arial" w:hAnsi="Arial" w:eastAsia="Arial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rFonts w:ascii="Arial" w:hAnsi="Arial" w:eastAsia="Arial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Arial" w:hAnsi="Arial" w:eastAsia="Arial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Arial" w:hAnsi="Arial" w:eastAsia="Arial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 w:ascii="Arial" w:hAnsi="Arial" w:eastAsia="Arial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 w:ascii="Arial" w:hAnsi="Arial" w:eastAsia="Arial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 w:ascii="Arial" w:hAnsi="Arial" w:eastAsia="Arial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 w:ascii="Arial" w:hAnsi="Arial" w:eastAsia="Arial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 w:ascii="Arial" w:hAnsi="Arial" w:eastAsia="Arial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 w:ascii="Arial" w:hAnsi="Arial" w:eastAsia="Arial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 w:ascii="Arial" w:hAnsi="Arial" w:eastAsia="Arial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 w:ascii="Arial" w:hAnsi="Arial" w:eastAsia="Arial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 w:ascii="Arial" w:hAnsi="Arial" w:eastAsia="Arial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Arial" w:hAnsi="Arial" w:eastAsia="Arial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Arial" w:hAnsi="Arial" w:eastAsia="Arial"/>
    </w:rPr>
  </w:style>
  <w:style w:default="1" w:styleId="DefaultParagraphFont" w:type="character">
    <w:name w:val="Default Paragraph Font"/>
    <w:semiHidden/>
    <w:unhideWhenUsed/>
    <w:rPr>
      <w:rFonts w:ascii="Arial" w:hAnsi="Arial" w:eastAsia="Arial"/>
    </w:rPr>
  </w:style>
  <w:style w:default="1" w:styleId="Table" w:type="table">
    <w:name w:val="Table"/>
    <w:basedOn w:val="TableNormal"/>
    <w:semiHidden/>
    <w:unhideWhenUsed/>
    <w:qFormat/>
    <w:rPr>
      <w:rFonts w:ascii="Arial" w:hAnsi="Arial" w:eastAsia="Arial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Arial" w:hAnsi="Arial" w:eastAsia="Arial"/>
      <w:b/>
    </w:rPr>
  </w:style>
  <w:style w:customStyle="1" w:styleId="Definition" w:type="paragraph">
    <w:name w:val="Definition"/>
    <w:basedOn w:val="Normal"/>
    <w:rPr>
      <w:rFonts w:ascii="Arial" w:hAnsi="Arial" w:eastAsia="Arial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Arial" w:hAnsi="Arial" w:eastAsia="Arial"/>
      <w:i/>
    </w:rPr>
  </w:style>
  <w:style w:customStyle="1" w:styleId="TableCaption" w:type="paragraph">
    <w:name w:val="Table Caption"/>
    <w:basedOn w:val="Caption"/>
    <w:pPr>
      <w:keepNext/>
    </w:pPr>
    <w:rPr>
      <w:rFonts w:ascii="Arial" w:hAnsi="Arial" w:eastAsia="Arial"/>
    </w:rPr>
  </w:style>
  <w:style w:customStyle="1" w:styleId="ImageCaption" w:type="paragraph">
    <w:name w:val="Image Caption"/>
    <w:basedOn w:val="Caption"/>
    <w:rPr>
      <w:rFonts w:ascii="Arial" w:hAnsi="Arial" w:eastAsia="Arial"/>
    </w:rPr>
  </w:style>
  <w:style w:customStyle="1" w:styleId="Figure" w:type="paragraph">
    <w:name w:val="Figure"/>
    <w:basedOn w:val="Normal"/>
    <w:rPr>
      <w:rFonts w:ascii="Arial" w:hAnsi="Arial" w:eastAsia="Arial"/>
    </w:rPr>
  </w:style>
  <w:style w:customStyle="1" w:styleId="CaptionedFigure" w:type="paragraph">
    <w:name w:val="Captioned Figure"/>
    <w:basedOn w:val="Figure"/>
    <w:pPr>
      <w:keepNext/>
    </w:pPr>
    <w:rPr>
      <w:rFonts w:ascii="Arial" w:hAnsi="Arial" w:eastAsia="Arial"/>
    </w:rPr>
  </w:style>
  <w:style w:customStyle="1" w:styleId="BodyTextChar" w:type="character">
    <w:name w:val="Body Text Char"/>
    <w:basedOn w:val="DefaultParagraphFont"/>
    <w:link w:val="BodyText"/>
    <w:rPr>
      <w:rFonts w:ascii="Arial" w:hAnsi="Arial" w:eastAsia="Arial"/>
    </w:rPr>
  </w:style>
  <w:style w:customStyle="1" w:styleId="VerbatimChar" w:type="character">
    <w:name w:val="Verbatim Char"/>
    <w:basedOn w:val="BodyTextChar"/>
    <w:rPr>
      <w:rFonts w:ascii="Arial" w:hAnsi="Arial" w:eastAsia="Arial"/>
      <w:sz w:val="22"/>
    </w:rPr>
  </w:style>
  <w:style w:customStyle="1" w:styleId="SectionNumber" w:type="character">
    <w:name w:val="Section Number"/>
    <w:basedOn w:val="BodyTextChar"/>
    <w:rPr>
      <w:rFonts w:ascii="Arial" w:hAnsi="Arial" w:eastAsia="Arial"/>
    </w:rPr>
  </w:style>
  <w:style w:styleId="FootnoteReference" w:type="character">
    <w:name w:val="Footnote Reference"/>
    <w:basedOn w:val="BodyTextChar"/>
    <w:rPr>
      <w:rFonts w:ascii="Arial" w:hAnsi="Arial" w:eastAsia="Arial"/>
      <w:vertAlign w:val="superscript"/>
    </w:rPr>
  </w:style>
  <w:style w:styleId="Hyperlink" w:type="character">
    <w:name w:val="Hyperlink"/>
    <w:basedOn w:val="BodyTextChar"/>
    <w:rPr>
      <w:rFonts w:ascii="Arial" w:hAnsi="Arial" w:eastAsia="Arial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 w:ascii="Arial" w:hAnsi="Arial" w:eastAsia="Arial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  <w:rPr>
      <w:rFonts w:ascii="Arial" w:hAnsi="Arial" w:eastAsia="Arial"/>
    </w:rPr>
  </w:style>
  <w:style w:type="character" w:customStyle="1" w:styleId="KeywordTok">
    <w:name w:val="KeywordTok"/>
    <w:basedOn w:val="VerbatimChar"/>
    <w:rPr>
      <w:color w:val="007020"/>
      <w:rFonts w:ascii="Arial" w:hAnsi="Arial" w:eastAsia="Arial"/>
      <w:b/>
    </w:rPr>
  </w:style>
  <w:style w:type="character" w:customStyle="1" w:styleId="DataTypeTok">
    <w:name w:val="DataTypeTok"/>
    <w:basedOn w:val="VerbatimChar"/>
    <w:rPr>
      <w:rFonts w:ascii="Arial" w:hAnsi="Arial" w:eastAsia="Arial"/>
      <w:color w:val="902000"/>
    </w:rPr>
  </w:style>
  <w:style w:type="character" w:customStyle="1" w:styleId="DecValTok">
    <w:name w:val="DecValTok"/>
    <w:basedOn w:val="VerbatimChar"/>
    <w:rPr>
      <w:rFonts w:ascii="Arial" w:hAnsi="Arial" w:eastAsia="Arial"/>
      <w:color w:val="40a070"/>
    </w:rPr>
  </w:style>
  <w:style w:type="character" w:customStyle="1" w:styleId="BaseNTok">
    <w:name w:val="BaseNTok"/>
    <w:basedOn w:val="VerbatimChar"/>
    <w:rPr>
      <w:rFonts w:ascii="Arial" w:hAnsi="Arial" w:eastAsia="Arial"/>
      <w:color w:val="40a070"/>
    </w:rPr>
  </w:style>
  <w:style w:type="character" w:customStyle="1" w:styleId="FloatTok">
    <w:name w:val="FloatTok"/>
    <w:basedOn w:val="VerbatimChar"/>
    <w:rPr>
      <w:rFonts w:ascii="Arial" w:hAnsi="Arial" w:eastAsia="Arial"/>
      <w:color w:val="40a070"/>
    </w:rPr>
  </w:style>
  <w:style w:type="character" w:customStyle="1" w:styleId="ConstantTok">
    <w:name w:val="ConstantTok"/>
    <w:basedOn w:val="VerbatimChar"/>
    <w:rPr>
      <w:rFonts w:ascii="Arial" w:hAnsi="Arial" w:eastAsia="Arial"/>
      <w:color w:val="880000"/>
    </w:rPr>
  </w:style>
  <w:style w:type="character" w:customStyle="1" w:styleId="CharTok">
    <w:name w:val="CharTok"/>
    <w:basedOn w:val="VerbatimChar"/>
    <w:rPr>
      <w:rFonts w:ascii="Arial" w:hAnsi="Arial" w:eastAsia="Arial"/>
      <w:color w:val="4070a0"/>
    </w:rPr>
  </w:style>
  <w:style w:type="character" w:customStyle="1" w:styleId="SpecialCharTok">
    <w:name w:val="SpecialCharTok"/>
    <w:basedOn w:val="VerbatimChar"/>
    <w:rPr>
      <w:rFonts w:ascii="Arial" w:hAnsi="Arial" w:eastAsia="Arial"/>
      <w:color w:val="4070a0"/>
    </w:rPr>
  </w:style>
  <w:style w:type="character" w:customStyle="1" w:styleId="StringTok">
    <w:name w:val="StringTok"/>
    <w:basedOn w:val="VerbatimChar"/>
    <w:rPr>
      <w:rFonts w:ascii="Arial" w:hAnsi="Arial" w:eastAsia="Arial"/>
      <w:color w:val="4070a0"/>
    </w:rPr>
  </w:style>
  <w:style w:type="character" w:customStyle="1" w:styleId="VerbatimStringTok">
    <w:name w:val="VerbatimStringTok"/>
    <w:basedOn w:val="VerbatimChar"/>
    <w:rPr>
      <w:rFonts w:ascii="Arial" w:hAnsi="Arial" w:eastAsia="Arial"/>
      <w:color w:val="4070a0"/>
    </w:rPr>
  </w:style>
  <w:style w:type="character" w:customStyle="1" w:styleId="SpecialStringTok">
    <w:name w:val="SpecialStringTok"/>
    <w:basedOn w:val="VerbatimChar"/>
    <w:rPr>
      <w:rFonts w:ascii="Arial" w:hAnsi="Arial" w:eastAsia="Arial"/>
      <w:color w:val="bb6688"/>
    </w:rPr>
  </w:style>
  <w:style w:type="character" w:customStyle="1" w:styleId="ImportTok">
    <w:name w:val="ImportTok"/>
    <w:basedOn w:val="VerbatimChar"/>
    <w:rPr>
      <w:color w:val="008000"/>
      <w:rFonts w:ascii="Arial" w:hAnsi="Arial" w:eastAsia="Arial"/>
      <w:b/>
    </w:rPr>
  </w:style>
  <w:style w:type="character" w:customStyle="1" w:styleId="CommentTok">
    <w:name w:val="CommentTok"/>
    <w:basedOn w:val="VerbatimChar"/>
    <w:rPr>
      <w:color w:val="60a0b0"/>
      <w:rFonts w:ascii="Arial" w:hAnsi="Arial" w:eastAsia="Arial"/>
      <w:i/>
    </w:rPr>
  </w:style>
  <w:style w:type="character" w:customStyle="1" w:styleId="DocumentationTok">
    <w:name w:val="DocumentationTok"/>
    <w:basedOn w:val="VerbatimChar"/>
    <w:rPr>
      <w:color w:val="ba2121"/>
      <w:rFonts w:ascii="Arial" w:hAnsi="Arial" w:eastAsia="Arial"/>
      <w:i/>
    </w:rPr>
  </w:style>
  <w:style w:type="character" w:customStyle="1" w:styleId="AnnotationTok">
    <w:name w:val="AnnotationTok"/>
    <w:basedOn w:val="VerbatimChar"/>
    <w:rPr>
      <w:color w:val="60a0b0"/>
      <w:rFonts w:ascii="Arial" w:hAnsi="Arial" w:eastAsia="Arial"/>
      <w:b/>
      <w:i/>
    </w:rPr>
  </w:style>
  <w:style w:type="character" w:customStyle="1" w:styleId="CommentVarTok">
    <w:name w:val="CommentVarTok"/>
    <w:basedOn w:val="VerbatimChar"/>
    <w:rPr>
      <w:color w:val="60a0b0"/>
      <w:rFonts w:ascii="Arial" w:hAnsi="Arial" w:eastAsia="Arial"/>
      <w:b/>
      <w:i/>
    </w:rPr>
  </w:style>
  <w:style w:type="character" w:customStyle="1" w:styleId="OtherTok">
    <w:name w:val="OtherTok"/>
    <w:basedOn w:val="VerbatimChar"/>
    <w:rPr>
      <w:rFonts w:ascii="Arial" w:hAnsi="Arial" w:eastAsia="Arial"/>
      <w:color w:val="007020"/>
    </w:rPr>
  </w:style>
  <w:style w:type="character" w:customStyle="1" w:styleId="FunctionTok">
    <w:name w:val="FunctionTok"/>
    <w:basedOn w:val="VerbatimChar"/>
    <w:rPr>
      <w:rFonts w:ascii="Arial" w:hAnsi="Arial" w:eastAsia="Arial"/>
      <w:color w:val="06287e"/>
    </w:rPr>
  </w:style>
  <w:style w:type="character" w:customStyle="1" w:styleId="VariableTok">
    <w:name w:val="VariableTok"/>
    <w:basedOn w:val="VerbatimChar"/>
    <w:rPr>
      <w:rFonts w:ascii="Arial" w:hAnsi="Arial" w:eastAsia="Arial"/>
      <w:color w:val="19177c"/>
    </w:rPr>
  </w:style>
  <w:style w:type="character" w:customStyle="1" w:styleId="ControlFlowTok">
    <w:name w:val="ControlFlowTok"/>
    <w:basedOn w:val="VerbatimChar"/>
    <w:rPr>
      <w:color w:val="007020"/>
      <w:rFonts w:ascii="Arial" w:hAnsi="Arial" w:eastAsia="Arial"/>
      <w:b/>
    </w:rPr>
  </w:style>
  <w:style w:type="character" w:customStyle="1" w:styleId="OperatorTok">
    <w:name w:val="OperatorTok"/>
    <w:basedOn w:val="VerbatimChar"/>
    <w:rPr>
      <w:rFonts w:ascii="Arial" w:hAnsi="Arial" w:eastAsia="Arial"/>
      <w:color w:val="666666"/>
    </w:rPr>
  </w:style>
  <w:style w:type="character" w:customStyle="1" w:styleId="BuiltInTok">
    <w:name w:val="BuiltInTok"/>
    <w:basedOn w:val="VerbatimChar"/>
    <w:rPr>
      <w:rFonts w:ascii="Arial" w:hAnsi="Arial" w:eastAsia="Arial"/>
      <w:color w:val="008000"/>
    </w:rPr>
  </w:style>
  <w:style w:type="character" w:customStyle="1" w:styleId="ExtensionTok">
    <w:name w:val="ExtensionTok"/>
    <w:basedOn w:val="VerbatimChar"/>
    <w:rPr>
      <w:rFonts w:ascii="Arial" w:hAnsi="Arial" w:eastAsia="Arial"/>
    </w:rPr>
  </w:style>
  <w:style w:type="character" w:customStyle="1" w:styleId="PreprocessorTok">
    <w:name w:val="PreprocessorTok"/>
    <w:basedOn w:val="VerbatimChar"/>
    <w:rPr>
      <w:rFonts w:ascii="Arial" w:hAnsi="Arial" w:eastAsia="Arial"/>
      <w:color w:val="bc7a00"/>
    </w:rPr>
  </w:style>
  <w:style w:type="character" w:customStyle="1" w:styleId="AttributeTok">
    <w:name w:val="AttributeTok"/>
    <w:basedOn w:val="VerbatimChar"/>
    <w:rPr>
      <w:rFonts w:ascii="Arial" w:hAnsi="Arial" w:eastAsia="Arial"/>
      <w:color w:val="7d9029"/>
    </w:rPr>
  </w:style>
  <w:style w:type="character" w:customStyle="1" w:styleId="RegionMarkerTok">
    <w:name w:val="RegionMarkerTok"/>
    <w:basedOn w:val="VerbatimChar"/>
    <w:rPr>
      <w:rFonts w:ascii="Arial" w:hAnsi="Arial" w:eastAsia="Arial"/>
    </w:rPr>
  </w:style>
  <w:style w:type="character" w:customStyle="1" w:styleId="InformationTok">
    <w:name w:val="InformationTok"/>
    <w:basedOn w:val="VerbatimChar"/>
    <w:rPr>
      <w:color w:val="60a0b0"/>
      <w:rFonts w:ascii="Arial" w:hAnsi="Arial" w:eastAsia="Arial"/>
      <w:b/>
      <w:i/>
    </w:rPr>
  </w:style>
  <w:style w:type="character" w:customStyle="1" w:styleId="WarningTok">
    <w:name w:val="WarningTok"/>
    <w:basedOn w:val="VerbatimChar"/>
    <w:rPr>
      <w:color w:val="60a0b0"/>
      <w:rFonts w:ascii="Arial" w:hAnsi="Arial" w:eastAsia="Arial"/>
      <w:b/>
      <w:i/>
    </w:rPr>
  </w:style>
  <w:style w:type="character" w:customStyle="1" w:styleId="AlertTok">
    <w:name w:val="AlertTok"/>
    <w:basedOn w:val="VerbatimChar"/>
    <w:rPr>
      <w:color w:val="ff0000"/>
      <w:rFonts w:ascii="Arial" w:hAnsi="Arial" w:eastAsia="Arial"/>
      <w:b/>
    </w:rPr>
  </w:style>
  <w:style w:type="character" w:customStyle="1" w:styleId="ErrorTok">
    <w:name w:val="ErrorTok"/>
    <w:basedOn w:val="VerbatimChar"/>
    <w:rPr>
      <w:color w:val="ff0000"/>
      <w:rFonts w:ascii="Arial" w:hAnsi="Arial" w:eastAsia="Arial"/>
      <w:b/>
    </w:rPr>
  </w:style>
  <w:style w:type="character" w:customStyle="1" w:styleId="NormalTok">
    <w:name w:val="NormalTok"/>
    <w:basedOn w:val="VerbatimChar"/>
    <w:rPr>
      <w:rFonts w:ascii="Arial" w:hAnsi="Arial" w:eastAsia="Arial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2026-07-19T17:30:33Z</dcterms:created>
  <dcterms:modified xsi:type="dcterms:W3CDTF">2026-07-19T17:30:33Z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