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63A5F"/>
          <w:sz w:val="24"/>
        </w:rPr>
        <w:t>ODA3 Institute</w:t>
      </w:r>
    </w:p>
    <w:p>
      <w:pPr>
        <w:pStyle w:val="Title"/>
        <w:jc w:val="center"/>
      </w:pPr>
      <w:r>
        <w:t>GAISSF-NIST AI RMF Mapping</w:t>
      </w:r>
    </w:p>
    <w:p>
      <w:pPr>
        <w:jc w:val="center"/>
      </w:pPr>
      <w:r>
        <w:rPr>
          <w:b/>
          <w:sz w:val="20"/>
        </w:rPr>
        <w:t>CRO-022 | Website Summary | Version 1.0</w:t>
      </w:r>
    </w:p>
    <w:p>
      <w:pPr>
        <w:jc w:val="center"/>
      </w:pPr>
      <w:r>
        <w:t>Publication Candidate | 29 June 2026</w:t>
      </w:r>
    </w:p>
    <w:p>
      <w:pPr>
        <w:pStyle w:val="Heading1"/>
      </w:pPr>
      <w:r>
        <w:t>Overview</w:t>
      </w:r>
    </w:p>
    <w:p>
      <w:r>
        <w:t>CRO-022 provides a bidirectional, source-bounded crosswalk between the 59 controls in GAISSF v1.0 and the 72 Core subcategories in NIST AI 100-1, Artificial Intelligence Risk Management Framework (AI RMF 1.0). It is designed for implementation planning, gap analysis, control rationalization, evidence reuse, internal assurance, and preparation of NIST AI RMF Current and Target Profiles.</w:t>
      </w:r>
    </w:p>
    <w:p>
      <w:r>
        <w:t>The crosswalk maps substantive outcomes rather than titles or shared terminology. Each mapping record includes a relationship classification, coverage status, confidence rating, rationale, and residual gap. NIST AI RMF Playbook material is treated as informative guidance, and the NIST Generative AI Profile is kept separate from the AI RMF 1.0 Core.</w:t>
      </w:r>
    </w:p>
    <w:p>
      <w:pPr>
        <w:pStyle w:val="Heading1"/>
      </w:pPr>
      <w:r>
        <w:t>Publication Package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63A5F"/>
            <w:vAlign w:val="center"/>
          </w:tcPr>
          <w:p>
            <w:r/>
            <w:r>
              <w:rPr>
                <w:b/>
                <w:color w:val="FFFFFF"/>
                <w:sz w:val="18"/>
              </w:rPr>
              <w:t>File</w:t>
            </w:r>
          </w:p>
        </w:tc>
        <w:tc>
          <w:tcPr>
            <w:tcW w:type="dxa" w:w="3360"/>
            <w:shd w:fill="163A5F"/>
            <w:vAlign w:val="center"/>
          </w:tcPr>
          <w:p>
            <w:r/>
            <w:r>
              <w:rPr>
                <w:b/>
                <w:color w:val="FFFFFF"/>
                <w:sz w:val="18"/>
              </w:rPr>
              <w:t>Purpose</w:t>
            </w:r>
          </w:p>
        </w:tc>
        <w:tc>
          <w:tcPr>
            <w:tcW w:type="dxa" w:w="3360"/>
            <w:shd w:fill="163A5F"/>
            <w:vAlign w:val="center"/>
          </w:tcPr>
          <w:p>
            <w:r/>
            <w:r>
              <w:rPr>
                <w:b/>
                <w:color w:val="FFFFFF"/>
                <w:sz w:val="18"/>
              </w:rPr>
              <w:t>Format</w:t>
            </w:r>
          </w:p>
        </w:tc>
      </w:tr>
      <w:tr>
        <w:tc>
          <w:tcPr>
            <w:tcW w:type="dxa" w:w="3360"/>
            <w:vAlign w:val="center"/>
          </w:tcPr>
          <w:p>
            <w:r/>
            <w:r>
              <w:rPr>
                <w:b w:val="0"/>
                <w:sz w:val="16"/>
              </w:rPr>
              <w:t>Full Crosswalk</w:t>
            </w:r>
          </w:p>
        </w:tc>
        <w:tc>
          <w:tcPr>
            <w:tcW w:type="dxa" w:w="3360"/>
            <w:vAlign w:val="center"/>
          </w:tcPr>
          <w:p>
            <w:r/>
            <w:r>
              <w:rPr>
                <w:b w:val="0"/>
                <w:sz w:val="16"/>
              </w:rPr>
              <w:t>Publication-ready methodology, findings, limitations, and annexes</w:t>
            </w:r>
          </w:p>
        </w:tc>
        <w:tc>
          <w:tcPr>
            <w:tcW w:type="dxa" w:w="3360"/>
            <w:vAlign w:val="center"/>
          </w:tcPr>
          <w:p>
            <w:r/>
            <w:r>
              <w:rPr>
                <w:b w:val="0"/>
                <w:sz w:val="16"/>
              </w:rPr>
              <w:t>DOCX</w:t>
            </w:r>
          </w:p>
        </w:tc>
      </w:tr>
      <w:tr>
        <w:tc>
          <w:tcPr>
            <w:tcW w:type="dxa" w:w="3360"/>
            <w:vAlign w:val="center"/>
          </w:tcPr>
          <w:p>
            <w:r/>
            <w:r>
              <w:rPr>
                <w:b w:val="0"/>
                <w:sz w:val="16"/>
              </w:rPr>
              <w:t>Mapping Register</w:t>
            </w:r>
          </w:p>
        </w:tc>
        <w:tc>
          <w:tcPr>
            <w:tcW w:type="dxa" w:w="3360"/>
            <w:vAlign w:val="center"/>
          </w:tcPr>
          <w:p>
            <w:r/>
            <w:r>
              <w:rPr>
                <w:b w:val="0"/>
                <w:sz w:val="16"/>
              </w:rPr>
              <w:t>Detailed forward and reverse registers, source register, vocabulary, and QA</w:t>
            </w:r>
          </w:p>
        </w:tc>
        <w:tc>
          <w:tcPr>
            <w:tcW w:type="dxa" w:w="3360"/>
            <w:vAlign w:val="center"/>
          </w:tcPr>
          <w:p>
            <w:r/>
            <w:r>
              <w:rPr>
                <w:b w:val="0"/>
                <w:sz w:val="16"/>
              </w:rPr>
              <w:t>XLSX</w:t>
            </w:r>
          </w:p>
        </w:tc>
      </w:tr>
      <w:tr>
        <w:tc>
          <w:tcPr>
            <w:tcW w:type="dxa" w:w="3360"/>
            <w:vAlign w:val="center"/>
          </w:tcPr>
          <w:p>
            <w:r/>
            <w:r>
              <w:rPr>
                <w:b w:val="0"/>
                <w:sz w:val="16"/>
              </w:rPr>
              <w:t>GitHub Edition</w:t>
            </w:r>
          </w:p>
        </w:tc>
        <w:tc>
          <w:tcPr>
            <w:tcW w:type="dxa" w:w="3360"/>
            <w:vAlign w:val="center"/>
          </w:tcPr>
          <w:p>
            <w:r/>
            <w:r>
              <w:rPr>
                <w:b w:val="0"/>
                <w:sz w:val="16"/>
              </w:rPr>
              <w:t>Repository-ready public text edition</w:t>
            </w:r>
          </w:p>
        </w:tc>
        <w:tc>
          <w:tcPr>
            <w:tcW w:type="dxa" w:w="3360"/>
            <w:vAlign w:val="center"/>
          </w:tcPr>
          <w:p>
            <w:r/>
            <w:r>
              <w:rPr>
                <w:b w:val="0"/>
                <w:sz w:val="16"/>
              </w:rPr>
              <w:t>Markdown</w:t>
            </w:r>
          </w:p>
        </w:tc>
      </w:tr>
      <w:tr>
        <w:tc>
          <w:tcPr>
            <w:tcW w:type="dxa" w:w="3360"/>
            <w:vAlign w:val="center"/>
          </w:tcPr>
          <w:p>
            <w:r/>
            <w:r>
              <w:rPr>
                <w:b w:val="0"/>
                <w:sz w:val="16"/>
              </w:rPr>
              <w:t>Website Summary</w:t>
            </w:r>
          </w:p>
        </w:tc>
        <w:tc>
          <w:tcPr>
            <w:tcW w:type="dxa" w:w="3360"/>
            <w:vAlign w:val="center"/>
          </w:tcPr>
          <w:p>
            <w:r/>
            <w:r>
              <w:rPr>
                <w:b w:val="0"/>
                <w:sz w:val="16"/>
              </w:rPr>
              <w:t>Concise public overview and download-page copy</w:t>
            </w:r>
          </w:p>
        </w:tc>
        <w:tc>
          <w:tcPr>
            <w:tcW w:type="dxa" w:w="3360"/>
            <w:vAlign w:val="center"/>
          </w:tcPr>
          <w:p>
            <w:r/>
            <w:r>
              <w:rPr>
                <w:b w:val="0"/>
                <w:sz w:val="16"/>
              </w:rPr>
              <w:t>DOCX</w:t>
            </w:r>
          </w:p>
        </w:tc>
      </w:tr>
      <w:tr>
        <w:tc>
          <w:tcPr>
            <w:tcW w:type="dxa" w:w="3360"/>
            <w:vAlign w:val="center"/>
          </w:tcPr>
          <w:p>
            <w:r/>
            <w:r>
              <w:rPr>
                <w:b w:val="0"/>
                <w:sz w:val="16"/>
              </w:rPr>
              <w:t>Machine-readable Dataset</w:t>
            </w:r>
          </w:p>
        </w:tc>
        <w:tc>
          <w:tcPr>
            <w:tcW w:type="dxa" w:w="3360"/>
            <w:vAlign w:val="center"/>
          </w:tcPr>
          <w:p>
            <w:r/>
            <w:r>
              <w:rPr>
                <w:b w:val="0"/>
                <w:sz w:val="16"/>
              </w:rPr>
              <w:t>Structured controls, subcategories, mappings, metadata, and limitations</w:t>
            </w:r>
          </w:p>
        </w:tc>
        <w:tc>
          <w:tcPr>
            <w:tcW w:type="dxa" w:w="3360"/>
            <w:vAlign w:val="center"/>
          </w:tcPr>
          <w:p>
            <w:r/>
            <w:r>
              <w:rPr>
                <w:b w:val="0"/>
                <w:sz w:val="16"/>
              </w:rPr>
              <w:t>JSON</w:t>
            </w:r>
          </w:p>
        </w:tc>
      </w:tr>
    </w:tbl>
    <w:p>
      <w:pPr>
        <w:pStyle w:val="Heading1"/>
      </w:pPr>
      <w:r>
        <w:t>Scope at a Glance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D9E5F2"/>
            <w:vAlign w:val="center"/>
          </w:tcPr>
          <w:p>
            <w:r/>
            <w:r>
              <w:rPr>
                <w:b/>
                <w:sz w:val="16"/>
              </w:rPr>
              <w:t>GAISSF controls</w:t>
            </w:r>
          </w:p>
        </w:tc>
        <w:tc>
          <w:tcPr>
            <w:tcW w:type="dxa" w:w="2520"/>
            <w:shd w:fill="D9E5F2"/>
            <w:vAlign w:val="center"/>
          </w:tcPr>
          <w:p>
            <w:r/>
            <w:r>
              <w:rPr>
                <w:b/>
                <w:sz w:val="16"/>
              </w:rPr>
              <w:t>GAISSF domains</w:t>
            </w:r>
          </w:p>
        </w:tc>
        <w:tc>
          <w:tcPr>
            <w:tcW w:type="dxa" w:w="2520"/>
            <w:shd w:fill="D9E5F2"/>
            <w:vAlign w:val="center"/>
          </w:tcPr>
          <w:p>
            <w:r/>
            <w:r>
              <w:rPr>
                <w:b/>
                <w:sz w:val="16"/>
              </w:rPr>
              <w:t>NIST Core subcategories</w:t>
            </w:r>
          </w:p>
        </w:tc>
        <w:tc>
          <w:tcPr>
            <w:tcW w:type="dxa" w:w="2520"/>
            <w:shd w:fill="D9E5F2"/>
            <w:vAlign w:val="center"/>
          </w:tcPr>
          <w:p>
            <w:r/>
            <w:r>
              <w:rPr>
                <w:b/>
                <w:sz w:val="16"/>
              </w:rPr>
              <w:t>Forward mapping records</w:t>
            </w:r>
          </w:p>
        </w:tc>
      </w:tr>
      <w:tr>
        <w:tc>
          <w:tcPr>
            <w:tcW w:type="dxa" w:w="2520"/>
            <w:vAlign w:val="center"/>
          </w:tcPr>
          <w:p>
            <w:pPr>
              <w:jc w:val="center"/>
            </w:pPr>
            <w:r/>
            <w:r>
              <w:rPr>
                <w:b/>
                <w:sz w:val="26"/>
              </w:rPr>
              <w:t>59</w:t>
            </w:r>
          </w:p>
        </w:tc>
        <w:tc>
          <w:tcPr>
            <w:tcW w:type="dxa" w:w="2520"/>
            <w:vAlign w:val="center"/>
          </w:tcPr>
          <w:p>
            <w:pPr>
              <w:jc w:val="center"/>
            </w:pPr>
            <w:r/>
            <w:r>
              <w:rPr>
                <w:b/>
                <w:sz w:val="26"/>
              </w:rPr>
              <w:t>9</w:t>
            </w:r>
          </w:p>
        </w:tc>
        <w:tc>
          <w:tcPr>
            <w:tcW w:type="dxa" w:w="2520"/>
            <w:vAlign w:val="center"/>
          </w:tcPr>
          <w:p>
            <w:pPr>
              <w:jc w:val="center"/>
            </w:pPr>
            <w:r/>
            <w:r>
              <w:rPr>
                <w:b/>
                <w:sz w:val="26"/>
              </w:rPr>
              <w:t>72</w:t>
            </w:r>
          </w:p>
        </w:tc>
        <w:tc>
          <w:tcPr>
            <w:tcW w:type="dxa" w:w="2520"/>
            <w:vAlign w:val="center"/>
          </w:tcPr>
          <w:p>
            <w:pPr>
              <w:jc w:val="center"/>
            </w:pPr>
            <w:r/>
            <w:r>
              <w:rPr>
                <w:b/>
                <w:sz w:val="26"/>
              </w:rPr>
              <w:t>167</w:t>
            </w:r>
          </w:p>
        </w:tc>
      </w:tr>
    </w:tbl>
    <w:p>
      <w:pPr>
        <w:pStyle w:val="Heading1"/>
      </w:pPr>
      <w:r>
        <w:t>How to Use CRO-022</w:t>
      </w:r>
    </w:p>
    <w:p>
      <w:pPr>
        <w:pStyle w:val="ListBullet"/>
      </w:pPr>
      <w:r>
        <w:t>Identify which GAISSF controls materially support each NIST AI RMF Core outcome.</w:t>
      </w:r>
    </w:p>
    <w:p>
      <w:pPr>
        <w:pStyle w:val="ListBullet"/>
      </w:pPr>
      <w:r>
        <w:t>Locate NIST outcomes that require activity or evidence beyond the current GAISSF implementation.</w:t>
      </w:r>
    </w:p>
    <w:p>
      <w:pPr>
        <w:pStyle w:val="ListBullet"/>
      </w:pPr>
      <w:r>
        <w:t>Reuse verified policies, risk records, inventories, test results, supplier assessments, and monitoring evidence where scope and currency match.</w:t>
      </w:r>
    </w:p>
    <w:p>
      <w:pPr>
        <w:pStyle w:val="ListBullet"/>
      </w:pPr>
      <w:r>
        <w:t>Build or refine AI RMF Current and Target Profiles without treating the crosswalk as a universal implementation checklist.</w:t>
      </w:r>
    </w:p>
    <w:p>
      <w:pPr>
        <w:pStyle w:val="ListBullet"/>
      </w:pPr>
      <w:r>
        <w:t>Document residual gaps and assign owners rather than collapsing partial relationships into a single compliance percentage.</w:t>
      </w:r>
    </w:p>
    <w:p>
      <w:pPr>
        <w:pStyle w:val="Heading1"/>
      </w:pPr>
      <w:r>
        <w:t>Interpretation Boundaries</w:t>
      </w:r>
    </w:p>
    <w:p>
      <w:pPr>
        <w:pStyle w:val="ListBullet"/>
      </w:pPr>
      <w:r>
        <w:t>GAISSF conformance does not automatically establish implementation of every NIST AI RMF outcome.</w:t>
      </w:r>
    </w:p>
    <w:p>
      <w:pPr>
        <w:pStyle w:val="ListBullet"/>
      </w:pPr>
      <w:r>
        <w:t>CRO-022 is not a NIST certification, endorsement, mutual-recognition decision, regulatory safe harbour, or legal opinion.</w:t>
      </w:r>
    </w:p>
    <w:p>
      <w:pPr>
        <w:pStyle w:val="ListBullet"/>
      </w:pPr>
      <w:r>
        <w:t>A mapping indicates a documented relationship between outcomes; it does not prove design adequacy or operating effectiveness.</w:t>
      </w:r>
    </w:p>
    <w:p>
      <w:pPr>
        <w:pStyle w:val="ListBullet"/>
      </w:pPr>
      <w:r>
        <w:t>Equivalent or near-equivalent classifications are exceptional because GAISSF uses normative control language while NIST AI RMF is voluntary and outcome-oriented.</w:t>
      </w:r>
    </w:p>
    <w:p>
      <w:pPr>
        <w:pStyle w:val="ListBullet"/>
      </w:pPr>
      <w:r>
        <w:t>Organizations must revalidate mappings when either source framework changes or when system context, lifecycle stage, actors, or risk tolerance changes.</w:t>
      </w:r>
    </w:p>
    <w:p>
      <w:pPr>
        <w:pStyle w:val="Heading1"/>
      </w:pPr>
      <w:r>
        <w:t>Notably Absent</w:t>
      </w:r>
    </w:p>
    <w:p>
      <w:r>
        <w:t>The source review did not identify a NIST certification scheme for GAISSF, a NIST endorsement of GAISSF, automatic legal compliance, mandatory universal risk-tolerance thresholds, or evidence that all AI RMF Playbook suggestions are required. CRO-022 therefore makes none of those claims.</w:t>
      </w:r>
    </w:p>
    <w:p>
      <w:pPr>
        <w:pStyle w:val="Heading1"/>
      </w:pPr>
      <w:r>
        <w:t>Primary Audience</w:t>
      </w:r>
    </w:p>
    <w:p>
      <w:r>
        <w:t>CISOs, security architects, AI governance leads, compliance officers, risk managers, internal auditors, assessment bodies, standards participants, and organizations implementing or profiling against the NIST AI RMF.</w:t>
      </w:r>
    </w:p>
    <w:p>
      <w:pPr>
        <w:pStyle w:val="Heading1"/>
      </w:pPr>
      <w:r>
        <w:t>Source Baseline</w:t>
      </w:r>
    </w:p>
    <w:p>
      <w:r>
        <w:t>GAISSF-NOR-001 v1.0 and GAISSF-NOR-004 v1.0, both based on the corrected final 59-control GAISSF baseline; and NIST AI 100-1, AI RMF 1.0, published 26 January 2023. Sources and mappings were verified on 29 June 2026.</w:t>
      </w:r>
    </w:p>
    <w:p>
      <w:pPr>
        <w:jc w:val="center"/>
      </w:pPr>
      <w:r>
        <w:rPr>
          <w:i/>
          <w:sz w:val="16"/>
        </w:rPr>
        <w:t>© 2026 ODA3 Pvt Ltd. Published by ODA3 Institute. Third-party names and marks remain the property of their respective owners.</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63A5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63A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