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75B5"/>
          <w:sz w:val="28"/>
        </w:rPr>
        <w:t>ODA3 Institute</w:t>
      </w:r>
    </w:p>
    <w:p>
      <w:pPr>
        <w:jc w:val="center"/>
      </w:pPr>
      <w:r>
        <w:rPr>
          <w:b/>
          <w:color w:val="17365D"/>
          <w:sz w:val="50"/>
        </w:rPr>
        <w:t>GAISSF-MITRE ATLAS Mapping</w:t>
      </w:r>
    </w:p>
    <w:p>
      <w:pPr>
        <w:jc w:val="center"/>
      </w:pPr>
      <w:r>
        <w:rPr>
          <w:i/>
        </w:rPr>
        <w:t>Website and executive summary</w:t>
      </w:r>
    </w:p>
    <w:p>
      <w:pPr>
        <w:pStyle w:val="Heading1"/>
      </w:pPr>
      <w:r>
        <w:t>Threat-informed alignment for AI systems</w:t>
      </w:r>
    </w:p>
    <w:p>
      <w:r>
        <w:t>CRO-025 connects the GAISSF v1.0 control architecture with MITRE ATLAS adversary tactics and techniques. It helps security architects, AI red teams, governance leads, and assurance teams translate adversary behavior into auditable control, evidence, and testing requirements.</w:t>
      </w:r>
    </w:p>
    <w:p>
      <w:pPr>
        <w:pStyle w:val="Heading1"/>
      </w:pPr>
      <w:r>
        <w:t>Package coverage</w:t>
      </w:r>
    </w:p>
    <w:p>
      <w:pPr>
        <w:pStyle w:val="ListBullet"/>
      </w:pPr>
      <w:r>
        <w:t>All 59 GAISSF controls assessed.</w:t>
      </w:r>
    </w:p>
    <w:p>
      <w:pPr>
        <w:pStyle w:val="ListBullet"/>
      </w:pPr>
      <w:r>
        <w:t>All 16 current ATLAS tactics represented.</w:t>
      </w:r>
    </w:p>
    <w:p>
      <w:pPr>
        <w:pStyle w:val="ListBullet"/>
      </w:pPr>
      <w:r>
        <w:t>82 priority AI-specific techniques mapped.</w:t>
      </w:r>
    </w:p>
    <w:p>
      <w:pPr>
        <w:pStyle w:val="ListBullet"/>
      </w:pPr>
      <w:r>
        <w:t>112 documented control-to-technique relationships.</w:t>
      </w:r>
    </w:p>
    <w:p>
      <w:pPr>
        <w:pStyle w:val="ListBullet"/>
      </w:pPr>
      <w:r>
        <w:t>Machine-readable JSON and spreadsheet registers included.</w:t>
      </w:r>
    </w:p>
    <w:p>
      <w:pPr>
        <w:pStyle w:val="Heading1"/>
      </w:pPr>
      <w:r>
        <w:t>Current source baseline</w:t>
      </w:r>
    </w:p>
    <w:p>
      <w:r>
        <w:t>MITRE ATLAS content release 2026.05, data-format version 6.0.0, modified 27 May 2026. The live matrix reports 16 tactics, 170 techniques including sub-techniques, 35 mitigations, and 57 case studies.</w:t>
      </w:r>
    </w:p>
    <w:p>
      <w:pPr>
        <w:pStyle w:val="Heading1"/>
      </w:pPr>
      <w:r>
        <w:t>Appropriate uses</w:t>
      </w:r>
    </w:p>
    <w:p>
      <w:pPr>
        <w:pStyle w:val="ListBullet"/>
      </w:pPr>
      <w:r>
        <w:t>Threat modelling and abuse-case development</w:t>
      </w:r>
    </w:p>
    <w:p>
      <w:pPr>
        <w:pStyle w:val="ListBullet"/>
      </w:pPr>
      <w:r>
        <w:t>AI red-team and adversary-emulation planning</w:t>
      </w:r>
    </w:p>
    <w:p>
      <w:pPr>
        <w:pStyle w:val="ListBullet"/>
      </w:pPr>
      <w:r>
        <w:t>Control selection and evidence reuse</w:t>
      </w:r>
    </w:p>
    <w:p>
      <w:pPr>
        <w:pStyle w:val="ListBullet"/>
      </w:pPr>
      <w:r>
        <w:t>Detection and telemetry gap analysis</w:t>
      </w:r>
    </w:p>
    <w:p>
      <w:pPr>
        <w:pStyle w:val="ListBullet"/>
      </w:pPr>
      <w:r>
        <w:t>Incident-readiness and assurance scoping</w:t>
      </w:r>
    </w:p>
    <w:p>
      <w:pPr>
        <w:pStyle w:val="Heading1"/>
      </w:pPr>
      <w:r>
        <w:t>What the mapping does not establish</w:t>
      </w:r>
    </w:p>
    <w:p>
      <w:pPr>
        <w:pStyle w:val="ListBullet"/>
      </w:pPr>
      <w:r>
        <w:t>MITRE endorsement or certification</w:t>
      </w:r>
    </w:p>
    <w:p>
      <w:pPr>
        <w:pStyle w:val="ListBullet"/>
      </w:pPr>
      <w:r>
        <w:t>Automatic prevention or detection of mapped techniques</w:t>
      </w:r>
    </w:p>
    <w:p>
      <w:pPr>
        <w:pStyle w:val="ListBullet"/>
      </w:pPr>
      <w:r>
        <w:t>Exhaustive procedure coverage</w:t>
      </w:r>
    </w:p>
    <w:p>
      <w:pPr>
        <w:pStyle w:val="ListBullet"/>
      </w:pPr>
      <w:r>
        <w:t>A substitute for ATT&amp;CK or environment-specific threat intelligence</w:t>
      </w:r>
    </w:p>
    <w:p>
      <w:pPr>
        <w:pStyle w:val="ListBullet"/>
      </w:pPr>
      <w:r>
        <w:t>Regulatory compliance or safe harbour</w:t>
      </w: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ODA3 Institute | CRO-025 Website Summary | © 2026 ODA3 Pvt Ltd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75B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