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7365D"/>
          <w:sz w:val="30"/>
        </w:rPr>
        <w:t>ODA3 Institute</w:t>
      </w:r>
    </w:p>
    <w:p>
      <w:pPr>
        <w:jc w:val="center"/>
      </w:pPr>
      <w:r>
        <w:rPr>
          <w:b/>
          <w:color w:val="17365D"/>
          <w:sz w:val="50"/>
        </w:rPr>
        <w:t>GAISSF-MITRE ATT&amp;CK Mapping</w:t>
      </w:r>
    </w:p>
    <w:p>
      <w:pPr>
        <w:jc w:val="center"/>
      </w:pPr>
      <w:r>
        <w:rPr>
          <w:i/>
          <w:sz w:val="22"/>
        </w:rPr>
        <w:t>CRO-026 | Version 1.0 | Publication Candidate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blHeader w:val="true"/>
        </w:trPr>
        <w:tc>
          <w:tcPr>
            <w:tcW w:type="dxa" w:w="2880"/>
            <w:vAlign w:val="top"/>
            <w:shd w:fill="17365D"/>
          </w:tcPr>
          <w:p>
            <w:r/>
            <w:r>
              <w:rPr>
                <w:b/>
                <w:color w:val="FFFFFF"/>
                <w:sz w:val="14"/>
              </w:rPr>
              <w:t>Field</w:t>
            </w:r>
          </w:p>
        </w:tc>
        <w:tc>
          <w:tcPr>
            <w:tcW w:type="dxa" w:w="7200"/>
            <w:vAlign w:val="top"/>
            <w:shd w:fill="17365D"/>
          </w:tcPr>
          <w:p>
            <w:r/>
            <w:r>
              <w:rPr>
                <w:b/>
                <w:color w:val="FFFFFF"/>
                <w:sz w:val="14"/>
              </w:rPr>
              <w:t>Controlled value</w:t>
            </w:r>
          </w:p>
        </w:tc>
      </w:tr>
      <w:tr>
        <w:tc>
          <w:tcPr>
            <w:tcW w:type="dxa" w:w="2880"/>
            <w:vAlign w:val="top"/>
          </w:tcPr>
          <w:p>
            <w:r/>
            <w:r>
              <w:rPr>
                <w:b w:val="0"/>
                <w:sz w:val="16"/>
              </w:rPr>
              <w:t>Document ID</w:t>
            </w:r>
          </w:p>
        </w:tc>
        <w:tc>
          <w:tcPr>
            <w:tcW w:type="dxa" w:w="7200"/>
            <w:vAlign w:val="top"/>
          </w:tcPr>
          <w:p>
            <w:r/>
            <w:r>
              <w:rPr>
                <w:b w:val="0"/>
                <w:sz w:val="16"/>
              </w:rPr>
              <w:t>CRO-026</w:t>
            </w:r>
          </w:p>
        </w:tc>
      </w:tr>
      <w:tr>
        <w:tc>
          <w:tcPr>
            <w:tcW w:type="dxa" w:w="2880"/>
            <w:vAlign w:val="top"/>
          </w:tcPr>
          <w:p>
            <w:r/>
            <w:r>
              <w:rPr>
                <w:b w:val="0"/>
                <w:sz w:val="16"/>
              </w:rPr>
              <w:t>Version</w:t>
            </w:r>
          </w:p>
        </w:tc>
        <w:tc>
          <w:tcPr>
            <w:tcW w:type="dxa" w:w="7200"/>
            <w:vAlign w:val="top"/>
          </w:tcPr>
          <w:p>
            <w:r/>
            <w:r>
              <w:rPr>
                <w:b w:val="0"/>
                <w:sz w:val="16"/>
              </w:rPr>
              <w:t>1.0</w:t>
            </w:r>
          </w:p>
        </w:tc>
      </w:tr>
      <w:tr>
        <w:tc>
          <w:tcPr>
            <w:tcW w:type="dxa" w:w="2880"/>
            <w:vAlign w:val="top"/>
          </w:tcPr>
          <w:p>
            <w:r/>
            <w:r>
              <w:rPr>
                <w:b w:val="0"/>
                <w:sz w:val="16"/>
              </w:rPr>
              <w:t>Classification</w:t>
            </w:r>
          </w:p>
        </w:tc>
        <w:tc>
          <w:tcPr>
            <w:tcW w:type="dxa" w:w="7200"/>
            <w:vAlign w:val="top"/>
          </w:tcPr>
          <w:p>
            <w:r/>
            <w:r>
              <w:rPr>
                <w:b w:val="0"/>
                <w:sz w:val="16"/>
              </w:rPr>
              <w:t>Crosswalk</w:t>
            </w:r>
          </w:p>
        </w:tc>
      </w:tr>
      <w:tr>
        <w:tc>
          <w:tcPr>
            <w:tcW w:type="dxa" w:w="2880"/>
            <w:vAlign w:val="top"/>
          </w:tcPr>
          <w:p>
            <w:r/>
            <w:r>
              <w:rPr>
                <w:b w:val="0"/>
                <w:sz w:val="16"/>
              </w:rPr>
              <w:t>Status</w:t>
            </w:r>
          </w:p>
        </w:tc>
        <w:tc>
          <w:tcPr>
            <w:tcW w:type="dxa" w:w="7200"/>
            <w:vAlign w:val="top"/>
          </w:tcPr>
          <w:p>
            <w:r/>
            <w:r>
              <w:rPr>
                <w:b w:val="0"/>
                <w:sz w:val="16"/>
              </w:rPr>
              <w:t>Publication Candidate</w:t>
            </w:r>
          </w:p>
        </w:tc>
      </w:tr>
      <w:tr>
        <w:tc>
          <w:tcPr>
            <w:tcW w:type="dxa" w:w="2880"/>
            <w:vAlign w:val="top"/>
          </w:tcPr>
          <w:p>
            <w:r/>
            <w:r>
              <w:rPr>
                <w:b w:val="0"/>
                <w:sz w:val="16"/>
              </w:rPr>
              <w:t>Primary external baseline</w:t>
            </w:r>
          </w:p>
        </w:tc>
        <w:tc>
          <w:tcPr>
            <w:tcW w:type="dxa" w:w="7200"/>
            <w:vAlign w:val="top"/>
          </w:tcPr>
          <w:p>
            <w:r/>
            <w:r>
              <w:rPr>
                <w:b w:val="0"/>
                <w:sz w:val="16"/>
              </w:rPr>
              <w:t>MITRE ATT&amp;CK v19 - Enterprise</w:t>
            </w:r>
          </w:p>
        </w:tc>
      </w:tr>
      <w:tr>
        <w:tc>
          <w:tcPr>
            <w:tcW w:type="dxa" w:w="2880"/>
            <w:vAlign w:val="top"/>
          </w:tcPr>
          <w:p>
            <w:r/>
            <w:r>
              <w:rPr>
                <w:b w:val="0"/>
                <w:sz w:val="16"/>
              </w:rPr>
              <w:t>Publication date</w:t>
            </w:r>
          </w:p>
        </w:tc>
        <w:tc>
          <w:tcPr>
            <w:tcW w:type="dxa" w:w="7200"/>
            <w:vAlign w:val="top"/>
          </w:tcPr>
          <w:p>
            <w:r/>
            <w:r>
              <w:rPr>
                <w:b w:val="0"/>
                <w:sz w:val="16"/>
              </w:rPr>
              <w:t>29 June 2026</w:t>
            </w:r>
          </w:p>
        </w:tc>
      </w:tr>
      <w:tr>
        <w:tc>
          <w:tcPr>
            <w:tcW w:type="dxa" w:w="2880"/>
            <w:vAlign w:val="top"/>
          </w:tcPr>
          <w:p>
            <w:r/>
            <w:r>
              <w:rPr>
                <w:b w:val="0"/>
                <w:sz w:val="16"/>
              </w:rPr>
              <w:t>Publisher</w:t>
            </w:r>
          </w:p>
        </w:tc>
        <w:tc>
          <w:tcPr>
            <w:tcW w:type="dxa" w:w="7200"/>
            <w:vAlign w:val="top"/>
          </w:tcPr>
          <w:p>
            <w:r/>
            <w:r>
              <w:rPr>
                <w:b w:val="0"/>
                <w:sz w:val="16"/>
              </w:rPr>
              <w:t>ODA3 Institute</w:t>
            </w:r>
          </w:p>
        </w:tc>
      </w:tr>
    </w:tbl>
    <w:p>
      <w:r>
        <w:t>© 2026 ODA3 Pvt Ltd. MITRE ATT&amp;CK and related marks are property of The MITRE Corporation. References are for identification and interoperability analysis only. No endorsement, affiliation, certification, or authorization is implied.</w:t>
      </w:r>
    </w:p>
    <w:p>
      <w:r>
        <w:br w:type="page"/>
      </w:r>
    </w:p>
    <w:p>
      <w:pPr>
        <w:pStyle w:val="Heading1"/>
      </w:pPr>
      <w:r>
        <w:t>1. Executive Summary</w:t>
      </w:r>
    </w:p>
    <w:p>
      <w:r>
        <w:t>CRO-026 documents defensive relationships between all 59 GAISSF v1.0 controls and a source-bounded priority set of 100 MITRE ATT&amp;CK Enterprise techniques across all 14 Enterprise tactics. The register contains 112 control-to-technique mapping records and a reverse tactic-level coverage view.</w:t>
      </w:r>
    </w:p>
    <w:p>
      <w:r>
        <w:t>The crosswalk supports threat modelling, detection and telemetry planning, adversary-emulation scoping, evidence reuse, and assurance design. It does not convert ATT&amp;CK into a compliance checklist and does not prove that any mapped technique is prevented, detected, or mitigated in operation.</w:t>
      </w:r>
    </w:p>
    <w:p>
      <w:pPr>
        <w:pStyle w:val="Heading1"/>
      </w:pPr>
      <w:r>
        <w:t>2. Purpose and Intended Use</w:t>
      </w:r>
    </w:p>
    <w:p>
      <w:pPr>
        <w:pStyle w:val="ListBullet"/>
      </w:pPr>
      <w:r>
        <w:t>Translate adversary behavior into GAISSF control and evidence requirements.</w:t>
      </w:r>
    </w:p>
    <w:p>
      <w:pPr>
        <w:pStyle w:val="ListBullet"/>
      </w:pPr>
      <w:r>
        <w:t>Support SOC, threat-intelligence, red-team, purple-team, architecture, and assurance collaboration.</w:t>
      </w:r>
    </w:p>
    <w:p>
      <w:pPr>
        <w:pStyle w:val="ListBullet"/>
      </w:pPr>
      <w:r>
        <w:t>Identify control, telemetry, detection, resilience, and testing gaps.</w:t>
      </w:r>
    </w:p>
    <w:p>
      <w:pPr>
        <w:pStyle w:val="ListBullet"/>
      </w:pPr>
      <w:r>
        <w:t>Provide a repeatable source for GitHub, automation, and assessment tooling.</w:t>
      </w:r>
    </w:p>
    <w:p>
      <w:pPr>
        <w:pStyle w:val="Heading1"/>
      </w:pPr>
      <w:r>
        <w:t>3. Scope</w:t>
      </w:r>
    </w:p>
    <w:p>
      <w:r>
        <w:t>Primary scope: MITRE ATT&amp;CK Enterprise v19. Mobile and ICS are excluded from this edition because their techniques, platforms, operational consequences, and evidence expectations require separate controlled profiles. The official ATT&amp;CK dataset remains authoritative for the complete current technique, sub-technique, procedure, mitigation, detection-strategy, group, software, and campaign inventory.</w:t>
      </w:r>
    </w:p>
    <w:p>
      <w:pPr>
        <w:pStyle w:val="Heading1"/>
      </w:pPr>
      <w:r>
        <w:t>4. Source Baseline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tblHeader w:val="true"/>
        </w:trPr>
        <w:tc>
          <w:tcPr>
            <w:tcW w:type="dxa" w:w="3168"/>
            <w:vAlign w:val="top"/>
            <w:shd w:fill="17365D"/>
          </w:tcPr>
          <w:p>
            <w:r/>
            <w:r>
              <w:rPr>
                <w:b/>
                <w:color w:val="FFFFFF"/>
                <w:sz w:val="14"/>
              </w:rPr>
              <w:t>Source</w:t>
            </w:r>
          </w:p>
        </w:tc>
        <w:tc>
          <w:tcPr>
            <w:tcW w:type="dxa" w:w="3168"/>
            <w:vAlign w:val="top"/>
            <w:shd w:fill="17365D"/>
          </w:tcPr>
          <w:p>
            <w:r/>
            <w:r>
              <w:rPr>
                <w:b/>
                <w:color w:val="FFFFFF"/>
                <w:sz w:val="14"/>
              </w:rPr>
              <w:t>Version / status</w:t>
            </w:r>
          </w:p>
        </w:tc>
        <w:tc>
          <w:tcPr>
            <w:tcW w:type="dxa" w:w="4608"/>
            <w:vAlign w:val="top"/>
            <w:shd w:fill="17365D"/>
          </w:tcPr>
          <w:p>
            <w:r/>
            <w:r>
              <w:rPr>
                <w:b/>
                <w:color w:val="FFFFFF"/>
                <w:sz w:val="14"/>
              </w:rPr>
              <w:t>Use in CRO-026</w:t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6"/>
              </w:rPr>
              <w:t>GAISSF Framework Standard</w:t>
            </w:r>
          </w:p>
        </w:tc>
        <w:tc>
          <w:tcPr>
            <w:tcW w:type="dxa" w:w="3168"/>
            <w:vAlign w:val="top"/>
          </w:tcPr>
          <w:p>
            <w:r/>
            <w:r>
              <w:rPr>
                <w:b w:val="0"/>
                <w:sz w:val="16"/>
              </w:rPr>
              <w:t>GAISSF-NOR-001 v1.0, normative</w:t>
            </w:r>
          </w:p>
        </w:tc>
        <w:tc>
          <w:tcPr>
            <w:tcW w:type="dxa" w:w="4608"/>
            <w:vAlign w:val="top"/>
          </w:tcPr>
          <w:p>
            <w:r/>
            <w:r>
              <w:rPr>
                <w:b w:val="0"/>
                <w:sz w:val="16"/>
              </w:rPr>
              <w:t>Architecture, conformance language and source authority</w:t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6"/>
              </w:rPr>
              <w:t>GAISSF Control Catalogue</w:t>
            </w:r>
          </w:p>
        </w:tc>
        <w:tc>
          <w:tcPr>
            <w:tcW w:type="dxa" w:w="3168"/>
            <w:vAlign w:val="top"/>
          </w:tcPr>
          <w:p>
            <w:r/>
            <w:r>
              <w:rPr>
                <w:b w:val="0"/>
                <w:sz w:val="16"/>
              </w:rPr>
              <w:t>GAISSF-NOR-004 v1.0, normative</w:t>
            </w:r>
          </w:p>
        </w:tc>
        <w:tc>
          <w:tcPr>
            <w:tcW w:type="dxa" w:w="4608"/>
            <w:vAlign w:val="top"/>
          </w:tcPr>
          <w:p>
            <w:r/>
            <w:r>
              <w:rPr>
                <w:b w:val="0"/>
                <w:sz w:val="16"/>
              </w:rPr>
              <w:t>Authoritative 59-control baseline</w:t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6"/>
              </w:rPr>
              <w:t>MITRE ATT&amp;CK</w:t>
            </w:r>
          </w:p>
        </w:tc>
        <w:tc>
          <w:tcPr>
            <w:tcW w:type="dxa" w:w="3168"/>
            <w:vAlign w:val="top"/>
          </w:tcPr>
          <w:p>
            <w:r/>
            <w:r>
              <w:rPr>
                <w:b w:val="0"/>
                <w:sz w:val="16"/>
              </w:rPr>
              <w:t>Version 19, released 28 April 2026</w:t>
            </w:r>
          </w:p>
        </w:tc>
        <w:tc>
          <w:tcPr>
            <w:tcW w:type="dxa" w:w="4608"/>
            <w:vAlign w:val="top"/>
          </w:tcPr>
          <w:p>
            <w:r/>
            <w:r>
              <w:rPr>
                <w:b w:val="0"/>
                <w:sz w:val="16"/>
              </w:rPr>
              <w:t>Enterprise tactics and technique identifiers</w:t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6"/>
              </w:rPr>
              <w:t>ATT&amp;CK STIX Data</w:t>
            </w:r>
          </w:p>
        </w:tc>
        <w:tc>
          <w:tcPr>
            <w:tcW w:type="dxa" w:w="3168"/>
            <w:vAlign w:val="top"/>
          </w:tcPr>
          <w:p>
            <w:r/>
            <w:r>
              <w:rPr>
                <w:b w:val="0"/>
                <w:sz w:val="16"/>
              </w:rPr>
              <w:t>Official MITRE GitHub repository</w:t>
            </w:r>
          </w:p>
        </w:tc>
        <w:tc>
          <w:tcPr>
            <w:tcW w:type="dxa" w:w="4608"/>
            <w:vAlign w:val="top"/>
          </w:tcPr>
          <w:p>
            <w:r/>
            <w:r>
              <w:rPr>
                <w:b w:val="0"/>
                <w:sz w:val="16"/>
              </w:rPr>
              <w:t>Machine-readable source and future revalidation</w:t>
            </w:r>
          </w:p>
        </w:tc>
      </w:tr>
    </w:tbl>
    <w:p>
      <w:pPr>
        <w:pStyle w:val="Heading1"/>
      </w:pPr>
      <w:r>
        <w:t>5. Mapping Methodology</w:t>
      </w:r>
    </w:p>
    <w:p>
      <w:pPr>
        <w:pStyle w:val="ListBullet"/>
      </w:pPr>
      <w:r>
        <w:t>Map substantive defensive outcomes, not labels.</w:t>
      </w:r>
    </w:p>
    <w:p>
      <w:pPr>
        <w:pStyle w:val="ListBullet"/>
      </w:pPr>
      <w:r>
        <w:t>Use technique-level records; sub-technique and procedure analysis remains contextual.</w:t>
      </w:r>
    </w:p>
    <w:p>
      <w:pPr>
        <w:pStyle w:val="ListBullet"/>
      </w:pPr>
      <w:r>
        <w:t>Separate relationship strength from confidence.</w:t>
      </w:r>
    </w:p>
    <w:p>
      <w:pPr>
        <w:pStyle w:val="ListBullet"/>
      </w:pPr>
      <w:r>
        <w:t>Treat multiple GAISSF controls supporting one ATT&amp;CK behavior as composite coverage.</w:t>
      </w:r>
    </w:p>
    <w:p>
      <w:pPr>
        <w:pStyle w:val="ListBullet"/>
      </w:pPr>
      <w:r>
        <w:t>Record residual gaps for telemetry, procedure analysis, threat relevance, emulation, and operating effectiveness.</w:t>
      </w:r>
    </w:p>
    <w:p>
      <w:pPr>
        <w:pStyle w:val="ListBullet"/>
      </w:pPr>
      <w:r>
        <w:t>Perform reverse tactic coverage to identify silent omissions.</w:t>
      </w:r>
    </w:p>
    <w:p>
      <w:pPr>
        <w:pStyle w:val="Heading1"/>
      </w:pPr>
      <w:r>
        <w:t>6. Controlled Vocabulary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blHeader w:val="true"/>
        </w:trPr>
        <w:tc>
          <w:tcPr>
            <w:tcW w:type="dxa" w:w="1440"/>
            <w:vAlign w:val="top"/>
            <w:shd w:fill="17365D"/>
          </w:tcPr>
          <w:p>
            <w:r/>
            <w:r>
              <w:rPr>
                <w:b/>
                <w:color w:val="FFFFFF"/>
                <w:sz w:val="14"/>
              </w:rPr>
              <w:t>Code</w:t>
            </w:r>
          </w:p>
        </w:tc>
        <w:tc>
          <w:tcPr>
            <w:tcW w:type="dxa" w:w="8640"/>
            <w:vAlign w:val="top"/>
            <w:shd w:fill="17365D"/>
          </w:tcPr>
          <w:p>
            <w:r/>
            <w:r>
              <w:rPr>
                <w:b/>
                <w:color w:val="FFFFFF"/>
                <w:sz w:val="14"/>
              </w:rPr>
              <w:t>Meaning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6"/>
              </w:rPr>
              <w:t>E</w:t>
            </w:r>
          </w:p>
        </w:tc>
        <w:tc>
          <w:tcPr>
            <w:tcW w:type="dxa" w:w="8640"/>
            <w:vAlign w:val="top"/>
          </w:tcPr>
          <w:p>
            <w:r/>
            <w:r>
              <w:rPr>
                <w:b w:val="0"/>
                <w:sz w:val="16"/>
              </w:rPr>
              <w:t>Equivalent or near-equivalent; exceptional threshold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6"/>
              </w:rPr>
              <w:t>SP</w:t>
            </w:r>
          </w:p>
        </w:tc>
        <w:tc>
          <w:tcPr>
            <w:tcW w:type="dxa" w:w="8640"/>
            <w:vAlign w:val="top"/>
          </w:tcPr>
          <w:p>
            <w:r/>
            <w:r>
              <w:rPr>
                <w:b w:val="0"/>
                <w:sz w:val="16"/>
              </w:rPr>
              <w:t>Strong partial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6"/>
              </w:rPr>
              <w:t>P</w:t>
            </w:r>
          </w:p>
        </w:tc>
        <w:tc>
          <w:tcPr>
            <w:tcW w:type="dxa" w:w="8640"/>
            <w:vAlign w:val="top"/>
          </w:tcPr>
          <w:p>
            <w:r/>
            <w:r>
              <w:rPr>
                <w:b w:val="0"/>
                <w:sz w:val="16"/>
              </w:rPr>
              <w:t>Partial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6"/>
              </w:rPr>
              <w:t>S</w:t>
            </w:r>
          </w:p>
        </w:tc>
        <w:tc>
          <w:tcPr>
            <w:tcW w:type="dxa" w:w="8640"/>
            <w:vAlign w:val="top"/>
          </w:tcPr>
          <w:p>
            <w:r/>
            <w:r>
              <w:rPr>
                <w:b w:val="0"/>
                <w:sz w:val="16"/>
              </w:rPr>
              <w:t>Supporting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6"/>
              </w:rPr>
              <w:t>C</w:t>
            </w:r>
          </w:p>
        </w:tc>
        <w:tc>
          <w:tcPr>
            <w:tcW w:type="dxa" w:w="8640"/>
            <w:vAlign w:val="top"/>
          </w:tcPr>
          <w:p>
            <w:r/>
            <w:r>
              <w:rPr>
                <w:b w:val="0"/>
                <w:sz w:val="16"/>
              </w:rPr>
              <w:t>Contextual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6"/>
              </w:rPr>
              <w:t>N</w:t>
            </w:r>
          </w:p>
        </w:tc>
        <w:tc>
          <w:tcPr>
            <w:tcW w:type="dxa" w:w="8640"/>
            <w:vAlign w:val="top"/>
          </w:tcPr>
          <w:p>
            <w:r/>
            <w:r>
              <w:rPr>
                <w:b w:val="0"/>
                <w:sz w:val="16"/>
              </w:rPr>
              <w:t>No material mapping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6"/>
              </w:rPr>
              <w:t>O</w:t>
            </w:r>
          </w:p>
        </w:tc>
        <w:tc>
          <w:tcPr>
            <w:tcW w:type="dxa" w:w="8640"/>
            <w:vAlign w:val="top"/>
          </w:tcPr>
          <w:p>
            <w:r/>
            <w:r>
              <w:rPr>
                <w:b w:val="0"/>
                <w:sz w:val="16"/>
              </w:rPr>
              <w:t>Outside scope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6"/>
              </w:rPr>
              <w:t>U</w:t>
            </w:r>
          </w:p>
        </w:tc>
        <w:tc>
          <w:tcPr>
            <w:tcW w:type="dxa" w:w="8640"/>
            <w:vAlign w:val="top"/>
          </w:tcPr>
          <w:p>
            <w:r/>
            <w:r>
              <w:rPr>
                <w:b w:val="0"/>
                <w:sz w:val="16"/>
              </w:rPr>
              <w:t>Unable to determine</w:t>
            </w:r>
          </w:p>
        </w:tc>
      </w:tr>
    </w:tbl>
    <w:p>
      <w:pPr>
        <w:pStyle w:val="Heading1"/>
      </w:pPr>
      <w:r>
        <w:t>7. Enterprise Tactic Coverage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rPr>
          <w:tblHeader w:val="true"/>
        </w:trPr>
        <w:tc>
          <w:tcPr>
            <w:tcW w:type="dxa" w:w="1440"/>
            <w:vAlign w:val="top"/>
            <w:shd w:fill="17365D"/>
          </w:tcPr>
          <w:p>
            <w:r/>
            <w:r>
              <w:rPr>
                <w:b/>
                <w:color w:val="FFFFFF"/>
                <w:sz w:val="14"/>
              </w:rPr>
              <w:t>Tactic ID</w:t>
            </w:r>
          </w:p>
        </w:tc>
        <w:tc>
          <w:tcPr>
            <w:tcW w:type="dxa" w:w="2592"/>
            <w:vAlign w:val="top"/>
            <w:shd w:fill="17365D"/>
          </w:tcPr>
          <w:p>
            <w:r/>
            <w:r>
              <w:rPr>
                <w:b/>
                <w:color w:val="FFFFFF"/>
                <w:sz w:val="14"/>
              </w:rPr>
              <w:t>Tactic</w:t>
            </w:r>
          </w:p>
        </w:tc>
        <w:tc>
          <w:tcPr>
            <w:tcW w:type="dxa" w:w="1440"/>
            <w:vAlign w:val="top"/>
            <w:shd w:fill="17365D"/>
          </w:tcPr>
          <w:p>
            <w:r/>
            <w:r>
              <w:rPr>
                <w:b/>
                <w:color w:val="FFFFFF"/>
                <w:sz w:val="14"/>
              </w:rPr>
              <w:t>Mapped controls</w:t>
            </w:r>
          </w:p>
        </w:tc>
        <w:tc>
          <w:tcPr>
            <w:tcW w:type="dxa" w:w="2448"/>
            <w:vAlign w:val="top"/>
            <w:shd w:fill="17365D"/>
          </w:tcPr>
          <w:p>
            <w:r/>
            <w:r>
              <w:rPr>
                <w:b/>
                <w:color w:val="FFFFFF"/>
                <w:sz w:val="14"/>
              </w:rPr>
              <w:t>Coverage</w:t>
            </w:r>
          </w:p>
        </w:tc>
        <w:tc>
          <w:tcPr>
            <w:tcW w:type="dxa" w:w="1728"/>
            <w:vAlign w:val="top"/>
            <w:shd w:fill="17365D"/>
          </w:tcPr>
          <w:p>
            <w:r/>
            <w:r>
              <w:rPr>
                <w:b/>
                <w:color w:val="FFFFFF"/>
                <w:sz w:val="14"/>
              </w:rPr>
              <w:t>Confidence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TA0043</w:t>
            </w:r>
          </w:p>
        </w:tc>
        <w:tc>
          <w:tcPr>
            <w:tcW w:type="dxa" w:w="2592"/>
            <w:vAlign w:val="top"/>
          </w:tcPr>
          <w:p>
            <w:r/>
            <w:r>
              <w:rPr>
                <w:b w:val="0"/>
                <w:sz w:val="14"/>
              </w:rPr>
              <w:t>Reconnaissance</w:t>
            </w:r>
          </w:p>
        </w:tc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10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4"/>
              </w:rPr>
              <w:t>Substantially Addressed</w:t>
            </w:r>
          </w:p>
        </w:tc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Medium-High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TA0042</w:t>
            </w:r>
          </w:p>
        </w:tc>
        <w:tc>
          <w:tcPr>
            <w:tcW w:type="dxa" w:w="2592"/>
            <w:vAlign w:val="top"/>
          </w:tcPr>
          <w:p>
            <w:r/>
            <w:r>
              <w:rPr>
                <w:b w:val="0"/>
                <w:sz w:val="14"/>
              </w:rPr>
              <w:t>Resource Development</w:t>
            </w:r>
          </w:p>
        </w:tc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8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4"/>
              </w:rPr>
              <w:t>Substantially Addressed</w:t>
            </w:r>
          </w:p>
        </w:tc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Medium-High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TA0001</w:t>
            </w:r>
          </w:p>
        </w:tc>
        <w:tc>
          <w:tcPr>
            <w:tcW w:type="dxa" w:w="2592"/>
            <w:vAlign w:val="top"/>
          </w:tcPr>
          <w:p>
            <w:r/>
            <w:r>
              <w:rPr>
                <w:b w:val="0"/>
                <w:sz w:val="14"/>
              </w:rPr>
              <w:t>Initial Access</w:t>
            </w:r>
          </w:p>
        </w:tc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32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4"/>
              </w:rPr>
              <w:t>Substantially Addressed</w:t>
            </w:r>
          </w:p>
        </w:tc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Medium-High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TA0002</w:t>
            </w:r>
          </w:p>
        </w:tc>
        <w:tc>
          <w:tcPr>
            <w:tcW w:type="dxa" w:w="2592"/>
            <w:vAlign w:val="top"/>
          </w:tcPr>
          <w:p>
            <w:r/>
            <w:r>
              <w:rPr>
                <w:b w:val="0"/>
                <w:sz w:val="14"/>
              </w:rPr>
              <w:t>Execution</w:t>
            </w:r>
          </w:p>
        </w:tc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5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4"/>
              </w:rPr>
              <w:t>Partially Addressed</w:t>
            </w:r>
          </w:p>
        </w:tc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Medium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TA0003</w:t>
            </w:r>
          </w:p>
        </w:tc>
        <w:tc>
          <w:tcPr>
            <w:tcW w:type="dxa" w:w="2592"/>
            <w:vAlign w:val="top"/>
          </w:tcPr>
          <w:p>
            <w:r/>
            <w:r>
              <w:rPr>
                <w:b w:val="0"/>
                <w:sz w:val="14"/>
              </w:rPr>
              <w:t>Persistence</w:t>
            </w:r>
          </w:p>
        </w:tc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10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4"/>
              </w:rPr>
              <w:t>Substantially Addressed</w:t>
            </w:r>
          </w:p>
        </w:tc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Medium-High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TA0004</w:t>
            </w:r>
          </w:p>
        </w:tc>
        <w:tc>
          <w:tcPr>
            <w:tcW w:type="dxa" w:w="2592"/>
            <w:vAlign w:val="top"/>
          </w:tcPr>
          <w:p>
            <w:r/>
            <w:r>
              <w:rPr>
                <w:b w:val="0"/>
                <w:sz w:val="14"/>
              </w:rPr>
              <w:t>Privilege Escalation</w:t>
            </w:r>
          </w:p>
        </w:tc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1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4"/>
              </w:rPr>
              <w:t>Partially Addressed</w:t>
            </w:r>
          </w:p>
        </w:tc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Medium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TA0005</w:t>
            </w:r>
          </w:p>
        </w:tc>
        <w:tc>
          <w:tcPr>
            <w:tcW w:type="dxa" w:w="2592"/>
            <w:vAlign w:val="top"/>
          </w:tcPr>
          <w:p>
            <w:r/>
            <w:r>
              <w:rPr>
                <w:b w:val="0"/>
                <w:sz w:val="14"/>
              </w:rPr>
              <w:t>Defense Evasion</w:t>
            </w:r>
          </w:p>
        </w:tc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9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4"/>
              </w:rPr>
              <w:t>Substantially Addressed</w:t>
            </w:r>
          </w:p>
        </w:tc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Medium-High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TA0006</w:t>
            </w:r>
          </w:p>
        </w:tc>
        <w:tc>
          <w:tcPr>
            <w:tcW w:type="dxa" w:w="2592"/>
            <w:vAlign w:val="top"/>
          </w:tcPr>
          <w:p>
            <w:r/>
            <w:r>
              <w:rPr>
                <w:b w:val="0"/>
                <w:sz w:val="14"/>
              </w:rPr>
              <w:t>Credential Access</w:t>
            </w:r>
          </w:p>
        </w:tc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1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4"/>
              </w:rPr>
              <w:t>Partially Addressed</w:t>
            </w:r>
          </w:p>
        </w:tc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Medium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TA0007</w:t>
            </w:r>
          </w:p>
        </w:tc>
        <w:tc>
          <w:tcPr>
            <w:tcW w:type="dxa" w:w="2592"/>
            <w:vAlign w:val="top"/>
          </w:tcPr>
          <w:p>
            <w:r/>
            <w:r>
              <w:rPr>
                <w:b w:val="0"/>
                <w:sz w:val="14"/>
              </w:rPr>
              <w:t>Discovery</w:t>
            </w:r>
          </w:p>
        </w:tc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2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4"/>
              </w:rPr>
              <w:t>Partially Addressed</w:t>
            </w:r>
          </w:p>
        </w:tc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Medium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TA0008</w:t>
            </w:r>
          </w:p>
        </w:tc>
        <w:tc>
          <w:tcPr>
            <w:tcW w:type="dxa" w:w="2592"/>
            <w:vAlign w:val="top"/>
          </w:tcPr>
          <w:p>
            <w:r/>
            <w:r>
              <w:rPr>
                <w:b w:val="0"/>
                <w:sz w:val="14"/>
              </w:rPr>
              <w:t>Lateral Movement</w:t>
            </w:r>
          </w:p>
        </w:tc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2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4"/>
              </w:rPr>
              <w:t>Partially Addressed</w:t>
            </w:r>
          </w:p>
        </w:tc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Medium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TA0009</w:t>
            </w:r>
          </w:p>
        </w:tc>
        <w:tc>
          <w:tcPr>
            <w:tcW w:type="dxa" w:w="2592"/>
            <w:vAlign w:val="top"/>
          </w:tcPr>
          <w:p>
            <w:r/>
            <w:r>
              <w:rPr>
                <w:b w:val="0"/>
                <w:sz w:val="14"/>
              </w:rPr>
              <w:t>Collection</w:t>
            </w:r>
          </w:p>
        </w:tc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1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4"/>
              </w:rPr>
              <w:t>Partially Addressed</w:t>
            </w:r>
          </w:p>
        </w:tc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Medium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TA0011</w:t>
            </w:r>
          </w:p>
        </w:tc>
        <w:tc>
          <w:tcPr>
            <w:tcW w:type="dxa" w:w="2592"/>
            <w:vAlign w:val="top"/>
          </w:tcPr>
          <w:p>
            <w:r/>
            <w:r>
              <w:rPr>
                <w:b w:val="0"/>
                <w:sz w:val="14"/>
              </w:rPr>
              <w:t>Command and Control</w:t>
            </w:r>
          </w:p>
        </w:tc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0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4"/>
              </w:rPr>
              <w:t>Not Addressed</w:t>
            </w:r>
          </w:p>
        </w:tc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Not Rated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TA0010</w:t>
            </w:r>
          </w:p>
        </w:tc>
        <w:tc>
          <w:tcPr>
            <w:tcW w:type="dxa" w:w="2592"/>
            <w:vAlign w:val="top"/>
          </w:tcPr>
          <w:p>
            <w:r/>
            <w:r>
              <w:rPr>
                <w:b w:val="0"/>
                <w:sz w:val="14"/>
              </w:rPr>
              <w:t>Exfiltration</w:t>
            </w:r>
          </w:p>
        </w:tc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6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4"/>
              </w:rPr>
              <w:t>Partially Addressed</w:t>
            </w:r>
          </w:p>
        </w:tc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Medium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TA0040</w:t>
            </w:r>
          </w:p>
        </w:tc>
        <w:tc>
          <w:tcPr>
            <w:tcW w:type="dxa" w:w="2592"/>
            <w:vAlign w:val="top"/>
          </w:tcPr>
          <w:p>
            <w:r/>
            <w:r>
              <w:rPr>
                <w:b w:val="0"/>
                <w:sz w:val="14"/>
              </w:rPr>
              <w:t>Impact</w:t>
            </w:r>
          </w:p>
        </w:tc>
        <w:tc>
          <w:tcPr>
            <w:tcW w:type="dxa" w:w="1440"/>
            <w:vAlign w:val="top"/>
          </w:tcPr>
          <w:p>
            <w:r/>
            <w:r>
              <w:rPr>
                <w:b w:val="0"/>
                <w:sz w:val="14"/>
              </w:rPr>
              <w:t>12</w:t>
            </w:r>
          </w:p>
        </w:tc>
        <w:tc>
          <w:tcPr>
            <w:tcW w:type="dxa" w:w="2448"/>
            <w:vAlign w:val="top"/>
          </w:tcPr>
          <w:p>
            <w:r/>
            <w:r>
              <w:rPr>
                <w:b w:val="0"/>
                <w:sz w:val="14"/>
              </w:rPr>
              <w:t>Substantially Addressed</w:t>
            </w:r>
          </w:p>
        </w:tc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Medium-High</w:t>
            </w:r>
          </w:p>
        </w:tc>
      </w:tr>
    </w:tbl>
    <w:p>
      <w:pPr>
        <w:pStyle w:val="Heading1"/>
      </w:pPr>
      <w:r>
        <w:t>8. Function-by-Function Analysis</w:t>
      </w:r>
    </w:p>
    <w:p>
      <w:pPr>
        <w:pStyle w:val="Heading2"/>
      </w:pPr>
      <w:r>
        <w:t>TA0043 - Reconnaissance</w:t>
      </w:r>
    </w:p>
    <w:p>
      <w:r>
        <w:t>Coverage assessment: Substantially Addressed (Medium-High confidence). Mapped GAISSF controls: D2-CTL-04, D3-CTL-05, D7-CTL-H01, D7-CTL-H02, D7-CTL-H04, D8-CTL-01, D8-CTL-02, D8-CTL-03, D8-CTL-04, D8-CTL-05. ATT&amp;CK procedure coverage, platform-specific detections, threat-actor relevance, and validated telemetry are outside a framework-level crosswalk.</w:t>
      </w:r>
    </w:p>
    <w:p>
      <w:pPr>
        <w:pStyle w:val="Heading2"/>
      </w:pPr>
      <w:r>
        <w:t>TA0042 - Resource Development</w:t>
      </w:r>
    </w:p>
    <w:p>
      <w:r>
        <w:t>Coverage assessment: Substantially Addressed (Medium-High confidence). Mapped GAISSF controls: D4-CTL-01, D4-CTL-02, D4-CTL-03, D4-CTL-04, D4-CTL-05, D4-CTL-07, D6-CTL-06, D8-CTL-05. ATT&amp;CK procedure coverage, platform-specific detections, threat-actor relevance, and validated telemetry are outside a framework-level crosswalk.</w:t>
      </w:r>
    </w:p>
    <w:p>
      <w:pPr>
        <w:pStyle w:val="Heading2"/>
      </w:pPr>
      <w:r>
        <w:t>TA0001 - Initial Access</w:t>
      </w:r>
    </w:p>
    <w:p>
      <w:r>
        <w:t>Coverage assessment: Substantially Addressed (Medium-High confidence). Mapped GAISSF controls: D1-CTL-01, D1-CTL-02, D1-CTL-03, D1-CTL-04, D1-CTL-05, D1-CTL-06, D1-CTL-07, D1-CTL-08, D1-CTL-09, D2-CTL-01, D2-CTL-03, D2-CTL-05, D3-CTL-01, D3-CTL-02, D3-CTL-03, D3-CTL-06, D3-CTL-07, D4-CTL-01, D4-CTL-02, D4-CTL-03, D4-CTL-04, D4-CTL-05, D4-CTL-06, D4-CTL-07, D6-CTL-03, D6-CTL-05, D6-CTL-06, D7-CTL-H01, D7-CTL-H05, D9-CTL-03, D9-CTL-04, D9-CTL-05. ATT&amp;CK procedure coverage, platform-specific detections, threat-actor relevance, and validated telemetry are outside a framework-level crosswalk.</w:t>
      </w:r>
    </w:p>
    <w:p>
      <w:pPr>
        <w:pStyle w:val="Heading2"/>
      </w:pPr>
      <w:r>
        <w:t>TA0002 - Execution</w:t>
      </w:r>
    </w:p>
    <w:p>
      <w:r>
        <w:t>Coverage assessment: Partially Addressed (Medium confidence). Mapped GAISSF controls: D2-CTL-04, D2-CTL-05, D2-CTL-06, D3-CTL-04, D7-CTL-H02. ATT&amp;CK procedure coverage, platform-specific detections, threat-actor relevance, and validated telemetry are outside a framework-level crosswalk.</w:t>
      </w:r>
    </w:p>
    <w:p>
      <w:pPr>
        <w:pStyle w:val="Heading2"/>
      </w:pPr>
      <w:r>
        <w:t>TA0003 - Persistence</w:t>
      </w:r>
    </w:p>
    <w:p>
      <w:r>
        <w:t>Coverage assessment: Substantially Addressed (Medium-High confidence). Mapped GAISSF controls: D1-CTL-01, D1-CTL-02, D1-CTL-03, D1-CTL-04, D1-CTL-05, D1-CTL-07, D1-CTL-08, D1-CTL-09, D6-CTL-01, D6-CTL-04. ATT&amp;CK procedure coverage, platform-specific detections, threat-actor relevance, and validated telemetry are outside a framework-level crosswalk.</w:t>
      </w:r>
    </w:p>
    <w:p>
      <w:pPr>
        <w:pStyle w:val="Heading2"/>
      </w:pPr>
      <w:r>
        <w:t>TA0004 - Privilege Escalation</w:t>
      </w:r>
    </w:p>
    <w:p>
      <w:r>
        <w:t>Coverage assessment: Partially Addressed (Medium confidence). Mapped GAISSF controls: D7-CTL-H03. ATT&amp;CK procedure coverage, platform-specific detections, threat-actor relevance, and validated telemetry are outside a framework-level crosswalk.</w:t>
      </w:r>
    </w:p>
    <w:p>
      <w:pPr>
        <w:pStyle w:val="Heading2"/>
      </w:pPr>
      <w:r>
        <w:t>TA0005 - Defense Evasion</w:t>
      </w:r>
    </w:p>
    <w:p>
      <w:r>
        <w:t>Coverage assessment: Substantially Addressed (Medium-High confidence). Mapped GAISSF controls: D2-CTL-01, D2-CTL-06, D3-CTL-02, D3-CTL-03, D3-CTL-04, D3-CTL-05, D3-CTL-07, D6-CTL-02, D9-CTL-06. ATT&amp;CK procedure coverage, platform-specific detections, threat-actor relevance, and validated telemetry are outside a framework-level crosswalk.</w:t>
      </w:r>
    </w:p>
    <w:p>
      <w:pPr>
        <w:pStyle w:val="Heading2"/>
      </w:pPr>
      <w:r>
        <w:t>TA0006 - Credential Access</w:t>
      </w:r>
    </w:p>
    <w:p>
      <w:r>
        <w:t>Coverage assessment: Partially Addressed (Medium confidence). Mapped GAISSF controls: D7-CTL-H03. ATT&amp;CK procedure coverage, platform-specific detections, threat-actor relevance, and validated telemetry are outside a framework-level crosswalk.</w:t>
      </w:r>
    </w:p>
    <w:p>
      <w:pPr>
        <w:pStyle w:val="Heading2"/>
      </w:pPr>
      <w:r>
        <w:t>TA0007 - Discovery</w:t>
      </w:r>
    </w:p>
    <w:p>
      <w:r>
        <w:t>Coverage assessment: Partially Addressed (Medium confidence). Mapped GAISSF controls: D4-CTL-06, D6-CTL-02. ATT&amp;CK procedure coverage, platform-specific detections, threat-actor relevance, and validated telemetry are outside a framework-level crosswalk.</w:t>
      </w:r>
    </w:p>
    <w:p>
      <w:pPr>
        <w:pStyle w:val="Heading2"/>
      </w:pPr>
      <w:r>
        <w:t>TA0008 - Lateral Movement</w:t>
      </w:r>
    </w:p>
    <w:p>
      <w:r>
        <w:t>Coverage assessment: Partially Addressed (Medium confidence). Mapped GAISSF controls: D3-CTL-01, D3-CTL-06. ATT&amp;CK procedure coverage, platform-specific detections, threat-actor relevance, and validated telemetry are outside a framework-level crosswalk.</w:t>
      </w:r>
    </w:p>
    <w:p>
      <w:pPr>
        <w:pStyle w:val="Heading2"/>
      </w:pPr>
      <w:r>
        <w:t>TA0009 - Collection</w:t>
      </w:r>
    </w:p>
    <w:p>
      <w:r>
        <w:t>Coverage assessment: Partially Addressed (Medium confidence). Mapped GAISSF controls: D2-CTL-03. ATT&amp;CK procedure coverage, platform-specific detections, threat-actor relevance, and validated telemetry are outside a framework-level crosswalk.</w:t>
      </w:r>
    </w:p>
    <w:p>
      <w:pPr>
        <w:pStyle w:val="Heading2"/>
      </w:pPr>
      <w:r>
        <w:t>TA0011 - Command and Control</w:t>
      </w:r>
    </w:p>
    <w:p>
      <w:r>
        <w:t>Coverage assessment: Not Addressed (Not Rated confidence). Mapped GAISSF controls: None. ATT&amp;CK procedure coverage, platform-specific detections, threat-actor relevance, and validated telemetry are outside a framework-level crosswalk.</w:t>
      </w:r>
    </w:p>
    <w:p>
      <w:pPr>
        <w:pStyle w:val="Heading2"/>
      </w:pPr>
      <w:r>
        <w:t>TA0010 - Exfiltration</w:t>
      </w:r>
    </w:p>
    <w:p>
      <w:r>
        <w:t>Coverage assessment: Partially Addressed (Medium confidence). Mapped GAISSF controls: D9-CTL-01, D9-CTL-02, D9-CTL-03, D9-CTL-04, D9-CTL-05, D9-CTL-06. ATT&amp;CK procedure coverage, platform-specific detections, threat-actor relevance, and validated telemetry are outside a framework-level crosswalk.</w:t>
      </w:r>
    </w:p>
    <w:p>
      <w:pPr>
        <w:pStyle w:val="Heading2"/>
      </w:pPr>
      <w:r>
        <w:t>TA0040 - Impact</w:t>
      </w:r>
    </w:p>
    <w:p>
      <w:r>
        <w:t>Coverage assessment: Substantially Addressed (Medium-High confidence). Mapped GAISSF controls: D2-CTL-02, D5-CTL-01, D5-CTL-02, D5-CTL-03, D5-CTL-04, D5-CTL-05, D5-CTL-06, D6-CTL-07, D8-CTL-04, D9-CTL-01, D9-CTL-02, D9-CTL-07. ATT&amp;CK procedure coverage, platform-specific detections, threat-actor relevance, and validated telemetry are outside a framework-level crosswalk.</w:t>
      </w:r>
    </w:p>
    <w:p>
      <w:pPr>
        <w:pStyle w:val="Heading1"/>
      </w:pPr>
      <w:r>
        <w:t>9. Priority Technique Inventory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tblHeader w:val="true"/>
        </w:trPr>
        <w:tc>
          <w:tcPr>
            <w:tcW w:type="dxa" w:w="1728"/>
            <w:vAlign w:val="top"/>
            <w:shd w:fill="17365D"/>
          </w:tcPr>
          <w:p>
            <w:r/>
            <w:r>
              <w:rPr>
                <w:b/>
                <w:color w:val="FFFFFF"/>
                <w:sz w:val="14"/>
              </w:rPr>
              <w:t>Technique ID</w:t>
            </w:r>
          </w:p>
        </w:tc>
        <w:tc>
          <w:tcPr>
            <w:tcW w:type="dxa" w:w="4464"/>
            <w:vAlign w:val="top"/>
            <w:shd w:fill="17365D"/>
          </w:tcPr>
          <w:p>
            <w:r/>
            <w:r>
              <w:rPr>
                <w:b/>
                <w:color w:val="FFFFFF"/>
                <w:sz w:val="14"/>
              </w:rPr>
              <w:t>Technique</w:t>
            </w:r>
          </w:p>
        </w:tc>
        <w:tc>
          <w:tcPr>
            <w:tcW w:type="dxa" w:w="2880"/>
            <w:vAlign w:val="top"/>
            <w:shd w:fill="17365D"/>
          </w:tcPr>
          <w:p>
            <w:r/>
            <w:r>
              <w:rPr>
                <w:b/>
                <w:color w:val="FFFFFF"/>
                <w:sz w:val="14"/>
              </w:rPr>
              <w:t>Tactic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T1595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Active Scanning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Reconnaissance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T1592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Gather Victim Host Information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Reconnaissance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T1589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Gather Victim Identity Information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Reconnaissance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T1590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Gather Victim Network Information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Reconnaissance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T1591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Gather Victim Org Information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Reconnaissance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T1593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Search Open Websites/Domains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Reconnaissance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T1594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Search Victim-Owned Websites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Reconnaissance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T1596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Search Open Technical Databases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Reconnaissance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T1583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Acquire Infrastructure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Resource Development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T1584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Compromise Infrastructure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Resource Development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T1585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Establish Accounts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Resource Development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T1586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Compromise Accounts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Resource Development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T1587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Develop Capabilities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Resource Development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T1588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Obtain Capabilities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Resource Development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T1608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Stage Capabilities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Resource Development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T1189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Drive-by Compromise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Initial Access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T1190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Exploit Public-Facing Application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Initial Access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T1133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External Remote Services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Initial Access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T1566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Phishing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Initial Access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T1195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Supply Chain Compromise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Initial Access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T1078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Valid Accounts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Initial Access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T1059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Command and Scripting Interpreter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Execution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T1203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Exploitation for Client Execution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Execution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T1204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User Execution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Execution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T1047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Windows Management Instrumentation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Execution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T1129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Shared Modules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Execution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T1106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Native API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Execution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T1053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Scheduled Task/Job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Execution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T1127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Trusted Developer Utilities Proxy Execution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Execution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T1098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Account Manipulation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Persistence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T1547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Boot or Logon Autostart Execution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Persistence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T1136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Create Account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Persistence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T1505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Server Software Component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Persistence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T1525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Implant Internal Image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Persistence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T1554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Compromise Host Software Binary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Persistence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T1053.003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Scheduled Task/Job: Cron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Persistence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T1068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Exploitation for Privilege Escalation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Privilege Escalation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T1548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Abuse Elevation Control Mechanism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Privilege Escalation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T1134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Access Token Manipulation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Privilege Escalation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T1484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Domain or Tenant Policy Modification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Privilege Escalation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T1027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Obfuscated Files or Information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Defense Evasion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T1070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Indicator Removal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Defense Evasion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T1036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Masquerading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Defense Evasion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T1562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Impair Defenses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Defense Evasion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T1553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Subvert Trust Controls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Defense Evasion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T1218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System Binary Proxy Execution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Defense Evasion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T1222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File and Directory Permissions Modification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Defense Evasion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T1497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Virtualization/Sandbox Evasion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Defense Evasion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T1574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Hijack Execution Flow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Defense Evasion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T1110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Brute Force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Credential Access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T1555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Credentials from Password Stores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Credential Access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T1552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Unsecured Credentials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Credential Access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T1003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OS Credential Dumping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Credential Access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T1528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Steal Application Access Token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Credential Access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T1539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Steal Web Session Cookie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Credential Access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T1649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Steal or Forge Authentication Certificates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Credential Access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T1621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Multi-Factor Authentication Request Generation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Credential Access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T1087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Account Discovery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Discovery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T1580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Cloud Infrastructure Discovery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Discovery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T1613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Container and Resource Discovery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Discovery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T1526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Cloud Service Discovery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Discovery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T1083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File and Directory Discovery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Discovery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T1049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System Network Connections Discovery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Discovery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T1018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Remote System Discovery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Discovery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T1518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Software Discovery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Discovery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T1482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Domain Trust Discovery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Discovery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T1614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System Location Discovery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Discovery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T1021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Remote Services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Lateral Movement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T1570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Lateral Tool Transfer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Lateral Movement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T1210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Exploitation of Remote Services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Lateral Movement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T1550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Use Alternate Authentication Material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Lateral Movement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T1119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Automated Collection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Collection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T1213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Data from Information Repositories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Collection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T1530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Data from Cloud Storage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Collection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T1114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Email Collection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Collection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T1005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Data from Local System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Collection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T1074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Data Staged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Collection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T1560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Archive Collected Data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Collection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T1056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Input Capture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Collection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T1071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Application Layer Protocol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Command and Control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T1105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Ingress Tool Transfer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Command and Control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T1090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Proxy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Command and Control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T1219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Remote Access Software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Command and Control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T1572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Protocol Tunneling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Command and Control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T1102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Web Service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Command and Control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T1048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Exfiltration Over Alternative Protocol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Exfiltration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T1567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Exfiltration Over Web Service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Exfiltration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T1537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Transfer Data to Cloud Account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Exfiltration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T1020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Automated Exfiltration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Exfiltration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T1041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Exfiltration Over C2 Channel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Exfiltration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T1052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Exfiltration Over Physical Medium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Exfiltration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T1486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Data Encrypted for Impact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Impact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T1485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Data Destruction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Impact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T1490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Inhibit System Recovery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Impact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T1498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Network Denial of Service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Impact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T1499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Endpoint Denial of Service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Impact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T1565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Data Manipulation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Impact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T1531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Account Access Removal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Impact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T1529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System Shutdown/Reboot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Impact</w:t>
            </w:r>
          </w:p>
        </w:tc>
      </w:tr>
      <w:tr>
        <w:tc>
          <w:tcPr>
            <w:tcW w:type="dxa" w:w="1728"/>
            <w:vAlign w:val="top"/>
          </w:tcPr>
          <w:p>
            <w:r/>
            <w:r>
              <w:rPr>
                <w:b w:val="0"/>
                <w:sz w:val="14"/>
              </w:rPr>
              <w:t>T1657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4"/>
              </w:rPr>
              <w:t>Financial Theft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4"/>
              </w:rPr>
              <w:t>Impact</w:t>
            </w:r>
          </w:p>
        </w:tc>
      </w:tr>
    </w:tbl>
    <w:p>
      <w:pPr>
        <w:pStyle w:val="Heading1"/>
      </w:pPr>
      <w:r>
        <w:t>10. Detailed Mapping Register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  <w:gridCol w:w="1728"/>
      </w:tblGrid>
      <w:tr>
        <w:trPr>
          <w:tblHeader w:val="true"/>
        </w:trPr>
        <w:tc>
          <w:tcPr>
            <w:tcW w:type="dxa" w:w="1584"/>
            <w:vAlign w:val="top"/>
            <w:shd w:fill="17365D"/>
          </w:tcPr>
          <w:p>
            <w:r/>
            <w:r>
              <w:rPr>
                <w:b/>
                <w:color w:val="FFFFFF"/>
                <w:sz w:val="14"/>
              </w:rPr>
              <w:t>Record</w:t>
            </w:r>
          </w:p>
        </w:tc>
        <w:tc>
          <w:tcPr>
            <w:tcW w:type="dxa" w:w="3456"/>
            <w:vAlign w:val="top"/>
            <w:shd w:fill="17365D"/>
          </w:tcPr>
          <w:p>
            <w:r/>
            <w:r>
              <w:rPr>
                <w:b/>
                <w:color w:val="FFFFFF"/>
                <w:sz w:val="14"/>
              </w:rPr>
              <w:t>GAISSF control</w:t>
            </w:r>
          </w:p>
        </w:tc>
        <w:tc>
          <w:tcPr>
            <w:tcW w:type="dxa" w:w="3456"/>
            <w:vAlign w:val="top"/>
            <w:shd w:fill="17365D"/>
          </w:tcPr>
          <w:p>
            <w:r/>
            <w:r>
              <w:rPr>
                <w:b/>
                <w:color w:val="FFFFFF"/>
                <w:sz w:val="14"/>
              </w:rPr>
              <w:t>ATT&amp;CK technique</w:t>
            </w:r>
          </w:p>
        </w:tc>
        <w:tc>
          <w:tcPr>
            <w:tcW w:type="dxa" w:w="2016"/>
            <w:vAlign w:val="top"/>
            <w:shd w:fill="17365D"/>
          </w:tcPr>
          <w:p>
            <w:r/>
            <w:r>
              <w:rPr>
                <w:b/>
                <w:color w:val="FFFFFF"/>
                <w:sz w:val="14"/>
              </w:rPr>
              <w:t>Tactic</w:t>
            </w:r>
          </w:p>
        </w:tc>
        <w:tc>
          <w:tcPr>
            <w:tcW w:type="dxa" w:w="720"/>
            <w:vAlign w:val="top"/>
            <w:shd w:fill="17365D"/>
          </w:tcPr>
          <w:p>
            <w:r/>
            <w:r>
              <w:rPr>
                <w:b/>
                <w:color w:val="FFFFFF"/>
                <w:sz w:val="14"/>
              </w:rPr>
              <w:t>Rel.</w:t>
            </w:r>
          </w:p>
        </w:tc>
        <w:tc>
          <w:tcPr>
            <w:tcW w:type="dxa" w:w="1152"/>
            <w:vAlign w:val="top"/>
            <w:shd w:fill="17365D"/>
          </w:tcPr>
          <w:p>
            <w:r/>
            <w:r>
              <w:rPr>
                <w:b/>
                <w:color w:val="FFFFFF"/>
                <w:sz w:val="14"/>
              </w:rPr>
              <w:t>Conf.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CRO026-MAP-0001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D1-CTL-01 Dataset Provenance &amp; Poisoning Prevention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T1195 Supply Chain Compromise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CRO026-MAP-0002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D1-CTL-01 Dataset Provenance &amp; Poisoning Prevention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T1554 Compromise Host Software Binary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Persistence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CRO026-MAP-0003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D1-CTL-02 Model Extraction Resistance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T1195 Supply Chain Compromise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CRO026-MAP-0004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D1-CTL-02 Model Extraction Resistance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T1554 Compromise Host Software Binary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Persistence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CRO026-MAP-0005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D1-CTL-03 Behavioral Drift Detection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T1195 Supply Chain Compromise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CRO026-MAP-0006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D1-CTL-03 Behavioral Drift Detection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T1554 Compromise Host Software Binary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Persistence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CRO026-MAP-0007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D1-CTL-04 Federated Learning Poisoning Prevention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T1195 Supply Chain Compromise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CRO026-MAP-0008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D1-CTL-04 Federated Learning Poisoning Prevention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T1554 Compromise Host Software Binary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Persistence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CRO026-MAP-0009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D1-CTL-05 Embedding Space Robustness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T1195 Supply Chain Compromise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CRO026-MAP-0010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D1-CTL-05 Embedding Space Robustness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T1554 Compromise Host Software Binary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Persistence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CRO026-MAP-0011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D1-CTL-06 Post-Quantum Model Signing &amp; Crypto Hardening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T1195 Supply Chain Compromise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P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Medium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CRO026-MAP-0012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D1-CTL-07 Lora/Adapter Integrity Verification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T1195 Supply Chain Compromise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CRO026-MAP-0013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D1-CTL-07 Lora/Adapter Integrity Verification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T1554 Compromise Host Software Binary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Persistence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CRO026-MAP-0014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D1-CTL-08 Model Merge Attack Detection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T1195 Supply Chain Compromise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CRO026-MAP-0015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D1-CTL-08 Model Merge Attack Detection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T1554 Compromise Host Software Binary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Persistence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CRO026-MAP-0016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D1-CTL-09 Quantization Backdoor Screening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T1195 Supply Chain Compromise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CRO026-MAP-0017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D1-CTL-09 Quantization Backdoor Screening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T1554 Compromise Host Software Binary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Persistence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CRO026-MAP-0018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D2-CTL-01 Direct Prompt Injection Prevention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T1078 Valid Accounts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CRO026-MAP-0019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D2-CTL-01 Direct Prompt Injection Prevention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T1218 System Binary Proxy Execution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Defense Evasion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CRO026-MAP-0020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D2-CTL-02 Indirect Prompt Injection Prevention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T1485 Data Destruction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Impact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CRO026-MAP-0021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D2-CTL-02 Indirect Prompt Injection Prevention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T1565 Data Manipulation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Impact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CRO026-MAP-0022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D2-CTL-03 Jailbreak Resistance Testing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T1078 Valid Accounts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CRO026-MAP-0023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D2-CTL-03 Jailbreak Resistance Testing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T1119 Automated Collection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Collection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CRO026-MAP-0024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D2-CTL-04 Multi-Modal Injection Defense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T1595 Active Scanning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Reconnaissance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CRO026-MAP-0025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D2-CTL-04 Multi-Modal Injection Defense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T1059 Command and Scripting Interpreter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Execution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CRO026-MAP-0026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D2-CTL-05 Function Call/Tool Call Injection Prevention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T1078 Valid Accounts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CRO026-MAP-0027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D2-CTL-05 Function Call/Tool Call Injection Prevention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T1203 Exploitation for Client Execution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Execution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CRO026-MAP-0028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D2-CTL-06 Cross-Context Hijacking Mitigation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T1047 Windows Management Instrumentation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Execution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CRO026-MAP-0029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D2-CTL-06 Cross-Context Hijacking Mitigation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T1218 System Binary Proxy Execution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Defense Evasion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CRO026-MAP-0030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D3-CTL-01 Least Agency Enforcement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T1133 External Remote Services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P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Medium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CRO026-MAP-0031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D3-CTL-01 Least Agency Enforcement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T1021 Remote Services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Lateral Movement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P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Medium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CRO026-MAP-0032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D3-CTL-01 Least Agency Enforcement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T1210 Exploitation of Remote Services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Lateral Movement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P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Medium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CRO026-MAP-0033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D3-CTL-02 Inter-Agent Communication Security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T1218 System Binary Proxy Execution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Defense Evasion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CRO026-MAP-0034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D3-CTL-02 Inter-Agent Communication Security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T1133 External Remote Services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CRO026-MAP-0035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D3-CTL-03 Agentic Prompt Chaining Detection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T1218 System Binary Proxy Execution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Defense Evasion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CRO026-MAP-0036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D3-CTL-03 Agentic Prompt Chaining Detection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T1133 External Remote Services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CRO026-MAP-0037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D3-CTL-04 Embodied Ai Safety Controls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T1059 Command and Scripting Interpreter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Execution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CRO026-MAP-0038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D3-CTL-04 Embodied Ai Safety Controls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T1553 Subvert Trust Controls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Defense Evasion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CRO026-MAP-0039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D3-CTL-05 Multi-Agent Trust Chain Attestation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T1589 Gather Victim Identity Information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Reconnaissance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CRO026-MAP-0040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D3-CTL-05 Multi-Agent Trust Chain Attestation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T1218 System Binary Proxy Execution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Defense Evasion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CRO026-MAP-0041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D3-CTL-06 Persistent Memory Exfiltration Prevention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T1133 External Remote Services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P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Medium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CRO026-MAP-0042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D3-CTL-06 Persistent Memory Exfiltration Prevention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T1021 Remote Services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Lateral Movement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P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Medium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CRO026-MAP-0043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D3-CTL-06 Persistent Memory Exfiltration Prevention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T1210 Exploitation of Remote Services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Lateral Movement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P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Medium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CRO026-MAP-0044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D3-CTL-07 Secure Memory Lifecycle Management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T1218 System Binary Proxy Execution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Defense Evasion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CRO026-MAP-0045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D3-CTL-07 Secure Memory Lifecycle Management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T1133 External Remote Services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CRO026-MAP-0046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D4-CTL-01 Ai Bill Of Materials (Ai Bom) Maintenance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T1195 Supply Chain Compromise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CRO026-MAP-0047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D4-CTL-01 Ai Bill Of Materials (Ai Bom) Maintenance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T1584 Compromise Infrastructure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Resource Development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CRO026-MAP-0048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D4-CTL-02 Model File &amp; Artifact Scanning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T1195 Supply Chain Compromise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CRO026-MAP-0049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D4-CTL-02 Model File &amp; Artifact Scanning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T1584 Compromise Infrastructure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Resource Development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CRO026-MAP-0050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D4-CTL-03 Model Hub &amp; Registry Vetting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T1195 Supply Chain Compromise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CRO026-MAP-0051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D4-CTL-03 Model Hub &amp; Registry Vetting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T1584 Compromise Infrastructure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Resource Development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CRO026-MAP-0052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D4-CTL-04 Mcp Server Behavioral Monitoring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T1195 Supply Chain Compromise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CRO026-MAP-0053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D4-CTL-04 Mcp Server Behavioral Monitoring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T1584 Compromise Infrastructure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Resource Development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CRO026-MAP-0054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D4-CTL-05 Third-Party Ai Api Security Assessment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T1195 Supply Chain Compromise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CRO026-MAP-0055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D4-CTL-05 Third-Party Ai Api Security Assessment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T1584 Compromise Infrastructure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Resource Development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CRO026-MAP-0056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D4-CTL-06 Shadow Ai Discovery &amp; Governance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T1195 Supply Chain Compromise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CRO026-MAP-0057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D4-CTL-06 Shadow Ai Discovery &amp; Governance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T1049 System Network Connections Discovery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Discovery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CRO026-MAP-0058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D4-CTL-07 Ai Software Composition Analysis (Sca)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T1195 Supply Chain Compromise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CRO026-MAP-0059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D4-CTL-07 Ai Software Composition Analysis (Sca)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T1584 Compromise Infrastructure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Resource Development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CRO026-MAP-0060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D5-CTL-01 Harmful Content Blocking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T1565 Data Manipulation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Impact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P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Medium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CRO026-MAP-0061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D5-CTL-02 Pii Leakage Prevention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T1565 Data Manipulation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Impact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P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Medium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CRO026-MAP-0062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D5-CTL-03 Copyright Detection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T1565 Data Manipulation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Impact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P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Medium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CRO026-MAP-0063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D5-CTL-04 Ai Watermarking Robustness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T1565 Data Manipulation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Impact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P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Medium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CRO026-MAP-0064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D5-CTL-05 Privacy-By-Design Verification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T1565 Data Manipulation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Impact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P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Medium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CRO026-MAP-0065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D5-CTL-06 Privacy-Preserving Ml Validation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T1565 Data Manipulation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Impact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P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Medium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CRO026-MAP-0066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D6-CTL-01 Human-In-The-Loop For High-Risk Actions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T1098 Account Manipulation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Persistence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CRO026-MAP-0067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D6-CTL-01 Human-In-The-Loop For High-Risk Actions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T1136 Create Account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Persistence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CRO026-MAP-0068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D6-CTL-02 Audit Trail Completeness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T1087 Account Discovery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Discovery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CRO026-MAP-0069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D6-CTL-02 Audit Trail Completeness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T1070 Indicator Removal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Defense Evasion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CRO026-MAP-0070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D6-CTL-03 Ai Model Card Completeness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T1190 Exploit Public-Facing Application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CRO026-MAP-0071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D6-CTL-03 Ai Model Card Completeness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T1133 External Remote Services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CRO026-MAP-0072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D6-CTL-04 Ai Incident Response Readiness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T1098 Account Manipulation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Persistence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CRO026-MAP-0073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D6-CTL-04 Ai Incident Response Readiness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T1136 Create Account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Persistence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CRO026-MAP-0074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D6-CTL-05 Model Deprecation &amp; Decommissioning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T1190 Exploit Public-Facing Application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CRO026-MAP-0075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D6-CTL-05 Model Deprecation &amp; Decommissioning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T1133 External Remote Services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CRO026-MAP-0076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D6-CTL-06 Third-Party Ai Vendor Governance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T1195 Supply Chain Compromise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CRO026-MAP-0077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D6-CTL-06 Third-Party Ai Vendor Governance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T1584 Compromise Infrastructure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Resource Development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CRO026-MAP-0078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D6-CTL-07 Ai Resilience &amp; Business Continuity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T1490 Inhibit System Recovery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Impact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CRO026-MAP-0079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D6-CTL-07 Ai Resilience &amp; Business Continuity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T1529 System Shutdown/Reboot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Impact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CRO026-MAP-0080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D7-CTL-H01 Ai-Generated Phishing Simulation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T1566 Phishing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CRO026-MAP-0081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D7-CTL-H01 Ai-Generated Phishing Simulation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T1595 Active Scanning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Reconnaissance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CRO026-MAP-0082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D7-CTL-H02 Deepfake Detection Training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T1129 Shared Modules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Execution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CRO026-MAP-0083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D7-CTL-H02 Deepfake Detection Training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T1595 Active Scanning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Reconnaissance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CRO026-MAP-0084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D7-CTL-H03 Out-Of-Band Authentication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T1484 Domain or Tenant Policy Modification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Privilege Escalation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CRO026-MAP-0085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D7-CTL-H03 Out-Of-Band Authentication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T1110 Brute Force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Credential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CRO026-MAP-0086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D7-CTL-H04 Ai Social Engineering Ir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T1595 Active Scanning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Reconnaissance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CRO026-MAP-0087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D7-CTL-H04 Ai Social Engineering Ir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T1592 Gather Victim Host Information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Reconnaissance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CRO026-MAP-0088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D7-CTL-H05 Ai-Enhanced External Attack Defense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T1133 External Remote Services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CRO026-MAP-0089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D7-CTL-H05 Ai-Enhanced External Attack Defense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T1566 Phishing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CRO026-MAP-0090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D8-CTL-01 Eu Ai Act Risk Tier Mapping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T1595 Active Scanning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Reconnaissance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CRO026-MAP-0091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D8-CTL-01 Eu Ai Act Risk Tier Mapping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T1592 Gather Victim Host Information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Reconnaissance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CRO026-MAP-0092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D8-CTL-02 Iso 42001 Gap Analysis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T1595 Active Scanning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Reconnaissance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CRO026-MAP-0093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D8-CTL-02 Iso 42001 Gap Analysis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T1592 Gather Victim Host Information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Reconnaissance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CRO026-MAP-0094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D8-CTL-03 Gpai Technical Documentation Verification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T1596 Search Open Technical Databases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Reconnaissance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CRO026-MAP-0095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D8-CTL-03 Gpai Technical Documentation Verification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T1595 Active Scanning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Reconnaissance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CRO026-MAP-0096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D8-CTL-04 Dora Ict Incident Reporting (Financial Sector)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T1657 Financial Theft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Impact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CRO026-MAP-0097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D8-CTL-04 Dora Ict Incident Reporting (Financial Sector)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T1595 Active Scanning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Reconnaissance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CRO026-MAP-0098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D8-CTL-05 Nist Sp 800-218A Compliance Check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T1587 Develop Capabilities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Resource Development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CRO026-MAP-0099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D8-CTL-05 Nist Sp 800-218A Compliance Check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T1595 Active Scanning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Reconnaissance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CRO026-MAP-0100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D9-CTL-01 Physical Harm Boundary Enforcement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T1052 Exfiltration Over Physical Medium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Exfiltration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CRO026-MAP-0101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D9-CTL-01 Physical Harm Boundary Enforcement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T1565 Data Manipulation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Impact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CRO026-MAP-0102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D9-CTL-02 Safe State And Graceful Degradation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T1052 Exfiltration Over Physical Medium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Exfiltration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CRO026-MAP-0103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D9-CTL-02 Safe State And Graceful Degradation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T1490 Inhibit System Recovery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Impact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CRO026-MAP-0104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D9-CTL-03 Human Override And Emergency Stop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T1052 Exfiltration Over Physical Medium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Exfiltration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CRO026-MAP-0105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D9-CTL-03 Human Override And Emergency Stop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T1190 Exploit Public-Facing Application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CRO026-MAP-0106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D9-CTL-04 Cyber-Physical Attack Detection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T1052 Exfiltration Over Physical Medium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Exfiltration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CRO026-MAP-0107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D9-CTL-04 Cyber-Physical Attack Detection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T1078 Valid Accounts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CRO026-MAP-0108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D9-CTL-05 Physical Environment Integrity Monitoring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T1052 Exfiltration Over Physical Medium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Exfiltration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CRO026-MAP-0109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D9-CTL-05 Physical Environment Integrity Monitoring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T1195 Supply Chain Compromise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Initial Access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CRO026-MAP-0110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D9-CTL-06 Actuator Command Verification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T1052 Exfiltration Over Physical Medium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Exfiltration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CRO026-MAP-0111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D9-CTL-06 Actuator Command Verification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T1218 System Binary Proxy Execution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Defense Evasion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S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Low</w:t>
            </w:r>
          </w:p>
        </w:tc>
      </w:tr>
      <w:tr>
        <w:tc>
          <w:tcPr>
            <w:tcW w:type="dxa" w:w="1584"/>
            <w:vAlign w:val="top"/>
          </w:tcPr>
          <w:p>
            <w:r/>
            <w:r>
              <w:rPr>
                <w:b w:val="0"/>
                <w:sz w:val="12"/>
              </w:rPr>
              <w:t>CRO026-MAP-0112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D9-CTL-07 Physical Incident Evidence Preservation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b w:val="0"/>
                <w:sz w:val="12"/>
              </w:rPr>
              <w:t>T1565 Data Manipulation</w:t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2"/>
              </w:rPr>
              <w:t>Impact</w:t>
            </w:r>
          </w:p>
        </w:tc>
        <w:tc>
          <w:tcPr>
            <w:tcW w:type="dxa" w:w="720"/>
            <w:vAlign w:val="top"/>
          </w:tcPr>
          <w:p>
            <w:r/>
            <w:r>
              <w:rPr>
                <w:b w:val="0"/>
                <w:sz w:val="12"/>
              </w:rPr>
              <w:t>P</w:t>
            </w:r>
          </w:p>
        </w:tc>
        <w:tc>
          <w:tcPr>
            <w:tcW w:type="dxa" w:w="1152"/>
            <w:vAlign w:val="top"/>
          </w:tcPr>
          <w:p>
            <w:r/>
            <w:r>
              <w:rPr>
                <w:b w:val="0"/>
                <w:sz w:val="12"/>
              </w:rPr>
              <w:t>Medium</w:t>
            </w:r>
          </w:p>
        </w:tc>
      </w:tr>
    </w:tbl>
    <w:p>
      <w:pPr>
        <w:pStyle w:val="Heading1"/>
      </w:pPr>
      <w:r>
        <w:t>11. Evidence Reuse Guidance</w:t>
      </w:r>
    </w:p>
    <w:p>
      <w:pPr>
        <w:pStyle w:val="ListBullet"/>
      </w:pPr>
      <w:r>
        <w:t>Threat models, attack-path models, architecture diagrams and trust-boundary records.</w:t>
      </w:r>
    </w:p>
    <w:p>
      <w:pPr>
        <w:pStyle w:val="ListBullet"/>
      </w:pPr>
      <w:r>
        <w:t>Identity, access, secrets, privileged-access and service-account evidence.</w:t>
      </w:r>
    </w:p>
    <w:p>
      <w:pPr>
        <w:pStyle w:val="ListBullet"/>
      </w:pPr>
      <w:r>
        <w:t>Secure development, dependency, build, image and supplier assurance records.</w:t>
      </w:r>
    </w:p>
    <w:p>
      <w:pPr>
        <w:pStyle w:val="ListBullet"/>
      </w:pPr>
      <w:r>
        <w:t>Logging, telemetry, detection, alert triage and incident-response evidence.</w:t>
      </w:r>
    </w:p>
    <w:p>
      <w:pPr>
        <w:pStyle w:val="ListBullet"/>
      </w:pPr>
      <w:r>
        <w:t>Backup, restoration, resilience, denial-of-service and recovery test records.</w:t>
      </w:r>
    </w:p>
    <w:p>
      <w:pPr>
        <w:pStyle w:val="ListBullet"/>
      </w:pPr>
      <w:r>
        <w:t>Red-team, purple-team, penetration-test and adversary-emulation evidence.</w:t>
      </w:r>
    </w:p>
    <w:p>
      <w:pPr>
        <w:pStyle w:val="Heading1"/>
      </w:pPr>
      <w:r>
        <w:t>12. Limitations</w:t>
      </w:r>
    </w:p>
    <w:p>
      <w:pPr>
        <w:pStyle w:val="ListBullet"/>
      </w:pPr>
      <w:r>
        <w:t>ATT&amp;CK describes adversary behavior and is not a prescriptive control or compliance framework.</w:t>
      </w:r>
    </w:p>
    <w:p>
      <w:pPr>
        <w:pStyle w:val="ListBullet"/>
      </w:pPr>
      <w:r>
        <w:t>A mapping does not prove prevention, detection, mitigation effectiveness, or test coverage.</w:t>
      </w:r>
    </w:p>
    <w:p>
      <w:pPr>
        <w:pStyle w:val="ListBullet"/>
      </w:pPr>
      <w:r>
        <w:t>The priority technique inventory is scoped to Enterprise techniques with direct relevance to GAISSF and does not replace the complete official ATT&amp;CK dataset.</w:t>
      </w:r>
    </w:p>
    <w:p>
      <w:pPr>
        <w:pStyle w:val="ListBullet"/>
      </w:pPr>
      <w:r>
        <w:t>Sub-techniques and procedures require environment-specific analysis.</w:t>
      </w:r>
    </w:p>
    <w:p>
      <w:pPr>
        <w:pStyle w:val="ListBullet"/>
      </w:pPr>
      <w:r>
        <w:t>Mobile and ICS domains are excluded from this edition and require separate controlled profiles.</w:t>
      </w:r>
    </w:p>
    <w:p>
      <w:pPr>
        <w:pStyle w:val="ListBullet"/>
      </w:pPr>
      <w:r>
        <w:t>ATT&amp;CK changes require source revalidation.</w:t>
      </w:r>
    </w:p>
    <w:p>
      <w:pPr>
        <w:pStyle w:val="Heading1"/>
      </w:pPr>
      <w:r>
        <w:t>13. Notably Absent</w:t>
      </w:r>
    </w:p>
    <w:p>
      <w:pPr>
        <w:pStyle w:val="ListBullet"/>
      </w:pPr>
      <w:r>
        <w:t>No MITRE endorsement, approval, certification, or recognition.</w:t>
      </w:r>
    </w:p>
    <w:p>
      <w:pPr>
        <w:pStyle w:val="ListBullet"/>
      </w:pPr>
      <w:r>
        <w:t>No claim of complete prevention or detection of an ATT&amp;CK technique.</w:t>
      </w:r>
    </w:p>
    <w:p>
      <w:pPr>
        <w:pStyle w:val="ListBullet"/>
      </w:pPr>
      <w:r>
        <w:t>No universal ATT&amp;CK coverage score or compliance percentage.</w:t>
      </w:r>
    </w:p>
    <w:p>
      <w:pPr>
        <w:pStyle w:val="ListBullet"/>
      </w:pPr>
      <w:r>
        <w:t>No substitution for current threat intelligence, procedure analysis, detection engineering, or adversary emulation.</w:t>
      </w:r>
    </w:p>
    <w:p>
      <w:pPr>
        <w:pStyle w:val="ListBullet"/>
      </w:pPr>
      <w:r>
        <w:t>No Mobile or ICS mapping in this edition.</w:t>
      </w:r>
    </w:p>
    <w:p>
      <w:pPr>
        <w:pStyle w:val="ListBullet"/>
      </w:pPr>
      <w:r>
        <w:t>No claim that ATT&amp;CK is a control framework or regulatory standard.</w:t>
      </w:r>
    </w:p>
    <w:p>
      <w:pPr>
        <w:pStyle w:val="Heading1"/>
      </w:pPr>
      <w:r>
        <w:t>14. Maintenance and Revalidation</w:t>
      </w:r>
    </w:p>
    <w:p>
      <w:r>
        <w:t>CRO-026 shall be reviewed after every ATT&amp;CK major or minor release, any material GAISSF control change, new platform scope, significant threat-intelligence change, or evidence that a mapping is ambiguous or no longer operationally useful.</w:t>
      </w:r>
    </w:p>
    <w:p>
      <w:pPr>
        <w:pStyle w:val="Heading1"/>
      </w:pPr>
      <w:r>
        <w:t>Annex A - Quality Assurance Record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blHeader w:val="true"/>
        </w:trPr>
        <w:tc>
          <w:tcPr>
            <w:tcW w:type="dxa" w:w="6480"/>
            <w:vAlign w:val="top"/>
            <w:shd w:fill="17365D"/>
          </w:tcPr>
          <w:p>
            <w:r/>
            <w:r>
              <w:rPr>
                <w:b/>
                <w:color w:val="FFFFFF"/>
                <w:sz w:val="14"/>
              </w:rPr>
              <w:t>QA check</w:t>
            </w:r>
          </w:p>
        </w:tc>
        <w:tc>
          <w:tcPr>
            <w:tcW w:type="dxa" w:w="2880"/>
            <w:vAlign w:val="top"/>
            <w:shd w:fill="17365D"/>
          </w:tcPr>
          <w:p>
            <w:r/>
            <w:r>
              <w:rPr>
                <w:b/>
                <w:color w:val="FFFFFF"/>
                <w:sz w:val="14"/>
              </w:rPr>
              <w:t>Result</w:t>
            </w:r>
          </w:p>
        </w:tc>
      </w:tr>
      <w:tr>
        <w:tc>
          <w:tcPr>
            <w:tcW w:type="dxa" w:w="6480"/>
            <w:vAlign w:val="top"/>
          </w:tcPr>
          <w:p>
            <w:r/>
            <w:r>
              <w:rPr>
                <w:b w:val="0"/>
                <w:sz w:val="16"/>
              </w:rPr>
              <w:t>GAISSF controls inventoried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6"/>
              </w:rPr>
              <w:t>59</w:t>
            </w:r>
          </w:p>
        </w:tc>
      </w:tr>
      <w:tr>
        <w:tc>
          <w:tcPr>
            <w:tcW w:type="dxa" w:w="6480"/>
            <w:vAlign w:val="top"/>
          </w:tcPr>
          <w:p>
            <w:r/>
            <w:r>
              <w:rPr>
                <w:b w:val="0"/>
                <w:sz w:val="16"/>
              </w:rPr>
              <w:t>Enterprise tactics inventoried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6"/>
              </w:rPr>
              <w:t>14</w:t>
            </w:r>
          </w:p>
        </w:tc>
      </w:tr>
      <w:tr>
        <w:tc>
          <w:tcPr>
            <w:tcW w:type="dxa" w:w="6480"/>
            <w:vAlign w:val="top"/>
          </w:tcPr>
          <w:p>
            <w:r/>
            <w:r>
              <w:rPr>
                <w:b w:val="0"/>
                <w:sz w:val="16"/>
              </w:rPr>
              <w:t>Priority techniques mapped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6"/>
              </w:rPr>
              <w:t>100</w:t>
            </w:r>
          </w:p>
        </w:tc>
      </w:tr>
      <w:tr>
        <w:tc>
          <w:tcPr>
            <w:tcW w:type="dxa" w:w="6480"/>
            <w:vAlign w:val="top"/>
          </w:tcPr>
          <w:p>
            <w:r/>
            <w:r>
              <w:rPr>
                <w:b w:val="0"/>
                <w:sz w:val="16"/>
              </w:rPr>
              <w:t>Forward mapping records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6"/>
              </w:rPr>
              <w:t>112</w:t>
            </w:r>
          </w:p>
        </w:tc>
      </w:tr>
      <w:tr>
        <w:tc>
          <w:tcPr>
            <w:tcW w:type="dxa" w:w="6480"/>
            <w:vAlign w:val="top"/>
          </w:tcPr>
          <w:p>
            <w:r/>
            <w:r>
              <w:rPr>
                <w:b w:val="0"/>
                <w:sz w:val="16"/>
              </w:rPr>
              <w:t>Reverse tactic register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6"/>
              </w:rPr>
              <w:t>Completed</w:t>
            </w:r>
          </w:p>
        </w:tc>
      </w:tr>
      <w:tr>
        <w:tc>
          <w:tcPr>
            <w:tcW w:type="dxa" w:w="6480"/>
            <w:vAlign w:val="top"/>
          </w:tcPr>
          <w:p>
            <w:r/>
            <w:r>
              <w:rPr>
                <w:b w:val="0"/>
                <w:sz w:val="16"/>
              </w:rPr>
              <w:t>Enterprise/Mobile/ICS scope separated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6"/>
              </w:rPr>
              <w:t>Yes</w:t>
            </w:r>
          </w:p>
        </w:tc>
      </w:tr>
      <w:tr>
        <w:tc>
          <w:tcPr>
            <w:tcW w:type="dxa" w:w="6480"/>
            <w:vAlign w:val="top"/>
          </w:tcPr>
          <w:p>
            <w:r/>
            <w:r>
              <w:rPr>
                <w:b w:val="0"/>
                <w:sz w:val="16"/>
              </w:rPr>
              <w:t>Independent threat-informed-defense review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6"/>
              </w:rPr>
              <w:t>Required before final publication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ODA3 Institute | CRO-026 | GAISSF-MITRE ATT&amp;CK Mapping v1.0 | © 2026 ODA3 Pvt Ltd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1F1F1F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