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30"/>
        </w:rPr>
        <w:t>ODA3 Institute</w:t>
      </w:r>
    </w:p>
    <w:p>
      <w:pPr>
        <w:jc w:val="center"/>
      </w:pPr>
      <w:r>
        <w:rPr>
          <w:b/>
          <w:color w:val="17365D"/>
          <w:sz w:val="50"/>
        </w:rPr>
        <w:t>GAISSF-MITRE ATT&amp;CK Mapping</w:t>
      </w:r>
    </w:p>
    <w:p>
      <w:pPr>
        <w:jc w:val="center"/>
      </w:pPr>
      <w:r>
        <w:rPr>
          <w:i/>
          <w:sz w:val="22"/>
        </w:rPr>
        <w:t>Website and executive summary</w:t>
      </w:r>
    </w:p>
    <w:p>
      <w:pPr>
        <w:pStyle w:val="Heading1"/>
      </w:pPr>
      <w:r>
        <w:t>Threat-informed cyber alignment for AI systems</w:t>
      </w:r>
    </w:p>
    <w:p>
      <w:r>
        <w:t>CRO-026 connects GAISSF v1.0 controls with MITRE ATT&amp;CK Enterprise adversary tactics and techniques. It gives security architects, SOC teams, threat-intelligence analysts, red and purple teams, AI governance leads, and assessors a common evidence-oriented mapping layer.</w:t>
      </w:r>
    </w:p>
    <w:p>
      <w:pPr>
        <w:pStyle w:val="Heading1"/>
      </w:pPr>
      <w:r>
        <w:t>Package coverage</w:t>
      </w:r>
    </w:p>
    <w:p>
      <w:pPr>
        <w:pStyle w:val="ListBullet"/>
      </w:pPr>
      <w:r>
        <w:t>All 59 GAISSF controls assessed.</w:t>
      </w:r>
    </w:p>
    <w:p>
      <w:pPr>
        <w:pStyle w:val="ListBullet"/>
      </w:pPr>
      <w:r>
        <w:t>All 14 Enterprise tactics represented.</w:t>
      </w:r>
    </w:p>
    <w:p>
      <w:pPr>
        <w:pStyle w:val="ListBullet"/>
      </w:pPr>
      <w:r>
        <w:t>100 priority Enterprise techniques mapped.</w:t>
      </w:r>
    </w:p>
    <w:p>
      <w:pPr>
        <w:pStyle w:val="ListBullet"/>
      </w:pPr>
      <w:r>
        <w:t>112 documented control-to-technique relationships.</w:t>
      </w:r>
    </w:p>
    <w:p>
      <w:pPr>
        <w:pStyle w:val="ListBullet"/>
      </w:pPr>
      <w:r>
        <w:t>Spreadsheet and JSON registers included for tooling and analysis.</w:t>
      </w:r>
    </w:p>
    <w:p>
      <w:pPr>
        <w:pStyle w:val="Heading1"/>
      </w:pPr>
      <w:r>
        <w:t>Source baseline</w:t>
      </w:r>
    </w:p>
    <w:p>
      <w:r>
        <w:t>MITRE ATT&amp;CK v19, released 28 April 2026. Enterprise is the primary domain. Mobile and ICS are expressly excluded and require separate controlled mappings.</w:t>
      </w:r>
    </w:p>
    <w:p>
      <w:pPr>
        <w:pStyle w:val="Heading1"/>
      </w:pPr>
      <w:r>
        <w:t>Appropriate uses</w:t>
      </w:r>
    </w:p>
    <w:p>
      <w:pPr>
        <w:pStyle w:val="ListBullet"/>
      </w:pPr>
      <w:r>
        <w:t>Threat modelling and attack-path analysis</w:t>
      </w:r>
    </w:p>
    <w:p>
      <w:pPr>
        <w:pStyle w:val="ListBullet"/>
      </w:pPr>
      <w:r>
        <w:t>Detection and telemetry gap analysis</w:t>
      </w:r>
    </w:p>
    <w:p>
      <w:pPr>
        <w:pStyle w:val="ListBullet"/>
      </w:pPr>
      <w:r>
        <w:t>Adversary-emulation and purple-team planning</w:t>
      </w:r>
    </w:p>
    <w:p>
      <w:pPr>
        <w:pStyle w:val="ListBullet"/>
      </w:pPr>
      <w:r>
        <w:t>Control selection and evidence reuse</w:t>
      </w:r>
    </w:p>
    <w:p>
      <w:pPr>
        <w:pStyle w:val="ListBullet"/>
      </w:pPr>
      <w:r>
        <w:t>Incident-readiness and assurance scoping</w:t>
      </w:r>
    </w:p>
    <w:p>
      <w:pPr>
        <w:pStyle w:val="Heading1"/>
      </w:pPr>
      <w:r>
        <w:t>What the mapping does not establish</w:t>
      </w:r>
    </w:p>
    <w:p>
      <w:pPr>
        <w:pStyle w:val="ListBullet"/>
      </w:pPr>
      <w:r>
        <w:t>MITRE endorsement, certification, or approval</w:t>
      </w:r>
    </w:p>
    <w:p>
      <w:pPr>
        <w:pStyle w:val="ListBullet"/>
      </w:pPr>
      <w:r>
        <w:t>Automatic prevention or detection of mapped techniques</w:t>
      </w:r>
    </w:p>
    <w:p>
      <w:pPr>
        <w:pStyle w:val="ListBullet"/>
      </w:pPr>
      <w:r>
        <w:t>Complete sub-technique or procedure coverage</w:t>
      </w:r>
    </w:p>
    <w:p>
      <w:pPr>
        <w:pStyle w:val="ListBullet"/>
      </w:pPr>
      <w:r>
        <w:t>A substitute for current threat intelligence or environment-specific validation</w:t>
      </w:r>
    </w:p>
    <w:p>
      <w:pPr>
        <w:pStyle w:val="ListBullet"/>
      </w:pPr>
      <w:r>
        <w:t>Regulatory compliance or safe harbour</w:t>
      </w:r>
    </w:p>
    <w:sectPr w:rsidR="00FC693F" w:rsidRPr="0006063C" w:rsidSect="00034616">
      <w:footerReference w:type="default" r:id="rId9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ODA3 Institute | CRO-026 Website Summary | © 2026 ODA3 Pvt Ltd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F1F1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