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32"/>
        </w:rPr>
        <w:t>ODA3 Institute</w:t>
      </w:r>
    </w:p>
    <w:p>
      <w:pPr>
        <w:jc w:val="center"/>
      </w:pPr>
      <w:r>
        <w:rPr>
          <w:b/>
          <w:sz w:val="44"/>
        </w:rPr>
        <w:t>GAISSF–EU AI Act Mapping</w:t>
      </w:r>
    </w:p>
    <w:p>
      <w:pPr>
        <w:jc w:val="center"/>
      </w:pPr>
      <w:r>
        <w:rPr>
          <w:sz w:val="24"/>
        </w:rPr>
        <w:t>Website and executive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Document ID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CRO-027</w:t>
            </w:r>
          </w:p>
        </w:tc>
      </w:tr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Version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1.0</w:t>
            </w:r>
          </w:p>
        </w:tc>
      </w:tr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Status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Publication Candidate</w:t>
            </w:r>
          </w:p>
        </w:tc>
      </w:tr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Classification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Crosswalk — informative</w:t>
            </w:r>
          </w:p>
        </w:tc>
      </w:tr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Publication date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29 June 2026</w:t>
            </w:r>
          </w:p>
        </w:tc>
      </w:tr>
      <w:tr>
        <w:tc>
          <w:tcPr>
            <w:tcW w:type="dxa" w:w="5112"/>
            <w:vAlign w:val="top"/>
            <w:shd w:fill="D9EAF7"/>
          </w:tcPr>
          <w:p>
            <w:r/>
            <w:r>
              <w:rPr>
                <w:b/>
                <w:sz w:val="16"/>
              </w:rPr>
              <w:t>Publisher</w:t>
            </w:r>
          </w:p>
        </w:tc>
        <w:tc>
          <w:tcPr>
            <w:tcW w:type="dxa" w:w="5112"/>
            <w:vAlign w:val="top"/>
          </w:tcPr>
          <w:p>
            <w:r/>
            <w:r>
              <w:rPr>
                <w:b w:val="0"/>
                <w:sz w:val="16"/>
              </w:rPr>
              <w:t>ODA3 Institute</w:t>
            </w:r>
          </w:p>
        </w:tc>
      </w:tr>
    </w:tbl>
    <w:p/>
    <w:p>
      <w:pPr>
        <w:pStyle w:val="Heading1"/>
      </w:pPr>
      <w:r>
        <w:t>What CRO-027 provides</w:t>
      </w:r>
    </w:p>
    <w:p>
      <w:r>
        <w:t>A structured article-level crosswalk between all 59 GAISSF v1.0 controls and 51 material provisions of Regulation (EU) 2024/1689. It contains 236 forward mapping records and reverse article coverage for regulatory readiness planning.</w:t>
      </w:r>
    </w:p>
    <w:p>
      <w:pPr>
        <w:pStyle w:val="Heading1"/>
      </w:pPr>
      <w:r>
        <w:t>Designed for</w:t>
      </w:r>
    </w:p>
    <w:p>
      <w:r>
        <w:t>CISOs, AI governance leads, compliance officers, security architects, legal and risk teams, internal audit, assessors and standards participants.</w:t>
      </w:r>
    </w:p>
    <w:p>
      <w:pPr>
        <w:pStyle w:val="Heading1"/>
      </w:pPr>
      <w:r>
        <w:t>Key uses</w:t>
      </w:r>
    </w:p>
    <w:p>
      <w:pPr>
        <w:pStyle w:val="ListBullet"/>
      </w:pPr>
      <w:r>
        <w:t>Identify GAISSF evidence that may support EU AI Act implementation.</w:t>
      </w:r>
    </w:p>
    <w:p>
      <w:pPr>
        <w:pStyle w:val="ListBullet"/>
      </w:pPr>
      <w:r>
        <w:t>Find legal and procedural gaps beyond technical controls.</w:t>
      </w:r>
    </w:p>
    <w:p>
      <w:pPr>
        <w:pStyle w:val="ListBullet"/>
      </w:pPr>
      <w:r>
        <w:t>Separate provider, deployer, supply-chain and GPAI obligations.</w:t>
      </w:r>
    </w:p>
    <w:p>
      <w:pPr>
        <w:pStyle w:val="ListBullet"/>
      </w:pPr>
      <w:r>
        <w:t>Track phased applicability and revalidation triggers.</w:t>
      </w:r>
    </w:p>
    <w:p>
      <w:pPr>
        <w:pStyle w:val="Heading1"/>
      </w:pPr>
      <w:r>
        <w:t>Important boundary</w:t>
      </w:r>
    </w:p>
    <w:p>
      <w:r>
        <w:t>CRO-027 is an informative implementation crosswalk. It is not legal advice, a conformity assessment, CE-marking evidence, regulatory approval or a presumption of conformity. Applicability must be determined for the relevant actor, AI system or model, intended purpose, risk classification and date.</w:t>
      </w:r>
    </w:p>
    <w:p>
      <w:pPr>
        <w:pStyle w:val="Heading1"/>
      </w:pPr>
      <w:r>
        <w:t>Package contents</w:t>
      </w:r>
    </w:p>
    <w:p>
      <w:r>
        <w:t>Publication DOCX, detailed XLSX register, GitHub Markdown edition, website summary and machine-readable JSON dataset.</w:t>
      </w:r>
    </w:p>
    <w:p>
      <w:pPr>
        <w:pStyle w:val="Heading1"/>
      </w:pPr>
      <w:r>
        <w:t>Source baseline</w:t>
      </w:r>
    </w:p>
    <w:p>
      <w:r>
        <w:t>Regulation (EU) 2024/1689, official text of 13 June 2024, published in the Official Journal on 12 July 2024; implementation status verified 29 June 2026.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