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63A5F"/>
          <w:sz w:val="32"/>
        </w:rPr>
        <w:t>ODA3 Institute</w:t>
      </w:r>
    </w:p>
    <w:p>
      <w:pPr>
        <w:jc w:val="center"/>
      </w:pPr>
      <w:r>
        <w:rPr>
          <w:b/>
          <w:sz w:val="44"/>
        </w:rPr>
        <w:t>GAISSF–DORA Mapping</w:t>
      </w:r>
    </w:p>
    <w:p>
      <w:pPr>
        <w:jc w:val="center"/>
      </w:pPr>
      <w:r>
        <w:rPr>
          <w:sz w:val="24"/>
        </w:rPr>
        <w:t>Website and executive summary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vAlign w:val="top"/>
            <w:shd w:fill="D9EAF7"/>
          </w:tcPr>
          <w:p>
            <w:r/>
            <w:r>
              <w:rPr>
                <w:b/>
                <w:sz w:val="14"/>
              </w:rPr>
              <w:t>Document ID</w:t>
            </w:r>
          </w:p>
        </w:tc>
        <w:tc>
          <w:tcPr>
            <w:tcW w:type="dxa" w:w="5112"/>
            <w:vAlign w:val="top"/>
          </w:tcPr>
          <w:p>
            <w:r/>
            <w:r>
              <w:rPr>
                <w:b w:val="0"/>
                <w:sz w:val="14"/>
              </w:rPr>
              <w:t>CRO-028</w:t>
            </w:r>
          </w:p>
        </w:tc>
      </w:tr>
      <w:tr>
        <w:tc>
          <w:tcPr>
            <w:tcW w:type="dxa" w:w="5112"/>
            <w:vAlign w:val="top"/>
            <w:shd w:fill="D9EAF7"/>
          </w:tcPr>
          <w:p>
            <w:r/>
            <w:r>
              <w:rPr>
                <w:b/>
                <w:sz w:val="14"/>
              </w:rPr>
              <w:t>Version</w:t>
            </w:r>
          </w:p>
        </w:tc>
        <w:tc>
          <w:tcPr>
            <w:tcW w:type="dxa" w:w="5112"/>
            <w:vAlign w:val="top"/>
          </w:tcPr>
          <w:p>
            <w:r/>
            <w:r>
              <w:rPr>
                <w:b w:val="0"/>
                <w:sz w:val="14"/>
              </w:rPr>
              <w:t>1.0</w:t>
            </w:r>
          </w:p>
        </w:tc>
      </w:tr>
      <w:tr>
        <w:tc>
          <w:tcPr>
            <w:tcW w:type="dxa" w:w="5112"/>
            <w:vAlign w:val="top"/>
            <w:shd w:fill="D9EAF7"/>
          </w:tcPr>
          <w:p>
            <w:r/>
            <w:r>
              <w:rPr>
                <w:b/>
                <w:sz w:val="14"/>
              </w:rPr>
              <w:t>Status</w:t>
            </w:r>
          </w:p>
        </w:tc>
        <w:tc>
          <w:tcPr>
            <w:tcW w:type="dxa" w:w="5112"/>
            <w:vAlign w:val="top"/>
          </w:tcPr>
          <w:p>
            <w:r/>
            <w:r>
              <w:rPr>
                <w:b w:val="0"/>
                <w:sz w:val="14"/>
              </w:rPr>
              <w:t>Publication Candidate</w:t>
            </w:r>
          </w:p>
        </w:tc>
      </w:tr>
      <w:tr>
        <w:tc>
          <w:tcPr>
            <w:tcW w:type="dxa" w:w="5112"/>
            <w:vAlign w:val="top"/>
            <w:shd w:fill="D9EAF7"/>
          </w:tcPr>
          <w:p>
            <w:r/>
            <w:r>
              <w:rPr>
                <w:b/>
                <w:sz w:val="14"/>
              </w:rPr>
              <w:t>Classification</w:t>
            </w:r>
          </w:p>
        </w:tc>
        <w:tc>
          <w:tcPr>
            <w:tcW w:type="dxa" w:w="5112"/>
            <w:vAlign w:val="top"/>
          </w:tcPr>
          <w:p>
            <w:r/>
            <w:r>
              <w:rPr>
                <w:b w:val="0"/>
                <w:sz w:val="14"/>
              </w:rPr>
              <w:t>Crosswalk — informative</w:t>
            </w:r>
          </w:p>
        </w:tc>
      </w:tr>
      <w:tr>
        <w:tc>
          <w:tcPr>
            <w:tcW w:type="dxa" w:w="5112"/>
            <w:vAlign w:val="top"/>
            <w:shd w:fill="D9EAF7"/>
          </w:tcPr>
          <w:p>
            <w:r/>
            <w:r>
              <w:rPr>
                <w:b/>
                <w:sz w:val="14"/>
              </w:rPr>
              <w:t>Publication date</w:t>
            </w:r>
          </w:p>
        </w:tc>
        <w:tc>
          <w:tcPr>
            <w:tcW w:type="dxa" w:w="5112"/>
            <w:vAlign w:val="top"/>
          </w:tcPr>
          <w:p>
            <w:r/>
            <w:r>
              <w:rPr>
                <w:b w:val="0"/>
                <w:sz w:val="14"/>
              </w:rPr>
              <w:t>29 June 2026</w:t>
            </w:r>
          </w:p>
        </w:tc>
      </w:tr>
      <w:tr>
        <w:tc>
          <w:tcPr>
            <w:tcW w:type="dxa" w:w="5112"/>
            <w:vAlign w:val="top"/>
            <w:shd w:fill="D9EAF7"/>
          </w:tcPr>
          <w:p>
            <w:r/>
            <w:r>
              <w:rPr>
                <w:b/>
                <w:sz w:val="14"/>
              </w:rPr>
              <w:t>Publisher</w:t>
            </w:r>
          </w:p>
        </w:tc>
        <w:tc>
          <w:tcPr>
            <w:tcW w:type="dxa" w:w="5112"/>
            <w:vAlign w:val="top"/>
          </w:tcPr>
          <w:p>
            <w:r/>
            <w:r>
              <w:rPr>
                <w:b w:val="0"/>
                <w:sz w:val="14"/>
              </w:rPr>
              <w:t>ODA3 Institute</w:t>
            </w:r>
          </w:p>
        </w:tc>
      </w:tr>
    </w:tbl>
    <w:p>
      <w:pPr>
        <w:pStyle w:val="Heading1"/>
      </w:pPr>
      <w:r>
        <w:t>Overview</w:t>
      </w:r>
    </w:p>
    <w:p>
      <w:r>
        <w:t>This publication maps 59 GAISSF controls to 64 DORA articles using 236 traceable mapping records. It helps financial-sector organisations identify reusable AI-security and assurance capabilities while documenting DORA-specific gaps.</w:t>
      </w:r>
    </w:p>
    <w:p>
      <w:pPr>
        <w:pStyle w:val="Heading1"/>
      </w:pPr>
      <w:r>
        <w:t>What the crosswalk supports</w:t>
      </w:r>
    </w:p>
    <w:p>
      <w:pPr>
        <w:pStyle w:val="ListBullet"/>
      </w:pPr>
      <w:r>
        <w:t>ICT risk-management alignment</w:t>
      </w:r>
    </w:p>
    <w:p>
      <w:pPr>
        <w:pStyle w:val="ListBullet"/>
      </w:pPr>
      <w:r>
        <w:t>Incident-management and reporting readiness</w:t>
      </w:r>
    </w:p>
    <w:p>
      <w:pPr>
        <w:pStyle w:val="ListBullet"/>
      </w:pPr>
      <w:r>
        <w:t>Digital operational resilience testing</w:t>
      </w:r>
    </w:p>
    <w:p>
      <w:pPr>
        <w:pStyle w:val="ListBullet"/>
      </w:pPr>
      <w:r>
        <w:t>ICT third-party risk and contract review</w:t>
      </w:r>
    </w:p>
    <w:p>
      <w:pPr>
        <w:pStyle w:val="ListBullet"/>
      </w:pPr>
      <w:r>
        <w:t>Evidence reuse and remediation planning</w:t>
      </w:r>
    </w:p>
    <w:p>
      <w:pPr>
        <w:pStyle w:val="Heading1"/>
      </w:pPr>
      <w:r>
        <w:t>Important boundary</w:t>
      </w:r>
    </w:p>
    <w:p>
      <w:r>
        <w:t>The crosswalk is not legal advice, a compliance determination, a supervisory submission or proof of operating effectiveness. DORA applicability, proportionality, entity classification, Level 2 requirements and competent-authority expectations must be assessed separately.</w:t>
      </w:r>
    </w:p>
    <w:p>
      <w:pPr>
        <w:pStyle w:val="Heading1"/>
      </w:pPr>
      <w:r>
        <w:t>Dataset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vAlign w:val="top"/>
            <w:shd w:fill="163A5F"/>
          </w:tcPr>
          <w:p>
            <w:r/>
            <w:r>
              <w:rPr>
                <w:b/>
                <w:color w:val="FFFFFF"/>
                <w:sz w:val="16"/>
              </w:rPr>
              <w:t>Measure</w:t>
            </w:r>
          </w:p>
        </w:tc>
        <w:tc>
          <w:tcPr>
            <w:tcW w:type="dxa" w:w="5112"/>
            <w:vAlign w:val="top"/>
            <w:shd w:fill="163A5F"/>
          </w:tcPr>
          <w:p>
            <w:r/>
            <w:r>
              <w:rPr>
                <w:b/>
                <w:color w:val="FFFFFF"/>
                <w:sz w:val="16"/>
              </w:rPr>
              <w:t>Value</w:t>
            </w:r>
          </w:p>
        </w:tc>
      </w:tr>
      <w:tr>
        <w:tc>
          <w:tcPr>
            <w:tcW w:type="dxa" w:w="5112"/>
            <w:vAlign w:val="top"/>
          </w:tcPr>
          <w:p>
            <w:r/>
            <w:r>
              <w:rPr>
                <w:b w:val="0"/>
                <w:sz w:val="16"/>
              </w:rPr>
              <w:t>GAISSF controls</w:t>
            </w:r>
          </w:p>
        </w:tc>
        <w:tc>
          <w:tcPr>
            <w:tcW w:type="dxa" w:w="5112"/>
            <w:vAlign w:val="top"/>
          </w:tcPr>
          <w:p>
            <w:r/>
            <w:r>
              <w:rPr>
                <w:b w:val="0"/>
                <w:sz w:val="16"/>
              </w:rPr>
              <w:t>59</w:t>
            </w:r>
          </w:p>
        </w:tc>
      </w:tr>
      <w:tr>
        <w:tc>
          <w:tcPr>
            <w:tcW w:type="dxa" w:w="5112"/>
            <w:vAlign w:val="top"/>
          </w:tcPr>
          <w:p>
            <w:r/>
            <w:r>
              <w:rPr>
                <w:b w:val="0"/>
                <w:sz w:val="16"/>
              </w:rPr>
              <w:t>DORA articles</w:t>
            </w:r>
          </w:p>
        </w:tc>
        <w:tc>
          <w:tcPr>
            <w:tcW w:type="dxa" w:w="5112"/>
            <w:vAlign w:val="top"/>
          </w:tcPr>
          <w:p>
            <w:r/>
            <w:r>
              <w:rPr>
                <w:b w:val="0"/>
                <w:sz w:val="16"/>
              </w:rPr>
              <w:t>64</w:t>
            </w:r>
          </w:p>
        </w:tc>
      </w:tr>
      <w:tr>
        <w:tc>
          <w:tcPr>
            <w:tcW w:type="dxa" w:w="5112"/>
            <w:vAlign w:val="top"/>
          </w:tcPr>
          <w:p>
            <w:r/>
            <w:r>
              <w:rPr>
                <w:b w:val="0"/>
                <w:sz w:val="16"/>
              </w:rPr>
              <w:t>Forward mappings</w:t>
            </w:r>
          </w:p>
        </w:tc>
        <w:tc>
          <w:tcPr>
            <w:tcW w:type="dxa" w:w="5112"/>
            <w:vAlign w:val="top"/>
          </w:tcPr>
          <w:p>
            <w:r/>
            <w:r>
              <w:rPr>
                <w:b w:val="0"/>
                <w:sz w:val="16"/>
              </w:rPr>
              <w:t>236</w:t>
            </w:r>
          </w:p>
        </w:tc>
      </w:tr>
      <w:tr>
        <w:tc>
          <w:tcPr>
            <w:tcW w:type="dxa" w:w="5112"/>
            <w:vAlign w:val="top"/>
          </w:tcPr>
          <w:p>
            <w:r/>
            <w:r>
              <w:rPr>
                <w:b w:val="0"/>
                <w:sz w:val="16"/>
              </w:rPr>
              <w:t>Reverse records</w:t>
            </w:r>
          </w:p>
        </w:tc>
        <w:tc>
          <w:tcPr>
            <w:tcW w:type="dxa" w:w="5112"/>
            <w:vAlign w:val="top"/>
          </w:tcPr>
          <w:p>
            <w:r/>
            <w:r>
              <w:rPr>
                <w:b w:val="0"/>
                <w:sz w:val="16"/>
              </w:rPr>
              <w:t>64</w:t>
            </w:r>
          </w:p>
        </w:tc>
      </w:tr>
      <w:tr>
        <w:tc>
          <w:tcPr>
            <w:tcW w:type="dxa" w:w="5112"/>
            <w:vAlign w:val="top"/>
          </w:tcPr>
          <w:p>
            <w:r/>
            <w:r>
              <w:rPr>
                <w:b w:val="0"/>
                <w:sz w:val="16"/>
              </w:rPr>
              <w:t>Legal baseline</w:t>
            </w:r>
          </w:p>
        </w:tc>
        <w:tc>
          <w:tcPr>
            <w:tcW w:type="dxa" w:w="5112"/>
            <w:vAlign w:val="top"/>
          </w:tcPr>
          <w:p>
            <w:r/>
            <w:r>
              <w:rPr>
                <w:b w:val="0"/>
                <w:sz w:val="16"/>
              </w:rPr>
              <w:t>Regulation (EU) 2022/2554</w:t>
            </w:r>
          </w:p>
        </w:tc>
      </w:tr>
      <w:tr>
        <w:tc>
          <w:tcPr>
            <w:tcW w:type="dxa" w:w="5112"/>
            <w:vAlign w:val="top"/>
          </w:tcPr>
          <w:p>
            <w:r/>
            <w:r>
              <w:rPr>
                <w:b w:val="0"/>
                <w:sz w:val="16"/>
              </w:rPr>
              <w:t>Application date</w:t>
            </w:r>
          </w:p>
        </w:tc>
        <w:tc>
          <w:tcPr>
            <w:tcW w:type="dxa" w:w="5112"/>
            <w:vAlign w:val="top"/>
          </w:tcPr>
          <w:p>
            <w:r/>
            <w:r>
              <w:rPr>
                <w:b w:val="0"/>
                <w:sz w:val="16"/>
              </w:rPr>
              <w:t>17 January 2025</w:t>
            </w:r>
          </w:p>
        </w:tc>
      </w:tr>
    </w:tbl>
    <w:p>
      <w:pPr>
        <w:pStyle w:val="Heading1"/>
      </w:pPr>
      <w:r>
        <w:t>Notably absent</w:t>
      </w:r>
    </w:p>
    <w:p>
      <w:r>
        <w:t>No claim of automatic DORA compliance, supervisory endorsement, universal applicability, or equivalence between GAISSF controls and legal obligations is made.</w:t>
      </w:r>
    </w:p>
    <w:sectPr w:rsidR="00FC693F" w:rsidRPr="0006063C" w:rsidSect="00034616">
      <w:pgSz w:w="12240" w:h="15840"/>
      <w:pgMar w:top="936" w:right="1008" w:bottom="936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