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3A5F"/>
          <w:sz w:val="30"/>
        </w:rPr>
        <w:t>ODA3 Institute</w:t>
      </w:r>
    </w:p>
    <w:p>
      <w:pPr>
        <w:jc w:val="center"/>
      </w:pPr>
      <w:r>
        <w:rPr>
          <w:b/>
          <w:color w:val="163A5F"/>
          <w:sz w:val="50"/>
        </w:rPr>
        <w:t>GAISSF–NIS2 Mapping</w:t>
      </w:r>
    </w:p>
    <w:p>
      <w:pPr>
        <w:jc w:val="center"/>
      </w:pPr>
      <w:r>
        <w:rPr>
          <w:sz w:val="26"/>
        </w:rPr>
        <w:t>Regulatory crosswalk and article-level implementation analysis</w:t>
      </w:r>
    </w:p>
    <w:p>
      <w:pPr>
        <w:jc w:val="center"/>
      </w:pPr>
      <w:r>
        <w:rPr>
          <w:i/>
        </w:rPr>
        <w:t>Version 1.0 | Publication Candidate | 29 June 2026</w:t>
      </w:r>
    </w:p>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163A5F"/>
          </w:tcPr>
          <w:p>
            <w:r/>
            <w:r>
              <w:rPr>
                <w:b/>
                <w:color w:val="FFFFFF"/>
                <w:sz w:val="18"/>
              </w:rPr>
              <w:t>Document ID</w:t>
            </w:r>
          </w:p>
        </w:tc>
        <w:tc>
          <w:tcPr>
            <w:tcW w:type="dxa" w:w="5112"/>
            <w:vAlign w:val="center"/>
          </w:tcPr>
          <w:p>
            <w:r/>
            <w:r>
              <w:rPr>
                <w:b w:val="0"/>
                <w:sz w:val="18"/>
              </w:rPr>
              <w:t>CRO-029</w:t>
            </w:r>
          </w:p>
        </w:tc>
      </w:tr>
      <w:tr>
        <w:tc>
          <w:tcPr>
            <w:tcW w:type="dxa" w:w="5112"/>
            <w:vAlign w:val="center"/>
            <w:shd w:fill="163A5F"/>
          </w:tcPr>
          <w:p>
            <w:r/>
            <w:r>
              <w:rPr>
                <w:b/>
                <w:color w:val="FFFFFF"/>
                <w:sz w:val="18"/>
              </w:rPr>
              <w:t>Classification</w:t>
            </w:r>
          </w:p>
        </w:tc>
        <w:tc>
          <w:tcPr>
            <w:tcW w:type="dxa" w:w="5112"/>
            <w:vAlign w:val="center"/>
          </w:tcPr>
          <w:p>
            <w:r/>
            <w:r>
              <w:rPr>
                <w:b w:val="0"/>
                <w:sz w:val="18"/>
              </w:rPr>
              <w:t>Crosswalk — informative</w:t>
            </w:r>
          </w:p>
        </w:tc>
      </w:tr>
      <w:tr>
        <w:tc>
          <w:tcPr>
            <w:tcW w:type="dxa" w:w="5112"/>
            <w:vAlign w:val="center"/>
            <w:shd w:fill="163A5F"/>
          </w:tcPr>
          <w:p>
            <w:r/>
            <w:r>
              <w:rPr>
                <w:b/>
                <w:color w:val="FFFFFF"/>
                <w:sz w:val="18"/>
              </w:rPr>
              <w:t>GAISSF baseline</w:t>
            </w:r>
          </w:p>
        </w:tc>
        <w:tc>
          <w:tcPr>
            <w:tcW w:type="dxa" w:w="5112"/>
            <w:vAlign w:val="center"/>
          </w:tcPr>
          <w:p>
            <w:r/>
            <w:r>
              <w:rPr>
                <w:b w:val="0"/>
                <w:sz w:val="18"/>
              </w:rPr>
              <w:t>GAISSF v1.0 — 59 controls</w:t>
            </w:r>
          </w:p>
        </w:tc>
      </w:tr>
      <w:tr>
        <w:tc>
          <w:tcPr>
            <w:tcW w:type="dxa" w:w="5112"/>
            <w:vAlign w:val="center"/>
            <w:shd w:fill="163A5F"/>
          </w:tcPr>
          <w:p>
            <w:r/>
            <w:r>
              <w:rPr>
                <w:b/>
                <w:color w:val="FFFFFF"/>
                <w:sz w:val="18"/>
              </w:rPr>
              <w:t>External baseline</w:t>
            </w:r>
          </w:p>
        </w:tc>
        <w:tc>
          <w:tcPr>
            <w:tcW w:type="dxa" w:w="5112"/>
            <w:vAlign w:val="center"/>
          </w:tcPr>
          <w:p>
            <w:r/>
            <w:r>
              <w:rPr>
                <w:b w:val="0"/>
                <w:sz w:val="18"/>
              </w:rPr>
              <w:t>Directive (EU) 2022/2555</w:t>
            </w:r>
          </w:p>
        </w:tc>
      </w:tr>
      <w:tr>
        <w:tc>
          <w:tcPr>
            <w:tcW w:type="dxa" w:w="5112"/>
            <w:vAlign w:val="center"/>
            <w:shd w:fill="163A5F"/>
          </w:tcPr>
          <w:p>
            <w:r/>
            <w:r>
              <w:rPr>
                <w:b/>
                <w:color w:val="FFFFFF"/>
                <w:sz w:val="18"/>
              </w:rPr>
              <w:t>Distribution</w:t>
            </w:r>
          </w:p>
        </w:tc>
        <w:tc>
          <w:tcPr>
            <w:tcW w:type="dxa" w:w="5112"/>
            <w:vAlign w:val="center"/>
          </w:tcPr>
          <w:p>
            <w:r/>
            <w:r>
              <w:rPr>
                <w:b w:val="0"/>
                <w:sz w:val="18"/>
              </w:rPr>
              <w:t>Website / GitHub</w:t>
            </w:r>
          </w:p>
        </w:tc>
      </w:tr>
    </w:tbl>
    <w:p>
      <w:r>
        <w:br w:type="page"/>
      </w:r>
    </w:p>
    <w:p>
      <w:pPr>
        <w:pStyle w:val="Heading1"/>
      </w:pPr>
      <w:r>
        <w:t>1. Executive Summary</w:t>
      </w:r>
    </w:p>
    <w:p>
      <w:r>
        <w:t>CRO-029 maps all 59 GAISSF v1.0 controls to material provisions of Directive (EU) 2022/2555. The analysis contains 115 forward mapping records and a reverse register for all 46 articles.</w:t>
      </w:r>
    </w:p>
    <w:p>
      <w:r>
        <w:t>The strongest operational alignment is with Article 20 governance, Article 21 cybersecurity risk-management measures, Article 22 supply-chain risk assessment and Article 23 reporting obligations. GAISSF supplies control and evidence structures; it does not determine legal scope, entity classification, jurisdiction, reporting deadlines or national supervisory requirements.</w:t>
      </w:r>
    </w:p>
    <w:p>
      <w:pPr>
        <w:pStyle w:val="Heading1"/>
      </w:pPr>
      <w:r>
        <w:t>2. Purpose and Intended Use</w:t>
      </w:r>
    </w:p>
    <w:p>
      <w:pPr>
        <w:pStyle w:val="ListBullet"/>
      </w:pPr>
      <w:r>
        <w:t>Support NIS2 readiness and gap analysis.</w:t>
      </w:r>
    </w:p>
    <w:p>
      <w:pPr>
        <w:pStyle w:val="ListBullet"/>
      </w:pPr>
      <w:r>
        <w:t>Reuse GAISSF control evidence in national NIS2 programmes.</w:t>
      </w:r>
    </w:p>
    <w:p>
      <w:pPr>
        <w:pStyle w:val="ListBullet"/>
      </w:pPr>
      <w:r>
        <w:t>Identify legal, procedural and country-specific work beyond GAISSF.</w:t>
      </w:r>
    </w:p>
    <w:p>
      <w:pPr>
        <w:pStyle w:val="ListBullet"/>
      </w:pPr>
      <w:r>
        <w:t>Support internal assurance without asserting regulatory compliance.</w:t>
      </w:r>
    </w:p>
    <w:p>
      <w:pPr>
        <w:pStyle w:val="Heading1"/>
      </w:pPr>
      <w:r>
        <w:t>3. Legal and Source Baseline</w:t>
      </w:r>
    </w:p>
    <w:p>
      <w:r>
        <w:t>Primary legal source: Directive (EU) 2022/2555, adopted 14 December 2022 and published in OJ L 333 on 27 December 2022. The transposition deadline was 17 October 2024. National transposition measures remain the operative source for entity-level legal obligations.</w:t>
      </w:r>
    </w:p>
    <w:p>
      <w:r>
        <w:t>Commission Implementing Regulation (EU) 2024/2690 is a separate, directly applicable implementation layer for specified digital infrastructure, ICT service-management, digital provider and trust-service entities. It is not silently merged into the base article mapping.</w:t>
      </w:r>
    </w:p>
    <w:p>
      <w:pPr>
        <w:pStyle w:val="Heading1"/>
      </w:pPr>
      <w:r>
        <w:t>4. Scope</w:t>
      </w:r>
    </w:p>
    <w:p>
      <w:r>
        <w:t>The crosswalk covers all GAISSF controls and all NIS2 articles. Entity-facing technical and governance provisions receive substantive mappings. Member State cooperation, institutional, enforcement and final provisions are retained in the reverse register and classified as outside GAISSF scope where appropriate.</w:t>
      </w:r>
    </w:p>
    <w:p>
      <w:pPr>
        <w:pStyle w:val="Heading1"/>
      </w:pPr>
      <w:r>
        <w:t>5. Mapping Methodology</w:t>
      </w:r>
    </w:p>
    <w:p>
      <w:r>
        <w:t>Each mapping compares intended outcome, actor, lifecycle scope, evidence expectation and normative character. Similar terminology is insufficient. Relationship strength and confidence are assigned independently. Composite support is recorded where several GAISSF controls jointly support one article.</w:t>
      </w:r>
    </w:p>
    <w:p>
      <w:pPr>
        <w:pStyle w:val="Heading1"/>
      </w:pPr>
      <w:r>
        <w:t>6. Key Findings</w:t>
      </w:r>
    </w:p>
    <w:p>
      <w:pPr>
        <w:pStyle w:val="Heading2"/>
      </w:pPr>
      <w:r>
        <w:t>Governance</w:t>
      </w:r>
    </w:p>
    <w:p>
      <w:r>
        <w:t>D6 and selected D8 controls support management oversight, approval, auditability and accountability under Article 20.</w:t>
      </w:r>
    </w:p>
    <w:p>
      <w:pPr>
        <w:pStyle w:val="Heading2"/>
      </w:pPr>
      <w:r>
        <w:t>Risk management</w:t>
      </w:r>
    </w:p>
    <w:p>
      <w:r>
        <w:t>D1–D7 and D9 controls provide extensive technical and operational support for Article 21, particularly incident handling, continuity, supply-chain security, access control, integrity and monitoring.</w:t>
      </w:r>
    </w:p>
    <w:p>
      <w:pPr>
        <w:pStyle w:val="Heading2"/>
      </w:pPr>
      <w:r>
        <w:t>Reporting</w:t>
      </w:r>
    </w:p>
    <w:p>
      <w:r>
        <w:t>GAISSF incident controls support detection and evidence, but Article 23 notification thresholds, 24-hour early warning, 72-hour incident notification, final reporting and national channels require separate procedures.</w:t>
      </w:r>
    </w:p>
    <w:p>
      <w:pPr>
        <w:pStyle w:val="Heading2"/>
      </w:pPr>
      <w:r>
        <w:t>Supervision</w:t>
      </w:r>
    </w:p>
    <w:p>
      <w:r>
        <w:t>GAISSF evidence may support audits and inspections, but regulator powers, fines and liability are not framework outcomes.</w:t>
      </w:r>
    </w:p>
    <w:p>
      <w:pPr>
        <w:pStyle w:val="Heading1"/>
      </w:pPr>
      <w:r>
        <w:t>7. NIS2 Article Coverage Register</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vAlign w:val="center"/>
            <w:shd w:fill="163A5F"/>
          </w:tcPr>
          <w:p>
            <w:r/>
            <w:r>
              <w:rPr>
                <w:b/>
                <w:color w:val="FFFFFF"/>
                <w:sz w:val="16"/>
              </w:rPr>
              <w:t>Article</w:t>
            </w:r>
          </w:p>
        </w:tc>
        <w:tc>
          <w:tcPr>
            <w:tcW w:type="dxa" w:w="1704"/>
            <w:vAlign w:val="center"/>
            <w:shd w:fill="163A5F"/>
          </w:tcPr>
          <w:p>
            <w:r/>
            <w:r>
              <w:rPr>
                <w:b/>
                <w:color w:val="FFFFFF"/>
                <w:sz w:val="16"/>
              </w:rPr>
              <w:t>Title</w:t>
            </w:r>
          </w:p>
        </w:tc>
        <w:tc>
          <w:tcPr>
            <w:tcW w:type="dxa" w:w="1704"/>
            <w:vAlign w:val="center"/>
            <w:shd w:fill="163A5F"/>
          </w:tcPr>
          <w:p>
            <w:r/>
            <w:r>
              <w:rPr>
                <w:b/>
                <w:color w:val="FFFFFF"/>
                <w:sz w:val="16"/>
              </w:rPr>
              <w:t>Chapter</w:t>
            </w:r>
          </w:p>
        </w:tc>
        <w:tc>
          <w:tcPr>
            <w:tcW w:type="dxa" w:w="1704"/>
            <w:vAlign w:val="center"/>
            <w:shd w:fill="163A5F"/>
          </w:tcPr>
          <w:p>
            <w:r/>
            <w:r>
              <w:rPr>
                <w:b/>
                <w:color w:val="FFFFFF"/>
                <w:sz w:val="16"/>
              </w:rPr>
              <w:t>Mapped controls</w:t>
            </w:r>
          </w:p>
        </w:tc>
        <w:tc>
          <w:tcPr>
            <w:tcW w:type="dxa" w:w="1704"/>
            <w:vAlign w:val="center"/>
            <w:shd w:fill="163A5F"/>
          </w:tcPr>
          <w:p>
            <w:r/>
            <w:r>
              <w:rPr>
                <w:b/>
                <w:color w:val="FFFFFF"/>
                <w:sz w:val="16"/>
              </w:rPr>
              <w:t>Coverage</w:t>
            </w:r>
          </w:p>
        </w:tc>
        <w:tc>
          <w:tcPr>
            <w:tcW w:type="dxa" w:w="1704"/>
            <w:vAlign w:val="center"/>
            <w:shd w:fill="163A5F"/>
          </w:tcPr>
          <w:p>
            <w:r/>
            <w:r>
              <w:rPr>
                <w:b/>
                <w:color w:val="FFFFFF"/>
                <w:sz w:val="16"/>
              </w:rPr>
              <w:t>Residual gap</w:t>
            </w:r>
          </w:p>
        </w:tc>
      </w:tr>
      <w:tr>
        <w:tc>
          <w:tcPr>
            <w:tcW w:type="dxa" w:w="1704"/>
            <w:vAlign w:val="center"/>
          </w:tcPr>
          <w:p>
            <w:r/>
            <w:r>
              <w:rPr>
                <w:b w:val="0"/>
                <w:sz w:val="14"/>
              </w:rPr>
              <w:t>1</w:t>
            </w:r>
          </w:p>
        </w:tc>
        <w:tc>
          <w:tcPr>
            <w:tcW w:type="dxa" w:w="1704"/>
            <w:vAlign w:val="center"/>
          </w:tcPr>
          <w:p>
            <w:r/>
            <w:r>
              <w:rPr>
                <w:b w:val="0"/>
                <w:sz w:val="14"/>
              </w:rPr>
              <w:t>Subject matter</w:t>
            </w:r>
          </w:p>
        </w:tc>
        <w:tc>
          <w:tcPr>
            <w:tcW w:type="dxa" w:w="1704"/>
            <w:vAlign w:val="center"/>
          </w:tcPr>
          <w:p>
            <w:r/>
            <w:r>
              <w:rPr>
                <w:b w:val="0"/>
                <w:sz w:val="14"/>
              </w:rPr>
              <w:t>Chapter I — General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2</w:t>
            </w:r>
          </w:p>
        </w:tc>
        <w:tc>
          <w:tcPr>
            <w:tcW w:type="dxa" w:w="1704"/>
            <w:vAlign w:val="center"/>
          </w:tcPr>
          <w:p>
            <w:r/>
            <w:r>
              <w:rPr>
                <w:b w:val="0"/>
                <w:sz w:val="14"/>
              </w:rPr>
              <w:t>Scope</w:t>
            </w:r>
          </w:p>
        </w:tc>
        <w:tc>
          <w:tcPr>
            <w:tcW w:type="dxa" w:w="1704"/>
            <w:vAlign w:val="center"/>
          </w:tcPr>
          <w:p>
            <w:r/>
            <w:r>
              <w:rPr>
                <w:b w:val="0"/>
                <w:sz w:val="14"/>
              </w:rPr>
              <w:t>Chapter I — General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3</w:t>
            </w:r>
          </w:p>
        </w:tc>
        <w:tc>
          <w:tcPr>
            <w:tcW w:type="dxa" w:w="1704"/>
            <w:vAlign w:val="center"/>
          </w:tcPr>
          <w:p>
            <w:r/>
            <w:r>
              <w:rPr>
                <w:b w:val="0"/>
                <w:sz w:val="14"/>
              </w:rPr>
              <w:t>Essential and important entities</w:t>
            </w:r>
          </w:p>
        </w:tc>
        <w:tc>
          <w:tcPr>
            <w:tcW w:type="dxa" w:w="1704"/>
            <w:vAlign w:val="center"/>
          </w:tcPr>
          <w:p>
            <w:r/>
            <w:r>
              <w:rPr>
                <w:b w:val="0"/>
                <w:sz w:val="14"/>
              </w:rPr>
              <w:t>Chapter I — General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w:t>
            </w:r>
          </w:p>
        </w:tc>
        <w:tc>
          <w:tcPr>
            <w:tcW w:type="dxa" w:w="1704"/>
            <w:vAlign w:val="center"/>
          </w:tcPr>
          <w:p>
            <w:r/>
            <w:r>
              <w:rPr>
                <w:b w:val="0"/>
                <w:sz w:val="14"/>
              </w:rPr>
              <w:t>Sector-specific Union legal acts</w:t>
            </w:r>
          </w:p>
        </w:tc>
        <w:tc>
          <w:tcPr>
            <w:tcW w:type="dxa" w:w="1704"/>
            <w:vAlign w:val="center"/>
          </w:tcPr>
          <w:p>
            <w:r/>
            <w:r>
              <w:rPr>
                <w:b w:val="0"/>
                <w:sz w:val="14"/>
              </w:rPr>
              <w:t>Chapter I — General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5</w:t>
            </w:r>
          </w:p>
        </w:tc>
        <w:tc>
          <w:tcPr>
            <w:tcW w:type="dxa" w:w="1704"/>
            <w:vAlign w:val="center"/>
          </w:tcPr>
          <w:p>
            <w:r/>
            <w:r>
              <w:rPr>
                <w:b w:val="0"/>
                <w:sz w:val="14"/>
              </w:rPr>
              <w:t>Minimum harmonisation</w:t>
            </w:r>
          </w:p>
        </w:tc>
        <w:tc>
          <w:tcPr>
            <w:tcW w:type="dxa" w:w="1704"/>
            <w:vAlign w:val="center"/>
          </w:tcPr>
          <w:p>
            <w:r/>
            <w:r>
              <w:rPr>
                <w:b w:val="0"/>
                <w:sz w:val="14"/>
              </w:rPr>
              <w:t>Chapter I — General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6</w:t>
            </w:r>
          </w:p>
        </w:tc>
        <w:tc>
          <w:tcPr>
            <w:tcW w:type="dxa" w:w="1704"/>
            <w:vAlign w:val="center"/>
          </w:tcPr>
          <w:p>
            <w:r/>
            <w:r>
              <w:rPr>
                <w:b w:val="0"/>
                <w:sz w:val="14"/>
              </w:rPr>
              <w:t>Definitions</w:t>
            </w:r>
          </w:p>
        </w:tc>
        <w:tc>
          <w:tcPr>
            <w:tcW w:type="dxa" w:w="1704"/>
            <w:vAlign w:val="center"/>
          </w:tcPr>
          <w:p>
            <w:r/>
            <w:r>
              <w:rPr>
                <w:b w:val="0"/>
                <w:sz w:val="14"/>
              </w:rPr>
              <w:t>Chapter I — General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7</w:t>
            </w:r>
          </w:p>
        </w:tc>
        <w:tc>
          <w:tcPr>
            <w:tcW w:type="dxa" w:w="1704"/>
            <w:vAlign w:val="center"/>
          </w:tcPr>
          <w:p>
            <w:r/>
            <w:r>
              <w:rPr>
                <w:b w:val="0"/>
                <w:sz w:val="14"/>
              </w:rPr>
              <w:t>National cybersecurity strategy</w:t>
            </w:r>
          </w:p>
        </w:tc>
        <w:tc>
          <w:tcPr>
            <w:tcW w:type="dxa" w:w="1704"/>
            <w:vAlign w:val="center"/>
          </w:tcPr>
          <w:p>
            <w:r/>
            <w:r>
              <w:rPr>
                <w:b w:val="0"/>
                <w:sz w:val="14"/>
              </w:rPr>
              <w:t>Chapter II — Coordinated cybersecurity frameworks</w:t>
            </w:r>
          </w:p>
        </w:tc>
        <w:tc>
          <w:tcPr>
            <w:tcW w:type="dxa" w:w="1704"/>
            <w:vAlign w:val="center"/>
          </w:tcPr>
          <w:p>
            <w:r/>
            <w:r>
              <w:rPr>
                <w:b w:val="0"/>
                <w:sz w:val="14"/>
              </w:rPr>
              <w:t>2</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8</w:t>
            </w:r>
          </w:p>
        </w:tc>
        <w:tc>
          <w:tcPr>
            <w:tcW w:type="dxa" w:w="1704"/>
            <w:vAlign w:val="center"/>
          </w:tcPr>
          <w:p>
            <w:r/>
            <w:r>
              <w:rPr>
                <w:b w:val="0"/>
                <w:sz w:val="14"/>
              </w:rPr>
              <w:t>Competent authorities and single points of contact</w:t>
            </w:r>
          </w:p>
        </w:tc>
        <w:tc>
          <w:tcPr>
            <w:tcW w:type="dxa" w:w="1704"/>
            <w:vAlign w:val="center"/>
          </w:tcPr>
          <w:p>
            <w:r/>
            <w:r>
              <w:rPr>
                <w:b w:val="0"/>
                <w:sz w:val="14"/>
              </w:rPr>
              <w:t>Chapter II — Coordinated cybersecurity frameworks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9</w:t>
            </w:r>
          </w:p>
        </w:tc>
        <w:tc>
          <w:tcPr>
            <w:tcW w:type="dxa" w:w="1704"/>
            <w:vAlign w:val="center"/>
          </w:tcPr>
          <w:p>
            <w:r/>
            <w:r>
              <w:rPr>
                <w:b w:val="0"/>
                <w:sz w:val="14"/>
              </w:rPr>
              <w:t>National cyber crisis management frameworks</w:t>
            </w:r>
          </w:p>
        </w:tc>
        <w:tc>
          <w:tcPr>
            <w:tcW w:type="dxa" w:w="1704"/>
            <w:vAlign w:val="center"/>
          </w:tcPr>
          <w:p>
            <w:r/>
            <w:r>
              <w:rPr>
                <w:b w:val="0"/>
                <w:sz w:val="14"/>
              </w:rPr>
              <w:t>Chapter II — Coordinated cybersecurity frameworks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10</w:t>
            </w:r>
          </w:p>
        </w:tc>
        <w:tc>
          <w:tcPr>
            <w:tcW w:type="dxa" w:w="1704"/>
            <w:vAlign w:val="center"/>
          </w:tcPr>
          <w:p>
            <w:r/>
            <w:r>
              <w:rPr>
                <w:b w:val="0"/>
                <w:sz w:val="14"/>
              </w:rPr>
              <w:t>Computer security incident response teams (CSIRTs)</w:t>
            </w:r>
          </w:p>
        </w:tc>
        <w:tc>
          <w:tcPr>
            <w:tcW w:type="dxa" w:w="1704"/>
            <w:vAlign w:val="center"/>
          </w:tcPr>
          <w:p>
            <w:r/>
            <w:r>
              <w:rPr>
                <w:b w:val="0"/>
                <w:sz w:val="14"/>
              </w:rPr>
              <w:t>Chapter II — Coordinated cybersecurity frameworks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11</w:t>
            </w:r>
          </w:p>
        </w:tc>
        <w:tc>
          <w:tcPr>
            <w:tcW w:type="dxa" w:w="1704"/>
            <w:vAlign w:val="center"/>
          </w:tcPr>
          <w:p>
            <w:r/>
            <w:r>
              <w:rPr>
                <w:b w:val="0"/>
                <w:sz w:val="14"/>
              </w:rPr>
              <w:t>Requirements, technical capabilities and tasks of CSIRTs</w:t>
            </w:r>
          </w:p>
        </w:tc>
        <w:tc>
          <w:tcPr>
            <w:tcW w:type="dxa" w:w="1704"/>
            <w:vAlign w:val="center"/>
          </w:tcPr>
          <w:p>
            <w:r/>
            <w:r>
              <w:rPr>
                <w:b w:val="0"/>
                <w:sz w:val="14"/>
              </w:rPr>
              <w:t>Chapter II — Coordinated cybersecurity frameworks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12</w:t>
            </w:r>
          </w:p>
        </w:tc>
        <w:tc>
          <w:tcPr>
            <w:tcW w:type="dxa" w:w="1704"/>
            <w:vAlign w:val="center"/>
          </w:tcPr>
          <w:p>
            <w:r/>
            <w:r>
              <w:rPr>
                <w:b w:val="0"/>
                <w:sz w:val="14"/>
              </w:rPr>
              <w:t>Cooperation at national level</w:t>
            </w:r>
          </w:p>
        </w:tc>
        <w:tc>
          <w:tcPr>
            <w:tcW w:type="dxa" w:w="1704"/>
            <w:vAlign w:val="center"/>
          </w:tcPr>
          <w:p>
            <w:r/>
            <w:r>
              <w:rPr>
                <w:b w:val="0"/>
                <w:sz w:val="14"/>
              </w:rPr>
              <w:t>Chapter II — Coordinated cybersecurity frameworks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13</w:t>
            </w:r>
          </w:p>
        </w:tc>
        <w:tc>
          <w:tcPr>
            <w:tcW w:type="dxa" w:w="1704"/>
            <w:vAlign w:val="center"/>
          </w:tcPr>
          <w:p>
            <w:r/>
            <w:r>
              <w:rPr>
                <w:b w:val="0"/>
                <w:sz w:val="14"/>
              </w:rPr>
              <w:t>Cooperation Group</w:t>
            </w:r>
          </w:p>
        </w:tc>
        <w:tc>
          <w:tcPr>
            <w:tcW w:type="dxa" w:w="1704"/>
            <w:vAlign w:val="center"/>
          </w:tcPr>
          <w:p>
            <w:r/>
            <w:r>
              <w:rPr>
                <w:b w:val="0"/>
                <w:sz w:val="14"/>
              </w:rPr>
              <w:t>Chapter III — Cooperation</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14</w:t>
            </w:r>
          </w:p>
        </w:tc>
        <w:tc>
          <w:tcPr>
            <w:tcW w:type="dxa" w:w="1704"/>
            <w:vAlign w:val="center"/>
          </w:tcPr>
          <w:p>
            <w:r/>
            <w:r>
              <w:rPr>
                <w:b w:val="0"/>
                <w:sz w:val="14"/>
              </w:rPr>
              <w:t>CSIRTs network</w:t>
            </w:r>
          </w:p>
        </w:tc>
        <w:tc>
          <w:tcPr>
            <w:tcW w:type="dxa" w:w="1704"/>
            <w:vAlign w:val="center"/>
          </w:tcPr>
          <w:p>
            <w:r/>
            <w:r>
              <w:rPr>
                <w:b w:val="0"/>
                <w:sz w:val="14"/>
              </w:rPr>
              <w:t>Chapter III — Cooperation</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15</w:t>
            </w:r>
          </w:p>
        </w:tc>
        <w:tc>
          <w:tcPr>
            <w:tcW w:type="dxa" w:w="1704"/>
            <w:vAlign w:val="center"/>
          </w:tcPr>
          <w:p>
            <w:r/>
            <w:r>
              <w:rPr>
                <w:b w:val="0"/>
                <w:sz w:val="14"/>
              </w:rPr>
              <w:t>European cyber crisis liaison organisation network (EU-CyCLONe)</w:t>
            </w:r>
          </w:p>
        </w:tc>
        <w:tc>
          <w:tcPr>
            <w:tcW w:type="dxa" w:w="1704"/>
            <w:vAlign w:val="center"/>
          </w:tcPr>
          <w:p>
            <w:r/>
            <w:r>
              <w:rPr>
                <w:b w:val="0"/>
                <w:sz w:val="14"/>
              </w:rPr>
              <w:t>Chapter III — Cooperation</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16</w:t>
            </w:r>
          </w:p>
        </w:tc>
        <w:tc>
          <w:tcPr>
            <w:tcW w:type="dxa" w:w="1704"/>
            <w:vAlign w:val="center"/>
          </w:tcPr>
          <w:p>
            <w:r/>
            <w:r>
              <w:rPr>
                <w:b w:val="0"/>
                <w:sz w:val="14"/>
              </w:rPr>
              <w:t>Report on the state of cybersecurity in the Union</w:t>
            </w:r>
          </w:p>
        </w:tc>
        <w:tc>
          <w:tcPr>
            <w:tcW w:type="dxa" w:w="1704"/>
            <w:vAlign w:val="center"/>
          </w:tcPr>
          <w:p>
            <w:r/>
            <w:r>
              <w:rPr>
                <w:b w:val="0"/>
                <w:sz w:val="14"/>
              </w:rPr>
              <w:t>Chapter III — Cooperation</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17</w:t>
            </w:r>
          </w:p>
        </w:tc>
        <w:tc>
          <w:tcPr>
            <w:tcW w:type="dxa" w:w="1704"/>
            <w:vAlign w:val="center"/>
          </w:tcPr>
          <w:p>
            <w:r/>
            <w:r>
              <w:rPr>
                <w:b w:val="0"/>
                <w:sz w:val="14"/>
              </w:rPr>
              <w:t>Peer reviews</w:t>
            </w:r>
          </w:p>
        </w:tc>
        <w:tc>
          <w:tcPr>
            <w:tcW w:type="dxa" w:w="1704"/>
            <w:vAlign w:val="center"/>
          </w:tcPr>
          <w:p>
            <w:r/>
            <w:r>
              <w:rPr>
                <w:b w:val="0"/>
                <w:sz w:val="14"/>
              </w:rPr>
              <w:t>Chapter III — Cooperation</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18</w:t>
            </w:r>
          </w:p>
        </w:tc>
        <w:tc>
          <w:tcPr>
            <w:tcW w:type="dxa" w:w="1704"/>
            <w:vAlign w:val="center"/>
          </w:tcPr>
          <w:p>
            <w:r/>
            <w:r>
              <w:rPr>
                <w:b w:val="0"/>
                <w:sz w:val="14"/>
              </w:rPr>
              <w:t>Mutual assistance</w:t>
            </w:r>
          </w:p>
        </w:tc>
        <w:tc>
          <w:tcPr>
            <w:tcW w:type="dxa" w:w="1704"/>
            <w:vAlign w:val="center"/>
          </w:tcPr>
          <w:p>
            <w:r/>
            <w:r>
              <w:rPr>
                <w:b w:val="0"/>
                <w:sz w:val="14"/>
              </w:rPr>
              <w:t>Chapter III — Cooperation</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19</w:t>
            </w:r>
          </w:p>
        </w:tc>
        <w:tc>
          <w:tcPr>
            <w:tcW w:type="dxa" w:w="1704"/>
            <w:vAlign w:val="center"/>
          </w:tcPr>
          <w:p>
            <w:r/>
            <w:r>
              <w:rPr>
                <w:b w:val="0"/>
                <w:sz w:val="14"/>
              </w:rPr>
              <w:t>Union-level coordinated security risk assessments of critical supply chains</w:t>
            </w:r>
          </w:p>
        </w:tc>
        <w:tc>
          <w:tcPr>
            <w:tcW w:type="dxa" w:w="1704"/>
            <w:vAlign w:val="center"/>
          </w:tcPr>
          <w:p>
            <w:r/>
            <w:r>
              <w:rPr>
                <w:b w:val="0"/>
                <w:sz w:val="14"/>
              </w:rPr>
              <w:t>Chapter III — Cooperation</w:t>
            </w:r>
          </w:p>
        </w:tc>
        <w:tc>
          <w:tcPr>
            <w:tcW w:type="dxa" w:w="1704"/>
            <w:vAlign w:val="center"/>
          </w:tcPr>
          <w:p>
            <w:r/>
            <w:r>
              <w:rPr>
                <w:b w:val="0"/>
                <w:sz w:val="14"/>
              </w:rPr>
              <w:t>3</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20</w:t>
            </w:r>
          </w:p>
        </w:tc>
        <w:tc>
          <w:tcPr>
            <w:tcW w:type="dxa" w:w="1704"/>
            <w:vAlign w:val="center"/>
          </w:tcPr>
          <w:p>
            <w:r/>
            <w:r>
              <w:rPr>
                <w:b w:val="0"/>
                <w:sz w:val="14"/>
              </w:rPr>
              <w:t>Governance</w:t>
            </w:r>
          </w:p>
        </w:tc>
        <w:tc>
          <w:tcPr>
            <w:tcW w:type="dxa" w:w="1704"/>
            <w:vAlign w:val="center"/>
          </w:tcPr>
          <w:p>
            <w:r/>
            <w:r>
              <w:rPr>
                <w:b w:val="0"/>
                <w:sz w:val="14"/>
              </w:rPr>
              <w:t>Chapter IV — Risk management and reporting</w:t>
            </w:r>
          </w:p>
        </w:tc>
        <w:tc>
          <w:tcPr>
            <w:tcW w:type="dxa" w:w="1704"/>
            <w:vAlign w:val="center"/>
          </w:tcPr>
          <w:p>
            <w:r/>
            <w:r>
              <w:rPr>
                <w:b w:val="0"/>
                <w:sz w:val="14"/>
              </w:rPr>
              <w:t>10</w:t>
            </w:r>
          </w:p>
        </w:tc>
        <w:tc>
          <w:tcPr>
            <w:tcW w:type="dxa" w:w="1704"/>
            <w:vAlign w:val="center"/>
          </w:tcPr>
          <w:p>
            <w:r/>
            <w:r>
              <w:rPr>
                <w:b w:val="0"/>
                <w:sz w:val="14"/>
              </w:rPr>
              <w:t>Substantially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21</w:t>
            </w:r>
          </w:p>
        </w:tc>
        <w:tc>
          <w:tcPr>
            <w:tcW w:type="dxa" w:w="1704"/>
            <w:vAlign w:val="center"/>
          </w:tcPr>
          <w:p>
            <w:r/>
            <w:r>
              <w:rPr>
                <w:b w:val="0"/>
                <w:sz w:val="14"/>
              </w:rPr>
              <w:t>Cybersecurity risk-management measures</w:t>
            </w:r>
          </w:p>
        </w:tc>
        <w:tc>
          <w:tcPr>
            <w:tcW w:type="dxa" w:w="1704"/>
            <w:vAlign w:val="center"/>
          </w:tcPr>
          <w:p>
            <w:r/>
            <w:r>
              <w:rPr>
                <w:b w:val="0"/>
                <w:sz w:val="14"/>
              </w:rPr>
              <w:t>Chapter IV — Risk management and reporting</w:t>
            </w:r>
          </w:p>
        </w:tc>
        <w:tc>
          <w:tcPr>
            <w:tcW w:type="dxa" w:w="1704"/>
            <w:vAlign w:val="center"/>
          </w:tcPr>
          <w:p>
            <w:r/>
            <w:r>
              <w:rPr>
                <w:b w:val="0"/>
                <w:sz w:val="14"/>
              </w:rPr>
              <w:t>47</w:t>
            </w:r>
          </w:p>
        </w:tc>
        <w:tc>
          <w:tcPr>
            <w:tcW w:type="dxa" w:w="1704"/>
            <w:vAlign w:val="center"/>
          </w:tcPr>
          <w:p>
            <w:r/>
            <w:r>
              <w:rPr>
                <w:b w:val="0"/>
                <w:sz w:val="14"/>
              </w:rPr>
              <w:t>Substantially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22</w:t>
            </w:r>
          </w:p>
        </w:tc>
        <w:tc>
          <w:tcPr>
            <w:tcW w:type="dxa" w:w="1704"/>
            <w:vAlign w:val="center"/>
          </w:tcPr>
          <w:p>
            <w:r/>
            <w:r>
              <w:rPr>
                <w:b w:val="0"/>
                <w:sz w:val="14"/>
              </w:rPr>
              <w:t>Coordinated security risk assessments of critical supply chains</w:t>
            </w:r>
          </w:p>
        </w:tc>
        <w:tc>
          <w:tcPr>
            <w:tcW w:type="dxa" w:w="1704"/>
            <w:vAlign w:val="center"/>
          </w:tcPr>
          <w:p>
            <w:r/>
            <w:r>
              <w:rPr>
                <w:b w:val="0"/>
                <w:sz w:val="14"/>
              </w:rPr>
              <w:t>Chapter IV — Risk management and reporting</w:t>
            </w:r>
          </w:p>
        </w:tc>
        <w:tc>
          <w:tcPr>
            <w:tcW w:type="dxa" w:w="1704"/>
            <w:vAlign w:val="center"/>
          </w:tcPr>
          <w:p>
            <w:r/>
            <w:r>
              <w:rPr>
                <w:b w:val="0"/>
                <w:sz w:val="14"/>
              </w:rPr>
              <w:t>7</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23</w:t>
            </w:r>
          </w:p>
        </w:tc>
        <w:tc>
          <w:tcPr>
            <w:tcW w:type="dxa" w:w="1704"/>
            <w:vAlign w:val="center"/>
          </w:tcPr>
          <w:p>
            <w:r/>
            <w:r>
              <w:rPr>
                <w:b w:val="0"/>
                <w:sz w:val="14"/>
              </w:rPr>
              <w:t>Reporting obligations</w:t>
            </w:r>
          </w:p>
        </w:tc>
        <w:tc>
          <w:tcPr>
            <w:tcW w:type="dxa" w:w="1704"/>
            <w:vAlign w:val="center"/>
          </w:tcPr>
          <w:p>
            <w:r/>
            <w:r>
              <w:rPr>
                <w:b w:val="0"/>
                <w:sz w:val="14"/>
              </w:rPr>
              <w:t>Chapter IV — Risk management and reporting</w:t>
            </w:r>
          </w:p>
        </w:tc>
        <w:tc>
          <w:tcPr>
            <w:tcW w:type="dxa" w:w="1704"/>
            <w:vAlign w:val="center"/>
          </w:tcPr>
          <w:p>
            <w:r/>
            <w:r>
              <w:rPr>
                <w:b w:val="0"/>
                <w:sz w:val="14"/>
              </w:rPr>
              <w:t>5</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24</w:t>
            </w:r>
          </w:p>
        </w:tc>
        <w:tc>
          <w:tcPr>
            <w:tcW w:type="dxa" w:w="1704"/>
            <w:vAlign w:val="center"/>
          </w:tcPr>
          <w:p>
            <w:r/>
            <w:r>
              <w:rPr>
                <w:b w:val="0"/>
                <w:sz w:val="14"/>
              </w:rPr>
              <w:t>Use of European cybersecurity certification schemes</w:t>
            </w:r>
          </w:p>
        </w:tc>
        <w:tc>
          <w:tcPr>
            <w:tcW w:type="dxa" w:w="1704"/>
            <w:vAlign w:val="center"/>
          </w:tcPr>
          <w:p>
            <w:r/>
            <w:r>
              <w:rPr>
                <w:b w:val="0"/>
                <w:sz w:val="14"/>
              </w:rPr>
              <w:t>Chapter IV — Risk management and reporting</w:t>
            </w:r>
          </w:p>
        </w:tc>
        <w:tc>
          <w:tcPr>
            <w:tcW w:type="dxa" w:w="1704"/>
            <w:vAlign w:val="center"/>
          </w:tcPr>
          <w:p>
            <w:r/>
            <w:r>
              <w:rPr>
                <w:b w:val="0"/>
                <w:sz w:val="14"/>
              </w:rPr>
              <w:t>6</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25</w:t>
            </w:r>
          </w:p>
        </w:tc>
        <w:tc>
          <w:tcPr>
            <w:tcW w:type="dxa" w:w="1704"/>
            <w:vAlign w:val="center"/>
          </w:tcPr>
          <w:p>
            <w:r/>
            <w:r>
              <w:rPr>
                <w:b w:val="0"/>
                <w:sz w:val="14"/>
              </w:rPr>
              <w:t>Standardisation</w:t>
            </w:r>
          </w:p>
        </w:tc>
        <w:tc>
          <w:tcPr>
            <w:tcW w:type="dxa" w:w="1704"/>
            <w:vAlign w:val="center"/>
          </w:tcPr>
          <w:p>
            <w:r/>
            <w:r>
              <w:rPr>
                <w:b w:val="0"/>
                <w:sz w:val="14"/>
              </w:rPr>
              <w:t>Chapter IV — Risk management and reporting</w:t>
            </w:r>
          </w:p>
        </w:tc>
        <w:tc>
          <w:tcPr>
            <w:tcW w:type="dxa" w:w="1704"/>
            <w:vAlign w:val="center"/>
          </w:tcPr>
          <w:p>
            <w:r/>
            <w:r>
              <w:rPr>
                <w:b w:val="0"/>
                <w:sz w:val="14"/>
              </w:rPr>
              <w:t>6</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26</w:t>
            </w:r>
          </w:p>
        </w:tc>
        <w:tc>
          <w:tcPr>
            <w:tcW w:type="dxa" w:w="1704"/>
            <w:vAlign w:val="center"/>
          </w:tcPr>
          <w:p>
            <w:r/>
            <w:r>
              <w:rPr>
                <w:b w:val="0"/>
                <w:sz w:val="14"/>
              </w:rPr>
              <w:t>Jurisdiction and territoriality</w:t>
            </w:r>
          </w:p>
        </w:tc>
        <w:tc>
          <w:tcPr>
            <w:tcW w:type="dxa" w:w="1704"/>
            <w:vAlign w:val="center"/>
          </w:tcPr>
          <w:p>
            <w:r/>
            <w:r>
              <w:rPr>
                <w:b w:val="0"/>
                <w:sz w:val="14"/>
              </w:rPr>
              <w:t>Chapter IV — Risk management and reporting</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27</w:t>
            </w:r>
          </w:p>
        </w:tc>
        <w:tc>
          <w:tcPr>
            <w:tcW w:type="dxa" w:w="1704"/>
            <w:vAlign w:val="center"/>
          </w:tcPr>
          <w:p>
            <w:r/>
            <w:r>
              <w:rPr>
                <w:b w:val="0"/>
                <w:sz w:val="14"/>
              </w:rPr>
              <w:t>Registry of entities</w:t>
            </w:r>
          </w:p>
        </w:tc>
        <w:tc>
          <w:tcPr>
            <w:tcW w:type="dxa" w:w="1704"/>
            <w:vAlign w:val="center"/>
          </w:tcPr>
          <w:p>
            <w:r/>
            <w:r>
              <w:rPr>
                <w:b w:val="0"/>
                <w:sz w:val="14"/>
              </w:rPr>
              <w:t>Chapter IV — Risk management and reporting</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28</w:t>
            </w:r>
          </w:p>
        </w:tc>
        <w:tc>
          <w:tcPr>
            <w:tcW w:type="dxa" w:w="1704"/>
            <w:vAlign w:val="center"/>
          </w:tcPr>
          <w:p>
            <w:r/>
            <w:r>
              <w:rPr>
                <w:b w:val="0"/>
                <w:sz w:val="14"/>
              </w:rPr>
              <w:t>Domain name registration data</w:t>
            </w:r>
          </w:p>
        </w:tc>
        <w:tc>
          <w:tcPr>
            <w:tcW w:type="dxa" w:w="1704"/>
            <w:vAlign w:val="center"/>
          </w:tcPr>
          <w:p>
            <w:r/>
            <w:r>
              <w:rPr>
                <w:b w:val="0"/>
                <w:sz w:val="14"/>
              </w:rPr>
              <w:t>Chapter IV — Risk management and reporting</w:t>
            </w:r>
          </w:p>
        </w:tc>
        <w:tc>
          <w:tcPr>
            <w:tcW w:type="dxa" w:w="1704"/>
            <w:vAlign w:val="center"/>
          </w:tcPr>
          <w:p>
            <w:r/>
            <w:r>
              <w:rPr>
                <w:b w:val="0"/>
                <w:sz w:val="14"/>
              </w:rPr>
              <w:t>0</w:t>
            </w:r>
          </w:p>
        </w:tc>
        <w:tc>
          <w:tcPr>
            <w:tcW w:type="dxa" w:w="1704"/>
            <w:vAlign w:val="center"/>
          </w:tcPr>
          <w:p>
            <w:r/>
            <w:r>
              <w:rPr>
                <w:b w:val="0"/>
                <w:sz w:val="14"/>
              </w:rPr>
              <w:t>Not Addressed</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29</w:t>
            </w:r>
          </w:p>
        </w:tc>
        <w:tc>
          <w:tcPr>
            <w:tcW w:type="dxa" w:w="1704"/>
            <w:vAlign w:val="center"/>
          </w:tcPr>
          <w:p>
            <w:r/>
            <w:r>
              <w:rPr>
                <w:b w:val="0"/>
                <w:sz w:val="14"/>
              </w:rPr>
              <w:t>Cybersecurity information-sharing arrangements</w:t>
            </w:r>
          </w:p>
        </w:tc>
        <w:tc>
          <w:tcPr>
            <w:tcW w:type="dxa" w:w="1704"/>
            <w:vAlign w:val="center"/>
          </w:tcPr>
          <w:p>
            <w:r/>
            <w:r>
              <w:rPr>
                <w:b w:val="0"/>
                <w:sz w:val="14"/>
              </w:rPr>
              <w:t>Chapter IV — Risk management and reporting</w:t>
            </w:r>
          </w:p>
        </w:tc>
        <w:tc>
          <w:tcPr>
            <w:tcW w:type="dxa" w:w="1704"/>
            <w:vAlign w:val="center"/>
          </w:tcPr>
          <w:p>
            <w:r/>
            <w:r>
              <w:rPr>
                <w:b w:val="0"/>
                <w:sz w:val="14"/>
              </w:rPr>
              <w:t>5</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30</w:t>
            </w:r>
          </w:p>
        </w:tc>
        <w:tc>
          <w:tcPr>
            <w:tcW w:type="dxa" w:w="1704"/>
            <w:vAlign w:val="center"/>
          </w:tcPr>
          <w:p>
            <w:r/>
            <w:r>
              <w:rPr>
                <w:b w:val="0"/>
                <w:sz w:val="14"/>
              </w:rPr>
              <w:t>Voluntary notification of relevant information</w:t>
            </w:r>
          </w:p>
        </w:tc>
        <w:tc>
          <w:tcPr>
            <w:tcW w:type="dxa" w:w="1704"/>
            <w:vAlign w:val="center"/>
          </w:tcPr>
          <w:p>
            <w:r/>
            <w:r>
              <w:rPr>
                <w:b w:val="0"/>
                <w:sz w:val="14"/>
              </w:rPr>
              <w:t>Chapter IV — Risk management and reporting</w:t>
            </w:r>
          </w:p>
        </w:tc>
        <w:tc>
          <w:tcPr>
            <w:tcW w:type="dxa" w:w="1704"/>
            <w:vAlign w:val="center"/>
          </w:tcPr>
          <w:p>
            <w:r/>
            <w:r>
              <w:rPr>
                <w:b w:val="0"/>
                <w:sz w:val="14"/>
              </w:rPr>
              <w:t>4</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31</w:t>
            </w:r>
          </w:p>
        </w:tc>
        <w:tc>
          <w:tcPr>
            <w:tcW w:type="dxa" w:w="1704"/>
            <w:vAlign w:val="center"/>
          </w:tcPr>
          <w:p>
            <w:r/>
            <w:r>
              <w:rPr>
                <w:b w:val="0"/>
                <w:sz w:val="14"/>
              </w:rPr>
              <w:t>General aspects concerning supervision and enforcement</w:t>
            </w:r>
          </w:p>
        </w:tc>
        <w:tc>
          <w:tcPr>
            <w:tcW w:type="dxa" w:w="1704"/>
            <w:vAlign w:val="center"/>
          </w:tcPr>
          <w:p>
            <w:r/>
            <w:r>
              <w:rPr>
                <w:b w:val="0"/>
                <w:sz w:val="14"/>
              </w:rPr>
              <w:t>Chapter VII — Supervision and enforcement</w:t>
            </w:r>
          </w:p>
        </w:tc>
        <w:tc>
          <w:tcPr>
            <w:tcW w:type="dxa" w:w="1704"/>
            <w:vAlign w:val="center"/>
          </w:tcPr>
          <w:p>
            <w:r/>
            <w:r>
              <w:rPr>
                <w:b w:val="0"/>
                <w:sz w:val="14"/>
              </w:rPr>
              <w:t>9</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32</w:t>
            </w:r>
          </w:p>
        </w:tc>
        <w:tc>
          <w:tcPr>
            <w:tcW w:type="dxa" w:w="1704"/>
            <w:vAlign w:val="center"/>
          </w:tcPr>
          <w:p>
            <w:r/>
            <w:r>
              <w:rPr>
                <w:b w:val="0"/>
                <w:sz w:val="14"/>
              </w:rPr>
              <w:t>Supervisory and enforcement measures in relation to essential entities</w:t>
            </w:r>
          </w:p>
        </w:tc>
        <w:tc>
          <w:tcPr>
            <w:tcW w:type="dxa" w:w="1704"/>
            <w:vAlign w:val="center"/>
          </w:tcPr>
          <w:p>
            <w:r/>
            <w:r>
              <w:rPr>
                <w:b w:val="0"/>
                <w:sz w:val="14"/>
              </w:rPr>
              <w:t>Chapter VII — Supervision and enforcement</w:t>
            </w:r>
          </w:p>
        </w:tc>
        <w:tc>
          <w:tcPr>
            <w:tcW w:type="dxa" w:w="1704"/>
            <w:vAlign w:val="center"/>
          </w:tcPr>
          <w:p>
            <w:r/>
            <w:r>
              <w:rPr>
                <w:b w:val="0"/>
                <w:sz w:val="14"/>
              </w:rPr>
              <w:t>7</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33</w:t>
            </w:r>
          </w:p>
        </w:tc>
        <w:tc>
          <w:tcPr>
            <w:tcW w:type="dxa" w:w="1704"/>
            <w:vAlign w:val="center"/>
          </w:tcPr>
          <w:p>
            <w:r/>
            <w:r>
              <w:rPr>
                <w:b w:val="0"/>
                <w:sz w:val="14"/>
              </w:rPr>
              <w:t>Supervisory and enforcement measures in relation to important entities</w:t>
            </w:r>
          </w:p>
        </w:tc>
        <w:tc>
          <w:tcPr>
            <w:tcW w:type="dxa" w:w="1704"/>
            <w:vAlign w:val="center"/>
          </w:tcPr>
          <w:p>
            <w:r/>
            <w:r>
              <w:rPr>
                <w:b w:val="0"/>
                <w:sz w:val="14"/>
              </w:rPr>
              <w:t>Chapter VII — Supervision and enforcement</w:t>
            </w:r>
          </w:p>
        </w:tc>
        <w:tc>
          <w:tcPr>
            <w:tcW w:type="dxa" w:w="1704"/>
            <w:vAlign w:val="center"/>
          </w:tcPr>
          <w:p>
            <w:r/>
            <w:r>
              <w:rPr>
                <w:b w:val="0"/>
                <w:sz w:val="14"/>
              </w:rPr>
              <w:t>4</w:t>
            </w:r>
          </w:p>
        </w:tc>
        <w:tc>
          <w:tcPr>
            <w:tcW w:type="dxa" w:w="1704"/>
            <w:vAlign w:val="center"/>
          </w:tcPr>
          <w:p>
            <w:r/>
            <w:r>
              <w:rPr>
                <w:b w:val="0"/>
                <w:sz w:val="14"/>
              </w:rPr>
              <w:t>Partially Addressed</w:t>
            </w:r>
          </w:p>
        </w:tc>
        <w:tc>
          <w:tcPr>
            <w:tcW w:type="dxa" w:w="1704"/>
            <w:vAlign w:val="center"/>
          </w:tcPr>
          <w:p>
            <w:r/>
            <w:r>
              <w:rPr>
                <w:b w:val="0"/>
                <w:sz w:val="14"/>
              </w:rPr>
              <w:t>GAISSF provides implementation controls, but legal applicability, national transposition details and regulator-facing procedures remain outside framework conformance.</w:t>
            </w:r>
          </w:p>
        </w:tc>
      </w:tr>
      <w:tr>
        <w:tc>
          <w:tcPr>
            <w:tcW w:type="dxa" w:w="1704"/>
            <w:vAlign w:val="center"/>
          </w:tcPr>
          <w:p>
            <w:r/>
            <w:r>
              <w:rPr>
                <w:b w:val="0"/>
                <w:sz w:val="14"/>
              </w:rPr>
              <w:t>34</w:t>
            </w:r>
          </w:p>
        </w:tc>
        <w:tc>
          <w:tcPr>
            <w:tcW w:type="dxa" w:w="1704"/>
            <w:vAlign w:val="center"/>
          </w:tcPr>
          <w:p>
            <w:r/>
            <w:r>
              <w:rPr>
                <w:b w:val="0"/>
                <w:sz w:val="14"/>
              </w:rPr>
              <w:t>General conditions for imposing administrative fines</w:t>
            </w:r>
          </w:p>
        </w:tc>
        <w:tc>
          <w:tcPr>
            <w:tcW w:type="dxa" w:w="1704"/>
            <w:vAlign w:val="center"/>
          </w:tcPr>
          <w:p>
            <w:r/>
            <w:r>
              <w:rPr>
                <w:b w:val="0"/>
                <w:sz w:val="14"/>
              </w:rPr>
              <w:t>Chapter VII — Supervision and enforcement</w:t>
            </w:r>
          </w:p>
        </w:tc>
        <w:tc>
          <w:tcPr>
            <w:tcW w:type="dxa" w:w="1704"/>
            <w:vAlign w:val="center"/>
          </w:tcPr>
          <w:p>
            <w:r/>
            <w:r>
              <w:rPr>
                <w:b w:val="0"/>
                <w:sz w:val="14"/>
              </w:rPr>
              <w:t>0</w:t>
            </w:r>
          </w:p>
        </w:tc>
        <w:tc>
          <w:tcPr>
            <w:tcW w:type="dxa" w:w="1704"/>
            <w:vAlign w:val="center"/>
          </w:tcPr>
          <w:p>
            <w:r/>
            <w:r>
              <w:rPr>
                <w:b w:val="0"/>
                <w:sz w:val="14"/>
              </w:rPr>
              <w:t>Not Addressed</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35</w:t>
            </w:r>
          </w:p>
        </w:tc>
        <w:tc>
          <w:tcPr>
            <w:tcW w:type="dxa" w:w="1704"/>
            <w:vAlign w:val="center"/>
          </w:tcPr>
          <w:p>
            <w:r/>
            <w:r>
              <w:rPr>
                <w:b w:val="0"/>
                <w:sz w:val="14"/>
              </w:rPr>
              <w:t>Infringements entailing a personal data breach</w:t>
            </w:r>
          </w:p>
        </w:tc>
        <w:tc>
          <w:tcPr>
            <w:tcW w:type="dxa" w:w="1704"/>
            <w:vAlign w:val="center"/>
          </w:tcPr>
          <w:p>
            <w:r/>
            <w:r>
              <w:rPr>
                <w:b w:val="0"/>
                <w:sz w:val="14"/>
              </w:rPr>
              <w:t>Chapter VII — Supervision and enforcement</w:t>
            </w:r>
          </w:p>
        </w:tc>
        <w:tc>
          <w:tcPr>
            <w:tcW w:type="dxa" w:w="1704"/>
            <w:vAlign w:val="center"/>
          </w:tcPr>
          <w:p>
            <w:r/>
            <w:r>
              <w:rPr>
                <w:b w:val="0"/>
                <w:sz w:val="14"/>
              </w:rPr>
              <w:t>0</w:t>
            </w:r>
          </w:p>
        </w:tc>
        <w:tc>
          <w:tcPr>
            <w:tcW w:type="dxa" w:w="1704"/>
            <w:vAlign w:val="center"/>
          </w:tcPr>
          <w:p>
            <w:r/>
            <w:r>
              <w:rPr>
                <w:b w:val="0"/>
                <w:sz w:val="14"/>
              </w:rPr>
              <w:t>Not Addressed</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36</w:t>
            </w:r>
          </w:p>
        </w:tc>
        <w:tc>
          <w:tcPr>
            <w:tcW w:type="dxa" w:w="1704"/>
            <w:vAlign w:val="center"/>
          </w:tcPr>
          <w:p>
            <w:r/>
            <w:r>
              <w:rPr>
                <w:b w:val="0"/>
                <w:sz w:val="14"/>
              </w:rPr>
              <w:t>Penalties</w:t>
            </w:r>
          </w:p>
        </w:tc>
        <w:tc>
          <w:tcPr>
            <w:tcW w:type="dxa" w:w="1704"/>
            <w:vAlign w:val="center"/>
          </w:tcPr>
          <w:p>
            <w:r/>
            <w:r>
              <w:rPr>
                <w:b w:val="0"/>
                <w:sz w:val="14"/>
              </w:rPr>
              <w:t>Chapter VII — Supervision and enforcement</w:t>
            </w:r>
          </w:p>
        </w:tc>
        <w:tc>
          <w:tcPr>
            <w:tcW w:type="dxa" w:w="1704"/>
            <w:vAlign w:val="center"/>
          </w:tcPr>
          <w:p>
            <w:r/>
            <w:r>
              <w:rPr>
                <w:b w:val="0"/>
                <w:sz w:val="14"/>
              </w:rPr>
              <w:t>0</w:t>
            </w:r>
          </w:p>
        </w:tc>
        <w:tc>
          <w:tcPr>
            <w:tcW w:type="dxa" w:w="1704"/>
            <w:vAlign w:val="center"/>
          </w:tcPr>
          <w:p>
            <w:r/>
            <w:r>
              <w:rPr>
                <w:b w:val="0"/>
                <w:sz w:val="14"/>
              </w:rPr>
              <w:t>Not Addressed</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37</w:t>
            </w:r>
          </w:p>
        </w:tc>
        <w:tc>
          <w:tcPr>
            <w:tcW w:type="dxa" w:w="1704"/>
            <w:vAlign w:val="center"/>
          </w:tcPr>
          <w:p>
            <w:r/>
            <w:r>
              <w:rPr>
                <w:b w:val="0"/>
                <w:sz w:val="14"/>
              </w:rPr>
              <w:t>Delegation of power</w:t>
            </w:r>
          </w:p>
        </w:tc>
        <w:tc>
          <w:tcPr>
            <w:tcW w:type="dxa" w:w="1704"/>
            <w:vAlign w:val="center"/>
          </w:tcPr>
          <w:p>
            <w:r/>
            <w:r>
              <w:rPr>
                <w:b w:val="0"/>
                <w:sz w:val="14"/>
              </w:rPr>
              <w:t>Chapter VII — Supervision and enforcement</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38</w:t>
            </w:r>
          </w:p>
        </w:tc>
        <w:tc>
          <w:tcPr>
            <w:tcW w:type="dxa" w:w="1704"/>
            <w:vAlign w:val="center"/>
          </w:tcPr>
          <w:p>
            <w:r/>
            <w:r>
              <w:rPr>
                <w:b w:val="0"/>
                <w:sz w:val="14"/>
              </w:rPr>
              <w:t>Exercise of the delegation</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39</w:t>
            </w:r>
          </w:p>
        </w:tc>
        <w:tc>
          <w:tcPr>
            <w:tcW w:type="dxa" w:w="1704"/>
            <w:vAlign w:val="center"/>
          </w:tcPr>
          <w:p>
            <w:r/>
            <w:r>
              <w:rPr>
                <w:b w:val="0"/>
                <w:sz w:val="14"/>
              </w:rPr>
              <w:t>Committee procedure</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40</w:t>
            </w:r>
          </w:p>
        </w:tc>
        <w:tc>
          <w:tcPr>
            <w:tcW w:type="dxa" w:w="1704"/>
            <w:vAlign w:val="center"/>
          </w:tcPr>
          <w:p>
            <w:r/>
            <w:r>
              <w:rPr>
                <w:b w:val="0"/>
                <w:sz w:val="14"/>
              </w:rPr>
              <w:t>Review</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41</w:t>
            </w:r>
          </w:p>
        </w:tc>
        <w:tc>
          <w:tcPr>
            <w:tcW w:type="dxa" w:w="1704"/>
            <w:vAlign w:val="center"/>
          </w:tcPr>
          <w:p>
            <w:r/>
            <w:r>
              <w:rPr>
                <w:b w:val="0"/>
                <w:sz w:val="14"/>
              </w:rPr>
              <w:t>Transposition</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42</w:t>
            </w:r>
          </w:p>
        </w:tc>
        <w:tc>
          <w:tcPr>
            <w:tcW w:type="dxa" w:w="1704"/>
            <w:vAlign w:val="center"/>
          </w:tcPr>
          <w:p>
            <w:r/>
            <w:r>
              <w:rPr>
                <w:b w:val="0"/>
                <w:sz w:val="14"/>
              </w:rPr>
              <w:t>Amendment of Regulation (EU) No 910/2014</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43</w:t>
            </w:r>
          </w:p>
        </w:tc>
        <w:tc>
          <w:tcPr>
            <w:tcW w:type="dxa" w:w="1704"/>
            <w:vAlign w:val="center"/>
          </w:tcPr>
          <w:p>
            <w:r/>
            <w:r>
              <w:rPr>
                <w:b w:val="0"/>
                <w:sz w:val="14"/>
              </w:rPr>
              <w:t>Amendment of Directive (EU) 2018/1972</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44</w:t>
            </w:r>
          </w:p>
        </w:tc>
        <w:tc>
          <w:tcPr>
            <w:tcW w:type="dxa" w:w="1704"/>
            <w:vAlign w:val="center"/>
          </w:tcPr>
          <w:p>
            <w:r/>
            <w:r>
              <w:rPr>
                <w:b w:val="0"/>
                <w:sz w:val="14"/>
              </w:rPr>
              <w:t>Repeal</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45</w:t>
            </w:r>
          </w:p>
        </w:tc>
        <w:tc>
          <w:tcPr>
            <w:tcW w:type="dxa" w:w="1704"/>
            <w:vAlign w:val="center"/>
          </w:tcPr>
          <w:p>
            <w:r/>
            <w:r>
              <w:rPr>
                <w:b w:val="0"/>
                <w:sz w:val="14"/>
              </w:rPr>
              <w:t>Entry into force</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r>
        <w:tc>
          <w:tcPr>
            <w:tcW w:type="dxa" w:w="1704"/>
            <w:vAlign w:val="center"/>
          </w:tcPr>
          <w:p>
            <w:r/>
            <w:r>
              <w:rPr>
                <w:b w:val="0"/>
                <w:sz w:val="14"/>
              </w:rPr>
              <w:t>46</w:t>
            </w:r>
          </w:p>
        </w:tc>
        <w:tc>
          <w:tcPr>
            <w:tcW w:type="dxa" w:w="1704"/>
            <w:vAlign w:val="center"/>
          </w:tcPr>
          <w:p>
            <w:r/>
            <w:r>
              <w:rPr>
                <w:b w:val="0"/>
                <w:sz w:val="14"/>
              </w:rPr>
              <w:t>Addressees</w:t>
            </w:r>
          </w:p>
        </w:tc>
        <w:tc>
          <w:tcPr>
            <w:tcW w:type="dxa" w:w="1704"/>
            <w:vAlign w:val="center"/>
          </w:tcPr>
          <w:p>
            <w:r/>
            <w:r>
              <w:rPr>
                <w:b w:val="0"/>
                <w:sz w:val="14"/>
              </w:rPr>
              <w:t>Chapter VIII — Delegated, implementing and final provisions</w:t>
            </w:r>
          </w:p>
        </w:tc>
        <w:tc>
          <w:tcPr>
            <w:tcW w:type="dxa" w:w="1704"/>
            <w:vAlign w:val="center"/>
          </w:tcPr>
          <w:p>
            <w:r/>
            <w:r>
              <w:rPr>
                <w:b w:val="0"/>
                <w:sz w:val="14"/>
              </w:rPr>
              <w:t>0</w:t>
            </w:r>
          </w:p>
        </w:tc>
        <w:tc>
          <w:tcPr>
            <w:tcW w:type="dxa" w:w="1704"/>
            <w:vAlign w:val="center"/>
          </w:tcPr>
          <w:p>
            <w:r/>
            <w:r>
              <w:rPr>
                <w:b w:val="0"/>
                <w:sz w:val="14"/>
              </w:rPr>
              <w:t>Outside Scope</w:t>
            </w:r>
          </w:p>
        </w:tc>
        <w:tc>
          <w:tcPr>
            <w:tcW w:type="dxa" w:w="1704"/>
            <w:vAlign w:val="center"/>
          </w:tcPr>
          <w:p>
            <w:r/>
            <w:r>
              <w:rPr>
                <w:b w:val="0"/>
                <w:sz w:val="14"/>
              </w:rPr>
              <w:t>This provision primarily concerns Member States, EU cooperation, jurisdiction, supervision, enforcement or legal procedure and is not established by GAISSF controls.</w:t>
            </w:r>
          </w:p>
        </w:tc>
      </w:tr>
    </w:tbl>
    <w:p>
      <w:pPr>
        <w:pStyle w:val="Heading1"/>
      </w:pPr>
      <w:r>
        <w:t>8. Control-to-Article Mapping Register</w:t>
      </w:r>
    </w:p>
    <w:tbl>
      <w:tblPr>
        <w:tblStyle w:val="TableGrid"/>
        <w:tblW w:type="auto" w:w="0"/>
        <w:jc w:val="center"/>
        <w:tblLook w:firstColumn="1" w:firstRow="1" w:lastColumn="0" w:lastRow="0" w:noHBand="0" w:noVBand="1" w:val="04A0"/>
      </w:tblPr>
      <w:tblGrid>
        <w:gridCol w:w="1461"/>
        <w:gridCol w:w="1461"/>
        <w:gridCol w:w="1461"/>
        <w:gridCol w:w="1461"/>
        <w:gridCol w:w="1461"/>
        <w:gridCol w:w="1461"/>
        <w:gridCol w:w="1461"/>
      </w:tblGrid>
      <w:tr>
        <w:tc>
          <w:tcPr>
            <w:tcW w:type="dxa" w:w="1461"/>
            <w:vAlign w:val="center"/>
            <w:shd w:fill="163A5F"/>
          </w:tcPr>
          <w:p>
            <w:r/>
            <w:r>
              <w:rPr>
                <w:b/>
                <w:color w:val="FFFFFF"/>
                <w:sz w:val="14"/>
              </w:rPr>
              <w:t>Record</w:t>
            </w:r>
          </w:p>
        </w:tc>
        <w:tc>
          <w:tcPr>
            <w:tcW w:type="dxa" w:w="1461"/>
            <w:vAlign w:val="center"/>
            <w:shd w:fill="163A5F"/>
          </w:tcPr>
          <w:p>
            <w:r/>
            <w:r>
              <w:rPr>
                <w:b/>
                <w:color w:val="FFFFFF"/>
                <w:sz w:val="14"/>
              </w:rPr>
              <w:t>GAISSF control</w:t>
            </w:r>
          </w:p>
        </w:tc>
        <w:tc>
          <w:tcPr>
            <w:tcW w:type="dxa" w:w="1461"/>
            <w:vAlign w:val="center"/>
            <w:shd w:fill="163A5F"/>
          </w:tcPr>
          <w:p>
            <w:r/>
            <w:r>
              <w:rPr>
                <w:b/>
                <w:color w:val="FFFFFF"/>
                <w:sz w:val="14"/>
              </w:rPr>
              <w:t>NIS2 article</w:t>
            </w:r>
          </w:p>
        </w:tc>
        <w:tc>
          <w:tcPr>
            <w:tcW w:type="dxa" w:w="1461"/>
            <w:vAlign w:val="center"/>
            <w:shd w:fill="163A5F"/>
          </w:tcPr>
          <w:p>
            <w:r/>
            <w:r>
              <w:rPr>
                <w:b/>
                <w:color w:val="FFFFFF"/>
                <w:sz w:val="14"/>
              </w:rPr>
              <w:t>Relationship</w:t>
            </w:r>
          </w:p>
        </w:tc>
        <w:tc>
          <w:tcPr>
            <w:tcW w:type="dxa" w:w="1461"/>
            <w:vAlign w:val="center"/>
            <w:shd w:fill="163A5F"/>
          </w:tcPr>
          <w:p>
            <w:r/>
            <w:r>
              <w:rPr>
                <w:b/>
                <w:color w:val="FFFFFF"/>
                <w:sz w:val="14"/>
              </w:rPr>
              <w:t>Confidence</w:t>
            </w:r>
          </w:p>
        </w:tc>
        <w:tc>
          <w:tcPr>
            <w:tcW w:type="dxa" w:w="1461"/>
            <w:vAlign w:val="center"/>
            <w:shd w:fill="163A5F"/>
          </w:tcPr>
          <w:p>
            <w:r/>
            <w:r>
              <w:rPr>
                <w:b/>
                <w:color w:val="FFFFFF"/>
                <w:sz w:val="14"/>
              </w:rPr>
              <w:t>Rationale</w:t>
            </w:r>
          </w:p>
        </w:tc>
        <w:tc>
          <w:tcPr>
            <w:tcW w:type="dxa" w:w="1461"/>
            <w:vAlign w:val="center"/>
            <w:shd w:fill="163A5F"/>
          </w:tcPr>
          <w:p>
            <w:r/>
            <w:r>
              <w:rPr>
                <w:b/>
                <w:color w:val="FFFFFF"/>
                <w:sz w:val="14"/>
              </w:rPr>
              <w:t>Residual gap</w:t>
            </w:r>
          </w:p>
        </w:tc>
      </w:tr>
      <w:tr>
        <w:tc>
          <w:tcPr>
            <w:tcW w:type="dxa" w:w="1461"/>
            <w:vAlign w:val="center"/>
          </w:tcPr>
          <w:p>
            <w:r/>
            <w:r>
              <w:rPr>
                <w:b w:val="0"/>
                <w:sz w:val="13"/>
              </w:rPr>
              <w:t>CRO-029-MAP-0001</w:t>
            </w:r>
          </w:p>
        </w:tc>
        <w:tc>
          <w:tcPr>
            <w:tcW w:type="dxa" w:w="1461"/>
            <w:vAlign w:val="center"/>
          </w:tcPr>
          <w:p>
            <w:r/>
            <w:r>
              <w:rPr>
                <w:b w:val="0"/>
                <w:sz w:val="13"/>
              </w:rPr>
              <w:t>D1-CTL-01 — Dataset Provenance &amp; Poisoning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CRO-029-MAP-0002</w:t>
            </w:r>
          </w:p>
        </w:tc>
        <w:tc>
          <w:tcPr>
            <w:tcW w:type="dxa" w:w="1461"/>
            <w:vAlign w:val="center"/>
          </w:tcPr>
          <w:p>
            <w:r/>
            <w:r>
              <w:rPr>
                <w:b w:val="0"/>
                <w:sz w:val="13"/>
              </w:rPr>
              <w:t>D1-CTL-01 — Dataset Provenance &amp; Poisoning Prevention</w:t>
            </w:r>
          </w:p>
        </w:tc>
        <w:tc>
          <w:tcPr>
            <w:tcW w:type="dxa" w:w="1461"/>
            <w:vAlign w:val="center"/>
          </w:tcPr>
          <w:p>
            <w:r/>
            <w:r>
              <w:rPr>
                <w:b w:val="0"/>
                <w:sz w:val="13"/>
              </w:rPr>
              <w:t>Art. 24 — Use of European cybersecurity certification schemes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CRO-029-MAP-0003</w:t>
            </w:r>
          </w:p>
        </w:tc>
        <w:tc>
          <w:tcPr>
            <w:tcW w:type="dxa" w:w="1461"/>
            <w:vAlign w:val="center"/>
          </w:tcPr>
          <w:p>
            <w:r/>
            <w:r>
              <w:rPr>
                <w:b w:val="0"/>
                <w:sz w:val="13"/>
              </w:rPr>
              <w:t>D1-CTL-01 — Dataset Provenance &amp; Poisoning Prevention</w:t>
            </w:r>
          </w:p>
        </w:tc>
        <w:tc>
          <w:tcPr>
            <w:tcW w:type="dxa" w:w="1461"/>
            <w:vAlign w:val="center"/>
          </w:tcPr>
          <w:p>
            <w:r/>
            <w:r>
              <w:rPr>
                <w:b w:val="0"/>
                <w:sz w:val="13"/>
              </w:rPr>
              <w:t>Art. 25 — Standardisation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CRO-029-MAP-0004</w:t>
            </w:r>
          </w:p>
        </w:tc>
        <w:tc>
          <w:tcPr>
            <w:tcW w:type="dxa" w:w="1461"/>
            <w:vAlign w:val="center"/>
          </w:tcPr>
          <w:p>
            <w:r/>
            <w:r>
              <w:rPr>
                <w:b w:val="0"/>
                <w:sz w:val="13"/>
              </w:rPr>
              <w:t>D1-CTL-02 — Model Extraction Resistance</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CRO-029-MAP-0005</w:t>
            </w:r>
          </w:p>
        </w:tc>
        <w:tc>
          <w:tcPr>
            <w:tcW w:type="dxa" w:w="1461"/>
            <w:vAlign w:val="center"/>
          </w:tcPr>
          <w:p>
            <w:r/>
            <w:r>
              <w:rPr>
                <w:b w:val="0"/>
                <w:sz w:val="13"/>
              </w:rPr>
              <w:t>D1-CTL-03 — Behavioral Drift Detection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CRO-029-MAP-0006</w:t>
            </w:r>
          </w:p>
        </w:tc>
        <w:tc>
          <w:tcPr>
            <w:tcW w:type="dxa" w:w="1461"/>
            <w:vAlign w:val="center"/>
          </w:tcPr>
          <w:p>
            <w:r/>
            <w:r>
              <w:rPr>
                <w:b w:val="0"/>
                <w:sz w:val="13"/>
              </w:rPr>
              <w:t>D1-CTL-04 — Federated Learning Poisoning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CRO-029-MAP-0007</w:t>
            </w:r>
          </w:p>
        </w:tc>
        <w:tc>
          <w:tcPr>
            <w:tcW w:type="dxa" w:w="1461"/>
            <w:vAlign w:val="center"/>
          </w:tcPr>
          <w:p>
            <w:r/>
            <w:r>
              <w:rPr>
                <w:b w:val="0"/>
                <w:sz w:val="13"/>
              </w:rPr>
              <w:t>D1-CTL-04 — Federated Learning Poisoning Prevention</w:t>
            </w:r>
          </w:p>
        </w:tc>
        <w:tc>
          <w:tcPr>
            <w:tcW w:type="dxa" w:w="1461"/>
            <w:vAlign w:val="center"/>
          </w:tcPr>
          <w:p>
            <w:r/>
            <w:r>
              <w:rPr>
                <w:b w:val="0"/>
                <w:sz w:val="13"/>
              </w:rPr>
              <w:t>Art. 24 — Use of European cybersecurity certification schemes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CRO-029-MAP-0008</w:t>
            </w:r>
          </w:p>
        </w:tc>
        <w:tc>
          <w:tcPr>
            <w:tcW w:type="dxa" w:w="1461"/>
            <w:vAlign w:val="center"/>
          </w:tcPr>
          <w:p>
            <w:r/>
            <w:r>
              <w:rPr>
                <w:b w:val="0"/>
                <w:sz w:val="13"/>
              </w:rPr>
              <w:t>D1-CTL-04 — Federated Learning Poisoning Prevention</w:t>
            </w:r>
          </w:p>
        </w:tc>
        <w:tc>
          <w:tcPr>
            <w:tcW w:type="dxa" w:w="1461"/>
            <w:vAlign w:val="center"/>
          </w:tcPr>
          <w:p>
            <w:r/>
            <w:r>
              <w:rPr>
                <w:b w:val="0"/>
                <w:sz w:val="13"/>
              </w:rPr>
              <w:t>Art. 25 — Standardisation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CRO-029-MAP-0009</w:t>
            </w:r>
          </w:p>
        </w:tc>
        <w:tc>
          <w:tcPr>
            <w:tcW w:type="dxa" w:w="1461"/>
            <w:vAlign w:val="center"/>
          </w:tcPr>
          <w:p>
            <w:r/>
            <w:r>
              <w:rPr>
                <w:b w:val="0"/>
                <w:sz w:val="13"/>
              </w:rPr>
              <w:t>D1-CTL-05 — Embedding Space Robustness</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CRO-029-MAP-0010</w:t>
            </w:r>
          </w:p>
        </w:tc>
        <w:tc>
          <w:tcPr>
            <w:tcW w:type="dxa" w:w="1461"/>
            <w:vAlign w:val="center"/>
          </w:tcPr>
          <w:p>
            <w:r/>
            <w:r>
              <w:rPr>
                <w:b w:val="0"/>
                <w:sz w:val="13"/>
              </w:rPr>
              <w:t>D1-CTL-06 — Post-Quantum Model Signing &amp; Crypto Hardening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CRO-029-MAP-0011</w:t>
            </w:r>
          </w:p>
        </w:tc>
        <w:tc>
          <w:tcPr>
            <w:tcW w:type="dxa" w:w="1461"/>
            <w:vAlign w:val="center"/>
          </w:tcPr>
          <w:p>
            <w:r/>
            <w:r>
              <w:rPr>
                <w:b w:val="0"/>
                <w:sz w:val="13"/>
              </w:rPr>
              <w:t>D1-CTL-06 — Post-Quantum Model Signing &amp; Crypto Hardening</w:t>
            </w:r>
          </w:p>
        </w:tc>
        <w:tc>
          <w:tcPr>
            <w:tcW w:type="dxa" w:w="1461"/>
            <w:vAlign w:val="center"/>
          </w:tcPr>
          <w:p>
            <w:r/>
            <w:r>
              <w:rPr>
                <w:b w:val="0"/>
                <w:sz w:val="13"/>
              </w:rPr>
              <w:t>Art. 24 — Use of European cybersecurity certification schemes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CRO-029-MAP-0012</w:t>
            </w:r>
          </w:p>
        </w:tc>
        <w:tc>
          <w:tcPr>
            <w:tcW w:type="dxa" w:w="1461"/>
            <w:vAlign w:val="center"/>
          </w:tcPr>
          <w:p>
            <w:r/>
            <w:r>
              <w:rPr>
                <w:b w:val="0"/>
                <w:sz w:val="13"/>
              </w:rPr>
              <w:t>D1-CTL-06 — Post-Quantum Model Signing &amp; Crypto Hardening</w:t>
            </w:r>
          </w:p>
        </w:tc>
        <w:tc>
          <w:tcPr>
            <w:tcW w:type="dxa" w:w="1461"/>
            <w:vAlign w:val="center"/>
          </w:tcPr>
          <w:p>
            <w:r/>
            <w:r>
              <w:rPr>
                <w:b w:val="0"/>
                <w:sz w:val="13"/>
              </w:rPr>
              <w:t>Art. 25 — Standardisation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CRO-029-MAP-0013</w:t>
            </w:r>
          </w:p>
        </w:tc>
        <w:tc>
          <w:tcPr>
            <w:tcW w:type="dxa" w:w="1461"/>
            <w:vAlign w:val="center"/>
          </w:tcPr>
          <w:p>
            <w:r/>
            <w:r>
              <w:rPr>
                <w:b w:val="0"/>
                <w:sz w:val="13"/>
              </w:rPr>
              <w:t>D1-CTL-07 — Lora/Adapter Integrity Verification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CRO-029-MAP-0014</w:t>
            </w:r>
          </w:p>
        </w:tc>
        <w:tc>
          <w:tcPr>
            <w:tcW w:type="dxa" w:w="1461"/>
            <w:vAlign w:val="center"/>
          </w:tcPr>
          <w:p>
            <w:r/>
            <w:r>
              <w:rPr>
                <w:b w:val="0"/>
                <w:sz w:val="13"/>
              </w:rPr>
              <w:t>D1-CTL-08 — Model Merge Attack Detection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CRO-029-MAP-0015</w:t>
            </w:r>
          </w:p>
        </w:tc>
        <w:tc>
          <w:tcPr>
            <w:tcW w:type="dxa" w:w="1461"/>
            <w:vAlign w:val="center"/>
          </w:tcPr>
          <w:p>
            <w:r/>
            <w:r>
              <w:rPr>
                <w:b w:val="0"/>
                <w:sz w:val="13"/>
              </w:rPr>
              <w:t>D1-CTL-08 — Model Merge Attack Detection</w:t>
            </w:r>
          </w:p>
        </w:tc>
        <w:tc>
          <w:tcPr>
            <w:tcW w:type="dxa" w:w="1461"/>
            <w:vAlign w:val="center"/>
          </w:tcPr>
          <w:p>
            <w:r/>
            <w:r>
              <w:rPr>
                <w:b w:val="0"/>
                <w:sz w:val="13"/>
              </w:rPr>
              <w:t>Art. 29 — Cybersecurity information-sharing arrangements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CRO-029-MAP-0016</w:t>
            </w:r>
          </w:p>
        </w:tc>
        <w:tc>
          <w:tcPr>
            <w:tcW w:type="dxa" w:w="1461"/>
            <w:vAlign w:val="center"/>
          </w:tcPr>
          <w:p>
            <w:r/>
            <w:r>
              <w:rPr>
                <w:b w:val="0"/>
                <w:sz w:val="13"/>
              </w:rPr>
              <w:t>D1-CTL-08 — Model Merge Attack Detection</w:t>
            </w:r>
          </w:p>
        </w:tc>
        <w:tc>
          <w:tcPr>
            <w:tcW w:type="dxa" w:w="1461"/>
            <w:vAlign w:val="center"/>
          </w:tcPr>
          <w:p>
            <w:r/>
            <w:r>
              <w:rPr>
                <w:b w:val="0"/>
                <w:sz w:val="13"/>
              </w:rPr>
              <w:t>Art. 30 — Voluntary notification of relevant information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CRO-029-MAP-0017</w:t>
            </w:r>
          </w:p>
        </w:tc>
        <w:tc>
          <w:tcPr>
            <w:tcW w:type="dxa" w:w="1461"/>
            <w:vAlign w:val="center"/>
          </w:tcPr>
          <w:p>
            <w:r/>
            <w:r>
              <w:rPr>
                <w:b w:val="0"/>
                <w:sz w:val="13"/>
              </w:rPr>
              <w:t>D1-CTL-09 — Quantization Backdoor Screening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CRO-029-MAP-0018</w:t>
            </w:r>
          </w:p>
        </w:tc>
        <w:tc>
          <w:tcPr>
            <w:tcW w:type="dxa" w:w="1461"/>
            <w:vAlign w:val="center"/>
          </w:tcPr>
          <w:p>
            <w:r/>
            <w:r>
              <w:rPr>
                <w:b w:val="0"/>
                <w:sz w:val="13"/>
              </w:rPr>
              <w:t>D2-CTL-01 — Direct Prompt Injection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CRO-029-MAP-0019</w:t>
            </w:r>
          </w:p>
        </w:tc>
        <w:tc>
          <w:tcPr>
            <w:tcW w:type="dxa" w:w="1461"/>
            <w:vAlign w:val="center"/>
          </w:tcPr>
          <w:p>
            <w:r/>
            <w:r>
              <w:rPr>
                <w:b w:val="0"/>
                <w:sz w:val="13"/>
              </w:rPr>
              <w:t>D2-CTL-02 — Indirect Prompt Injection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CRO-029-MAP-0020</w:t>
            </w:r>
          </w:p>
        </w:tc>
        <w:tc>
          <w:tcPr>
            <w:tcW w:type="dxa" w:w="1461"/>
            <w:vAlign w:val="center"/>
          </w:tcPr>
          <w:p>
            <w:r/>
            <w:r>
              <w:rPr>
                <w:b w:val="0"/>
                <w:sz w:val="13"/>
              </w:rPr>
              <w:t>D2-CTL-03 — Jailbreak Resistance Testing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CRO-029-MAP-0021</w:t>
            </w:r>
          </w:p>
        </w:tc>
        <w:tc>
          <w:tcPr>
            <w:tcW w:type="dxa" w:w="1461"/>
            <w:vAlign w:val="center"/>
          </w:tcPr>
          <w:p>
            <w:r/>
            <w:r>
              <w:rPr>
                <w:b w:val="0"/>
                <w:sz w:val="13"/>
              </w:rPr>
              <w:t>D2-CTL-04 — Multi-Modal Injection Defense</w:t>
            </w:r>
          </w:p>
        </w:tc>
        <w:tc>
          <w:tcPr>
            <w:tcW w:type="dxa" w:w="1461"/>
            <w:vAlign w:val="center"/>
          </w:tcPr>
          <w:p>
            <w:r/>
            <w:r>
              <w:rPr>
                <w:b w:val="0"/>
                <w:sz w:val="13"/>
              </w:rPr>
              <w:t>Art. 21 — Cybersecurity risk-management measures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The control contributes to an all-hazards cybersecurity risk-management capability, subject to entity and system scope.</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CRO-029-MAP-0022</w:t>
            </w:r>
          </w:p>
        </w:tc>
        <w:tc>
          <w:tcPr>
            <w:tcW w:type="dxa" w:w="1461"/>
            <w:vAlign w:val="center"/>
          </w:tcPr>
          <w:p>
            <w:r/>
            <w:r>
              <w:rPr>
                <w:b w:val="0"/>
                <w:sz w:val="13"/>
              </w:rPr>
              <w:t>D2-CTL-05 — Function Call/Tool Call Injection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CRO-029-MAP-0023</w:t>
            </w:r>
          </w:p>
        </w:tc>
        <w:tc>
          <w:tcPr>
            <w:tcW w:type="dxa" w:w="1461"/>
            <w:vAlign w:val="center"/>
          </w:tcPr>
          <w:p>
            <w:r/>
            <w:r>
              <w:rPr>
                <w:b w:val="0"/>
                <w:sz w:val="13"/>
              </w:rPr>
              <w:t>D2-CTL-06 — Cross-Context Hijacking Mitigation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CRO-029-MAP-0024</w:t>
            </w:r>
          </w:p>
        </w:tc>
        <w:tc>
          <w:tcPr>
            <w:tcW w:type="dxa" w:w="1461"/>
            <w:vAlign w:val="center"/>
          </w:tcPr>
          <w:p>
            <w:r/>
            <w:r>
              <w:rPr>
                <w:b w:val="0"/>
                <w:sz w:val="13"/>
              </w:rPr>
              <w:t>D3-CTL-01 — Least Agency Enforcement</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CRO-029-MAP-0025</w:t>
            </w:r>
          </w:p>
        </w:tc>
        <w:tc>
          <w:tcPr>
            <w:tcW w:type="dxa" w:w="1461"/>
            <w:vAlign w:val="center"/>
          </w:tcPr>
          <w:p>
            <w:r/>
            <w:r>
              <w:rPr>
                <w:b w:val="0"/>
                <w:sz w:val="13"/>
              </w:rPr>
              <w:t>D3-CTL-02 — Inter-Agent Communication Security</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CRO-029-MAP-0026</w:t>
            </w:r>
          </w:p>
        </w:tc>
        <w:tc>
          <w:tcPr>
            <w:tcW w:type="dxa" w:w="1461"/>
            <w:vAlign w:val="center"/>
          </w:tcPr>
          <w:p>
            <w:r/>
            <w:r>
              <w:rPr>
                <w:b w:val="0"/>
                <w:sz w:val="13"/>
              </w:rPr>
              <w:t>D3-CTL-03 — Agentic Prompt Chaining Detection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CRO-029-MAP-0027</w:t>
            </w:r>
          </w:p>
        </w:tc>
        <w:tc>
          <w:tcPr>
            <w:tcW w:type="dxa" w:w="1461"/>
            <w:vAlign w:val="center"/>
          </w:tcPr>
          <w:p>
            <w:r/>
            <w:r>
              <w:rPr>
                <w:b w:val="0"/>
                <w:sz w:val="13"/>
              </w:rPr>
              <w:t>D3-CTL-04 — Embodied Ai Safety Controls</w:t>
            </w:r>
          </w:p>
        </w:tc>
        <w:tc>
          <w:tcPr>
            <w:tcW w:type="dxa" w:w="1461"/>
            <w:vAlign w:val="center"/>
          </w:tcPr>
          <w:p>
            <w:r/>
            <w:r>
              <w:rPr>
                <w:b w:val="0"/>
                <w:sz w:val="13"/>
              </w:rPr>
              <w:t>Art. 21 — Cybersecurity risk-management measures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The control contributes to an all-hazards cybersecurity risk-management capability, subject to entity and system scope.</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CRO-029-MAP-0028</w:t>
            </w:r>
          </w:p>
        </w:tc>
        <w:tc>
          <w:tcPr>
            <w:tcW w:type="dxa" w:w="1461"/>
            <w:vAlign w:val="center"/>
          </w:tcPr>
          <w:p>
            <w:r/>
            <w:r>
              <w:rPr>
                <w:b w:val="0"/>
                <w:sz w:val="13"/>
              </w:rPr>
              <w:t>D3-CTL-05 — Multi-Agent Trust Chain Attestation</w:t>
            </w:r>
          </w:p>
        </w:tc>
        <w:tc>
          <w:tcPr>
            <w:tcW w:type="dxa" w:w="1461"/>
            <w:vAlign w:val="center"/>
          </w:tcPr>
          <w:p>
            <w:r/>
            <w:r>
              <w:rPr>
                <w:b w:val="0"/>
                <w:sz w:val="13"/>
              </w:rPr>
              <w:t>Art. 21 — Cybersecurity risk-management measures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The control contributes to an all-hazards cybersecurity risk-management capability, subject to entity and system scope.</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CRO-029-MAP-0029</w:t>
            </w:r>
          </w:p>
        </w:tc>
        <w:tc>
          <w:tcPr>
            <w:tcW w:type="dxa" w:w="1461"/>
            <w:vAlign w:val="center"/>
          </w:tcPr>
          <w:p>
            <w:r/>
            <w:r>
              <w:rPr>
                <w:b w:val="0"/>
                <w:sz w:val="13"/>
              </w:rPr>
              <w:t>D3-CTL-06 — Persistent Memory Exfiltration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CRO-029-MAP-0030</w:t>
            </w:r>
          </w:p>
        </w:tc>
        <w:tc>
          <w:tcPr>
            <w:tcW w:type="dxa" w:w="1461"/>
            <w:vAlign w:val="center"/>
          </w:tcPr>
          <w:p>
            <w:r/>
            <w:r>
              <w:rPr>
                <w:b w:val="0"/>
                <w:sz w:val="13"/>
              </w:rPr>
              <w:t>D3-CTL-07 — Secure Memory Lifecycle Management</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CRO-029-MAP-0031</w:t>
            </w:r>
          </w:p>
        </w:tc>
        <w:tc>
          <w:tcPr>
            <w:tcW w:type="dxa" w:w="1461"/>
            <w:vAlign w:val="center"/>
          </w:tcPr>
          <w:p>
            <w:r/>
            <w:r>
              <w:rPr>
                <w:b w:val="0"/>
                <w:sz w:val="13"/>
              </w:rPr>
              <w:t>D3-CTL-07 — Secure Memory Lifecycle Management</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CRO-029-MAP-0032</w:t>
            </w:r>
          </w:p>
        </w:tc>
        <w:tc>
          <w:tcPr>
            <w:tcW w:type="dxa" w:w="1461"/>
            <w:vAlign w:val="center"/>
          </w:tcPr>
          <w:p>
            <w:r/>
            <w:r>
              <w:rPr>
                <w:b w:val="0"/>
                <w:sz w:val="13"/>
              </w:rPr>
              <w:t>D3-CTL-07 — Secure Memory Lifecycle Management</w:t>
            </w:r>
          </w:p>
        </w:tc>
        <w:tc>
          <w:tcPr>
            <w:tcW w:type="dxa" w:w="1461"/>
            <w:vAlign w:val="center"/>
          </w:tcPr>
          <w:p>
            <w:r/>
            <w:r>
              <w:rPr>
                <w:b w:val="0"/>
                <w:sz w:val="13"/>
              </w:rPr>
              <w:t>Art. 19 — Union-level coordinated security risk assessments of critical supply chains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Provides entity-level evidence relevant to critical supply-chain risk analysis.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CRO-029-MAP-0033</w:t>
            </w:r>
          </w:p>
        </w:tc>
        <w:tc>
          <w:tcPr>
            <w:tcW w:type="dxa" w:w="1461"/>
            <w:vAlign w:val="center"/>
          </w:tcPr>
          <w:p>
            <w:r/>
            <w:r>
              <w:rPr>
                <w:b w:val="0"/>
                <w:sz w:val="13"/>
              </w:rPr>
              <w:t>D4-CTL-01 — Ai Bill Of Materials (Ai Bom) Maintenance</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CRO-029-MAP-0034</w:t>
            </w:r>
          </w:p>
        </w:tc>
        <w:tc>
          <w:tcPr>
            <w:tcW w:type="dxa" w:w="1461"/>
            <w:vAlign w:val="center"/>
          </w:tcPr>
          <w:p>
            <w:r/>
            <w:r>
              <w:rPr>
                <w:b w:val="0"/>
                <w:sz w:val="13"/>
              </w:rPr>
              <w:t>D4-CTL-01 — Ai Bill Of Materials (Ai Bom) Maintenance</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CRO-029-MAP-0035</w:t>
            </w:r>
          </w:p>
        </w:tc>
        <w:tc>
          <w:tcPr>
            <w:tcW w:type="dxa" w:w="1461"/>
            <w:vAlign w:val="center"/>
          </w:tcPr>
          <w:p>
            <w:r/>
            <w:r>
              <w:rPr>
                <w:b w:val="0"/>
                <w:sz w:val="13"/>
              </w:rPr>
              <w:t>D4-CTL-01 — Ai Bill Of Materials (Ai Bom) Maintenance</w:t>
            </w:r>
          </w:p>
        </w:tc>
        <w:tc>
          <w:tcPr>
            <w:tcW w:type="dxa" w:w="1461"/>
            <w:vAlign w:val="center"/>
          </w:tcPr>
          <w:p>
            <w:r/>
            <w:r>
              <w:rPr>
                <w:b w:val="0"/>
                <w:sz w:val="13"/>
              </w:rPr>
              <w:t>Art. 19 — Union-level coordinated security risk assessments of critical supply chains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Provides entity-level evidence relevant to critical supply-chain risk analysis.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CRO-029-MAP-0036</w:t>
            </w:r>
          </w:p>
        </w:tc>
        <w:tc>
          <w:tcPr>
            <w:tcW w:type="dxa" w:w="1461"/>
            <w:vAlign w:val="center"/>
          </w:tcPr>
          <w:p>
            <w:r/>
            <w:r>
              <w:rPr>
                <w:b w:val="0"/>
                <w:sz w:val="13"/>
              </w:rPr>
              <w:t>D4-CTL-02 — Model File &amp; Artifact Scanning</w:t>
            </w:r>
          </w:p>
        </w:tc>
        <w:tc>
          <w:tcPr>
            <w:tcW w:type="dxa" w:w="1461"/>
            <w:vAlign w:val="center"/>
          </w:tcPr>
          <w:p>
            <w:r/>
            <w:r>
              <w:rPr>
                <w:b w:val="0"/>
                <w:sz w:val="13"/>
              </w:rPr>
              <w:t>Art. 21 — Cybersecurity risk-management measures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The control contributes to an all-hazards cybersecurity risk-management capability, subject to entity and system scope.</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CRO-029-MAP-0037</w:t>
            </w:r>
          </w:p>
        </w:tc>
        <w:tc>
          <w:tcPr>
            <w:tcW w:type="dxa" w:w="1461"/>
            <w:vAlign w:val="center"/>
          </w:tcPr>
          <w:p>
            <w:r/>
            <w:r>
              <w:rPr>
                <w:b w:val="0"/>
                <w:sz w:val="13"/>
              </w:rPr>
              <w:t>D4-CTL-03 — Model Hub &amp; Registry Vetting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CRO-029-MAP-0038</w:t>
            </w:r>
          </w:p>
        </w:tc>
        <w:tc>
          <w:tcPr>
            <w:tcW w:type="dxa" w:w="1461"/>
            <w:vAlign w:val="center"/>
          </w:tcPr>
          <w:p>
            <w:r/>
            <w:r>
              <w:rPr>
                <w:b w:val="0"/>
                <w:sz w:val="13"/>
              </w:rPr>
              <w:t>D4-CTL-03 — Model Hub &amp; Registry Vetting</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CRO-029-MAP-0039</w:t>
            </w:r>
          </w:p>
        </w:tc>
        <w:tc>
          <w:tcPr>
            <w:tcW w:type="dxa" w:w="1461"/>
            <w:vAlign w:val="center"/>
          </w:tcPr>
          <w:p>
            <w:r/>
            <w:r>
              <w:rPr>
                <w:b w:val="0"/>
                <w:sz w:val="13"/>
              </w:rPr>
              <w:t>D4-CTL-03 — Model Hub &amp; Registry Vetting</w:t>
            </w:r>
          </w:p>
        </w:tc>
        <w:tc>
          <w:tcPr>
            <w:tcW w:type="dxa" w:w="1461"/>
            <w:vAlign w:val="center"/>
          </w:tcPr>
          <w:p>
            <w:r/>
            <w:r>
              <w:rPr>
                <w:b w:val="0"/>
                <w:sz w:val="13"/>
              </w:rPr>
              <w:t>Art. 19 — Union-level coordinated security risk assessments of critical supply chains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Provides entity-level evidence relevant to critical supply-chain risk analysis.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CRO-029-MAP-0040</w:t>
            </w:r>
          </w:p>
        </w:tc>
        <w:tc>
          <w:tcPr>
            <w:tcW w:type="dxa" w:w="1461"/>
            <w:vAlign w:val="center"/>
          </w:tcPr>
          <w:p>
            <w:r/>
            <w:r>
              <w:rPr>
                <w:b w:val="0"/>
                <w:sz w:val="13"/>
              </w:rPr>
              <w:t>D4-CTL-04 — Mcp Server Behavioral Monitoring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CRO-029-MAP-0041</w:t>
            </w:r>
          </w:p>
        </w:tc>
        <w:tc>
          <w:tcPr>
            <w:tcW w:type="dxa" w:w="1461"/>
            <w:vAlign w:val="center"/>
          </w:tcPr>
          <w:p>
            <w:r/>
            <w:r>
              <w:rPr>
                <w:b w:val="0"/>
                <w:sz w:val="13"/>
              </w:rPr>
              <w:t>D4-CTL-04 — Mcp Server Behavioral Monitoring</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CRO-029-MAP-0042</w:t>
            </w:r>
          </w:p>
        </w:tc>
        <w:tc>
          <w:tcPr>
            <w:tcW w:type="dxa" w:w="1461"/>
            <w:vAlign w:val="center"/>
          </w:tcPr>
          <w:p>
            <w:r/>
            <w:r>
              <w:rPr>
                <w:b w:val="0"/>
                <w:sz w:val="13"/>
              </w:rPr>
              <w:t>D4-CTL-05 — Third-Party Ai Api Security Assessment</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CRO-029-MAP-0043</w:t>
            </w:r>
          </w:p>
        </w:tc>
        <w:tc>
          <w:tcPr>
            <w:tcW w:type="dxa" w:w="1461"/>
            <w:vAlign w:val="center"/>
          </w:tcPr>
          <w:p>
            <w:r/>
            <w:r>
              <w:rPr>
                <w:b w:val="0"/>
                <w:sz w:val="13"/>
              </w:rPr>
              <w:t>D4-CTL-05 — Third-Party Ai Api Security Assessment</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CRO-029-MAP-0044</w:t>
            </w:r>
          </w:p>
        </w:tc>
        <w:tc>
          <w:tcPr>
            <w:tcW w:type="dxa" w:w="1461"/>
            <w:vAlign w:val="center"/>
          </w:tcPr>
          <w:p>
            <w:r/>
            <w:r>
              <w:rPr>
                <w:b w:val="0"/>
                <w:sz w:val="13"/>
              </w:rPr>
              <w:t>D4-CTL-05 — Third-Party Ai Api Security Assessment</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CRO-029-MAP-0045</w:t>
            </w:r>
          </w:p>
        </w:tc>
        <w:tc>
          <w:tcPr>
            <w:tcW w:type="dxa" w:w="1461"/>
            <w:vAlign w:val="center"/>
          </w:tcPr>
          <w:p>
            <w:r/>
            <w:r>
              <w:rPr>
                <w:b w:val="0"/>
                <w:sz w:val="13"/>
              </w:rPr>
              <w:t>D4-CTL-05 — Third-Party Ai Api Security Assessment</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CRO-029-MAP-0046</w:t>
            </w:r>
          </w:p>
        </w:tc>
        <w:tc>
          <w:tcPr>
            <w:tcW w:type="dxa" w:w="1461"/>
            <w:vAlign w:val="center"/>
          </w:tcPr>
          <w:p>
            <w:r/>
            <w:r>
              <w:rPr>
                <w:b w:val="0"/>
                <w:sz w:val="13"/>
              </w:rPr>
              <w:t>D4-CTL-06 — Shadow Ai Discovery &amp; Governance</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CRO-029-MAP-0047</w:t>
            </w:r>
          </w:p>
        </w:tc>
        <w:tc>
          <w:tcPr>
            <w:tcW w:type="dxa" w:w="1461"/>
            <w:vAlign w:val="center"/>
          </w:tcPr>
          <w:p>
            <w:r/>
            <w:r>
              <w:rPr>
                <w:b w:val="0"/>
                <w:sz w:val="13"/>
              </w:rPr>
              <w:t>D4-CTL-06 — Shadow Ai Discovery &amp; Governance</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CRO-029-MAP-0048</w:t>
            </w:r>
          </w:p>
        </w:tc>
        <w:tc>
          <w:tcPr>
            <w:tcW w:type="dxa" w:w="1461"/>
            <w:vAlign w:val="center"/>
          </w:tcPr>
          <w:p>
            <w:r/>
            <w:r>
              <w:rPr>
                <w:b w:val="0"/>
                <w:sz w:val="13"/>
              </w:rPr>
              <w:t>D4-CTL-06 — Shadow Ai Discovery &amp; Governance</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CRO-029-MAP-0049</w:t>
            </w:r>
          </w:p>
        </w:tc>
        <w:tc>
          <w:tcPr>
            <w:tcW w:type="dxa" w:w="1461"/>
            <w:vAlign w:val="center"/>
          </w:tcPr>
          <w:p>
            <w:r/>
            <w:r>
              <w:rPr>
                <w:b w:val="0"/>
                <w:sz w:val="13"/>
              </w:rPr>
              <w:t>D4-CTL-06 — Shadow Ai Discovery &amp; Governance</w:t>
            </w:r>
          </w:p>
        </w:tc>
        <w:tc>
          <w:tcPr>
            <w:tcW w:type="dxa" w:w="1461"/>
            <w:vAlign w:val="center"/>
          </w:tcPr>
          <w:p>
            <w:r/>
            <w:r>
              <w:rPr>
                <w:b w:val="0"/>
                <w:sz w:val="13"/>
              </w:rPr>
              <w:t>Art. 33 — Supervisory and enforcement measures in relation to important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CRO-029-MAP-0050</w:t>
            </w:r>
          </w:p>
        </w:tc>
        <w:tc>
          <w:tcPr>
            <w:tcW w:type="dxa" w:w="1461"/>
            <w:vAlign w:val="center"/>
          </w:tcPr>
          <w:p>
            <w:r/>
            <w:r>
              <w:rPr>
                <w:b w:val="0"/>
                <w:sz w:val="13"/>
              </w:rPr>
              <w:t>D4-CTL-07 — Ai Software Composition Analysis (Sca)</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CRO-029-MAP-0051</w:t>
            </w:r>
          </w:p>
        </w:tc>
        <w:tc>
          <w:tcPr>
            <w:tcW w:type="dxa" w:w="1461"/>
            <w:vAlign w:val="center"/>
          </w:tcPr>
          <w:p>
            <w:r/>
            <w:r>
              <w:rPr>
                <w:b w:val="0"/>
                <w:sz w:val="13"/>
              </w:rPr>
              <w:t>D4-CTL-07 — Ai Software Composition Analysis (Sca)</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CRO-029-MAP-0052</w:t>
            </w:r>
          </w:p>
        </w:tc>
        <w:tc>
          <w:tcPr>
            <w:tcW w:type="dxa" w:w="1461"/>
            <w:vAlign w:val="center"/>
          </w:tcPr>
          <w:p>
            <w:r/>
            <w:r>
              <w:rPr>
                <w:b w:val="0"/>
                <w:sz w:val="13"/>
              </w:rPr>
              <w:t>D5-CTL-01 — Harmful Content Blocking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CRO-029-MAP-0053</w:t>
            </w:r>
          </w:p>
        </w:tc>
        <w:tc>
          <w:tcPr>
            <w:tcW w:type="dxa" w:w="1461"/>
            <w:vAlign w:val="center"/>
          </w:tcPr>
          <w:p>
            <w:r/>
            <w:r>
              <w:rPr>
                <w:b w:val="0"/>
                <w:sz w:val="13"/>
              </w:rPr>
              <w:t>D5-CTL-02 — Pii Leakage Prevention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CRO-029-MAP-0054</w:t>
            </w:r>
          </w:p>
        </w:tc>
        <w:tc>
          <w:tcPr>
            <w:tcW w:type="dxa" w:w="1461"/>
            <w:vAlign w:val="center"/>
          </w:tcPr>
          <w:p>
            <w:r/>
            <w:r>
              <w:rPr>
                <w:b w:val="0"/>
                <w:sz w:val="13"/>
              </w:rPr>
              <w:t>D5-CTL-03 — Copyright Detection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CRO-029-MAP-0055</w:t>
            </w:r>
          </w:p>
        </w:tc>
        <w:tc>
          <w:tcPr>
            <w:tcW w:type="dxa" w:w="1461"/>
            <w:vAlign w:val="center"/>
          </w:tcPr>
          <w:p>
            <w:r/>
            <w:r>
              <w:rPr>
                <w:b w:val="0"/>
                <w:sz w:val="13"/>
              </w:rPr>
              <w:t>D5-CTL-04 — Ai Watermarking Robustness</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CRO-029-MAP-0056</w:t>
            </w:r>
          </w:p>
        </w:tc>
        <w:tc>
          <w:tcPr>
            <w:tcW w:type="dxa" w:w="1461"/>
            <w:vAlign w:val="center"/>
          </w:tcPr>
          <w:p>
            <w:r/>
            <w:r>
              <w:rPr>
                <w:b w:val="0"/>
                <w:sz w:val="13"/>
              </w:rPr>
              <w:t>D5-CTL-05 — Privacy-By-Design Verification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CRO-029-MAP-0057</w:t>
            </w:r>
          </w:p>
        </w:tc>
        <w:tc>
          <w:tcPr>
            <w:tcW w:type="dxa" w:w="1461"/>
            <w:vAlign w:val="center"/>
          </w:tcPr>
          <w:p>
            <w:r/>
            <w:r>
              <w:rPr>
                <w:b w:val="0"/>
                <w:sz w:val="13"/>
              </w:rPr>
              <w:t>D5-CTL-06 — Privacy-Preserving Ml Validation</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CRO-029-MAP-0058</w:t>
            </w:r>
          </w:p>
        </w:tc>
        <w:tc>
          <w:tcPr>
            <w:tcW w:type="dxa" w:w="1461"/>
            <w:vAlign w:val="center"/>
          </w:tcPr>
          <w:p>
            <w:r/>
            <w:r>
              <w:rPr>
                <w:b w:val="0"/>
                <w:sz w:val="13"/>
              </w:rPr>
              <w:t>D5-CTL-06 — Privacy-Preserving Ml Validation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CRO-029-MAP-0059</w:t>
            </w:r>
          </w:p>
        </w:tc>
        <w:tc>
          <w:tcPr>
            <w:tcW w:type="dxa" w:w="1461"/>
            <w:vAlign w:val="center"/>
          </w:tcPr>
          <w:p>
            <w:r/>
            <w:r>
              <w:rPr>
                <w:b w:val="0"/>
                <w:sz w:val="13"/>
              </w:rPr>
              <w:t>D5-CTL-06 — Privacy-Preserving Ml Validation</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CRO-029-MAP-0060</w:t>
            </w:r>
          </w:p>
        </w:tc>
        <w:tc>
          <w:tcPr>
            <w:tcW w:type="dxa" w:w="1461"/>
            <w:vAlign w:val="center"/>
          </w:tcPr>
          <w:p>
            <w:r/>
            <w:r>
              <w:rPr>
                <w:b w:val="0"/>
                <w:sz w:val="13"/>
              </w:rPr>
              <w:t>D5-CTL-06 — Privacy-Preserving Ml Validation</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CRO-029-MAP-0061</w:t>
            </w:r>
          </w:p>
        </w:tc>
        <w:tc>
          <w:tcPr>
            <w:tcW w:type="dxa" w:w="1461"/>
            <w:vAlign w:val="center"/>
          </w:tcPr>
          <w:p>
            <w:r/>
            <w:r>
              <w:rPr>
                <w:b w:val="0"/>
                <w:sz w:val="13"/>
              </w:rPr>
              <w:t>D6-CTL-01 — Human-In-The-Loop For High-Risk Actions</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CRO-029-MAP-0062</w:t>
            </w:r>
          </w:p>
        </w:tc>
        <w:tc>
          <w:tcPr>
            <w:tcW w:type="dxa" w:w="1461"/>
            <w:vAlign w:val="center"/>
          </w:tcPr>
          <w:p>
            <w:r/>
            <w:r>
              <w:rPr>
                <w:b w:val="0"/>
                <w:sz w:val="13"/>
              </w:rPr>
              <w:t>D6-CTL-02 — Audit Trail Completeness</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CRO-029-MAP-0063</w:t>
            </w:r>
          </w:p>
        </w:tc>
        <w:tc>
          <w:tcPr>
            <w:tcW w:type="dxa" w:w="1461"/>
            <w:vAlign w:val="center"/>
          </w:tcPr>
          <w:p>
            <w:r/>
            <w:r>
              <w:rPr>
                <w:b w:val="0"/>
                <w:sz w:val="13"/>
              </w:rPr>
              <w:t>D6-CTL-02 — Audit Trail Completeness</w:t>
            </w:r>
          </w:p>
        </w:tc>
        <w:tc>
          <w:tcPr>
            <w:tcW w:type="dxa" w:w="1461"/>
            <w:vAlign w:val="center"/>
          </w:tcPr>
          <w:p>
            <w:r/>
            <w:r>
              <w:rPr>
                <w:b w:val="0"/>
                <w:sz w:val="13"/>
              </w:rPr>
              <w:t>Art. 23 — Reporting obligations</w:t>
            </w:r>
          </w:p>
        </w:tc>
        <w:tc>
          <w:tcPr>
            <w:tcW w:type="dxa" w:w="1461"/>
            <w:vAlign w:val="center"/>
          </w:tcPr>
          <w:p>
            <w:r/>
            <w:r>
              <w:rPr>
                <w:b w:val="0"/>
                <w:sz w:val="13"/>
              </w:rPr>
              <w:t>P</w:t>
            </w:r>
          </w:p>
        </w:tc>
        <w:tc>
          <w:tcPr>
            <w:tcW w:type="dxa" w:w="1461"/>
            <w:vAlign w:val="center"/>
          </w:tcPr>
          <w:p>
            <w:r/>
            <w:r>
              <w:rPr>
                <w:b w:val="0"/>
                <w:sz w:val="13"/>
              </w:rPr>
              <w:t>High</w:t>
            </w:r>
          </w:p>
        </w:tc>
        <w:tc>
          <w:tcPr>
            <w:tcW w:type="dxa" w:w="1461"/>
            <w:vAlign w:val="center"/>
          </w:tcPr>
          <w:p>
            <w:r/>
            <w:r>
              <w:rPr>
                <w:b w:val="0"/>
                <w:sz w:val="13"/>
              </w:rPr>
              <w:t>Supports incident detection, evidence capture, escalation and reporting workflows, but does not by itself satisfy statutory notification timing and content.</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CRO-029-MAP-0064</w:t>
            </w:r>
          </w:p>
        </w:tc>
        <w:tc>
          <w:tcPr>
            <w:tcW w:type="dxa" w:w="1461"/>
            <w:vAlign w:val="center"/>
          </w:tcPr>
          <w:p>
            <w:r/>
            <w:r>
              <w:rPr>
                <w:b w:val="0"/>
                <w:sz w:val="13"/>
              </w:rPr>
              <w:t>D6-CTL-02 — Audit Trail Completeness</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CRO-029-MAP-0065</w:t>
            </w:r>
          </w:p>
        </w:tc>
        <w:tc>
          <w:tcPr>
            <w:tcW w:type="dxa" w:w="1461"/>
            <w:vAlign w:val="center"/>
          </w:tcPr>
          <w:p>
            <w:r/>
            <w:r>
              <w:rPr>
                <w:b w:val="0"/>
                <w:sz w:val="13"/>
              </w:rPr>
              <w:t>D6-CTL-02 — Audit Trail Completeness</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CRO-029-MAP-0066</w:t>
            </w:r>
          </w:p>
        </w:tc>
        <w:tc>
          <w:tcPr>
            <w:tcW w:type="dxa" w:w="1461"/>
            <w:vAlign w:val="center"/>
          </w:tcPr>
          <w:p>
            <w:r/>
            <w:r>
              <w:rPr>
                <w:b w:val="0"/>
                <w:sz w:val="13"/>
              </w:rPr>
              <w:t>D6-CTL-03 — Ai Model Card Completeness</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CRO-029-MAP-0067</w:t>
            </w:r>
          </w:p>
        </w:tc>
        <w:tc>
          <w:tcPr>
            <w:tcW w:type="dxa" w:w="1461"/>
            <w:vAlign w:val="center"/>
          </w:tcPr>
          <w:p>
            <w:r/>
            <w:r>
              <w:rPr>
                <w:b w:val="0"/>
                <w:sz w:val="13"/>
              </w:rPr>
              <w:t>D6-CTL-03 — Ai Model Card Completeness</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CRO-029-MAP-0068</w:t>
            </w:r>
          </w:p>
        </w:tc>
        <w:tc>
          <w:tcPr>
            <w:tcW w:type="dxa" w:w="1461"/>
            <w:vAlign w:val="center"/>
          </w:tcPr>
          <w:p>
            <w:r/>
            <w:r>
              <w:rPr>
                <w:b w:val="0"/>
                <w:sz w:val="13"/>
              </w:rPr>
              <w:t>D6-CTL-03 — Ai Model Card Completeness</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CRO-029-MAP-0069</w:t>
            </w:r>
          </w:p>
        </w:tc>
        <w:tc>
          <w:tcPr>
            <w:tcW w:type="dxa" w:w="1461"/>
            <w:vAlign w:val="center"/>
          </w:tcPr>
          <w:p>
            <w:r/>
            <w:r>
              <w:rPr>
                <w:b w:val="0"/>
                <w:sz w:val="13"/>
              </w:rPr>
              <w:t>D6-CTL-03 — Ai Model Card Completeness</w:t>
            </w:r>
          </w:p>
        </w:tc>
        <w:tc>
          <w:tcPr>
            <w:tcW w:type="dxa" w:w="1461"/>
            <w:vAlign w:val="center"/>
          </w:tcPr>
          <w:p>
            <w:r/>
            <w:r>
              <w:rPr>
                <w:b w:val="0"/>
                <w:sz w:val="13"/>
              </w:rPr>
              <w:t>Art. 33 — Supervisory and enforcement measures in relation to important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CRO-029-MAP-0070</w:t>
            </w:r>
          </w:p>
        </w:tc>
        <w:tc>
          <w:tcPr>
            <w:tcW w:type="dxa" w:w="1461"/>
            <w:vAlign w:val="center"/>
          </w:tcPr>
          <w:p>
            <w:r/>
            <w:r>
              <w:rPr>
                <w:b w:val="0"/>
                <w:sz w:val="13"/>
              </w:rPr>
              <w:t>D6-CTL-04 — Ai Incident Response Readiness</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CRO-029-MAP-0071</w:t>
            </w:r>
          </w:p>
        </w:tc>
        <w:tc>
          <w:tcPr>
            <w:tcW w:type="dxa" w:w="1461"/>
            <w:vAlign w:val="center"/>
          </w:tcPr>
          <w:p>
            <w:r/>
            <w:r>
              <w:rPr>
                <w:b w:val="0"/>
                <w:sz w:val="13"/>
              </w:rPr>
              <w:t>D6-CTL-04 — Ai Incident Response Readiness</w:t>
            </w:r>
          </w:p>
        </w:tc>
        <w:tc>
          <w:tcPr>
            <w:tcW w:type="dxa" w:w="1461"/>
            <w:vAlign w:val="center"/>
          </w:tcPr>
          <w:p>
            <w:r/>
            <w:r>
              <w:rPr>
                <w:b w:val="0"/>
                <w:sz w:val="13"/>
              </w:rPr>
              <w:t>Art. 23 — Reporting obligations</w:t>
            </w:r>
          </w:p>
        </w:tc>
        <w:tc>
          <w:tcPr>
            <w:tcW w:type="dxa" w:w="1461"/>
            <w:vAlign w:val="center"/>
          </w:tcPr>
          <w:p>
            <w:r/>
            <w:r>
              <w:rPr>
                <w:b w:val="0"/>
                <w:sz w:val="13"/>
              </w:rPr>
              <w:t>P</w:t>
            </w:r>
          </w:p>
        </w:tc>
        <w:tc>
          <w:tcPr>
            <w:tcW w:type="dxa" w:w="1461"/>
            <w:vAlign w:val="center"/>
          </w:tcPr>
          <w:p>
            <w:r/>
            <w:r>
              <w:rPr>
                <w:b w:val="0"/>
                <w:sz w:val="13"/>
              </w:rPr>
              <w:t>High</w:t>
            </w:r>
          </w:p>
        </w:tc>
        <w:tc>
          <w:tcPr>
            <w:tcW w:type="dxa" w:w="1461"/>
            <w:vAlign w:val="center"/>
          </w:tcPr>
          <w:p>
            <w:r/>
            <w:r>
              <w:rPr>
                <w:b w:val="0"/>
                <w:sz w:val="13"/>
              </w:rPr>
              <w:t>Supports incident detection, evidence capture, escalation and reporting workflows, but does not by itself satisfy statutory notification timing and content.</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CRO-029-MAP-0072</w:t>
            </w:r>
          </w:p>
        </w:tc>
        <w:tc>
          <w:tcPr>
            <w:tcW w:type="dxa" w:w="1461"/>
            <w:vAlign w:val="center"/>
          </w:tcPr>
          <w:p>
            <w:r/>
            <w:r>
              <w:rPr>
                <w:b w:val="0"/>
                <w:sz w:val="13"/>
              </w:rPr>
              <w:t>D6-CTL-04 — Ai Incident Response Readiness</w:t>
            </w:r>
          </w:p>
        </w:tc>
        <w:tc>
          <w:tcPr>
            <w:tcW w:type="dxa" w:w="1461"/>
            <w:vAlign w:val="center"/>
          </w:tcPr>
          <w:p>
            <w:r/>
            <w:r>
              <w:rPr>
                <w:b w:val="0"/>
                <w:sz w:val="13"/>
              </w:rPr>
              <w:t>Art. 29 — Cybersecurity information-sharing arrangements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CRO-029-MAP-0073</w:t>
            </w:r>
          </w:p>
        </w:tc>
        <w:tc>
          <w:tcPr>
            <w:tcW w:type="dxa" w:w="1461"/>
            <w:vAlign w:val="center"/>
          </w:tcPr>
          <w:p>
            <w:r/>
            <w:r>
              <w:rPr>
                <w:b w:val="0"/>
                <w:sz w:val="13"/>
              </w:rPr>
              <w:t>D6-CTL-04 — Ai Incident Response Readiness</w:t>
            </w:r>
          </w:p>
        </w:tc>
        <w:tc>
          <w:tcPr>
            <w:tcW w:type="dxa" w:w="1461"/>
            <w:vAlign w:val="center"/>
          </w:tcPr>
          <w:p>
            <w:r/>
            <w:r>
              <w:rPr>
                <w:b w:val="0"/>
                <w:sz w:val="13"/>
              </w:rPr>
              <w:t>Art. 30 — Voluntary notification of relevant information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CRO-029-MAP-0074</w:t>
            </w:r>
          </w:p>
        </w:tc>
        <w:tc>
          <w:tcPr>
            <w:tcW w:type="dxa" w:w="1461"/>
            <w:vAlign w:val="center"/>
          </w:tcPr>
          <w:p>
            <w:r/>
            <w:r>
              <w:rPr>
                <w:b w:val="0"/>
                <w:sz w:val="13"/>
              </w:rPr>
              <w:t>D6-CTL-05 — Model Deprecation &amp; Decommissioning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CRO-029-MAP-0075</w:t>
            </w:r>
          </w:p>
        </w:tc>
        <w:tc>
          <w:tcPr>
            <w:tcW w:type="dxa" w:w="1461"/>
            <w:vAlign w:val="center"/>
          </w:tcPr>
          <w:p>
            <w:r/>
            <w:r>
              <w:rPr>
                <w:b w:val="0"/>
                <w:sz w:val="13"/>
              </w:rPr>
              <w:t>D6-CTL-06 — Third-Party Ai Vendor Governance</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CRO-029-MAP-0076</w:t>
            </w:r>
          </w:p>
        </w:tc>
        <w:tc>
          <w:tcPr>
            <w:tcW w:type="dxa" w:w="1461"/>
            <w:vAlign w:val="center"/>
          </w:tcPr>
          <w:p>
            <w:r/>
            <w:r>
              <w:rPr>
                <w:b w:val="0"/>
                <w:sz w:val="13"/>
              </w:rPr>
              <w:t>D6-CTL-06 — Third-Party Ai Vendor Governance</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CRO-029-MAP-0077</w:t>
            </w:r>
          </w:p>
        </w:tc>
        <w:tc>
          <w:tcPr>
            <w:tcW w:type="dxa" w:w="1461"/>
            <w:vAlign w:val="center"/>
          </w:tcPr>
          <w:p>
            <w:r/>
            <w:r>
              <w:rPr>
                <w:b w:val="0"/>
                <w:sz w:val="13"/>
              </w:rPr>
              <w:t>D6-CTL-06 — Third-Party Ai Vendor Governance</w:t>
            </w:r>
          </w:p>
        </w:tc>
        <w:tc>
          <w:tcPr>
            <w:tcW w:type="dxa" w:w="1461"/>
            <w:vAlign w:val="center"/>
          </w:tcPr>
          <w:p>
            <w:r/>
            <w:r>
              <w:rPr>
                <w:b w:val="0"/>
                <w:sz w:val="13"/>
              </w:rPr>
              <w:t>Art. 22 — Coordinated security risk assessments of critical supply chains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supply-chain security, supplier due diligence and risk treatment for ICT products and services.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CRO-029-MAP-0078</w:t>
            </w:r>
          </w:p>
        </w:tc>
        <w:tc>
          <w:tcPr>
            <w:tcW w:type="dxa" w:w="1461"/>
            <w:vAlign w:val="center"/>
          </w:tcPr>
          <w:p>
            <w:r/>
            <w:r>
              <w:rPr>
                <w:b w:val="0"/>
                <w:sz w:val="13"/>
              </w:rPr>
              <w:t>D6-CTL-06 — Third-Party Ai Vendor Governance</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CRO-029-MAP-0079</w:t>
            </w:r>
          </w:p>
        </w:tc>
        <w:tc>
          <w:tcPr>
            <w:tcW w:type="dxa" w:w="1461"/>
            <w:vAlign w:val="center"/>
          </w:tcPr>
          <w:p>
            <w:r/>
            <w:r>
              <w:rPr>
                <w:b w:val="0"/>
                <w:sz w:val="13"/>
              </w:rPr>
              <w:t>D6-CTL-07 — Ai Resilience &amp; Business Continuity</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CRO-029-MAP-0080</w:t>
            </w:r>
          </w:p>
        </w:tc>
        <w:tc>
          <w:tcPr>
            <w:tcW w:type="dxa" w:w="1461"/>
            <w:vAlign w:val="center"/>
          </w:tcPr>
          <w:p>
            <w:r/>
            <w:r>
              <w:rPr>
                <w:b w:val="0"/>
                <w:sz w:val="13"/>
              </w:rPr>
              <w:t>D7-CTL-H01 — Ai-Generated Phishing Simulation</w:t>
            </w:r>
          </w:p>
        </w:tc>
        <w:tc>
          <w:tcPr>
            <w:tcW w:type="dxa" w:w="1461"/>
            <w:vAlign w:val="center"/>
          </w:tcPr>
          <w:p>
            <w:r/>
            <w:r>
              <w:rPr>
                <w:b w:val="0"/>
                <w:sz w:val="13"/>
              </w:rPr>
              <w:t>Art. 29 — Cybersecurity information-sharing arrangements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CRO-029-MAP-0081</w:t>
            </w:r>
          </w:p>
        </w:tc>
        <w:tc>
          <w:tcPr>
            <w:tcW w:type="dxa" w:w="1461"/>
            <w:vAlign w:val="center"/>
          </w:tcPr>
          <w:p>
            <w:r/>
            <w:r>
              <w:rPr>
                <w:b w:val="0"/>
                <w:sz w:val="13"/>
              </w:rPr>
              <w:t>D7-CTL-H01 — Ai-Generated Phishing Simulation</w:t>
            </w:r>
          </w:p>
        </w:tc>
        <w:tc>
          <w:tcPr>
            <w:tcW w:type="dxa" w:w="1461"/>
            <w:vAlign w:val="center"/>
          </w:tcPr>
          <w:p>
            <w:r/>
            <w:r>
              <w:rPr>
                <w:b w:val="0"/>
                <w:sz w:val="13"/>
              </w:rPr>
              <w:t>Art. 30 — Voluntary notification of relevant information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CRO-029-MAP-0082</w:t>
            </w:r>
          </w:p>
        </w:tc>
        <w:tc>
          <w:tcPr>
            <w:tcW w:type="dxa" w:w="1461"/>
            <w:vAlign w:val="center"/>
          </w:tcPr>
          <w:p>
            <w:r/>
            <w:r>
              <w:rPr>
                <w:b w:val="0"/>
                <w:sz w:val="13"/>
              </w:rPr>
              <w:t>D7-CTL-H02 — Deepfake Detection Training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CRO-029-MAP-0083</w:t>
            </w:r>
          </w:p>
        </w:tc>
        <w:tc>
          <w:tcPr>
            <w:tcW w:type="dxa" w:w="1461"/>
            <w:vAlign w:val="center"/>
          </w:tcPr>
          <w:p>
            <w:r/>
            <w:r>
              <w:rPr>
                <w:b w:val="0"/>
                <w:sz w:val="13"/>
              </w:rPr>
              <w:t>D7-CTL-H03 — Out-Of-Band Authentication</w:t>
            </w:r>
          </w:p>
        </w:tc>
        <w:tc>
          <w:tcPr>
            <w:tcW w:type="dxa" w:w="1461"/>
            <w:vAlign w:val="center"/>
          </w:tcPr>
          <w:p>
            <w:r/>
            <w:r>
              <w:rPr>
                <w:b w:val="0"/>
                <w:sz w:val="13"/>
              </w:rPr>
              <w:t>Art. 21 — Cybersecurity risk-management measures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The control contributes to an all-hazards cybersecurity risk-management capability, subject to entity and system scope.</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CRO-029-MAP-0084</w:t>
            </w:r>
          </w:p>
        </w:tc>
        <w:tc>
          <w:tcPr>
            <w:tcW w:type="dxa" w:w="1461"/>
            <w:vAlign w:val="center"/>
          </w:tcPr>
          <w:p>
            <w:r/>
            <w:r>
              <w:rPr>
                <w:b w:val="0"/>
                <w:sz w:val="13"/>
              </w:rPr>
              <w:t>D7-CTL-H04 — Ai Social Engineering Ir</w:t>
            </w:r>
          </w:p>
        </w:tc>
        <w:tc>
          <w:tcPr>
            <w:tcW w:type="dxa" w:w="1461"/>
            <w:vAlign w:val="center"/>
          </w:tcPr>
          <w:p>
            <w:r/>
            <w:r>
              <w:rPr>
                <w:b w:val="0"/>
                <w:sz w:val="13"/>
              </w:rPr>
              <w:t>Art. 23 — Reporting obligations</w:t>
            </w:r>
          </w:p>
        </w:tc>
        <w:tc>
          <w:tcPr>
            <w:tcW w:type="dxa" w:w="1461"/>
            <w:vAlign w:val="center"/>
          </w:tcPr>
          <w:p>
            <w:r/>
            <w:r>
              <w:rPr>
                <w:b w:val="0"/>
                <w:sz w:val="13"/>
              </w:rPr>
              <w:t>P</w:t>
            </w:r>
          </w:p>
        </w:tc>
        <w:tc>
          <w:tcPr>
            <w:tcW w:type="dxa" w:w="1461"/>
            <w:vAlign w:val="center"/>
          </w:tcPr>
          <w:p>
            <w:r/>
            <w:r>
              <w:rPr>
                <w:b w:val="0"/>
                <w:sz w:val="13"/>
              </w:rPr>
              <w:t>High</w:t>
            </w:r>
          </w:p>
        </w:tc>
        <w:tc>
          <w:tcPr>
            <w:tcW w:type="dxa" w:w="1461"/>
            <w:vAlign w:val="center"/>
          </w:tcPr>
          <w:p>
            <w:r/>
            <w:r>
              <w:rPr>
                <w:b w:val="0"/>
                <w:sz w:val="13"/>
              </w:rPr>
              <w:t>Supports incident detection, evidence capture, escalation and reporting workflows, but does not by itself satisfy statutory notification timing and content.</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CRO-029-MAP-0085</w:t>
            </w:r>
          </w:p>
        </w:tc>
        <w:tc>
          <w:tcPr>
            <w:tcW w:type="dxa" w:w="1461"/>
            <w:vAlign w:val="center"/>
          </w:tcPr>
          <w:p>
            <w:r/>
            <w:r>
              <w:rPr>
                <w:b w:val="0"/>
                <w:sz w:val="13"/>
              </w:rPr>
              <w:t>D7-CTL-H05 — Ai-Enhanced External Attack Defense</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CRO-029-MAP-0086</w:t>
            </w:r>
          </w:p>
        </w:tc>
        <w:tc>
          <w:tcPr>
            <w:tcW w:type="dxa" w:w="1461"/>
            <w:vAlign w:val="center"/>
          </w:tcPr>
          <w:p>
            <w:r/>
            <w:r>
              <w:rPr>
                <w:b w:val="0"/>
                <w:sz w:val="13"/>
              </w:rPr>
              <w:t>D7-CTL-H05 — Ai-Enhanced External Attack Defense</w:t>
            </w:r>
          </w:p>
        </w:tc>
        <w:tc>
          <w:tcPr>
            <w:tcW w:type="dxa" w:w="1461"/>
            <w:vAlign w:val="center"/>
          </w:tcPr>
          <w:p>
            <w:r/>
            <w:r>
              <w:rPr>
                <w:b w:val="0"/>
                <w:sz w:val="13"/>
              </w:rPr>
              <w:t>Art. 24 — Use of European cybersecurity certification schemes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CRO-029-MAP-0087</w:t>
            </w:r>
          </w:p>
        </w:tc>
        <w:tc>
          <w:tcPr>
            <w:tcW w:type="dxa" w:w="1461"/>
            <w:vAlign w:val="center"/>
          </w:tcPr>
          <w:p>
            <w:r/>
            <w:r>
              <w:rPr>
                <w:b w:val="0"/>
                <w:sz w:val="13"/>
              </w:rPr>
              <w:t>D7-CTL-H05 — Ai-Enhanced External Attack Defense</w:t>
            </w:r>
          </w:p>
        </w:tc>
        <w:tc>
          <w:tcPr>
            <w:tcW w:type="dxa" w:w="1461"/>
            <w:vAlign w:val="center"/>
          </w:tcPr>
          <w:p>
            <w:r/>
            <w:r>
              <w:rPr>
                <w:b w:val="0"/>
                <w:sz w:val="13"/>
              </w:rPr>
              <w:t>Art. 25 — Standardisation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CRO-029-MAP-0088</w:t>
            </w:r>
          </w:p>
        </w:tc>
        <w:tc>
          <w:tcPr>
            <w:tcW w:type="dxa" w:w="1461"/>
            <w:vAlign w:val="center"/>
          </w:tcPr>
          <w:p>
            <w:r/>
            <w:r>
              <w:rPr>
                <w:b w:val="0"/>
                <w:sz w:val="13"/>
              </w:rPr>
              <w:t>D7-CTL-H05 — Ai-Enhanced External Attack Defense</w:t>
            </w:r>
          </w:p>
        </w:tc>
        <w:tc>
          <w:tcPr>
            <w:tcW w:type="dxa" w:w="1461"/>
            <w:vAlign w:val="center"/>
          </w:tcPr>
          <w:p>
            <w:r/>
            <w:r>
              <w:rPr>
                <w:b w:val="0"/>
                <w:sz w:val="13"/>
              </w:rPr>
              <w:t>Art. 29 — Cybersecurity information-sharing arrangements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CRO-029-MAP-0089</w:t>
            </w:r>
          </w:p>
        </w:tc>
        <w:tc>
          <w:tcPr>
            <w:tcW w:type="dxa" w:w="1461"/>
            <w:vAlign w:val="center"/>
          </w:tcPr>
          <w:p>
            <w:r/>
            <w:r>
              <w:rPr>
                <w:b w:val="0"/>
                <w:sz w:val="13"/>
              </w:rPr>
              <w:t>D8-CTL-01 — Eu Ai Act Risk Tier Mapping</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CRO-029-MAP-0090</w:t>
            </w:r>
          </w:p>
        </w:tc>
        <w:tc>
          <w:tcPr>
            <w:tcW w:type="dxa" w:w="1461"/>
            <w:vAlign w:val="center"/>
          </w:tcPr>
          <w:p>
            <w:r/>
            <w:r>
              <w:rPr>
                <w:b w:val="0"/>
                <w:sz w:val="13"/>
              </w:rPr>
              <w:t>D8-CTL-01 — Eu Ai Act Risk Tier Mapping</w:t>
            </w:r>
          </w:p>
        </w:tc>
        <w:tc>
          <w:tcPr>
            <w:tcW w:type="dxa" w:w="1461"/>
            <w:vAlign w:val="center"/>
          </w:tcPr>
          <w:p>
            <w:r/>
            <w:r>
              <w:rPr>
                <w:b w:val="0"/>
                <w:sz w:val="13"/>
              </w:rPr>
              <w:t>Art. 7 — National cybersecurity strategy</w:t>
            </w:r>
          </w:p>
        </w:tc>
        <w:tc>
          <w:tcPr>
            <w:tcW w:type="dxa" w:w="1461"/>
            <w:vAlign w:val="center"/>
          </w:tcPr>
          <w:p>
            <w:r/>
            <w:r>
              <w:rPr>
                <w:b w:val="0"/>
                <w:sz w:val="13"/>
              </w:rPr>
              <w:t>C</w:t>
            </w:r>
          </w:p>
        </w:tc>
        <w:tc>
          <w:tcPr>
            <w:tcW w:type="dxa" w:w="1461"/>
            <w:vAlign w:val="center"/>
          </w:tcPr>
          <w:p>
            <w:r/>
            <w:r>
              <w:rPr>
                <w:b w:val="0"/>
                <w:sz w:val="13"/>
              </w:rPr>
              <w:t>Low</w:t>
            </w:r>
          </w:p>
        </w:tc>
        <w:tc>
          <w:tcPr>
            <w:tcW w:type="dxa" w:w="1461"/>
            <w:vAlign w:val="center"/>
          </w:tcPr>
          <w:p>
            <w:r/>
            <w:r>
              <w:rPr>
                <w:b w:val="0"/>
                <w:sz w:val="13"/>
              </w:rPr>
              <w:t>Can inform organisational alignment with national cybersecurity strategies but does not implement Member State duties.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CRO-029-MAP-0091</w:t>
            </w:r>
          </w:p>
        </w:tc>
        <w:tc>
          <w:tcPr>
            <w:tcW w:type="dxa" w:w="1461"/>
            <w:vAlign w:val="center"/>
          </w:tcPr>
          <w:p>
            <w:r/>
            <w:r>
              <w:rPr>
                <w:b w:val="0"/>
                <w:sz w:val="13"/>
              </w:rPr>
              <w:t>D8-CTL-02 — Iso 42001 Gap Analysis</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CRO-029-MAP-0092</w:t>
            </w:r>
          </w:p>
        </w:tc>
        <w:tc>
          <w:tcPr>
            <w:tcW w:type="dxa" w:w="1461"/>
            <w:vAlign w:val="center"/>
          </w:tcPr>
          <w:p>
            <w:r/>
            <w:r>
              <w:rPr>
                <w:b w:val="0"/>
                <w:sz w:val="13"/>
              </w:rPr>
              <w:t>D8-CTL-02 — Iso 42001 Gap Analysis</w:t>
            </w:r>
          </w:p>
        </w:tc>
        <w:tc>
          <w:tcPr>
            <w:tcW w:type="dxa" w:w="1461"/>
            <w:vAlign w:val="center"/>
          </w:tcPr>
          <w:p>
            <w:r/>
            <w:r>
              <w:rPr>
                <w:b w:val="0"/>
                <w:sz w:val="13"/>
              </w:rPr>
              <w:t>Art. 24 — Use of European cybersecurity certification schemes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CRO-029-MAP-0093</w:t>
            </w:r>
          </w:p>
        </w:tc>
        <w:tc>
          <w:tcPr>
            <w:tcW w:type="dxa" w:w="1461"/>
            <w:vAlign w:val="center"/>
          </w:tcPr>
          <w:p>
            <w:r/>
            <w:r>
              <w:rPr>
                <w:b w:val="0"/>
                <w:sz w:val="13"/>
              </w:rPr>
              <w:t>D8-CTL-02 — Iso 42001 Gap Analysis</w:t>
            </w:r>
          </w:p>
        </w:tc>
        <w:tc>
          <w:tcPr>
            <w:tcW w:type="dxa" w:w="1461"/>
            <w:vAlign w:val="center"/>
          </w:tcPr>
          <w:p>
            <w:r/>
            <w:r>
              <w:rPr>
                <w:b w:val="0"/>
                <w:sz w:val="13"/>
              </w:rPr>
              <w:t>Art. 25 — Standardisation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CRO-029-MAP-0094</w:t>
            </w:r>
          </w:p>
        </w:tc>
        <w:tc>
          <w:tcPr>
            <w:tcW w:type="dxa" w:w="1461"/>
            <w:vAlign w:val="center"/>
          </w:tcPr>
          <w:p>
            <w:r/>
            <w:r>
              <w:rPr>
                <w:b w:val="0"/>
                <w:sz w:val="13"/>
              </w:rPr>
              <w:t>D8-CTL-02 — Iso 42001 Gap Analysis</w:t>
            </w:r>
          </w:p>
        </w:tc>
        <w:tc>
          <w:tcPr>
            <w:tcW w:type="dxa" w:w="1461"/>
            <w:vAlign w:val="center"/>
          </w:tcPr>
          <w:p>
            <w:r/>
            <w:r>
              <w:rPr>
                <w:b w:val="0"/>
                <w:sz w:val="13"/>
              </w:rPr>
              <w:t>Art. 7 — National cybersecurity strategy</w:t>
            </w:r>
          </w:p>
        </w:tc>
        <w:tc>
          <w:tcPr>
            <w:tcW w:type="dxa" w:w="1461"/>
            <w:vAlign w:val="center"/>
          </w:tcPr>
          <w:p>
            <w:r/>
            <w:r>
              <w:rPr>
                <w:b w:val="0"/>
                <w:sz w:val="13"/>
              </w:rPr>
              <w:t>C</w:t>
            </w:r>
          </w:p>
        </w:tc>
        <w:tc>
          <w:tcPr>
            <w:tcW w:type="dxa" w:w="1461"/>
            <w:vAlign w:val="center"/>
          </w:tcPr>
          <w:p>
            <w:r/>
            <w:r>
              <w:rPr>
                <w:b w:val="0"/>
                <w:sz w:val="13"/>
              </w:rPr>
              <w:t>Low</w:t>
            </w:r>
          </w:p>
        </w:tc>
        <w:tc>
          <w:tcPr>
            <w:tcW w:type="dxa" w:w="1461"/>
            <w:vAlign w:val="center"/>
          </w:tcPr>
          <w:p>
            <w:r/>
            <w:r>
              <w:rPr>
                <w:b w:val="0"/>
                <w:sz w:val="13"/>
              </w:rPr>
              <w:t>Can inform organisational alignment with national cybersecurity strategies but does not implement Member State duties.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CRO-029-MAP-0095</w:t>
            </w:r>
          </w:p>
        </w:tc>
        <w:tc>
          <w:tcPr>
            <w:tcW w:type="dxa" w:w="1461"/>
            <w:vAlign w:val="center"/>
          </w:tcPr>
          <w:p>
            <w:r/>
            <w:r>
              <w:rPr>
                <w:b w:val="0"/>
                <w:sz w:val="13"/>
              </w:rPr>
              <w:t>D8-CTL-03 — Gpai Technical Documentation Verification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CRO-029-MAP-0096</w:t>
            </w:r>
          </w:p>
        </w:tc>
        <w:tc>
          <w:tcPr>
            <w:tcW w:type="dxa" w:w="1461"/>
            <w:vAlign w:val="center"/>
          </w:tcPr>
          <w:p>
            <w:r/>
            <w:r>
              <w:rPr>
                <w:b w:val="0"/>
                <w:sz w:val="13"/>
              </w:rPr>
              <w:t>D8-CTL-03 — Gpai Technical Documentation Verification</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CRO-029-MAP-0097</w:t>
            </w:r>
          </w:p>
        </w:tc>
        <w:tc>
          <w:tcPr>
            <w:tcW w:type="dxa" w:w="1461"/>
            <w:vAlign w:val="center"/>
          </w:tcPr>
          <w:p>
            <w:r/>
            <w:r>
              <w:rPr>
                <w:b w:val="0"/>
                <w:sz w:val="13"/>
              </w:rPr>
              <w:t>D8-CTL-03 — Gpai Technical Documentation Verification</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CRO-029-MAP-0098</w:t>
            </w:r>
          </w:p>
        </w:tc>
        <w:tc>
          <w:tcPr>
            <w:tcW w:type="dxa" w:w="1461"/>
            <w:vAlign w:val="center"/>
          </w:tcPr>
          <w:p>
            <w:r/>
            <w:r>
              <w:rPr>
                <w:b w:val="0"/>
                <w:sz w:val="13"/>
              </w:rPr>
              <w:t>D8-CTL-03 — Gpai Technical Documentation Verification</w:t>
            </w:r>
          </w:p>
        </w:tc>
        <w:tc>
          <w:tcPr>
            <w:tcW w:type="dxa" w:w="1461"/>
            <w:vAlign w:val="center"/>
          </w:tcPr>
          <w:p>
            <w:r/>
            <w:r>
              <w:rPr>
                <w:b w:val="0"/>
                <w:sz w:val="13"/>
              </w:rPr>
              <w:t>Art. 33 — Supervisory and enforcement measures in relation to important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CRO-029-MAP-0099</w:t>
            </w:r>
          </w:p>
        </w:tc>
        <w:tc>
          <w:tcPr>
            <w:tcW w:type="dxa" w:w="1461"/>
            <w:vAlign w:val="center"/>
          </w:tcPr>
          <w:p>
            <w:r/>
            <w:r>
              <w:rPr>
                <w:b w:val="0"/>
                <w:sz w:val="13"/>
              </w:rPr>
              <w:t>D8-CTL-04 — Dora Ict Incident Reporting (Financial Sector)</w:t>
            </w:r>
          </w:p>
        </w:tc>
        <w:tc>
          <w:tcPr>
            <w:tcW w:type="dxa" w:w="1461"/>
            <w:vAlign w:val="center"/>
          </w:tcPr>
          <w:p>
            <w:r/>
            <w:r>
              <w:rPr>
                <w:b w:val="0"/>
                <w:sz w:val="13"/>
              </w:rPr>
              <w:t>Art. 23 — Reporting obligations</w:t>
            </w:r>
          </w:p>
        </w:tc>
        <w:tc>
          <w:tcPr>
            <w:tcW w:type="dxa" w:w="1461"/>
            <w:vAlign w:val="center"/>
          </w:tcPr>
          <w:p>
            <w:r/>
            <w:r>
              <w:rPr>
                <w:b w:val="0"/>
                <w:sz w:val="13"/>
              </w:rPr>
              <w:t>P</w:t>
            </w:r>
          </w:p>
        </w:tc>
        <w:tc>
          <w:tcPr>
            <w:tcW w:type="dxa" w:w="1461"/>
            <w:vAlign w:val="center"/>
          </w:tcPr>
          <w:p>
            <w:r/>
            <w:r>
              <w:rPr>
                <w:b w:val="0"/>
                <w:sz w:val="13"/>
              </w:rPr>
              <w:t>High</w:t>
            </w:r>
          </w:p>
        </w:tc>
        <w:tc>
          <w:tcPr>
            <w:tcW w:type="dxa" w:w="1461"/>
            <w:vAlign w:val="center"/>
          </w:tcPr>
          <w:p>
            <w:r/>
            <w:r>
              <w:rPr>
                <w:b w:val="0"/>
                <w:sz w:val="13"/>
              </w:rPr>
              <w:t>Supports incident detection, evidence capture, escalation and reporting workflows, but does not by itself satisfy statutory notification timing and content.</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CRO-029-MAP-0100</w:t>
            </w:r>
          </w:p>
        </w:tc>
        <w:tc>
          <w:tcPr>
            <w:tcW w:type="dxa" w:w="1461"/>
            <w:vAlign w:val="center"/>
          </w:tcPr>
          <w:p>
            <w:r/>
            <w:r>
              <w:rPr>
                <w:b w:val="0"/>
                <w:sz w:val="13"/>
              </w:rPr>
              <w:t>D8-CTL-05 — Nist Sp 800-218A Compliance Check</w:t>
            </w:r>
          </w:p>
        </w:tc>
        <w:tc>
          <w:tcPr>
            <w:tcW w:type="dxa" w:w="1461"/>
            <w:vAlign w:val="center"/>
          </w:tcPr>
          <w:p>
            <w:r/>
            <w:r>
              <w:rPr>
                <w:b w:val="0"/>
                <w:sz w:val="13"/>
              </w:rPr>
              <w:t>Art. 20 — Governance</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Supports management oversight, accountability and documented approval of cybersecurity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CRO-029-MAP-0101</w:t>
            </w:r>
          </w:p>
        </w:tc>
        <w:tc>
          <w:tcPr>
            <w:tcW w:type="dxa" w:w="1461"/>
            <w:vAlign w:val="center"/>
          </w:tcPr>
          <w:p>
            <w:r/>
            <w:r>
              <w:rPr>
                <w:b w:val="0"/>
                <w:sz w:val="13"/>
              </w:rPr>
              <w:t>D8-CTL-05 — Nist Sp 800-218A Compliance Check</w:t>
            </w:r>
          </w:p>
        </w:tc>
        <w:tc>
          <w:tcPr>
            <w:tcW w:type="dxa" w:w="1461"/>
            <w:vAlign w:val="center"/>
          </w:tcPr>
          <w:p>
            <w:r/>
            <w:r>
              <w:rPr>
                <w:b w:val="0"/>
                <w:sz w:val="13"/>
              </w:rPr>
              <w:t>Art. 24 — Use of European cybersecurity certification schemes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CRO-029-MAP-0102</w:t>
            </w:r>
          </w:p>
        </w:tc>
        <w:tc>
          <w:tcPr>
            <w:tcW w:type="dxa" w:w="1461"/>
            <w:vAlign w:val="center"/>
          </w:tcPr>
          <w:p>
            <w:r/>
            <w:r>
              <w:rPr>
                <w:b w:val="0"/>
                <w:sz w:val="13"/>
              </w:rPr>
              <w:t>D8-CTL-05 — Nist Sp 800-218A Compliance Check</w:t>
            </w:r>
          </w:p>
        </w:tc>
        <w:tc>
          <w:tcPr>
            <w:tcW w:type="dxa" w:w="1461"/>
            <w:vAlign w:val="center"/>
          </w:tcPr>
          <w:p>
            <w:r/>
            <w:r>
              <w:rPr>
                <w:b w:val="0"/>
                <w:sz w:val="13"/>
              </w:rPr>
              <w:t>Art. 25 — Standardisation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May support use of certification, standards and technical specifications contemplated by NIS2.</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CRO-029-MAP-0103</w:t>
            </w:r>
          </w:p>
        </w:tc>
        <w:tc>
          <w:tcPr>
            <w:tcW w:type="dxa" w:w="1461"/>
            <w:vAlign w:val="center"/>
          </w:tcPr>
          <w:p>
            <w:r/>
            <w:r>
              <w:rPr>
                <w:b w:val="0"/>
                <w:sz w:val="13"/>
              </w:rPr>
              <w:t>D8-CTL-05 — Nist Sp 800-218A Compliance Check</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CRO-029-MAP-0104</w:t>
            </w:r>
          </w:p>
        </w:tc>
        <w:tc>
          <w:tcPr>
            <w:tcW w:type="dxa" w:w="1461"/>
            <w:vAlign w:val="center"/>
          </w:tcPr>
          <w:p>
            <w:r/>
            <w:r>
              <w:rPr>
                <w:b w:val="0"/>
                <w:sz w:val="13"/>
              </w:rPr>
              <w:t>D9-CTL-01 — Physical Harm Boundary Enforcement</w:t>
            </w:r>
          </w:p>
        </w:tc>
        <w:tc>
          <w:tcPr>
            <w:tcW w:type="dxa" w:w="1461"/>
            <w:vAlign w:val="center"/>
          </w:tcPr>
          <w:p>
            <w:r/>
            <w:r>
              <w:rPr>
                <w:b w:val="0"/>
                <w:sz w:val="13"/>
              </w:rPr>
              <w:t>Art. 21 — Cybersecurity risk-management measures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The control contributes to an all-hazards cybersecurity risk-management capability, subject to entity and system scope.</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CRO-029-MAP-0105</w:t>
            </w:r>
          </w:p>
        </w:tc>
        <w:tc>
          <w:tcPr>
            <w:tcW w:type="dxa" w:w="1461"/>
            <w:vAlign w:val="center"/>
          </w:tcPr>
          <w:p>
            <w:r/>
            <w:r>
              <w:rPr>
                <w:b w:val="0"/>
                <w:sz w:val="13"/>
              </w:rPr>
              <w:t>D9-CTL-02 — Safe State And Graceful Degradation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CRO-029-MAP-0106</w:t>
            </w:r>
          </w:p>
        </w:tc>
        <w:tc>
          <w:tcPr>
            <w:tcW w:type="dxa" w:w="1461"/>
            <w:vAlign w:val="center"/>
          </w:tcPr>
          <w:p>
            <w:r/>
            <w:r>
              <w:rPr>
                <w:b w:val="0"/>
                <w:sz w:val="13"/>
              </w:rPr>
              <w:t>D9-CTL-03 — Human Override And Emergency Stop</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CRO-029-MAP-0107</w:t>
            </w:r>
          </w:p>
        </w:tc>
        <w:tc>
          <w:tcPr>
            <w:tcW w:type="dxa" w:w="1461"/>
            <w:vAlign w:val="center"/>
          </w:tcPr>
          <w:p>
            <w:r/>
            <w:r>
              <w:rPr>
                <w:b w:val="0"/>
                <w:sz w:val="13"/>
              </w:rPr>
              <w:t>D9-CTL-04 — Cyber-Physical Attack Detection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CRO-029-MAP-0108</w:t>
            </w:r>
          </w:p>
        </w:tc>
        <w:tc>
          <w:tcPr>
            <w:tcW w:type="dxa" w:w="1461"/>
            <w:vAlign w:val="center"/>
          </w:tcPr>
          <w:p>
            <w:r/>
            <w:r>
              <w:rPr>
                <w:b w:val="0"/>
                <w:sz w:val="13"/>
              </w:rPr>
              <w:t>D9-CTL-04 — Cyber-Physical Attack Detection</w:t>
            </w:r>
          </w:p>
        </w:tc>
        <w:tc>
          <w:tcPr>
            <w:tcW w:type="dxa" w:w="1461"/>
            <w:vAlign w:val="center"/>
          </w:tcPr>
          <w:p>
            <w:r/>
            <w:r>
              <w:rPr>
                <w:b w:val="0"/>
                <w:sz w:val="13"/>
              </w:rPr>
              <w:t>Art. 29 — Cybersecurity information-sharing arrangements</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CRO-029-MAP-0109</w:t>
            </w:r>
          </w:p>
        </w:tc>
        <w:tc>
          <w:tcPr>
            <w:tcW w:type="dxa" w:w="1461"/>
            <w:vAlign w:val="center"/>
          </w:tcPr>
          <w:p>
            <w:r/>
            <w:r>
              <w:rPr>
                <w:b w:val="0"/>
                <w:sz w:val="13"/>
              </w:rPr>
              <w:t>D9-CTL-04 — Cyber-Physical Attack Detection</w:t>
            </w:r>
          </w:p>
        </w:tc>
        <w:tc>
          <w:tcPr>
            <w:tcW w:type="dxa" w:w="1461"/>
            <w:vAlign w:val="center"/>
          </w:tcPr>
          <w:p>
            <w:r/>
            <w:r>
              <w:rPr>
                <w:b w:val="0"/>
                <w:sz w:val="13"/>
              </w:rPr>
              <w:t>Art. 30 — Voluntary notification of relevant information</w:t>
            </w:r>
          </w:p>
        </w:tc>
        <w:tc>
          <w:tcPr>
            <w:tcW w:type="dxa" w:w="1461"/>
            <w:vAlign w:val="center"/>
          </w:tcPr>
          <w:p>
            <w:r/>
            <w:r>
              <w:rPr>
                <w:b w:val="0"/>
                <w:sz w:val="13"/>
              </w:rPr>
              <w:t>S</w:t>
            </w:r>
          </w:p>
        </w:tc>
        <w:tc>
          <w:tcPr>
            <w:tcW w:type="dxa" w:w="1461"/>
            <w:vAlign w:val="center"/>
          </w:tcPr>
          <w:p>
            <w:r/>
            <w:r>
              <w:rPr>
                <w:b w:val="0"/>
                <w:sz w:val="13"/>
              </w:rPr>
              <w:t>Medium</w:t>
            </w:r>
          </w:p>
        </w:tc>
        <w:tc>
          <w:tcPr>
            <w:tcW w:type="dxa" w:w="1461"/>
            <w:vAlign w:val="center"/>
          </w:tcPr>
          <w:p>
            <w:r/>
            <w:r>
              <w:rPr>
                <w:b w:val="0"/>
                <w:sz w:val="13"/>
              </w:rPr>
              <w:t>Supports structured sharing or voluntary notification of cyber-threat and incident information.</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CRO-029-MAP-0110</w:t>
            </w:r>
          </w:p>
        </w:tc>
        <w:tc>
          <w:tcPr>
            <w:tcW w:type="dxa" w:w="1461"/>
            <w:vAlign w:val="center"/>
          </w:tcPr>
          <w:p>
            <w:r/>
            <w:r>
              <w:rPr>
                <w:b w:val="0"/>
                <w:sz w:val="13"/>
              </w:rPr>
              <w:t>D9-CTL-05 — Physical Environment Integrity Monitoring</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CRO-029-MAP-0111</w:t>
            </w:r>
          </w:p>
        </w:tc>
        <w:tc>
          <w:tcPr>
            <w:tcW w:type="dxa" w:w="1461"/>
            <w:vAlign w:val="center"/>
          </w:tcPr>
          <w:p>
            <w:r/>
            <w:r>
              <w:rPr>
                <w:b w:val="0"/>
                <w:sz w:val="13"/>
              </w:rPr>
              <w:t>D9-CTL-06 — Actuator Command Verification</w:t>
            </w:r>
          </w:p>
        </w:tc>
        <w:tc>
          <w:tcPr>
            <w:tcW w:type="dxa" w:w="1461"/>
            <w:vAlign w:val="center"/>
          </w:tcPr>
          <w:p>
            <w:r/>
            <w:r>
              <w:rPr>
                <w:b w:val="0"/>
                <w:sz w:val="13"/>
              </w:rPr>
              <w:t>Art. 21 — Cybersecurity risk-management measures</w:t>
            </w:r>
          </w:p>
        </w:tc>
        <w:tc>
          <w:tcPr>
            <w:tcW w:type="dxa" w:w="1461"/>
            <w:vAlign w:val="center"/>
          </w:tcPr>
          <w:p>
            <w:r/>
            <w:r>
              <w:rPr>
                <w:b w:val="0"/>
                <w:sz w:val="13"/>
              </w:rPr>
              <w:t>SP</w:t>
            </w:r>
          </w:p>
        </w:tc>
        <w:tc>
          <w:tcPr>
            <w:tcW w:type="dxa" w:w="1461"/>
            <w:vAlign w:val="center"/>
          </w:tcPr>
          <w:p>
            <w:r/>
            <w:r>
              <w:rPr>
                <w:b w:val="0"/>
                <w:sz w:val="13"/>
              </w:rPr>
              <w:t>High</w:t>
            </w:r>
          </w:p>
        </w:tc>
        <w:tc>
          <w:tcPr>
            <w:tcW w:type="dxa" w:w="1461"/>
            <w:vAlign w:val="center"/>
          </w:tcPr>
          <w:p>
            <w:r/>
            <w:r>
              <w:rPr>
                <w:b w:val="0"/>
                <w:sz w:val="13"/>
              </w:rPr>
              <w:t>Provides a technical, operational or organisational safeguard relevant to NIS2 risk-management measures.</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CRO-029-MAP-0112</w:t>
            </w:r>
          </w:p>
        </w:tc>
        <w:tc>
          <w:tcPr>
            <w:tcW w:type="dxa" w:w="1461"/>
            <w:vAlign w:val="center"/>
          </w:tcPr>
          <w:p>
            <w:r/>
            <w:r>
              <w:rPr>
                <w:b w:val="0"/>
                <w:sz w:val="13"/>
              </w:rPr>
              <w:t>D9-CTL-07 — Physical Incident Evidence Preservation</w:t>
            </w:r>
          </w:p>
        </w:tc>
        <w:tc>
          <w:tcPr>
            <w:tcW w:type="dxa" w:w="1461"/>
            <w:vAlign w:val="center"/>
          </w:tcPr>
          <w:p>
            <w:r/>
            <w:r>
              <w:rPr>
                <w:b w:val="0"/>
                <w:sz w:val="13"/>
              </w:rPr>
              <w:t>Art. 23 — Reporting obligations</w:t>
            </w:r>
          </w:p>
        </w:tc>
        <w:tc>
          <w:tcPr>
            <w:tcW w:type="dxa" w:w="1461"/>
            <w:vAlign w:val="center"/>
          </w:tcPr>
          <w:p>
            <w:r/>
            <w:r>
              <w:rPr>
                <w:b w:val="0"/>
                <w:sz w:val="13"/>
              </w:rPr>
              <w:t>P</w:t>
            </w:r>
          </w:p>
        </w:tc>
        <w:tc>
          <w:tcPr>
            <w:tcW w:type="dxa" w:w="1461"/>
            <w:vAlign w:val="center"/>
          </w:tcPr>
          <w:p>
            <w:r/>
            <w:r>
              <w:rPr>
                <w:b w:val="0"/>
                <w:sz w:val="13"/>
              </w:rPr>
              <w:t>High</w:t>
            </w:r>
          </w:p>
        </w:tc>
        <w:tc>
          <w:tcPr>
            <w:tcW w:type="dxa" w:w="1461"/>
            <w:vAlign w:val="center"/>
          </w:tcPr>
          <w:p>
            <w:r/>
            <w:r>
              <w:rPr>
                <w:b w:val="0"/>
                <w:sz w:val="13"/>
              </w:rPr>
              <w:t>Supports incident detection, evidence capture, escalation and reporting workflows, but does not by itself satisfy statutory notification timing and content.</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CRO-029-MAP-0113</w:t>
            </w:r>
          </w:p>
        </w:tc>
        <w:tc>
          <w:tcPr>
            <w:tcW w:type="dxa" w:w="1461"/>
            <w:vAlign w:val="center"/>
          </w:tcPr>
          <w:p>
            <w:r/>
            <w:r>
              <w:rPr>
                <w:b w:val="0"/>
                <w:sz w:val="13"/>
              </w:rPr>
              <w:t>D9-CTL-07 — Physical Incident Evidence Preservation</w:t>
            </w:r>
          </w:p>
        </w:tc>
        <w:tc>
          <w:tcPr>
            <w:tcW w:type="dxa" w:w="1461"/>
            <w:vAlign w:val="center"/>
          </w:tcPr>
          <w:p>
            <w:r/>
            <w:r>
              <w:rPr>
                <w:b w:val="0"/>
                <w:sz w:val="13"/>
              </w:rPr>
              <w:t>Art. 31 — General aspects concerning supervision and enforcement</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CRO-029-MAP-0114</w:t>
            </w:r>
          </w:p>
        </w:tc>
        <w:tc>
          <w:tcPr>
            <w:tcW w:type="dxa" w:w="1461"/>
            <w:vAlign w:val="center"/>
          </w:tcPr>
          <w:p>
            <w:r/>
            <w:r>
              <w:rPr>
                <w:b w:val="0"/>
                <w:sz w:val="13"/>
              </w:rPr>
              <w:t>D9-CTL-07 — Physical Incident Evidence Preservation</w:t>
            </w:r>
          </w:p>
        </w:tc>
        <w:tc>
          <w:tcPr>
            <w:tcW w:type="dxa" w:w="1461"/>
            <w:vAlign w:val="center"/>
          </w:tcPr>
          <w:p>
            <w:r/>
            <w:r>
              <w:rPr>
                <w:b w:val="0"/>
                <w:sz w:val="13"/>
              </w:rPr>
              <w:t>Art. 32 — Supervisory and enforcement measures in relation to essential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r>
        <w:tc>
          <w:tcPr>
            <w:tcW w:type="dxa" w:w="1461"/>
            <w:vAlign w:val="center"/>
          </w:tcPr>
          <w:p>
            <w:r/>
            <w:r>
              <w:rPr>
                <w:b w:val="0"/>
                <w:sz w:val="13"/>
              </w:rPr>
              <w:t>CRO-029-MAP-0115</w:t>
            </w:r>
          </w:p>
        </w:tc>
        <w:tc>
          <w:tcPr>
            <w:tcW w:type="dxa" w:w="1461"/>
            <w:vAlign w:val="center"/>
          </w:tcPr>
          <w:p>
            <w:r/>
            <w:r>
              <w:rPr>
                <w:b w:val="0"/>
                <w:sz w:val="13"/>
              </w:rPr>
              <w:t>D9-CTL-07 — Physical Incident Evidence Preservation</w:t>
            </w:r>
          </w:p>
        </w:tc>
        <w:tc>
          <w:tcPr>
            <w:tcW w:type="dxa" w:w="1461"/>
            <w:vAlign w:val="center"/>
          </w:tcPr>
          <w:p>
            <w:r/>
            <w:r>
              <w:rPr>
                <w:b w:val="0"/>
                <w:sz w:val="13"/>
              </w:rPr>
              <w:t>Art. 33 — Supervisory and enforcement measures in relation to important entities</w:t>
            </w:r>
          </w:p>
        </w:tc>
        <w:tc>
          <w:tcPr>
            <w:tcW w:type="dxa" w:w="1461"/>
            <w:vAlign w:val="center"/>
          </w:tcPr>
          <w:p>
            <w:r/>
            <w:r>
              <w:rPr>
                <w:b w:val="0"/>
                <w:sz w:val="13"/>
              </w:rPr>
              <w:t>P</w:t>
            </w:r>
          </w:p>
        </w:tc>
        <w:tc>
          <w:tcPr>
            <w:tcW w:type="dxa" w:w="1461"/>
            <w:vAlign w:val="center"/>
          </w:tcPr>
          <w:p>
            <w:r/>
            <w:r>
              <w:rPr>
                <w:b w:val="0"/>
                <w:sz w:val="13"/>
              </w:rPr>
              <w:t>Medium</w:t>
            </w:r>
          </w:p>
        </w:tc>
        <w:tc>
          <w:tcPr>
            <w:tcW w:type="dxa" w:w="1461"/>
            <w:vAlign w:val="center"/>
          </w:tcPr>
          <w:p>
            <w:r/>
            <w:r>
              <w:rPr>
                <w:b w:val="0"/>
                <w:sz w:val="13"/>
              </w:rPr>
              <w:t>Produces evidence that may support supervisory review, inspection or remediation, subject to national law.</w:t>
            </w:r>
          </w:p>
        </w:tc>
        <w:tc>
          <w:tcPr>
            <w:tcW w:type="dxa" w:w="1461"/>
            <w:vAlign w:val="center"/>
          </w:tcPr>
          <w:p>
            <w:r/>
            <w:r>
              <w:rPr>
                <w:b w:val="0"/>
                <w:sz w:val="13"/>
              </w:rPr>
              <w:t>NIS2 applicability, essential/important entity classification, national transposition, proportionality, reporting deadlines, competent-authority procedures and evidence of operating effectiveness require separate verification.</w:t>
            </w:r>
          </w:p>
        </w:tc>
      </w:tr>
    </w:tbl>
    <w:p>
      <w:pPr>
        <w:pStyle w:val="Heading1"/>
      </w:pPr>
      <w:r>
        <w:t>9. Limitations</w:t>
      </w:r>
    </w:p>
    <w:p>
      <w:pPr>
        <w:pStyle w:val="ListBullet"/>
      </w:pPr>
      <w:r>
        <w:t>This crosswalk is not legal advice.</w:t>
      </w:r>
    </w:p>
    <w:p>
      <w:pPr>
        <w:pStyle w:val="ListBullet"/>
      </w:pPr>
      <w:r>
        <w:t>NIS2 is a directive implemented through national law.</w:t>
      </w:r>
    </w:p>
    <w:p>
      <w:pPr>
        <w:pStyle w:val="ListBullet"/>
      </w:pPr>
      <w:r>
        <w:t>Scope depends on sector, size, entity type and Member State rules.</w:t>
      </w:r>
    </w:p>
    <w:p>
      <w:pPr>
        <w:pStyle w:val="ListBullet"/>
      </w:pPr>
      <w:r>
        <w:t>Mapping does not prove control implementation or operating effectiveness.</w:t>
      </w:r>
    </w:p>
    <w:p>
      <w:pPr>
        <w:pStyle w:val="ListBullet"/>
      </w:pPr>
      <w:r>
        <w:t>National authorities may impose additional procedures, evidence and deadlines.</w:t>
      </w:r>
    </w:p>
    <w:p>
      <w:pPr>
        <w:pStyle w:val="ListBullet"/>
      </w:pPr>
      <w:r>
        <w:t>The implementing regulation and future guidance require separate change control.</w:t>
      </w:r>
    </w:p>
    <w:p>
      <w:pPr>
        <w:pStyle w:val="Heading1"/>
      </w:pPr>
      <w:r>
        <w:t>10. Notably Absent</w:t>
      </w:r>
    </w:p>
    <w:p>
      <w:pPr>
        <w:pStyle w:val="ListBullet"/>
      </w:pPr>
      <w:r>
        <w:t>No automatic NIS2 compliance claim</w:t>
      </w:r>
    </w:p>
    <w:p>
      <w:pPr>
        <w:pStyle w:val="ListBullet"/>
      </w:pPr>
      <w:r>
        <w:t>No determination that an organisation is an essential or important entity</w:t>
      </w:r>
    </w:p>
    <w:p>
      <w:pPr>
        <w:pStyle w:val="ListBullet"/>
      </w:pPr>
      <w:r>
        <w:t>No country-specific transposition analysis</w:t>
      </w:r>
    </w:p>
    <w:p>
      <w:pPr>
        <w:pStyle w:val="ListBullet"/>
      </w:pPr>
      <w:r>
        <w:t>No regulator endorsement</w:t>
      </w:r>
    </w:p>
    <w:p>
      <w:pPr>
        <w:pStyle w:val="ListBullet"/>
      </w:pPr>
      <w:r>
        <w:t>No proof of operating effectiveness</w:t>
      </w:r>
    </w:p>
    <w:p>
      <w:pPr>
        <w:pStyle w:val="ListBullet"/>
      </w:pPr>
      <w:r>
        <w:t>No automatic satisfaction of incident notification deadlines</w:t>
      </w:r>
    </w:p>
    <w:p>
      <w:pPr>
        <w:pStyle w:val="Heading1"/>
      </w:pPr>
      <w:r>
        <w:t>11. Sources</w:t>
      </w:r>
    </w:p>
    <w:p>
      <w:r>
        <w:t>Directive (EU) 2022/2555 — https://eur-lex.europa.eu/eli/dir/2022/2555/oj/eng</w:t>
      </w:r>
    </w:p>
    <w:p>
      <w:r>
        <w:t>Commission Implementing Regulation (EU) 2024/2690 — https://eur-lex.europa.eu/eli/reg_impl/2024/2690/oj/eng</w:t>
      </w:r>
    </w:p>
    <w:p>
      <w:r>
        <w:t>European Commission NIS2 transposition status — https://digital-strategy.ec.europa.eu/en/policies/nis-transposition</w:t>
      </w:r>
    </w:p>
    <w:p>
      <w:r>
        <w:t>GAISSF-NOR-001 and GAISSF-NOR-004 v1.0.</w:t>
      </w:r>
    </w:p>
    <w:p>
      <w:r>
        <w:t>© 2026 ODA3 Pvt Ltd. Published by ODA3 Institute.</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A5B8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