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63A5F"/>
          <w:sz w:val="30"/>
        </w:rPr>
        <w:t>ODA3 Institute</w:t>
      </w:r>
    </w:p>
    <w:p>
      <w:pPr>
        <w:jc w:val="center"/>
      </w:pPr>
      <w:r>
        <w:rPr>
          <w:b/>
          <w:color w:val="163A5F"/>
          <w:sz w:val="50"/>
        </w:rPr>
        <w:t>GAISSF–NIS2 Mapping</w:t>
      </w:r>
    </w:p>
    <w:p>
      <w:pPr>
        <w:jc w:val="center"/>
      </w:pPr>
      <w:r>
        <w:rPr>
          <w:sz w:val="26"/>
        </w:rPr>
        <w:t>Website and executive summary</w:t>
      </w:r>
    </w:p>
    <w:p>
      <w:pPr>
        <w:jc w:val="center"/>
      </w:pPr>
      <w:r>
        <w:rPr>
          <w:i/>
        </w:rPr>
        <w:t>Version 1.0 | Publication Candidate | 29 June 2026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163A5F"/>
          </w:tcPr>
          <w:p>
            <w:r/>
            <w:r>
              <w:rPr>
                <w:b/>
                <w:color w:val="FFFFFF"/>
                <w:sz w:val="18"/>
              </w:rPr>
              <w:t>Document ID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CRO-029</w:t>
            </w:r>
          </w:p>
        </w:tc>
      </w:tr>
      <w:tr>
        <w:tc>
          <w:tcPr>
            <w:tcW w:type="dxa" w:w="5112"/>
            <w:vAlign w:val="center"/>
            <w:shd w:fill="163A5F"/>
          </w:tcPr>
          <w:p>
            <w:r/>
            <w:r>
              <w:rPr>
                <w:b/>
                <w:color w:val="FFFFFF"/>
                <w:sz w:val="18"/>
              </w:rPr>
              <w:t>Classification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Crosswalk — informative</w:t>
            </w:r>
          </w:p>
        </w:tc>
      </w:tr>
      <w:tr>
        <w:tc>
          <w:tcPr>
            <w:tcW w:type="dxa" w:w="5112"/>
            <w:vAlign w:val="center"/>
            <w:shd w:fill="163A5F"/>
          </w:tcPr>
          <w:p>
            <w:r/>
            <w:r>
              <w:rPr>
                <w:b/>
                <w:color w:val="FFFFFF"/>
                <w:sz w:val="18"/>
              </w:rPr>
              <w:t>GAISSF baseline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GAISSF v1.0 — 59 controls</w:t>
            </w:r>
          </w:p>
        </w:tc>
      </w:tr>
      <w:tr>
        <w:tc>
          <w:tcPr>
            <w:tcW w:type="dxa" w:w="5112"/>
            <w:vAlign w:val="center"/>
            <w:shd w:fill="163A5F"/>
          </w:tcPr>
          <w:p>
            <w:r/>
            <w:r>
              <w:rPr>
                <w:b/>
                <w:color w:val="FFFFFF"/>
                <w:sz w:val="18"/>
              </w:rPr>
              <w:t>External baseline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Directive (EU) 2022/2555</w:t>
            </w:r>
          </w:p>
        </w:tc>
      </w:tr>
      <w:tr>
        <w:tc>
          <w:tcPr>
            <w:tcW w:type="dxa" w:w="5112"/>
            <w:vAlign w:val="center"/>
            <w:shd w:fill="163A5F"/>
          </w:tcPr>
          <w:p>
            <w:r/>
            <w:r>
              <w:rPr>
                <w:b/>
                <w:color w:val="FFFFFF"/>
                <w:sz w:val="18"/>
              </w:rPr>
              <w:t>Distribution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Website / GitHub</w:t>
            </w:r>
          </w:p>
        </w:tc>
      </w:tr>
    </w:tbl>
    <w:p>
      <w:r>
        <w:br w:type="page"/>
      </w:r>
    </w:p>
    <w:p>
      <w:pPr>
        <w:pStyle w:val="Heading1"/>
      </w:pPr>
      <w:r>
        <w:t>What this publication provides</w:t>
      </w:r>
    </w:p>
    <w:p>
      <w:r>
        <w:t>A controlled crosswalk connecting 59 GAISSF controls with all 46 articles of NIS2 through 115 documented mapping records.</w:t>
      </w:r>
    </w:p>
    <w:p>
      <w:pPr>
        <w:pStyle w:val="Heading1"/>
      </w:pPr>
      <w:r>
        <w:t>Primary use cases</w:t>
      </w:r>
    </w:p>
    <w:p>
      <w:pPr>
        <w:pStyle w:val="ListBullet"/>
      </w:pPr>
      <w:r>
        <w:t>NIS2 readiness and internal gap assessment</w:t>
      </w:r>
    </w:p>
    <w:p>
      <w:pPr>
        <w:pStyle w:val="ListBullet"/>
      </w:pPr>
      <w:r>
        <w:t>Evidence reuse from GAISSF implementation</w:t>
      </w:r>
    </w:p>
    <w:p>
      <w:pPr>
        <w:pStyle w:val="ListBullet"/>
      </w:pPr>
      <w:r>
        <w:t>Management and board briefing</w:t>
      </w:r>
    </w:p>
    <w:p>
      <w:pPr>
        <w:pStyle w:val="ListBullet"/>
      </w:pPr>
      <w:r>
        <w:t>National-law implementation planning</w:t>
      </w:r>
    </w:p>
    <w:p>
      <w:pPr>
        <w:pStyle w:val="ListBullet"/>
      </w:pPr>
      <w:r>
        <w:t>Audit and assurance scoping</w:t>
      </w:r>
    </w:p>
    <w:p>
      <w:pPr>
        <w:pStyle w:val="Heading1"/>
      </w:pPr>
      <w:r>
        <w:t>Key findings</w:t>
      </w:r>
    </w:p>
    <w:p>
      <w:r>
        <w:t>GAISSF provides strongest support for governance, cybersecurity risk management, supply-chain security, incident readiness, continuity and technical assurance. It does not determine whether an entity is essential or important, replace national law, satisfy statutory reporting deadlines or prove compliance.</w:t>
      </w:r>
    </w:p>
    <w:p>
      <w:pPr>
        <w:pStyle w:val="Heading1"/>
      </w:pPr>
      <w:r>
        <w:t>Publication package</w:t>
      </w:r>
    </w:p>
    <w:p>
      <w:pPr>
        <w:pStyle w:val="ListBullet"/>
      </w:pPr>
      <w:r>
        <w:t>Full crosswalk document</w:t>
      </w:r>
    </w:p>
    <w:p>
      <w:pPr>
        <w:pStyle w:val="ListBullet"/>
      </w:pPr>
      <w:r>
        <w:t>Detailed XLSX mapping and gap registers</w:t>
      </w:r>
    </w:p>
    <w:p>
      <w:pPr>
        <w:pStyle w:val="ListBullet"/>
      </w:pPr>
      <w:r>
        <w:t>GitHub-ready Markdown edition</w:t>
      </w:r>
    </w:p>
    <w:p>
      <w:pPr>
        <w:pStyle w:val="ListBullet"/>
      </w:pPr>
      <w:r>
        <w:t>Machine-readable JSON dataset</w:t>
      </w:r>
    </w:p>
    <w:p>
      <w:pPr>
        <w:pStyle w:val="Heading1"/>
      </w:pPr>
      <w:r>
        <w:t>Important limitation</w:t>
      </w:r>
    </w:p>
    <w:p>
      <w:r>
        <w:t>NIS2 is implemented through Member State legislation. Organisations must validate jurisdiction, sector, size, entity classification, competent authority and local reporting procedures before relying on any mapping.</w:t>
      </w:r>
    </w:p>
    <w:p>
      <w:pPr>
        <w:pStyle w:val="Heading1"/>
      </w:pPr>
      <w:r>
        <w:t>Source baseline</w:t>
      </w:r>
    </w:p>
    <w:p>
      <w:r>
        <w:t>Directive (EU) 2022/2555; Commission Implementing Regulation (EU) 2024/2690 treated separately; verified 29 June 2026.</w:t>
      </w:r>
    </w:p>
    <w:p>
      <w:r>
        <w:t>© 2026 ODA3 Pvt Ltd. Published by ODA3 Institute.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A5B8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63A5F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