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GAISSF® v1.0</w:t>
        <w:br/>
        <w:t>GDPR Mapping</w:t>
      </w:r>
    </w:p>
    <w:p>
      <w:pPr>
        <w:jc w:val="center"/>
      </w:pPr>
      <w:r>
        <w:rPr>
          <w:b/>
        </w:rPr>
        <w:t>CRO-030 | Version 1.0 | Publication Candidate</w:t>
      </w:r>
    </w:p>
    <w:p>
      <w:r>
        <w:t>Crosswalk between the GAISSF control architecture and Regulation (EU) 2016/679 (General Data Protection Regulation).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63A5F"/>
          </w:tcPr>
          <w:p>
            <w:r>
              <w:rPr>
                <w:b/>
                <w:color w:val="FFFFFF"/>
                <w:sz w:val="16"/>
              </w:rPr>
              <w:t>Field</w:t>
            </w:r>
          </w:p>
        </w:tc>
        <w:tc>
          <w:tcPr>
            <w:tcW w:type="dxa" w:w="5112"/>
            <w:shd w:fill="163A5F"/>
          </w:tcPr>
          <w:p>
            <w:r>
              <w:rPr>
                <w:b/>
                <w:color w:val="FFFFFF"/>
                <w:sz w:val="16"/>
              </w:rPr>
              <w:t>Controlled value</w:t>
            </w:r>
          </w:p>
        </w:tc>
      </w:tr>
      <w:tr>
        <w:tc>
          <w:tcPr>
            <w:tcW w:type="dxa" w:w="5112"/>
            <w:vAlign w:val="top"/>
          </w:tcPr>
          <w:p>
            <w:r>
              <w:rPr>
                <w:sz w:val="15"/>
              </w:rPr>
              <w:t>Document ID</w:t>
            </w:r>
          </w:p>
        </w:tc>
        <w:tc>
          <w:tcPr>
            <w:tcW w:type="dxa" w:w="5112"/>
            <w:vAlign w:val="top"/>
          </w:tcPr>
          <w:p>
            <w:r>
              <w:rPr>
                <w:sz w:val="15"/>
              </w:rPr>
              <w:t>CRO-030</w:t>
            </w:r>
          </w:p>
        </w:tc>
      </w:tr>
      <w:tr>
        <w:tc>
          <w:tcPr>
            <w:tcW w:type="dxa" w:w="5112"/>
            <w:vAlign w:val="top"/>
          </w:tcPr>
          <w:p>
            <w:r>
              <w:rPr>
                <w:sz w:val="15"/>
              </w:rPr>
              <w:t>Publisher</w:t>
            </w:r>
          </w:p>
        </w:tc>
        <w:tc>
          <w:tcPr>
            <w:tcW w:type="dxa" w:w="5112"/>
            <w:vAlign w:val="top"/>
          </w:tcPr>
          <w:p>
            <w:r>
              <w:rPr>
                <w:sz w:val="15"/>
              </w:rPr>
              <w:t>ODA3 Institute</w:t>
            </w:r>
          </w:p>
        </w:tc>
      </w:tr>
      <w:tr>
        <w:tc>
          <w:tcPr>
            <w:tcW w:type="dxa" w:w="5112"/>
            <w:vAlign w:val="top"/>
          </w:tcPr>
          <w:p>
            <w:r>
              <w:rPr>
                <w:sz w:val="15"/>
              </w:rPr>
              <w:t>Legal entity</w:t>
            </w:r>
          </w:p>
        </w:tc>
        <w:tc>
          <w:tcPr>
            <w:tcW w:type="dxa" w:w="5112"/>
            <w:vAlign w:val="top"/>
          </w:tcPr>
          <w:p>
            <w:r>
              <w:rPr>
                <w:sz w:val="15"/>
              </w:rPr>
              <w:t>ODA3 Pvt Ltd</w:t>
            </w:r>
          </w:p>
        </w:tc>
      </w:tr>
      <w:tr>
        <w:tc>
          <w:tcPr>
            <w:tcW w:type="dxa" w:w="5112"/>
            <w:vAlign w:val="top"/>
          </w:tcPr>
          <w:p>
            <w:r>
              <w:rPr>
                <w:sz w:val="15"/>
              </w:rPr>
              <w:t>GAISSF baseline</w:t>
            </w:r>
          </w:p>
        </w:tc>
        <w:tc>
          <w:tcPr>
            <w:tcW w:type="dxa" w:w="5112"/>
            <w:vAlign w:val="top"/>
          </w:tcPr>
          <w:p>
            <w:r>
              <w:rPr>
                <w:sz w:val="15"/>
              </w:rPr>
              <w:t>59 controls across nine domains</w:t>
            </w:r>
          </w:p>
        </w:tc>
      </w:tr>
      <w:tr>
        <w:tc>
          <w:tcPr>
            <w:tcW w:type="dxa" w:w="5112"/>
            <w:vAlign w:val="top"/>
          </w:tcPr>
          <w:p>
            <w:r>
              <w:rPr>
                <w:sz w:val="15"/>
              </w:rPr>
              <w:t>External baseline</w:t>
            </w:r>
          </w:p>
        </w:tc>
        <w:tc>
          <w:tcPr>
            <w:tcW w:type="dxa" w:w="5112"/>
            <w:vAlign w:val="top"/>
          </w:tcPr>
          <w:p>
            <w:r>
              <w:rPr>
                <w:sz w:val="15"/>
              </w:rPr>
              <w:t>Regulation (EU) 2016/679</w:t>
            </w:r>
          </w:p>
        </w:tc>
      </w:tr>
      <w:tr>
        <w:tc>
          <w:tcPr>
            <w:tcW w:type="dxa" w:w="5112"/>
            <w:vAlign w:val="top"/>
          </w:tcPr>
          <w:p>
            <w:r>
              <w:rPr>
                <w:sz w:val="15"/>
              </w:rPr>
              <w:t>Application date</w:t>
            </w:r>
          </w:p>
        </w:tc>
        <w:tc>
          <w:tcPr>
            <w:tcW w:type="dxa" w:w="5112"/>
            <w:vAlign w:val="top"/>
          </w:tcPr>
          <w:p>
            <w:r>
              <w:rPr>
                <w:sz w:val="15"/>
              </w:rPr>
              <w:t>25 May 2018</w:t>
            </w:r>
          </w:p>
        </w:tc>
      </w:tr>
      <w:tr>
        <w:tc>
          <w:tcPr>
            <w:tcW w:type="dxa" w:w="5112"/>
            <w:vAlign w:val="top"/>
          </w:tcPr>
          <w:p>
            <w:r>
              <w:rPr>
                <w:sz w:val="15"/>
              </w:rPr>
              <w:t>Verification date</w:t>
            </w:r>
          </w:p>
        </w:tc>
        <w:tc>
          <w:tcPr>
            <w:tcW w:type="dxa" w:w="5112"/>
            <w:vAlign w:val="top"/>
          </w:tcPr>
          <w:p>
            <w:r>
              <w:rPr>
                <w:sz w:val="15"/>
              </w:rPr>
              <w:t>29 June 2026</w:t>
            </w:r>
          </w:p>
        </w:tc>
      </w:tr>
      <w:tr>
        <w:tc>
          <w:tcPr>
            <w:tcW w:type="dxa" w:w="5112"/>
            <w:vAlign w:val="top"/>
          </w:tcPr>
          <w:p>
            <w:r>
              <w:rPr>
                <w:sz w:val="15"/>
              </w:rPr>
              <w:t>Distribution</w:t>
            </w:r>
          </w:p>
        </w:tc>
        <w:tc>
          <w:tcPr>
            <w:tcW w:type="dxa" w:w="5112"/>
            <w:vAlign w:val="top"/>
          </w:tcPr>
          <w:p>
            <w:r>
              <w:rPr>
                <w:sz w:val="15"/>
              </w:rPr>
              <w:t>Website / GitHub</w:t>
            </w:r>
          </w:p>
        </w:tc>
      </w:tr>
    </w:tbl>
    <w:p>
      <w:pPr>
        <w:pStyle w:val="Heading1"/>
      </w:pPr>
      <w:r>
        <w:t>1. Executive Summary</w:t>
      </w:r>
    </w:p>
    <w:p>
      <w:r>
        <w:t>This crosswalk contains 188 outcome-based control-to-article mapping records covering all 59 GAISSF controls and 58 operationally material GDPR provisions. It supports privacy engineering, evidence reuse, gap analysis and governance planning. It does not establish GDPR compliance.</w:t>
      </w:r>
    </w:p>
    <w:p>
      <w:pPr>
        <w:pStyle w:val="Heading1"/>
      </w:pPr>
      <w:r>
        <w:t>2. Scope and Legal Baseline</w:t>
      </w:r>
    </w:p>
    <w:p>
      <w:r>
        <w:t>The primary legal source is Regulation (EU) 2016/679. EDPB guidelines, CJEU judgments, national law and supervisory practice may affect interpretation and implementation but are not silently merged into the article text. Articles outside the operational mapping scope remain legally relevant where applicable.</w:t>
      </w:r>
    </w:p>
    <w:p>
      <w:pPr>
        <w:pStyle w:val="Heading1"/>
      </w:pPr>
      <w:r>
        <w:t>3. Mapping Methodology</w:t>
      </w:r>
    </w:p>
    <w:p>
      <w:r>
        <w:t>Mappings compare intended outcomes, implementation capabilities and evidence. Relationship codes are SP (strong partial), P (partial) and S (supporting). Confidence is rated independently. Similar terminology alone is insufficient. Reverse coverage records identify residual legal and procedural work.</w:t>
      </w:r>
    </w:p>
    <w:p>
      <w:pPr>
        <w:pStyle w:val="Heading1"/>
      </w:pPr>
      <w:r>
        <w:t>4. Key Alignment Areas</w:t>
      </w:r>
    </w:p>
    <w:p>
      <w:pPr>
        <w:pStyle w:val="ListBullet"/>
      </w:pPr>
      <w:r>
        <w:t>Article 5 principles and accountability</w:t>
      </w:r>
    </w:p>
    <w:p>
      <w:pPr>
        <w:pStyle w:val="ListBullet"/>
      </w:pPr>
      <w:r>
        <w:t>Article 25 data protection by design and by default</w:t>
      </w:r>
    </w:p>
    <w:p>
      <w:pPr>
        <w:pStyle w:val="ListBullet"/>
      </w:pPr>
      <w:r>
        <w:t>Article 30 records of processing activities</w:t>
      </w:r>
    </w:p>
    <w:p>
      <w:pPr>
        <w:pStyle w:val="ListBullet"/>
      </w:pPr>
      <w:r>
        <w:t>Article 32 security of processing</w:t>
      </w:r>
    </w:p>
    <w:p>
      <w:pPr>
        <w:pStyle w:val="ListBullet"/>
      </w:pPr>
      <w:r>
        <w:t>Articles 33-34 personal data breach response</w:t>
      </w:r>
    </w:p>
    <w:p>
      <w:pPr>
        <w:pStyle w:val="ListBullet"/>
      </w:pPr>
      <w:r>
        <w:t>Article 35 data protection impact assessment</w:t>
      </w:r>
    </w:p>
    <w:p>
      <w:pPr>
        <w:pStyle w:val="ListBullet"/>
      </w:pPr>
      <w:r>
        <w:t>Article 22 automated decision-making and profiling</w:t>
      </w:r>
    </w:p>
    <w:p>
      <w:pPr>
        <w:pStyle w:val="ListBullet"/>
      </w:pPr>
      <w:r>
        <w:t>Articles 44-49 international transfers</w:t>
      </w:r>
    </w:p>
    <w:p>
      <w:pPr>
        <w:pStyle w:val="Heading1"/>
      </w:pPr>
      <w:r>
        <w:t>5. Material Gaps</w:t>
      </w:r>
    </w:p>
    <w:p>
      <w:pPr>
        <w:pStyle w:val="ListBullet"/>
      </w:pPr>
      <w:r>
        <w:t>Lawful basis and consent validity</w:t>
      </w:r>
    </w:p>
    <w:p>
      <w:pPr>
        <w:pStyle w:val="ListBullet"/>
      </w:pPr>
      <w:r>
        <w:t>Controller, joint-controller and processor allocation</w:t>
      </w:r>
    </w:p>
    <w:p>
      <w:pPr>
        <w:pStyle w:val="ListBullet"/>
      </w:pPr>
      <w:r>
        <w:t>Data-subject request fulfilment and statutory deadlines</w:t>
      </w:r>
    </w:p>
    <w:p>
      <w:pPr>
        <w:pStyle w:val="ListBullet"/>
      </w:pPr>
      <w:r>
        <w:t>Article 22 applicability and meaningful safeguards</w:t>
      </w:r>
    </w:p>
    <w:p>
      <w:pPr>
        <w:pStyle w:val="ListBullet"/>
      </w:pPr>
      <w:r>
        <w:t>Cross-border transfer mechanism and transfer impact assessment</w:t>
      </w:r>
    </w:p>
    <w:p>
      <w:pPr>
        <w:pStyle w:val="ListBullet"/>
      </w:pPr>
      <w:r>
        <w:t>DPO independence and regulator-facing obligations</w:t>
      </w:r>
    </w:p>
    <w:p>
      <w:pPr>
        <w:pStyle w:val="ListBullet"/>
      </w:pPr>
      <w:r>
        <w:t>National-law variations and sector overlays</w:t>
      </w:r>
    </w:p>
    <w:p>
      <w:pPr>
        <w:pStyle w:val="Heading1"/>
      </w:pPr>
      <w:r>
        <w:t>6. Notably Absent</w:t>
      </w:r>
    </w:p>
    <w:p>
      <w:r>
        <w:t>The analysis did not find any basis to claim that GAISSF certification constitutes GDPR certification, that technical security controls establish lawful processing, that a crosswalk replaces a DPIA, or that mapping demonstrates compliance with data-subject rights, international-transfer rules, or supervisory requirements.</w:t>
      </w:r>
    </w:p>
    <w:p>
      <w:pPr>
        <w:pStyle w:val="Heading1"/>
      </w:pPr>
      <w:r>
        <w:t>7. Article Coverage Register</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2556"/>
            <w:shd w:fill="163A5F"/>
          </w:tcPr>
          <w:p>
            <w:r>
              <w:rPr>
                <w:b/>
                <w:color w:val="FFFFFF"/>
                <w:sz w:val="16"/>
              </w:rPr>
              <w:t>Art.</w:t>
            </w:r>
          </w:p>
        </w:tc>
        <w:tc>
          <w:tcPr>
            <w:tcW w:type="dxa" w:w="2556"/>
            <w:shd w:fill="163A5F"/>
          </w:tcPr>
          <w:p>
            <w:r>
              <w:rPr>
                <w:b/>
                <w:color w:val="FFFFFF"/>
                <w:sz w:val="16"/>
              </w:rPr>
              <w:t>Title</w:t>
            </w:r>
          </w:p>
        </w:tc>
        <w:tc>
          <w:tcPr>
            <w:tcW w:type="dxa" w:w="2556"/>
            <w:shd w:fill="163A5F"/>
          </w:tcPr>
          <w:p>
            <w:r>
              <w:rPr>
                <w:b/>
                <w:color w:val="FFFFFF"/>
                <w:sz w:val="16"/>
              </w:rPr>
              <w:t>Mapped controls</w:t>
            </w:r>
          </w:p>
        </w:tc>
        <w:tc>
          <w:tcPr>
            <w:tcW w:type="dxa" w:w="2556"/>
            <w:shd w:fill="163A5F"/>
          </w:tcPr>
          <w:p>
            <w:r>
              <w:rPr>
                <w:b/>
                <w:color w:val="FFFFFF"/>
                <w:sz w:val="16"/>
              </w:rPr>
              <w:t>Coverage</w:t>
            </w:r>
          </w:p>
        </w:tc>
      </w:tr>
      <w:tr>
        <w:tc>
          <w:tcPr>
            <w:tcW w:type="dxa" w:w="2556"/>
            <w:vAlign w:val="top"/>
          </w:tcPr>
          <w:p>
            <w:r>
              <w:rPr>
                <w:sz w:val="15"/>
              </w:rPr>
              <w:t>1</w:t>
            </w:r>
          </w:p>
        </w:tc>
        <w:tc>
          <w:tcPr>
            <w:tcW w:type="dxa" w:w="2556"/>
            <w:vAlign w:val="top"/>
          </w:tcPr>
          <w:p>
            <w:r>
              <w:rPr>
                <w:sz w:val="15"/>
              </w:rPr>
              <w:t>Subject-matter and objectives</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2</w:t>
            </w:r>
          </w:p>
        </w:tc>
        <w:tc>
          <w:tcPr>
            <w:tcW w:type="dxa" w:w="2556"/>
            <w:vAlign w:val="top"/>
          </w:tcPr>
          <w:p>
            <w:r>
              <w:rPr>
                <w:sz w:val="15"/>
              </w:rPr>
              <w:t>Material scope</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3</w:t>
            </w:r>
          </w:p>
        </w:tc>
        <w:tc>
          <w:tcPr>
            <w:tcW w:type="dxa" w:w="2556"/>
            <w:vAlign w:val="top"/>
          </w:tcPr>
          <w:p>
            <w:r>
              <w:rPr>
                <w:sz w:val="15"/>
              </w:rPr>
              <w:t>Territorial scope</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4</w:t>
            </w:r>
          </w:p>
        </w:tc>
        <w:tc>
          <w:tcPr>
            <w:tcW w:type="dxa" w:w="2556"/>
            <w:vAlign w:val="top"/>
          </w:tcPr>
          <w:p>
            <w:r>
              <w:rPr>
                <w:sz w:val="15"/>
              </w:rPr>
              <w:t>Definitions</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5</w:t>
            </w:r>
          </w:p>
        </w:tc>
        <w:tc>
          <w:tcPr>
            <w:tcW w:type="dxa" w:w="2556"/>
            <w:vAlign w:val="top"/>
          </w:tcPr>
          <w:p>
            <w:r>
              <w:rPr>
                <w:sz w:val="15"/>
              </w:rPr>
              <w:t>Principles relating to processing of personal data</w:t>
            </w:r>
          </w:p>
        </w:tc>
        <w:tc>
          <w:tcPr>
            <w:tcW w:type="dxa" w:w="2556"/>
            <w:vAlign w:val="top"/>
          </w:tcPr>
          <w:p>
            <w:r>
              <w:rPr>
                <w:sz w:val="15"/>
              </w:rPr>
              <w:t>11</w:t>
            </w:r>
          </w:p>
        </w:tc>
        <w:tc>
          <w:tcPr>
            <w:tcW w:type="dxa" w:w="2556"/>
            <w:vAlign w:val="top"/>
          </w:tcPr>
          <w:p>
            <w:r>
              <w:rPr>
                <w:sz w:val="15"/>
              </w:rPr>
              <w:t>Substantially Addressed</w:t>
            </w:r>
          </w:p>
        </w:tc>
      </w:tr>
      <w:tr>
        <w:tc>
          <w:tcPr>
            <w:tcW w:type="dxa" w:w="2556"/>
            <w:vAlign w:val="top"/>
          </w:tcPr>
          <w:p>
            <w:r>
              <w:rPr>
                <w:sz w:val="15"/>
              </w:rPr>
              <w:t>6</w:t>
            </w:r>
          </w:p>
        </w:tc>
        <w:tc>
          <w:tcPr>
            <w:tcW w:type="dxa" w:w="2556"/>
            <w:vAlign w:val="top"/>
          </w:tcPr>
          <w:p>
            <w:r>
              <w:rPr>
                <w:sz w:val="15"/>
              </w:rPr>
              <w:t>Lawfulness of processing</w:t>
            </w:r>
          </w:p>
        </w:tc>
        <w:tc>
          <w:tcPr>
            <w:tcW w:type="dxa" w:w="2556"/>
            <w:vAlign w:val="top"/>
          </w:tcPr>
          <w:p>
            <w:r>
              <w:rPr>
                <w:sz w:val="15"/>
              </w:rPr>
              <w:t>3</w:t>
            </w:r>
          </w:p>
        </w:tc>
        <w:tc>
          <w:tcPr>
            <w:tcW w:type="dxa" w:w="2556"/>
            <w:vAlign w:val="top"/>
          </w:tcPr>
          <w:p>
            <w:r>
              <w:rPr>
                <w:sz w:val="15"/>
              </w:rPr>
              <w:t>Partially Addressed</w:t>
            </w:r>
          </w:p>
        </w:tc>
      </w:tr>
      <w:tr>
        <w:tc>
          <w:tcPr>
            <w:tcW w:type="dxa" w:w="2556"/>
            <w:vAlign w:val="top"/>
          </w:tcPr>
          <w:p>
            <w:r>
              <w:rPr>
                <w:sz w:val="15"/>
              </w:rPr>
              <w:t>7</w:t>
            </w:r>
          </w:p>
        </w:tc>
        <w:tc>
          <w:tcPr>
            <w:tcW w:type="dxa" w:w="2556"/>
            <w:vAlign w:val="top"/>
          </w:tcPr>
          <w:p>
            <w:r>
              <w:rPr>
                <w:sz w:val="15"/>
              </w:rPr>
              <w:t>Conditions for consent</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8</w:t>
            </w:r>
          </w:p>
        </w:tc>
        <w:tc>
          <w:tcPr>
            <w:tcW w:type="dxa" w:w="2556"/>
            <w:vAlign w:val="top"/>
          </w:tcPr>
          <w:p>
            <w:r>
              <w:rPr>
                <w:sz w:val="15"/>
              </w:rPr>
              <w:t>Conditions applicable to child's consent in relation to information society services</w:t>
            </w:r>
          </w:p>
        </w:tc>
        <w:tc>
          <w:tcPr>
            <w:tcW w:type="dxa" w:w="2556"/>
            <w:vAlign w:val="top"/>
          </w:tcPr>
          <w:p>
            <w:r>
              <w:rPr>
                <w:sz w:val="15"/>
              </w:rPr>
              <w:t>5</w:t>
            </w:r>
          </w:p>
        </w:tc>
        <w:tc>
          <w:tcPr>
            <w:tcW w:type="dxa" w:w="2556"/>
            <w:vAlign w:val="top"/>
          </w:tcPr>
          <w:p>
            <w:r>
              <w:rPr>
                <w:sz w:val="15"/>
              </w:rPr>
              <w:t>Substantially Addressed</w:t>
            </w:r>
          </w:p>
        </w:tc>
      </w:tr>
      <w:tr>
        <w:tc>
          <w:tcPr>
            <w:tcW w:type="dxa" w:w="2556"/>
            <w:vAlign w:val="top"/>
          </w:tcPr>
          <w:p>
            <w:r>
              <w:rPr>
                <w:sz w:val="15"/>
              </w:rPr>
              <w:t>9</w:t>
            </w:r>
          </w:p>
        </w:tc>
        <w:tc>
          <w:tcPr>
            <w:tcW w:type="dxa" w:w="2556"/>
            <w:vAlign w:val="top"/>
          </w:tcPr>
          <w:p>
            <w:r>
              <w:rPr>
                <w:sz w:val="15"/>
              </w:rPr>
              <w:t>Processing of special categories of personal data</w:t>
            </w:r>
          </w:p>
        </w:tc>
        <w:tc>
          <w:tcPr>
            <w:tcW w:type="dxa" w:w="2556"/>
            <w:vAlign w:val="top"/>
          </w:tcPr>
          <w:p>
            <w:r>
              <w:rPr>
                <w:sz w:val="15"/>
              </w:rPr>
              <w:t>1</w:t>
            </w:r>
          </w:p>
        </w:tc>
        <w:tc>
          <w:tcPr>
            <w:tcW w:type="dxa" w:w="2556"/>
            <w:vAlign w:val="top"/>
          </w:tcPr>
          <w:p>
            <w:r>
              <w:rPr>
                <w:sz w:val="15"/>
              </w:rPr>
              <w:t>Indirectly Supported</w:t>
            </w:r>
          </w:p>
        </w:tc>
      </w:tr>
      <w:tr>
        <w:tc>
          <w:tcPr>
            <w:tcW w:type="dxa" w:w="2556"/>
            <w:vAlign w:val="top"/>
          </w:tcPr>
          <w:p>
            <w:r>
              <w:rPr>
                <w:sz w:val="15"/>
              </w:rPr>
              <w:t>10</w:t>
            </w:r>
          </w:p>
        </w:tc>
        <w:tc>
          <w:tcPr>
            <w:tcW w:type="dxa" w:w="2556"/>
            <w:vAlign w:val="top"/>
          </w:tcPr>
          <w:p>
            <w:r>
              <w:rPr>
                <w:sz w:val="15"/>
              </w:rPr>
              <w:t>Processing of personal data relating to criminal convictions and offences</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11</w:t>
            </w:r>
          </w:p>
        </w:tc>
        <w:tc>
          <w:tcPr>
            <w:tcW w:type="dxa" w:w="2556"/>
            <w:vAlign w:val="top"/>
          </w:tcPr>
          <w:p>
            <w:r>
              <w:rPr>
                <w:sz w:val="15"/>
              </w:rPr>
              <w:t>Processing which does not require identification</w:t>
            </w:r>
          </w:p>
        </w:tc>
        <w:tc>
          <w:tcPr>
            <w:tcW w:type="dxa" w:w="2556"/>
            <w:vAlign w:val="top"/>
          </w:tcPr>
          <w:p>
            <w:r>
              <w:rPr>
                <w:sz w:val="15"/>
              </w:rPr>
              <w:t>1</w:t>
            </w:r>
          </w:p>
        </w:tc>
        <w:tc>
          <w:tcPr>
            <w:tcW w:type="dxa" w:w="2556"/>
            <w:vAlign w:val="top"/>
          </w:tcPr>
          <w:p>
            <w:r>
              <w:rPr>
                <w:sz w:val="15"/>
              </w:rPr>
              <w:t>Indirectly Supported</w:t>
            </w:r>
          </w:p>
        </w:tc>
      </w:tr>
      <w:tr>
        <w:tc>
          <w:tcPr>
            <w:tcW w:type="dxa" w:w="2556"/>
            <w:vAlign w:val="top"/>
          </w:tcPr>
          <w:p>
            <w:r>
              <w:rPr>
                <w:sz w:val="15"/>
              </w:rPr>
              <w:t>12</w:t>
            </w:r>
          </w:p>
        </w:tc>
        <w:tc>
          <w:tcPr>
            <w:tcW w:type="dxa" w:w="2556"/>
            <w:vAlign w:val="top"/>
          </w:tcPr>
          <w:p>
            <w:r>
              <w:rPr>
                <w:sz w:val="15"/>
              </w:rPr>
              <w:t>Transparent information, communication and modalities for exercise of data subject rights</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13</w:t>
            </w:r>
          </w:p>
        </w:tc>
        <w:tc>
          <w:tcPr>
            <w:tcW w:type="dxa" w:w="2556"/>
            <w:vAlign w:val="top"/>
          </w:tcPr>
          <w:p>
            <w:r>
              <w:rPr>
                <w:sz w:val="15"/>
              </w:rPr>
              <w:t>Information to be provided where personal data are collected from the data subject</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14</w:t>
            </w:r>
          </w:p>
        </w:tc>
        <w:tc>
          <w:tcPr>
            <w:tcW w:type="dxa" w:w="2556"/>
            <w:vAlign w:val="top"/>
          </w:tcPr>
          <w:p>
            <w:r>
              <w:rPr>
                <w:sz w:val="15"/>
              </w:rPr>
              <w:t>Information to be provided where personal data have not been obtained from the data subject</w:t>
            </w:r>
          </w:p>
        </w:tc>
        <w:tc>
          <w:tcPr>
            <w:tcW w:type="dxa" w:w="2556"/>
            <w:vAlign w:val="top"/>
          </w:tcPr>
          <w:p>
            <w:r>
              <w:rPr>
                <w:sz w:val="15"/>
              </w:rPr>
              <w:t>1</w:t>
            </w:r>
          </w:p>
        </w:tc>
        <w:tc>
          <w:tcPr>
            <w:tcW w:type="dxa" w:w="2556"/>
            <w:vAlign w:val="top"/>
          </w:tcPr>
          <w:p>
            <w:r>
              <w:rPr>
                <w:sz w:val="15"/>
              </w:rPr>
              <w:t>Indirectly Supported</w:t>
            </w:r>
          </w:p>
        </w:tc>
      </w:tr>
      <w:tr>
        <w:tc>
          <w:tcPr>
            <w:tcW w:type="dxa" w:w="2556"/>
            <w:vAlign w:val="top"/>
          </w:tcPr>
          <w:p>
            <w:r>
              <w:rPr>
                <w:sz w:val="15"/>
              </w:rPr>
              <w:t>15</w:t>
            </w:r>
          </w:p>
        </w:tc>
        <w:tc>
          <w:tcPr>
            <w:tcW w:type="dxa" w:w="2556"/>
            <w:vAlign w:val="top"/>
          </w:tcPr>
          <w:p>
            <w:r>
              <w:rPr>
                <w:sz w:val="15"/>
              </w:rPr>
              <w:t>Right of access by the data subject</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16</w:t>
            </w:r>
          </w:p>
        </w:tc>
        <w:tc>
          <w:tcPr>
            <w:tcW w:type="dxa" w:w="2556"/>
            <w:vAlign w:val="top"/>
          </w:tcPr>
          <w:p>
            <w:r>
              <w:rPr>
                <w:sz w:val="15"/>
              </w:rPr>
              <w:t>Right to rectification</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17</w:t>
            </w:r>
          </w:p>
        </w:tc>
        <w:tc>
          <w:tcPr>
            <w:tcW w:type="dxa" w:w="2556"/>
            <w:vAlign w:val="top"/>
          </w:tcPr>
          <w:p>
            <w:r>
              <w:rPr>
                <w:sz w:val="15"/>
              </w:rPr>
              <w:t>Right to erasure (right to be forgotten)</w:t>
            </w:r>
          </w:p>
        </w:tc>
        <w:tc>
          <w:tcPr>
            <w:tcW w:type="dxa" w:w="2556"/>
            <w:vAlign w:val="top"/>
          </w:tcPr>
          <w:p>
            <w:r>
              <w:rPr>
                <w:sz w:val="15"/>
              </w:rPr>
              <w:t>1</w:t>
            </w:r>
          </w:p>
        </w:tc>
        <w:tc>
          <w:tcPr>
            <w:tcW w:type="dxa" w:w="2556"/>
            <w:vAlign w:val="top"/>
          </w:tcPr>
          <w:p>
            <w:r>
              <w:rPr>
                <w:sz w:val="15"/>
              </w:rPr>
              <w:t>Indirectly Supported</w:t>
            </w:r>
          </w:p>
        </w:tc>
      </w:tr>
      <w:tr>
        <w:tc>
          <w:tcPr>
            <w:tcW w:type="dxa" w:w="2556"/>
            <w:vAlign w:val="top"/>
          </w:tcPr>
          <w:p>
            <w:r>
              <w:rPr>
                <w:sz w:val="15"/>
              </w:rPr>
              <w:t>18</w:t>
            </w:r>
          </w:p>
        </w:tc>
        <w:tc>
          <w:tcPr>
            <w:tcW w:type="dxa" w:w="2556"/>
            <w:vAlign w:val="top"/>
          </w:tcPr>
          <w:p>
            <w:r>
              <w:rPr>
                <w:sz w:val="15"/>
              </w:rPr>
              <w:t>Right to restriction of processing</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19</w:t>
            </w:r>
          </w:p>
        </w:tc>
        <w:tc>
          <w:tcPr>
            <w:tcW w:type="dxa" w:w="2556"/>
            <w:vAlign w:val="top"/>
          </w:tcPr>
          <w:p>
            <w:r>
              <w:rPr>
                <w:sz w:val="15"/>
              </w:rPr>
              <w:t>Notification obligation regarding rectification or erasure of personal data or restriction of processing</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20</w:t>
            </w:r>
          </w:p>
        </w:tc>
        <w:tc>
          <w:tcPr>
            <w:tcW w:type="dxa" w:w="2556"/>
            <w:vAlign w:val="top"/>
          </w:tcPr>
          <w:p>
            <w:r>
              <w:rPr>
                <w:sz w:val="15"/>
              </w:rPr>
              <w:t>Right to data portability</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21</w:t>
            </w:r>
          </w:p>
        </w:tc>
        <w:tc>
          <w:tcPr>
            <w:tcW w:type="dxa" w:w="2556"/>
            <w:vAlign w:val="top"/>
          </w:tcPr>
          <w:p>
            <w:r>
              <w:rPr>
                <w:sz w:val="15"/>
              </w:rPr>
              <w:t>Right to object</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22</w:t>
            </w:r>
          </w:p>
        </w:tc>
        <w:tc>
          <w:tcPr>
            <w:tcW w:type="dxa" w:w="2556"/>
            <w:vAlign w:val="top"/>
          </w:tcPr>
          <w:p>
            <w:r>
              <w:rPr>
                <w:sz w:val="15"/>
              </w:rPr>
              <w:t>Automated individual decision-making, including profiling</w:t>
            </w:r>
          </w:p>
        </w:tc>
        <w:tc>
          <w:tcPr>
            <w:tcW w:type="dxa" w:w="2556"/>
            <w:vAlign w:val="top"/>
          </w:tcPr>
          <w:p>
            <w:r>
              <w:rPr>
                <w:sz w:val="15"/>
              </w:rPr>
              <w:t>12</w:t>
            </w:r>
          </w:p>
        </w:tc>
        <w:tc>
          <w:tcPr>
            <w:tcW w:type="dxa" w:w="2556"/>
            <w:vAlign w:val="top"/>
          </w:tcPr>
          <w:p>
            <w:r>
              <w:rPr>
                <w:sz w:val="15"/>
              </w:rPr>
              <w:t>Substantially Addressed</w:t>
            </w:r>
          </w:p>
        </w:tc>
      </w:tr>
      <w:tr>
        <w:tc>
          <w:tcPr>
            <w:tcW w:type="dxa" w:w="2556"/>
            <w:vAlign w:val="top"/>
          </w:tcPr>
          <w:p>
            <w:r>
              <w:rPr>
                <w:sz w:val="15"/>
              </w:rPr>
              <w:t>23</w:t>
            </w:r>
          </w:p>
        </w:tc>
        <w:tc>
          <w:tcPr>
            <w:tcW w:type="dxa" w:w="2556"/>
            <w:vAlign w:val="top"/>
          </w:tcPr>
          <w:p>
            <w:r>
              <w:rPr>
                <w:sz w:val="15"/>
              </w:rPr>
              <w:t>Restrictions</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24</w:t>
            </w:r>
          </w:p>
        </w:tc>
        <w:tc>
          <w:tcPr>
            <w:tcW w:type="dxa" w:w="2556"/>
            <w:vAlign w:val="top"/>
          </w:tcPr>
          <w:p>
            <w:r>
              <w:rPr>
                <w:sz w:val="15"/>
              </w:rPr>
              <w:t>Responsibility of the controller</w:t>
            </w:r>
          </w:p>
        </w:tc>
        <w:tc>
          <w:tcPr>
            <w:tcW w:type="dxa" w:w="2556"/>
            <w:vAlign w:val="top"/>
          </w:tcPr>
          <w:p>
            <w:r>
              <w:rPr>
                <w:sz w:val="15"/>
              </w:rPr>
              <w:t>14</w:t>
            </w:r>
          </w:p>
        </w:tc>
        <w:tc>
          <w:tcPr>
            <w:tcW w:type="dxa" w:w="2556"/>
            <w:vAlign w:val="top"/>
          </w:tcPr>
          <w:p>
            <w:r>
              <w:rPr>
                <w:sz w:val="15"/>
              </w:rPr>
              <w:t>Substantially Addressed</w:t>
            </w:r>
          </w:p>
        </w:tc>
      </w:tr>
      <w:tr>
        <w:tc>
          <w:tcPr>
            <w:tcW w:type="dxa" w:w="2556"/>
            <w:vAlign w:val="top"/>
          </w:tcPr>
          <w:p>
            <w:r>
              <w:rPr>
                <w:sz w:val="15"/>
              </w:rPr>
              <w:t>25</w:t>
            </w:r>
          </w:p>
        </w:tc>
        <w:tc>
          <w:tcPr>
            <w:tcW w:type="dxa" w:w="2556"/>
            <w:vAlign w:val="top"/>
          </w:tcPr>
          <w:p>
            <w:r>
              <w:rPr>
                <w:sz w:val="15"/>
              </w:rPr>
              <w:t>Data protection by design and by default</w:t>
            </w:r>
          </w:p>
        </w:tc>
        <w:tc>
          <w:tcPr>
            <w:tcW w:type="dxa" w:w="2556"/>
            <w:vAlign w:val="top"/>
          </w:tcPr>
          <w:p>
            <w:r>
              <w:rPr>
                <w:sz w:val="15"/>
              </w:rPr>
              <w:t>13</w:t>
            </w:r>
          </w:p>
        </w:tc>
        <w:tc>
          <w:tcPr>
            <w:tcW w:type="dxa" w:w="2556"/>
            <w:vAlign w:val="top"/>
          </w:tcPr>
          <w:p>
            <w:r>
              <w:rPr>
                <w:sz w:val="15"/>
              </w:rPr>
              <w:t>Substantially Addressed</w:t>
            </w:r>
          </w:p>
        </w:tc>
      </w:tr>
      <w:tr>
        <w:tc>
          <w:tcPr>
            <w:tcW w:type="dxa" w:w="2556"/>
            <w:vAlign w:val="top"/>
          </w:tcPr>
          <w:p>
            <w:r>
              <w:rPr>
                <w:sz w:val="15"/>
              </w:rPr>
              <w:t>26</w:t>
            </w:r>
          </w:p>
        </w:tc>
        <w:tc>
          <w:tcPr>
            <w:tcW w:type="dxa" w:w="2556"/>
            <w:vAlign w:val="top"/>
          </w:tcPr>
          <w:p>
            <w:r>
              <w:rPr>
                <w:sz w:val="15"/>
              </w:rPr>
              <w:t>Joint controllers</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27</w:t>
            </w:r>
          </w:p>
        </w:tc>
        <w:tc>
          <w:tcPr>
            <w:tcW w:type="dxa" w:w="2556"/>
            <w:vAlign w:val="top"/>
          </w:tcPr>
          <w:p>
            <w:r>
              <w:rPr>
                <w:sz w:val="15"/>
              </w:rPr>
              <w:t>Representatives of controllers or processors not established in the Union</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28</w:t>
            </w:r>
          </w:p>
        </w:tc>
        <w:tc>
          <w:tcPr>
            <w:tcW w:type="dxa" w:w="2556"/>
            <w:vAlign w:val="top"/>
          </w:tcPr>
          <w:p>
            <w:r>
              <w:rPr>
                <w:sz w:val="15"/>
              </w:rPr>
              <w:t>Processor</w:t>
            </w:r>
          </w:p>
        </w:tc>
        <w:tc>
          <w:tcPr>
            <w:tcW w:type="dxa" w:w="2556"/>
            <w:vAlign w:val="top"/>
          </w:tcPr>
          <w:p>
            <w:r>
              <w:rPr>
                <w:sz w:val="15"/>
              </w:rPr>
              <w:t>5</w:t>
            </w:r>
          </w:p>
        </w:tc>
        <w:tc>
          <w:tcPr>
            <w:tcW w:type="dxa" w:w="2556"/>
            <w:vAlign w:val="top"/>
          </w:tcPr>
          <w:p>
            <w:r>
              <w:rPr>
                <w:sz w:val="15"/>
              </w:rPr>
              <w:t>Substantially Addressed</w:t>
            </w:r>
          </w:p>
        </w:tc>
      </w:tr>
      <w:tr>
        <w:tc>
          <w:tcPr>
            <w:tcW w:type="dxa" w:w="2556"/>
            <w:vAlign w:val="top"/>
          </w:tcPr>
          <w:p>
            <w:r>
              <w:rPr>
                <w:sz w:val="15"/>
              </w:rPr>
              <w:t>29</w:t>
            </w:r>
          </w:p>
        </w:tc>
        <w:tc>
          <w:tcPr>
            <w:tcW w:type="dxa" w:w="2556"/>
            <w:vAlign w:val="top"/>
          </w:tcPr>
          <w:p>
            <w:r>
              <w:rPr>
                <w:sz w:val="15"/>
              </w:rPr>
              <w:t>Processing under the authority of the controller or processor</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30</w:t>
            </w:r>
          </w:p>
        </w:tc>
        <w:tc>
          <w:tcPr>
            <w:tcW w:type="dxa" w:w="2556"/>
            <w:vAlign w:val="top"/>
          </w:tcPr>
          <w:p>
            <w:r>
              <w:rPr>
                <w:sz w:val="15"/>
              </w:rPr>
              <w:t>Records of processing activities</w:t>
            </w:r>
          </w:p>
        </w:tc>
        <w:tc>
          <w:tcPr>
            <w:tcW w:type="dxa" w:w="2556"/>
            <w:vAlign w:val="top"/>
          </w:tcPr>
          <w:p>
            <w:r>
              <w:rPr>
                <w:sz w:val="15"/>
              </w:rPr>
              <w:t>1</w:t>
            </w:r>
          </w:p>
        </w:tc>
        <w:tc>
          <w:tcPr>
            <w:tcW w:type="dxa" w:w="2556"/>
            <w:vAlign w:val="top"/>
          </w:tcPr>
          <w:p>
            <w:r>
              <w:rPr>
                <w:sz w:val="15"/>
              </w:rPr>
              <w:t>Indirectly Supported</w:t>
            </w:r>
          </w:p>
        </w:tc>
      </w:tr>
      <w:tr>
        <w:tc>
          <w:tcPr>
            <w:tcW w:type="dxa" w:w="2556"/>
            <w:vAlign w:val="top"/>
          </w:tcPr>
          <w:p>
            <w:r>
              <w:rPr>
                <w:sz w:val="15"/>
              </w:rPr>
              <w:t>31</w:t>
            </w:r>
          </w:p>
        </w:tc>
        <w:tc>
          <w:tcPr>
            <w:tcW w:type="dxa" w:w="2556"/>
            <w:vAlign w:val="top"/>
          </w:tcPr>
          <w:p>
            <w:r>
              <w:rPr>
                <w:sz w:val="15"/>
              </w:rPr>
              <w:t>Cooperation with the supervisory authority</w:t>
            </w:r>
          </w:p>
        </w:tc>
        <w:tc>
          <w:tcPr>
            <w:tcW w:type="dxa" w:w="2556"/>
            <w:vAlign w:val="top"/>
          </w:tcPr>
          <w:p>
            <w:r>
              <w:rPr>
                <w:sz w:val="15"/>
              </w:rPr>
              <w:t>1</w:t>
            </w:r>
          </w:p>
        </w:tc>
        <w:tc>
          <w:tcPr>
            <w:tcW w:type="dxa" w:w="2556"/>
            <w:vAlign w:val="top"/>
          </w:tcPr>
          <w:p>
            <w:r>
              <w:rPr>
                <w:sz w:val="15"/>
              </w:rPr>
              <w:t>Indirectly Supported</w:t>
            </w:r>
          </w:p>
        </w:tc>
      </w:tr>
      <w:tr>
        <w:tc>
          <w:tcPr>
            <w:tcW w:type="dxa" w:w="2556"/>
            <w:vAlign w:val="top"/>
          </w:tcPr>
          <w:p>
            <w:r>
              <w:rPr>
                <w:sz w:val="15"/>
              </w:rPr>
              <w:t>32</w:t>
            </w:r>
          </w:p>
        </w:tc>
        <w:tc>
          <w:tcPr>
            <w:tcW w:type="dxa" w:w="2556"/>
            <w:vAlign w:val="top"/>
          </w:tcPr>
          <w:p>
            <w:r>
              <w:rPr>
                <w:sz w:val="15"/>
              </w:rPr>
              <w:t>Security of processing</w:t>
            </w:r>
          </w:p>
        </w:tc>
        <w:tc>
          <w:tcPr>
            <w:tcW w:type="dxa" w:w="2556"/>
            <w:vAlign w:val="top"/>
          </w:tcPr>
          <w:p>
            <w:r>
              <w:rPr>
                <w:sz w:val="15"/>
              </w:rPr>
              <w:t>22</w:t>
            </w:r>
          </w:p>
        </w:tc>
        <w:tc>
          <w:tcPr>
            <w:tcW w:type="dxa" w:w="2556"/>
            <w:vAlign w:val="top"/>
          </w:tcPr>
          <w:p>
            <w:r>
              <w:rPr>
                <w:sz w:val="15"/>
              </w:rPr>
              <w:t>Substantially Addressed</w:t>
            </w:r>
          </w:p>
        </w:tc>
      </w:tr>
      <w:tr>
        <w:tc>
          <w:tcPr>
            <w:tcW w:type="dxa" w:w="2556"/>
            <w:vAlign w:val="top"/>
          </w:tcPr>
          <w:p>
            <w:r>
              <w:rPr>
                <w:sz w:val="15"/>
              </w:rPr>
              <w:t>33</w:t>
            </w:r>
          </w:p>
        </w:tc>
        <w:tc>
          <w:tcPr>
            <w:tcW w:type="dxa" w:w="2556"/>
            <w:vAlign w:val="top"/>
          </w:tcPr>
          <w:p>
            <w:r>
              <w:rPr>
                <w:sz w:val="15"/>
              </w:rPr>
              <w:t>Notification of a personal data breach to the supervisory authority</w:t>
            </w:r>
          </w:p>
        </w:tc>
        <w:tc>
          <w:tcPr>
            <w:tcW w:type="dxa" w:w="2556"/>
            <w:vAlign w:val="top"/>
          </w:tcPr>
          <w:p>
            <w:r>
              <w:rPr>
                <w:sz w:val="15"/>
              </w:rPr>
              <w:t>14</w:t>
            </w:r>
          </w:p>
        </w:tc>
        <w:tc>
          <w:tcPr>
            <w:tcW w:type="dxa" w:w="2556"/>
            <w:vAlign w:val="top"/>
          </w:tcPr>
          <w:p>
            <w:r>
              <w:rPr>
                <w:sz w:val="15"/>
              </w:rPr>
              <w:t>Substantially Addressed</w:t>
            </w:r>
          </w:p>
        </w:tc>
      </w:tr>
      <w:tr>
        <w:tc>
          <w:tcPr>
            <w:tcW w:type="dxa" w:w="2556"/>
            <w:vAlign w:val="top"/>
          </w:tcPr>
          <w:p>
            <w:r>
              <w:rPr>
                <w:sz w:val="15"/>
              </w:rPr>
              <w:t>34</w:t>
            </w:r>
          </w:p>
        </w:tc>
        <w:tc>
          <w:tcPr>
            <w:tcW w:type="dxa" w:w="2556"/>
            <w:vAlign w:val="top"/>
          </w:tcPr>
          <w:p>
            <w:r>
              <w:rPr>
                <w:sz w:val="15"/>
              </w:rPr>
              <w:t>Communication of a personal data breach to the data subject</w:t>
            </w:r>
          </w:p>
        </w:tc>
        <w:tc>
          <w:tcPr>
            <w:tcW w:type="dxa" w:w="2556"/>
            <w:vAlign w:val="top"/>
          </w:tcPr>
          <w:p>
            <w:r>
              <w:rPr>
                <w:sz w:val="15"/>
              </w:rPr>
              <w:t>17</w:t>
            </w:r>
          </w:p>
        </w:tc>
        <w:tc>
          <w:tcPr>
            <w:tcW w:type="dxa" w:w="2556"/>
            <w:vAlign w:val="top"/>
          </w:tcPr>
          <w:p>
            <w:r>
              <w:rPr>
                <w:sz w:val="15"/>
              </w:rPr>
              <w:t>Substantially Addressed</w:t>
            </w:r>
          </w:p>
        </w:tc>
      </w:tr>
      <w:tr>
        <w:tc>
          <w:tcPr>
            <w:tcW w:type="dxa" w:w="2556"/>
            <w:vAlign w:val="top"/>
          </w:tcPr>
          <w:p>
            <w:r>
              <w:rPr>
                <w:sz w:val="15"/>
              </w:rPr>
              <w:t>35</w:t>
            </w:r>
          </w:p>
        </w:tc>
        <w:tc>
          <w:tcPr>
            <w:tcW w:type="dxa" w:w="2556"/>
            <w:vAlign w:val="top"/>
          </w:tcPr>
          <w:p>
            <w:r>
              <w:rPr>
                <w:sz w:val="15"/>
              </w:rPr>
              <w:t>Data protection impact assessment</w:t>
            </w:r>
          </w:p>
        </w:tc>
        <w:tc>
          <w:tcPr>
            <w:tcW w:type="dxa" w:w="2556"/>
            <w:vAlign w:val="top"/>
          </w:tcPr>
          <w:p>
            <w:r>
              <w:rPr>
                <w:sz w:val="15"/>
              </w:rPr>
              <w:t>8</w:t>
            </w:r>
          </w:p>
        </w:tc>
        <w:tc>
          <w:tcPr>
            <w:tcW w:type="dxa" w:w="2556"/>
            <w:vAlign w:val="top"/>
          </w:tcPr>
          <w:p>
            <w:r>
              <w:rPr>
                <w:sz w:val="15"/>
              </w:rPr>
              <w:t>Substantially Addressed</w:t>
            </w:r>
          </w:p>
        </w:tc>
      </w:tr>
      <w:tr>
        <w:tc>
          <w:tcPr>
            <w:tcW w:type="dxa" w:w="2556"/>
            <w:vAlign w:val="top"/>
          </w:tcPr>
          <w:p>
            <w:r>
              <w:rPr>
                <w:sz w:val="15"/>
              </w:rPr>
              <w:t>36</w:t>
            </w:r>
          </w:p>
        </w:tc>
        <w:tc>
          <w:tcPr>
            <w:tcW w:type="dxa" w:w="2556"/>
            <w:vAlign w:val="top"/>
          </w:tcPr>
          <w:p>
            <w:r>
              <w:rPr>
                <w:sz w:val="15"/>
              </w:rPr>
              <w:t>Prior consultation</w:t>
            </w:r>
          </w:p>
        </w:tc>
        <w:tc>
          <w:tcPr>
            <w:tcW w:type="dxa" w:w="2556"/>
            <w:vAlign w:val="top"/>
          </w:tcPr>
          <w:p>
            <w:r>
              <w:rPr>
                <w:sz w:val="15"/>
              </w:rPr>
              <w:t>4</w:t>
            </w:r>
          </w:p>
        </w:tc>
        <w:tc>
          <w:tcPr>
            <w:tcW w:type="dxa" w:w="2556"/>
            <w:vAlign w:val="top"/>
          </w:tcPr>
          <w:p>
            <w:r>
              <w:rPr>
                <w:sz w:val="15"/>
              </w:rPr>
              <w:t>Partially Addressed</w:t>
            </w:r>
          </w:p>
        </w:tc>
      </w:tr>
      <w:tr>
        <w:tc>
          <w:tcPr>
            <w:tcW w:type="dxa" w:w="2556"/>
            <w:vAlign w:val="top"/>
          </w:tcPr>
          <w:p>
            <w:r>
              <w:rPr>
                <w:sz w:val="15"/>
              </w:rPr>
              <w:t>37</w:t>
            </w:r>
          </w:p>
        </w:tc>
        <w:tc>
          <w:tcPr>
            <w:tcW w:type="dxa" w:w="2556"/>
            <w:vAlign w:val="top"/>
          </w:tcPr>
          <w:p>
            <w:r>
              <w:rPr>
                <w:sz w:val="15"/>
              </w:rPr>
              <w:t>Designation of the data protection officer</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38</w:t>
            </w:r>
          </w:p>
        </w:tc>
        <w:tc>
          <w:tcPr>
            <w:tcW w:type="dxa" w:w="2556"/>
            <w:vAlign w:val="top"/>
          </w:tcPr>
          <w:p>
            <w:r>
              <w:rPr>
                <w:sz w:val="15"/>
              </w:rPr>
              <w:t>Position of the data protection officer</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39</w:t>
            </w:r>
          </w:p>
        </w:tc>
        <w:tc>
          <w:tcPr>
            <w:tcW w:type="dxa" w:w="2556"/>
            <w:vAlign w:val="top"/>
          </w:tcPr>
          <w:p>
            <w:r>
              <w:rPr>
                <w:sz w:val="15"/>
              </w:rPr>
              <w:t>Tasks of the data protection officer</w:t>
            </w:r>
          </w:p>
        </w:tc>
        <w:tc>
          <w:tcPr>
            <w:tcW w:type="dxa" w:w="2556"/>
            <w:vAlign w:val="top"/>
          </w:tcPr>
          <w:p>
            <w:r>
              <w:rPr>
                <w:sz w:val="15"/>
              </w:rPr>
              <w:t>8</w:t>
            </w:r>
          </w:p>
        </w:tc>
        <w:tc>
          <w:tcPr>
            <w:tcW w:type="dxa" w:w="2556"/>
            <w:vAlign w:val="top"/>
          </w:tcPr>
          <w:p>
            <w:r>
              <w:rPr>
                <w:sz w:val="15"/>
              </w:rPr>
              <w:t>Substantially Addressed</w:t>
            </w:r>
          </w:p>
        </w:tc>
      </w:tr>
      <w:tr>
        <w:tc>
          <w:tcPr>
            <w:tcW w:type="dxa" w:w="2556"/>
            <w:vAlign w:val="top"/>
          </w:tcPr>
          <w:p>
            <w:r>
              <w:rPr>
                <w:sz w:val="15"/>
              </w:rPr>
              <w:t>40</w:t>
            </w:r>
          </w:p>
        </w:tc>
        <w:tc>
          <w:tcPr>
            <w:tcW w:type="dxa" w:w="2556"/>
            <w:vAlign w:val="top"/>
          </w:tcPr>
          <w:p>
            <w:r>
              <w:rPr>
                <w:sz w:val="15"/>
              </w:rPr>
              <w:t>Codes of conduct</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41</w:t>
            </w:r>
          </w:p>
        </w:tc>
        <w:tc>
          <w:tcPr>
            <w:tcW w:type="dxa" w:w="2556"/>
            <w:vAlign w:val="top"/>
          </w:tcPr>
          <w:p>
            <w:r>
              <w:rPr>
                <w:sz w:val="15"/>
              </w:rPr>
              <w:t>Monitoring of approved codes of conduct</w:t>
            </w:r>
          </w:p>
        </w:tc>
        <w:tc>
          <w:tcPr>
            <w:tcW w:type="dxa" w:w="2556"/>
            <w:vAlign w:val="top"/>
          </w:tcPr>
          <w:p>
            <w:r>
              <w:rPr>
                <w:sz w:val="15"/>
              </w:rPr>
              <w:t>3</w:t>
            </w:r>
          </w:p>
        </w:tc>
        <w:tc>
          <w:tcPr>
            <w:tcW w:type="dxa" w:w="2556"/>
            <w:vAlign w:val="top"/>
          </w:tcPr>
          <w:p>
            <w:r>
              <w:rPr>
                <w:sz w:val="15"/>
              </w:rPr>
              <w:t>Partially Addressed</w:t>
            </w:r>
          </w:p>
        </w:tc>
      </w:tr>
      <w:tr>
        <w:tc>
          <w:tcPr>
            <w:tcW w:type="dxa" w:w="2556"/>
            <w:vAlign w:val="top"/>
          </w:tcPr>
          <w:p>
            <w:r>
              <w:rPr>
                <w:sz w:val="15"/>
              </w:rPr>
              <w:t>42</w:t>
            </w:r>
          </w:p>
        </w:tc>
        <w:tc>
          <w:tcPr>
            <w:tcW w:type="dxa" w:w="2556"/>
            <w:vAlign w:val="top"/>
          </w:tcPr>
          <w:p>
            <w:r>
              <w:rPr>
                <w:sz w:val="15"/>
              </w:rPr>
              <w:t>Certification</w:t>
            </w:r>
          </w:p>
        </w:tc>
        <w:tc>
          <w:tcPr>
            <w:tcW w:type="dxa" w:w="2556"/>
            <w:vAlign w:val="top"/>
          </w:tcPr>
          <w:p>
            <w:r>
              <w:rPr>
                <w:sz w:val="15"/>
              </w:rPr>
              <w:t>2</w:t>
            </w:r>
          </w:p>
        </w:tc>
        <w:tc>
          <w:tcPr>
            <w:tcW w:type="dxa" w:w="2556"/>
            <w:vAlign w:val="top"/>
          </w:tcPr>
          <w:p>
            <w:r>
              <w:rPr>
                <w:sz w:val="15"/>
              </w:rPr>
              <w:t>Partially Addressed</w:t>
            </w:r>
          </w:p>
        </w:tc>
      </w:tr>
      <w:tr>
        <w:tc>
          <w:tcPr>
            <w:tcW w:type="dxa" w:w="2556"/>
            <w:vAlign w:val="top"/>
          </w:tcPr>
          <w:p>
            <w:r>
              <w:rPr>
                <w:sz w:val="15"/>
              </w:rPr>
              <w:t>43</w:t>
            </w:r>
          </w:p>
        </w:tc>
        <w:tc>
          <w:tcPr>
            <w:tcW w:type="dxa" w:w="2556"/>
            <w:vAlign w:val="top"/>
          </w:tcPr>
          <w:p>
            <w:r>
              <w:rPr>
                <w:sz w:val="15"/>
              </w:rPr>
              <w:t>Certification bodies</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44</w:t>
            </w:r>
          </w:p>
        </w:tc>
        <w:tc>
          <w:tcPr>
            <w:tcW w:type="dxa" w:w="2556"/>
            <w:vAlign w:val="top"/>
          </w:tcPr>
          <w:p>
            <w:r>
              <w:rPr>
                <w:sz w:val="15"/>
              </w:rPr>
              <w:t>General principle for transfers</w:t>
            </w:r>
          </w:p>
        </w:tc>
        <w:tc>
          <w:tcPr>
            <w:tcW w:type="dxa" w:w="2556"/>
            <w:vAlign w:val="top"/>
          </w:tcPr>
          <w:p>
            <w:r>
              <w:rPr>
                <w:sz w:val="15"/>
              </w:rPr>
              <w:t>7</w:t>
            </w:r>
          </w:p>
        </w:tc>
        <w:tc>
          <w:tcPr>
            <w:tcW w:type="dxa" w:w="2556"/>
            <w:vAlign w:val="top"/>
          </w:tcPr>
          <w:p>
            <w:r>
              <w:rPr>
                <w:sz w:val="15"/>
              </w:rPr>
              <w:t>Substantially Addressed</w:t>
            </w:r>
          </w:p>
        </w:tc>
      </w:tr>
      <w:tr>
        <w:tc>
          <w:tcPr>
            <w:tcW w:type="dxa" w:w="2556"/>
            <w:vAlign w:val="top"/>
          </w:tcPr>
          <w:p>
            <w:r>
              <w:rPr>
                <w:sz w:val="15"/>
              </w:rPr>
              <w:t>45</w:t>
            </w:r>
          </w:p>
        </w:tc>
        <w:tc>
          <w:tcPr>
            <w:tcW w:type="dxa" w:w="2556"/>
            <w:vAlign w:val="top"/>
          </w:tcPr>
          <w:p>
            <w:r>
              <w:rPr>
                <w:sz w:val="15"/>
              </w:rPr>
              <w:t>Transfers on the basis of an adequacy decision</w:t>
            </w:r>
          </w:p>
        </w:tc>
        <w:tc>
          <w:tcPr>
            <w:tcW w:type="dxa" w:w="2556"/>
            <w:vAlign w:val="top"/>
          </w:tcPr>
          <w:p>
            <w:r>
              <w:rPr>
                <w:sz w:val="15"/>
              </w:rPr>
              <w:t>7</w:t>
            </w:r>
          </w:p>
        </w:tc>
        <w:tc>
          <w:tcPr>
            <w:tcW w:type="dxa" w:w="2556"/>
            <w:vAlign w:val="top"/>
          </w:tcPr>
          <w:p>
            <w:r>
              <w:rPr>
                <w:sz w:val="15"/>
              </w:rPr>
              <w:t>Substantially Addressed</w:t>
            </w:r>
          </w:p>
        </w:tc>
      </w:tr>
      <w:tr>
        <w:tc>
          <w:tcPr>
            <w:tcW w:type="dxa" w:w="2556"/>
            <w:vAlign w:val="top"/>
          </w:tcPr>
          <w:p>
            <w:r>
              <w:rPr>
                <w:sz w:val="15"/>
              </w:rPr>
              <w:t>46</w:t>
            </w:r>
          </w:p>
        </w:tc>
        <w:tc>
          <w:tcPr>
            <w:tcW w:type="dxa" w:w="2556"/>
            <w:vAlign w:val="top"/>
          </w:tcPr>
          <w:p>
            <w:r>
              <w:rPr>
                <w:sz w:val="15"/>
              </w:rPr>
              <w:t>Transfers subject to appropriate safeguards</w:t>
            </w:r>
          </w:p>
        </w:tc>
        <w:tc>
          <w:tcPr>
            <w:tcW w:type="dxa" w:w="2556"/>
            <w:vAlign w:val="top"/>
          </w:tcPr>
          <w:p>
            <w:r>
              <w:rPr>
                <w:sz w:val="15"/>
              </w:rPr>
              <w:t>8</w:t>
            </w:r>
          </w:p>
        </w:tc>
        <w:tc>
          <w:tcPr>
            <w:tcW w:type="dxa" w:w="2556"/>
            <w:vAlign w:val="top"/>
          </w:tcPr>
          <w:p>
            <w:r>
              <w:rPr>
                <w:sz w:val="15"/>
              </w:rPr>
              <w:t>Substantially Addressed</w:t>
            </w:r>
          </w:p>
        </w:tc>
      </w:tr>
      <w:tr>
        <w:tc>
          <w:tcPr>
            <w:tcW w:type="dxa" w:w="2556"/>
            <w:vAlign w:val="top"/>
          </w:tcPr>
          <w:p>
            <w:r>
              <w:rPr>
                <w:sz w:val="15"/>
              </w:rPr>
              <w:t>47</w:t>
            </w:r>
          </w:p>
        </w:tc>
        <w:tc>
          <w:tcPr>
            <w:tcW w:type="dxa" w:w="2556"/>
            <w:vAlign w:val="top"/>
          </w:tcPr>
          <w:p>
            <w:r>
              <w:rPr>
                <w:sz w:val="15"/>
              </w:rPr>
              <w:t>Binding corporate rules</w:t>
            </w:r>
          </w:p>
        </w:tc>
        <w:tc>
          <w:tcPr>
            <w:tcW w:type="dxa" w:w="2556"/>
            <w:vAlign w:val="top"/>
          </w:tcPr>
          <w:p>
            <w:r>
              <w:rPr>
                <w:sz w:val="15"/>
              </w:rPr>
              <w:t>1</w:t>
            </w:r>
          </w:p>
        </w:tc>
        <w:tc>
          <w:tcPr>
            <w:tcW w:type="dxa" w:w="2556"/>
            <w:vAlign w:val="top"/>
          </w:tcPr>
          <w:p>
            <w:r>
              <w:rPr>
                <w:sz w:val="15"/>
              </w:rPr>
              <w:t>Indirectly Supported</w:t>
            </w:r>
          </w:p>
        </w:tc>
      </w:tr>
      <w:tr>
        <w:tc>
          <w:tcPr>
            <w:tcW w:type="dxa" w:w="2556"/>
            <w:vAlign w:val="top"/>
          </w:tcPr>
          <w:p>
            <w:r>
              <w:rPr>
                <w:sz w:val="15"/>
              </w:rPr>
              <w:t>48</w:t>
            </w:r>
          </w:p>
        </w:tc>
        <w:tc>
          <w:tcPr>
            <w:tcW w:type="dxa" w:w="2556"/>
            <w:vAlign w:val="top"/>
          </w:tcPr>
          <w:p>
            <w:r>
              <w:rPr>
                <w:sz w:val="15"/>
              </w:rPr>
              <w:t>Transfers or disclosures not authorised by Union law</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49</w:t>
            </w:r>
          </w:p>
        </w:tc>
        <w:tc>
          <w:tcPr>
            <w:tcW w:type="dxa" w:w="2556"/>
            <w:vAlign w:val="top"/>
          </w:tcPr>
          <w:p>
            <w:r>
              <w:rPr>
                <w:sz w:val="15"/>
              </w:rPr>
              <w:t>Derogations for specific situations</w:t>
            </w:r>
          </w:p>
        </w:tc>
        <w:tc>
          <w:tcPr>
            <w:tcW w:type="dxa" w:w="2556"/>
            <w:vAlign w:val="top"/>
          </w:tcPr>
          <w:p>
            <w:r>
              <w:rPr>
                <w:sz w:val="15"/>
              </w:rPr>
              <w:t>2</w:t>
            </w:r>
          </w:p>
        </w:tc>
        <w:tc>
          <w:tcPr>
            <w:tcW w:type="dxa" w:w="2556"/>
            <w:vAlign w:val="top"/>
          </w:tcPr>
          <w:p>
            <w:r>
              <w:rPr>
                <w:sz w:val="15"/>
              </w:rPr>
              <w:t>Partially Addressed</w:t>
            </w:r>
          </w:p>
        </w:tc>
      </w:tr>
      <w:tr>
        <w:tc>
          <w:tcPr>
            <w:tcW w:type="dxa" w:w="2556"/>
            <w:vAlign w:val="top"/>
          </w:tcPr>
          <w:p>
            <w:r>
              <w:rPr>
                <w:sz w:val="15"/>
              </w:rPr>
              <w:t>50</w:t>
            </w:r>
          </w:p>
        </w:tc>
        <w:tc>
          <w:tcPr>
            <w:tcW w:type="dxa" w:w="2556"/>
            <w:vAlign w:val="top"/>
          </w:tcPr>
          <w:p>
            <w:r>
              <w:rPr>
                <w:sz w:val="15"/>
              </w:rPr>
              <w:t>International cooperation for the protection of personal data</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77</w:t>
            </w:r>
          </w:p>
        </w:tc>
        <w:tc>
          <w:tcPr>
            <w:tcW w:type="dxa" w:w="2556"/>
            <w:vAlign w:val="top"/>
          </w:tcPr>
          <w:p>
            <w:r>
              <w:rPr>
                <w:sz w:val="15"/>
              </w:rPr>
              <w:t>Right to lodge a complaint with a supervisory authority</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78</w:t>
            </w:r>
          </w:p>
        </w:tc>
        <w:tc>
          <w:tcPr>
            <w:tcW w:type="dxa" w:w="2556"/>
            <w:vAlign w:val="top"/>
          </w:tcPr>
          <w:p>
            <w:r>
              <w:rPr>
                <w:sz w:val="15"/>
              </w:rPr>
              <w:t>Right to an effective judicial remedy against a supervisory authority</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79</w:t>
            </w:r>
          </w:p>
        </w:tc>
        <w:tc>
          <w:tcPr>
            <w:tcW w:type="dxa" w:w="2556"/>
            <w:vAlign w:val="top"/>
          </w:tcPr>
          <w:p>
            <w:r>
              <w:rPr>
                <w:sz w:val="15"/>
              </w:rPr>
              <w:t>Right to an effective judicial remedy against a controller or processor</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80</w:t>
            </w:r>
          </w:p>
        </w:tc>
        <w:tc>
          <w:tcPr>
            <w:tcW w:type="dxa" w:w="2556"/>
            <w:vAlign w:val="top"/>
          </w:tcPr>
          <w:p>
            <w:r>
              <w:rPr>
                <w:sz w:val="15"/>
              </w:rPr>
              <w:t>Representation of data subjects</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81</w:t>
            </w:r>
          </w:p>
        </w:tc>
        <w:tc>
          <w:tcPr>
            <w:tcW w:type="dxa" w:w="2556"/>
            <w:vAlign w:val="top"/>
          </w:tcPr>
          <w:p>
            <w:r>
              <w:rPr>
                <w:sz w:val="15"/>
              </w:rPr>
              <w:t>Suspension of proceedings</w:t>
            </w:r>
          </w:p>
        </w:tc>
        <w:tc>
          <w:tcPr>
            <w:tcW w:type="dxa" w:w="2556"/>
            <w:vAlign w:val="top"/>
          </w:tcPr>
          <w:p>
            <w:r>
              <w:rPr>
                <w:sz w:val="15"/>
              </w:rPr>
              <w:t>0</w:t>
            </w:r>
          </w:p>
        </w:tc>
        <w:tc>
          <w:tcPr>
            <w:tcW w:type="dxa" w:w="2556"/>
            <w:vAlign w:val="top"/>
          </w:tcPr>
          <w:p>
            <w:r>
              <w:rPr>
                <w:sz w:val="15"/>
              </w:rPr>
              <w:t>Not Addressed</w:t>
            </w:r>
          </w:p>
        </w:tc>
      </w:tr>
      <w:tr>
        <w:tc>
          <w:tcPr>
            <w:tcW w:type="dxa" w:w="2556"/>
            <w:vAlign w:val="top"/>
          </w:tcPr>
          <w:p>
            <w:r>
              <w:rPr>
                <w:sz w:val="15"/>
              </w:rPr>
              <w:t>82</w:t>
            </w:r>
          </w:p>
        </w:tc>
        <w:tc>
          <w:tcPr>
            <w:tcW w:type="dxa" w:w="2556"/>
            <w:vAlign w:val="top"/>
          </w:tcPr>
          <w:p>
            <w:r>
              <w:rPr>
                <w:sz w:val="15"/>
              </w:rPr>
              <w:t>Right to compensation and liability</w:t>
            </w:r>
          </w:p>
        </w:tc>
        <w:tc>
          <w:tcPr>
            <w:tcW w:type="dxa" w:w="2556"/>
            <w:vAlign w:val="top"/>
          </w:tcPr>
          <w:p>
            <w:r>
              <w:rPr>
                <w:sz w:val="15"/>
              </w:rPr>
              <w:t>10</w:t>
            </w:r>
          </w:p>
        </w:tc>
        <w:tc>
          <w:tcPr>
            <w:tcW w:type="dxa" w:w="2556"/>
            <w:vAlign w:val="top"/>
          </w:tcPr>
          <w:p>
            <w:r>
              <w:rPr>
                <w:sz w:val="15"/>
              </w:rPr>
              <w:t>Substantially Addressed</w:t>
            </w:r>
          </w:p>
        </w:tc>
      </w:tr>
      <w:tr>
        <w:tc>
          <w:tcPr>
            <w:tcW w:type="dxa" w:w="2556"/>
            <w:vAlign w:val="top"/>
          </w:tcPr>
          <w:p>
            <w:r>
              <w:rPr>
                <w:sz w:val="15"/>
              </w:rPr>
              <w:t>83</w:t>
            </w:r>
          </w:p>
        </w:tc>
        <w:tc>
          <w:tcPr>
            <w:tcW w:type="dxa" w:w="2556"/>
            <w:vAlign w:val="top"/>
          </w:tcPr>
          <w:p>
            <w:r>
              <w:rPr>
                <w:sz w:val="15"/>
              </w:rPr>
              <w:t>General conditions for imposing administrative fines</w:t>
            </w:r>
          </w:p>
        </w:tc>
        <w:tc>
          <w:tcPr>
            <w:tcW w:type="dxa" w:w="2556"/>
            <w:vAlign w:val="top"/>
          </w:tcPr>
          <w:p>
            <w:r>
              <w:rPr>
                <w:sz w:val="15"/>
              </w:rPr>
              <w:t>3</w:t>
            </w:r>
          </w:p>
        </w:tc>
        <w:tc>
          <w:tcPr>
            <w:tcW w:type="dxa" w:w="2556"/>
            <w:vAlign w:val="top"/>
          </w:tcPr>
          <w:p>
            <w:r>
              <w:rPr>
                <w:sz w:val="15"/>
              </w:rPr>
              <w:t>Partially Addressed</w:t>
            </w:r>
          </w:p>
        </w:tc>
      </w:tr>
      <w:tr>
        <w:tc>
          <w:tcPr>
            <w:tcW w:type="dxa" w:w="2556"/>
            <w:vAlign w:val="top"/>
          </w:tcPr>
          <w:p>
            <w:r>
              <w:rPr>
                <w:sz w:val="15"/>
              </w:rPr>
              <w:t>84</w:t>
            </w:r>
          </w:p>
        </w:tc>
        <w:tc>
          <w:tcPr>
            <w:tcW w:type="dxa" w:w="2556"/>
            <w:vAlign w:val="top"/>
          </w:tcPr>
          <w:p>
            <w:r>
              <w:rPr>
                <w:sz w:val="15"/>
              </w:rPr>
              <w:t>Penalties</w:t>
            </w:r>
          </w:p>
        </w:tc>
        <w:tc>
          <w:tcPr>
            <w:tcW w:type="dxa" w:w="2556"/>
            <w:vAlign w:val="top"/>
          </w:tcPr>
          <w:p>
            <w:r>
              <w:rPr>
                <w:sz w:val="15"/>
              </w:rPr>
              <w:t>3</w:t>
            </w:r>
          </w:p>
        </w:tc>
        <w:tc>
          <w:tcPr>
            <w:tcW w:type="dxa" w:w="2556"/>
            <w:vAlign w:val="top"/>
          </w:tcPr>
          <w:p>
            <w:r>
              <w:rPr>
                <w:sz w:val="15"/>
              </w:rPr>
              <w:t>Partially Addressed</w:t>
            </w:r>
          </w:p>
        </w:tc>
      </w:tr>
    </w:tbl>
    <w:p>
      <w:pPr>
        <w:pStyle w:val="Heading1"/>
      </w:pPr>
      <w:r>
        <w:t>Annex A — Complete GAISSF-to-GDPR Mapping Register</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rPr>
          <w:tblHeader w:val="true"/>
        </w:trPr>
        <w:tc>
          <w:tcPr>
            <w:tcW w:type="dxa" w:w="1704"/>
            <w:shd w:fill="163A5F"/>
          </w:tcPr>
          <w:p>
            <w:r>
              <w:rPr>
                <w:b/>
                <w:color w:val="FFFFFF"/>
                <w:sz w:val="16"/>
              </w:rPr>
              <w:t>Record</w:t>
            </w:r>
          </w:p>
        </w:tc>
        <w:tc>
          <w:tcPr>
            <w:tcW w:type="dxa" w:w="1704"/>
            <w:shd w:fill="163A5F"/>
          </w:tcPr>
          <w:p>
            <w:r>
              <w:rPr>
                <w:b/>
                <w:color w:val="FFFFFF"/>
                <w:sz w:val="16"/>
              </w:rPr>
              <w:t>GAISSF</w:t>
            </w:r>
          </w:p>
        </w:tc>
        <w:tc>
          <w:tcPr>
            <w:tcW w:type="dxa" w:w="1704"/>
            <w:shd w:fill="163A5F"/>
          </w:tcPr>
          <w:p>
            <w:r>
              <w:rPr>
                <w:b/>
                <w:color w:val="FFFFFF"/>
                <w:sz w:val="16"/>
              </w:rPr>
              <w:t>GDPR</w:t>
            </w:r>
          </w:p>
        </w:tc>
        <w:tc>
          <w:tcPr>
            <w:tcW w:type="dxa" w:w="1704"/>
            <w:shd w:fill="163A5F"/>
          </w:tcPr>
          <w:p>
            <w:r>
              <w:rPr>
                <w:b/>
                <w:color w:val="FFFFFF"/>
                <w:sz w:val="16"/>
              </w:rPr>
              <w:t>Rel.</w:t>
            </w:r>
          </w:p>
        </w:tc>
        <w:tc>
          <w:tcPr>
            <w:tcW w:type="dxa" w:w="1704"/>
            <w:shd w:fill="163A5F"/>
          </w:tcPr>
          <w:p>
            <w:r>
              <w:rPr>
                <w:b/>
                <w:color w:val="FFFFFF"/>
                <w:sz w:val="16"/>
              </w:rPr>
              <w:t>Confidence</w:t>
            </w:r>
          </w:p>
        </w:tc>
        <w:tc>
          <w:tcPr>
            <w:tcW w:type="dxa" w:w="1704"/>
            <w:shd w:fill="163A5F"/>
          </w:tcPr>
          <w:p>
            <w:r>
              <w:rPr>
                <w:b/>
                <w:color w:val="FFFFFF"/>
                <w:sz w:val="16"/>
              </w:rPr>
              <w:t>Rationale / Residual Gap</w:t>
            </w:r>
          </w:p>
        </w:tc>
      </w:tr>
      <w:tr>
        <w:tc>
          <w:tcPr>
            <w:tcW w:type="dxa" w:w="1704"/>
            <w:vAlign w:val="top"/>
          </w:tcPr>
          <w:p>
            <w:r>
              <w:rPr>
                <w:sz w:val="15"/>
              </w:rPr>
              <w:t>CRO030-MAP-0001</w:t>
            </w:r>
          </w:p>
        </w:tc>
        <w:tc>
          <w:tcPr>
            <w:tcW w:type="dxa" w:w="1704"/>
            <w:vAlign w:val="top"/>
          </w:tcPr>
          <w:p>
            <w:r>
              <w:rPr>
                <w:sz w:val="15"/>
              </w:rPr>
              <w:t>D1-CTL-01</w:t>
            </w:r>
          </w:p>
        </w:tc>
        <w:tc>
          <w:tcPr>
            <w:tcW w:type="dxa" w:w="1704"/>
            <w:vAlign w:val="top"/>
          </w:tcPr>
          <w:p>
            <w:r>
              <w:rPr>
                <w:sz w:val="15"/>
              </w:rPr>
              <w:t>Art. 14 — Information to be provided where personal data have not been obtained from the data subject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D1-CTL-01 provides technical or governance capability relevant to the outcome addressed by GDPR Article 14. The relationship is outcome-based and does not establish the required lawful basis, actor status, data-subject procedure, or supervisory interpretation. Article 14 requires processing-context analysis, controller/processor accountability, and legal evidence beyond implementation of this GAISSF control.</w:t>
            </w:r>
          </w:p>
        </w:tc>
      </w:tr>
      <w:tr>
        <w:tc>
          <w:tcPr>
            <w:tcW w:type="dxa" w:w="1704"/>
            <w:vAlign w:val="top"/>
          </w:tcPr>
          <w:p>
            <w:r>
              <w:rPr>
                <w:sz w:val="15"/>
              </w:rPr>
              <w:t>CRO030-MAP-0002</w:t>
            </w:r>
          </w:p>
        </w:tc>
        <w:tc>
          <w:tcPr>
            <w:tcW w:type="dxa" w:w="1704"/>
            <w:vAlign w:val="top"/>
          </w:tcPr>
          <w:p>
            <w:r>
              <w:rPr>
                <w:sz w:val="15"/>
              </w:rPr>
              <w:t>D1-CTL-01</w:t>
            </w:r>
          </w:p>
        </w:tc>
        <w:tc>
          <w:tcPr>
            <w:tcW w:type="dxa" w:w="1704"/>
            <w:vAlign w:val="top"/>
          </w:tcPr>
          <w:p>
            <w:r>
              <w:rPr>
                <w:sz w:val="15"/>
              </w:rPr>
              <w:t>Art. 5 — Principles relating to processing of personal data</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D1-CTL-01 provides technical or governance capability relevant to the outcome addressed by GDPR Article 5. The relationship is outcome-based and does not establish the required lawful basis, actor status, data-subject procedure, or supervisory interpretation. Article 5 requires processing-context analysis, controller/processor accountability, and legal evidence beyond implementation of this GAISSF control.</w:t>
            </w:r>
          </w:p>
        </w:tc>
      </w:tr>
      <w:tr>
        <w:tc>
          <w:tcPr>
            <w:tcW w:type="dxa" w:w="1704"/>
            <w:vAlign w:val="top"/>
          </w:tcPr>
          <w:p>
            <w:r>
              <w:rPr>
                <w:sz w:val="15"/>
              </w:rPr>
              <w:t>CRO030-MAP-0003</w:t>
            </w:r>
          </w:p>
        </w:tc>
        <w:tc>
          <w:tcPr>
            <w:tcW w:type="dxa" w:w="1704"/>
            <w:vAlign w:val="top"/>
          </w:tcPr>
          <w:p>
            <w:r>
              <w:rPr>
                <w:sz w:val="15"/>
              </w:rPr>
              <w:t>D1-CTL-01</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D1-CTL-01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CRO030-MAP-0004</w:t>
            </w:r>
          </w:p>
        </w:tc>
        <w:tc>
          <w:tcPr>
            <w:tcW w:type="dxa" w:w="1704"/>
            <w:vAlign w:val="top"/>
          </w:tcPr>
          <w:p>
            <w:r>
              <w:rPr>
                <w:sz w:val="15"/>
              </w:rPr>
              <w:t>D1-CTL-01</w:t>
            </w:r>
          </w:p>
        </w:tc>
        <w:tc>
          <w:tcPr>
            <w:tcW w:type="dxa" w:w="1704"/>
            <w:vAlign w:val="top"/>
          </w:tcPr>
          <w:p>
            <w:r>
              <w:rPr>
                <w:sz w:val="15"/>
              </w:rPr>
              <w:t>Art. 44 — General principle for transfers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D1-CTL-01 provides technical or governance capability relevant to the outcome addressed by GDPR Article 44. The relationship is outcome-based and does not establish the required lawful basis, actor status, data-subject procedure, or supervisory interpretation. Article 44 requires processing-context analysis, controller/processor accountability, and legal evidence beyond implementation of this GAISSF control.</w:t>
            </w:r>
          </w:p>
        </w:tc>
      </w:tr>
      <w:tr>
        <w:tc>
          <w:tcPr>
            <w:tcW w:type="dxa" w:w="1704"/>
            <w:vAlign w:val="top"/>
          </w:tcPr>
          <w:p>
            <w:r>
              <w:rPr>
                <w:sz w:val="15"/>
              </w:rPr>
              <w:t>CRO030-MAP-0005</w:t>
            </w:r>
          </w:p>
        </w:tc>
        <w:tc>
          <w:tcPr>
            <w:tcW w:type="dxa" w:w="1704"/>
            <w:vAlign w:val="top"/>
          </w:tcPr>
          <w:p>
            <w:r>
              <w:rPr>
                <w:sz w:val="15"/>
              </w:rPr>
              <w:t>D1-CTL-02</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D1-CTL-02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CRO030-MAP-0006</w:t>
            </w:r>
          </w:p>
        </w:tc>
        <w:tc>
          <w:tcPr>
            <w:tcW w:type="dxa" w:w="1704"/>
            <w:vAlign w:val="top"/>
          </w:tcPr>
          <w:p>
            <w:r>
              <w:rPr>
                <w:sz w:val="15"/>
              </w:rPr>
              <w:t>D1-CTL-02</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D1-CTL-02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CRO030-MAP-0007</w:t>
            </w:r>
          </w:p>
        </w:tc>
        <w:tc>
          <w:tcPr>
            <w:tcW w:type="dxa" w:w="1704"/>
            <w:vAlign w:val="top"/>
          </w:tcPr>
          <w:p>
            <w:r>
              <w:rPr>
                <w:sz w:val="15"/>
              </w:rPr>
              <w:t>D1-CTL-02</w:t>
            </w:r>
          </w:p>
        </w:tc>
        <w:tc>
          <w:tcPr>
            <w:tcW w:type="dxa" w:w="1704"/>
            <w:vAlign w:val="top"/>
          </w:tcPr>
          <w:p>
            <w:r>
              <w:rPr>
                <w:sz w:val="15"/>
              </w:rPr>
              <w:t>Art. 33 — Notification of a personal data breach to the supervisory authority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D1-CTL-02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CRO030-MAP-0008</w:t>
            </w:r>
          </w:p>
        </w:tc>
        <w:tc>
          <w:tcPr>
            <w:tcW w:type="dxa" w:w="1704"/>
            <w:vAlign w:val="top"/>
          </w:tcPr>
          <w:p>
            <w:r>
              <w:rPr>
                <w:sz w:val="15"/>
              </w:rPr>
              <w:t>D1-CTL-02</w:t>
            </w:r>
          </w:p>
        </w:tc>
        <w:tc>
          <w:tcPr>
            <w:tcW w:type="dxa" w:w="1704"/>
            <w:vAlign w:val="top"/>
          </w:tcPr>
          <w:p>
            <w:r>
              <w:rPr>
                <w:sz w:val="15"/>
              </w:rPr>
              <w:t>Art. 25 — Data protection by design and by default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D1-CTL-02 provides technical or governance capability relevant to the outcome addressed by GDPR Article 25. The relationship is outcome-based and does not establish the required lawful basis, actor status, data-subject procedure, or supervisory interpretation. Article 25 requires processing-context analysis, controller/processor accountability, and legal evidence beyond implementation of this GAISSF control.</w:t>
            </w:r>
          </w:p>
        </w:tc>
      </w:tr>
      <w:tr>
        <w:tc>
          <w:tcPr>
            <w:tcW w:type="dxa" w:w="1704"/>
            <w:vAlign w:val="top"/>
          </w:tcPr>
          <w:p>
            <w:r>
              <w:rPr>
                <w:sz w:val="15"/>
              </w:rPr>
              <w:t>CRO030-MAP-0009</w:t>
            </w:r>
          </w:p>
        </w:tc>
        <w:tc>
          <w:tcPr>
            <w:tcW w:type="dxa" w:w="1704"/>
            <w:vAlign w:val="top"/>
          </w:tcPr>
          <w:p>
            <w:r>
              <w:rPr>
                <w:sz w:val="15"/>
              </w:rPr>
              <w:t>D1-CTL-03</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D1-CTL-03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CRO030-MAP-0010</w:t>
            </w:r>
          </w:p>
        </w:tc>
        <w:tc>
          <w:tcPr>
            <w:tcW w:type="dxa" w:w="1704"/>
            <w:vAlign w:val="top"/>
          </w:tcPr>
          <w:p>
            <w:r>
              <w:rPr>
                <w:sz w:val="15"/>
              </w:rPr>
              <w:t>D1-CTL-03</w:t>
            </w:r>
          </w:p>
        </w:tc>
        <w:tc>
          <w:tcPr>
            <w:tcW w:type="dxa" w:w="1704"/>
            <w:vAlign w:val="top"/>
          </w:tcPr>
          <w:p>
            <w:r>
              <w:rPr>
                <w:sz w:val="15"/>
              </w:rPr>
              <w:t>Art. 5 — Principles relating to processing of personal data</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D1-CTL-03 provides technical or governance capability relevant to the outcome addressed by GDPR Article 5. The relationship is outcome-based and does not establish the required lawful basis, actor status, data-subject procedure, or supervisory interpretation. Article 5 requires processing-context analysis, controller/processor accountability, and legal evidence beyond implementation of this GAISSF control.</w:t>
            </w:r>
          </w:p>
        </w:tc>
      </w:tr>
      <w:tr>
        <w:tc>
          <w:tcPr>
            <w:tcW w:type="dxa" w:w="1704"/>
            <w:vAlign w:val="top"/>
          </w:tcPr>
          <w:p>
            <w:r>
              <w:rPr>
                <w:sz w:val="15"/>
              </w:rPr>
              <w:t>CRO030-MAP-0011</w:t>
            </w:r>
          </w:p>
        </w:tc>
        <w:tc>
          <w:tcPr>
            <w:tcW w:type="dxa" w:w="1704"/>
            <w:vAlign w:val="top"/>
          </w:tcPr>
          <w:p>
            <w:r>
              <w:rPr>
                <w:sz w:val="15"/>
              </w:rPr>
              <w:t>D1-CTL-03</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D1-CTL-03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CRO030-MAP-0012</w:t>
            </w:r>
          </w:p>
        </w:tc>
        <w:tc>
          <w:tcPr>
            <w:tcW w:type="dxa" w:w="1704"/>
            <w:vAlign w:val="top"/>
          </w:tcPr>
          <w:p>
            <w:r>
              <w:rPr>
                <w:sz w:val="15"/>
              </w:rPr>
              <w:t>D1-CTL-03</w:t>
            </w:r>
          </w:p>
        </w:tc>
        <w:tc>
          <w:tcPr>
            <w:tcW w:type="dxa" w:w="1704"/>
            <w:vAlign w:val="top"/>
          </w:tcPr>
          <w:p>
            <w:r>
              <w:rPr>
                <w:sz w:val="15"/>
              </w:rPr>
              <w:t>Art. 33 — Notification of a personal data breach to the supervisory authority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D1-CTL-03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CRO030-MAP-0013</w:t>
            </w:r>
          </w:p>
        </w:tc>
        <w:tc>
          <w:tcPr>
            <w:tcW w:type="dxa" w:w="1704"/>
            <w:vAlign w:val="top"/>
          </w:tcPr>
          <w:p>
            <w:r>
              <w:rPr>
                <w:sz w:val="15"/>
              </w:rPr>
              <w:t>D1-CTL-04</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D1-CTL-04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CRO030-MAP-0014</w:t>
            </w:r>
          </w:p>
        </w:tc>
        <w:tc>
          <w:tcPr>
            <w:tcW w:type="dxa" w:w="1704"/>
            <w:vAlign w:val="top"/>
          </w:tcPr>
          <w:p>
            <w:r>
              <w:rPr>
                <w:sz w:val="15"/>
              </w:rPr>
              <w:t>D1-CTL-04</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D1-CTL-04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CRO030-MAP-0015</w:t>
            </w:r>
          </w:p>
        </w:tc>
        <w:tc>
          <w:tcPr>
            <w:tcW w:type="dxa" w:w="1704"/>
            <w:vAlign w:val="top"/>
          </w:tcPr>
          <w:p>
            <w:r>
              <w:rPr>
                <w:sz w:val="15"/>
              </w:rPr>
              <w:t>D1-CTL-04</w:t>
            </w:r>
          </w:p>
        </w:tc>
        <w:tc>
          <w:tcPr>
            <w:tcW w:type="dxa" w:w="1704"/>
            <w:vAlign w:val="top"/>
          </w:tcPr>
          <w:p>
            <w:r>
              <w:rPr>
                <w:sz w:val="15"/>
              </w:rPr>
              <w:t>Art. 33 — Notification of a personal data breach to the supervisory authority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D1-CTL-04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CRO030-MAP-0016</w:t>
            </w:r>
          </w:p>
        </w:tc>
        <w:tc>
          <w:tcPr>
            <w:tcW w:type="dxa" w:w="1704"/>
            <w:vAlign w:val="top"/>
          </w:tcPr>
          <w:p>
            <w:r>
              <w:rPr>
                <w:sz w:val="15"/>
              </w:rPr>
              <w:t>D1-CTL-04</w:t>
            </w:r>
          </w:p>
        </w:tc>
        <w:tc>
          <w:tcPr>
            <w:tcW w:type="dxa" w:w="1704"/>
            <w:vAlign w:val="top"/>
          </w:tcPr>
          <w:p>
            <w:r>
              <w:rPr>
                <w:sz w:val="15"/>
              </w:rPr>
              <w:t>Art. 25 — Data protection by design and by default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D1-CTL-04 provides technical or governance capability relevant to the outcome addressed by GDPR Article 25. The relationship is outcome-based and does not establish the required lawful basis, actor status, data-subject procedure, or supervisory interpretation. Article 25 requires processing-context analysis, controller/processor accountability, and legal evidence beyond implementation of this GAISSF control.</w:t>
            </w:r>
          </w:p>
        </w:tc>
      </w:tr>
      <w:tr>
        <w:tc>
          <w:tcPr>
            <w:tcW w:type="dxa" w:w="1704"/>
            <w:vAlign w:val="top"/>
          </w:tcPr>
          <w:p>
            <w:r>
              <w:rPr>
                <w:sz w:val="15"/>
              </w:rPr>
              <w:t>CRO030-MAP-0017</w:t>
            </w:r>
          </w:p>
        </w:tc>
        <w:tc>
          <w:tcPr>
            <w:tcW w:type="dxa" w:w="1704"/>
            <w:vAlign w:val="top"/>
          </w:tcPr>
          <w:p>
            <w:r>
              <w:rPr>
                <w:sz w:val="15"/>
              </w:rPr>
              <w:t>D1-CTL-05</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D1-CTL-05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CRO030-MAP-0018</w:t>
            </w:r>
          </w:p>
        </w:tc>
        <w:tc>
          <w:tcPr>
            <w:tcW w:type="dxa" w:w="1704"/>
            <w:vAlign w:val="top"/>
          </w:tcPr>
          <w:p>
            <w:r>
              <w:rPr>
                <w:sz w:val="15"/>
              </w:rPr>
              <w:t>D1-CTL-05</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D1-CTL-05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CRO030-MAP-0019</w:t>
            </w:r>
          </w:p>
        </w:tc>
        <w:tc>
          <w:tcPr>
            <w:tcW w:type="dxa" w:w="1704"/>
            <w:vAlign w:val="top"/>
          </w:tcPr>
          <w:p>
            <w:r>
              <w:rPr>
                <w:sz w:val="15"/>
              </w:rPr>
              <w:t>D1-CTL-05</w:t>
            </w:r>
          </w:p>
        </w:tc>
        <w:tc>
          <w:tcPr>
            <w:tcW w:type="dxa" w:w="1704"/>
            <w:vAlign w:val="top"/>
          </w:tcPr>
          <w:p>
            <w:r>
              <w:rPr>
                <w:sz w:val="15"/>
              </w:rPr>
              <w:t>Art. 33 — Notification of a personal data breach to the supervisory authority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D1-CTL-05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CRO030-MAP-0020</w:t>
            </w:r>
          </w:p>
        </w:tc>
        <w:tc>
          <w:tcPr>
            <w:tcW w:type="dxa" w:w="1704"/>
            <w:vAlign w:val="top"/>
          </w:tcPr>
          <w:p>
            <w:r>
              <w:rPr>
                <w:sz w:val="15"/>
              </w:rPr>
              <w:t>D1-CTL-05</w:t>
            </w:r>
          </w:p>
        </w:tc>
        <w:tc>
          <w:tcPr>
            <w:tcW w:type="dxa" w:w="1704"/>
            <w:vAlign w:val="top"/>
          </w:tcPr>
          <w:p>
            <w:r>
              <w:rPr>
                <w:sz w:val="15"/>
              </w:rPr>
              <w:t>Art. 25 — Data protection by design and by default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D1-CTL-05 provides technical or governance capability relevant to the outcome addressed by GDPR Article 25. The relationship is outcome-based and does not establish the required lawful basis, actor status, data-subject procedure, or supervisory interpretation. Article 25 requires processing-context analysis, controller/processor accountability, and legal evidence beyond implementation of this GAISSF control.</w:t>
            </w:r>
          </w:p>
        </w:tc>
      </w:tr>
      <w:tr>
        <w:tc>
          <w:tcPr>
            <w:tcW w:type="dxa" w:w="1704"/>
            <w:vAlign w:val="top"/>
          </w:tcPr>
          <w:p>
            <w:r>
              <w:rPr>
                <w:sz w:val="15"/>
              </w:rPr>
              <w:t>CRO030-MAP-0021</w:t>
            </w:r>
          </w:p>
        </w:tc>
        <w:tc>
          <w:tcPr>
            <w:tcW w:type="dxa" w:w="1704"/>
            <w:vAlign w:val="top"/>
          </w:tcPr>
          <w:p>
            <w:r>
              <w:rPr>
                <w:sz w:val="15"/>
              </w:rPr>
              <w:t>D1-CTL-06</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D1-CTL-06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CRO030-MAP-0022</w:t>
            </w:r>
          </w:p>
        </w:tc>
        <w:tc>
          <w:tcPr>
            <w:tcW w:type="dxa" w:w="1704"/>
            <w:vAlign w:val="top"/>
          </w:tcPr>
          <w:p>
            <w:r>
              <w:rPr>
                <w:sz w:val="15"/>
              </w:rPr>
              <w:t>D1-CTL-06</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D1-CTL-06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CRO030-MAP-0023</w:t>
            </w:r>
          </w:p>
        </w:tc>
        <w:tc>
          <w:tcPr>
            <w:tcW w:type="dxa" w:w="1704"/>
            <w:vAlign w:val="top"/>
          </w:tcPr>
          <w:p>
            <w:r>
              <w:rPr>
                <w:sz w:val="15"/>
              </w:rPr>
              <w:t>D1-CTL-06</w:t>
            </w:r>
          </w:p>
        </w:tc>
        <w:tc>
          <w:tcPr>
            <w:tcW w:type="dxa" w:w="1704"/>
            <w:vAlign w:val="top"/>
          </w:tcPr>
          <w:p>
            <w:r>
              <w:rPr>
                <w:sz w:val="15"/>
              </w:rPr>
              <w:t>Art. 33 — Notification of a personal data breach to the supervisory authority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D1-CTL-06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CRO030-MAP-0024</w:t>
            </w:r>
          </w:p>
        </w:tc>
        <w:tc>
          <w:tcPr>
            <w:tcW w:type="dxa" w:w="1704"/>
            <w:vAlign w:val="top"/>
          </w:tcPr>
          <w:p>
            <w:r>
              <w:rPr>
                <w:sz w:val="15"/>
              </w:rPr>
              <w:t>D1-CTL-06</w:t>
            </w:r>
          </w:p>
        </w:tc>
        <w:tc>
          <w:tcPr>
            <w:tcW w:type="dxa" w:w="1704"/>
            <w:vAlign w:val="top"/>
          </w:tcPr>
          <w:p>
            <w:r>
              <w:rPr>
                <w:sz w:val="15"/>
              </w:rPr>
              <w:t>Art. 25 — Data protection by design and by default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D1-CTL-06 provides technical or governance capability relevant to the outcome addressed by GDPR Article 25. The relationship is outcome-based and does not establish the required lawful basis, actor status, data-subject procedure, or supervisory interpretation. Article 25 requires processing-context analysis, controller/processor accountability, and legal evidence beyond implementation of this GAISSF control.</w:t>
            </w:r>
          </w:p>
        </w:tc>
      </w:tr>
      <w:tr>
        <w:tc>
          <w:tcPr>
            <w:tcW w:type="dxa" w:w="1704"/>
            <w:vAlign w:val="top"/>
          </w:tcPr>
          <w:p>
            <w:r>
              <w:rPr>
                <w:sz w:val="15"/>
              </w:rPr>
              <w:t>CRO030-MAP-0025</w:t>
            </w:r>
          </w:p>
        </w:tc>
        <w:tc>
          <w:tcPr>
            <w:tcW w:type="dxa" w:w="1704"/>
            <w:vAlign w:val="top"/>
          </w:tcPr>
          <w:p>
            <w:r>
              <w:rPr>
                <w:sz w:val="15"/>
              </w:rPr>
              <w:t>D1-CTL-07</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D1-CTL-07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CRO030-MAP-0026</w:t>
            </w:r>
          </w:p>
        </w:tc>
        <w:tc>
          <w:tcPr>
            <w:tcW w:type="dxa" w:w="1704"/>
            <w:vAlign w:val="top"/>
          </w:tcPr>
          <w:p>
            <w:r>
              <w:rPr>
                <w:sz w:val="15"/>
              </w:rPr>
              <w:t>D1-CTL-07</w:t>
            </w:r>
          </w:p>
        </w:tc>
        <w:tc>
          <w:tcPr>
            <w:tcW w:type="dxa" w:w="1704"/>
            <w:vAlign w:val="top"/>
          </w:tcPr>
          <w:p>
            <w:r>
              <w:rPr>
                <w:sz w:val="15"/>
              </w:rPr>
              <w:t>Art. 5 — Principles relating to processing of personal data</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D1-CTL-07 provides technical or governance capability relevant to the outcome addressed by GDPR Article 5. The relationship is outcome-based and does not establish the required lawful basis, actor status, data-subject procedure, or supervisory interpretation. Article 5 requires processing-context analysis, controller/processor accountability, and legal evidence beyond implementation of this GAISSF control.</w:t>
            </w:r>
          </w:p>
        </w:tc>
      </w:tr>
      <w:tr>
        <w:tc>
          <w:tcPr>
            <w:tcW w:type="dxa" w:w="1704"/>
            <w:vAlign w:val="top"/>
          </w:tcPr>
          <w:p>
            <w:r>
              <w:rPr>
                <w:sz w:val="15"/>
              </w:rPr>
              <w:t>CRO030-MAP-0027</w:t>
            </w:r>
          </w:p>
        </w:tc>
        <w:tc>
          <w:tcPr>
            <w:tcW w:type="dxa" w:w="1704"/>
            <w:vAlign w:val="top"/>
          </w:tcPr>
          <w:p>
            <w:r>
              <w:rPr>
                <w:sz w:val="15"/>
              </w:rPr>
              <w:t>D1-CTL-07</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D1-CTL-07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CRO030-MAP-0028</w:t>
            </w:r>
          </w:p>
        </w:tc>
        <w:tc>
          <w:tcPr>
            <w:tcW w:type="dxa" w:w="1704"/>
            <w:vAlign w:val="top"/>
          </w:tcPr>
          <w:p>
            <w:r>
              <w:rPr>
                <w:sz w:val="15"/>
              </w:rPr>
              <w:t>D1-CTL-07</w:t>
            </w:r>
          </w:p>
        </w:tc>
        <w:tc>
          <w:tcPr>
            <w:tcW w:type="dxa" w:w="1704"/>
            <w:vAlign w:val="top"/>
          </w:tcPr>
          <w:p>
            <w:r>
              <w:rPr>
                <w:sz w:val="15"/>
              </w:rPr>
              <w:t>Art. 33 — Notification of a personal data breach to the supervisory authority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D1-CTL-07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CRO030-MAP-0029</w:t>
            </w:r>
          </w:p>
        </w:tc>
        <w:tc>
          <w:tcPr>
            <w:tcW w:type="dxa" w:w="1704"/>
            <w:vAlign w:val="top"/>
          </w:tcPr>
          <w:p>
            <w:r>
              <w:rPr>
                <w:sz w:val="15"/>
              </w:rPr>
              <w:t>D1-CTL-08</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D1-CTL-08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CRO030-MAP-0030</w:t>
            </w:r>
          </w:p>
        </w:tc>
        <w:tc>
          <w:tcPr>
            <w:tcW w:type="dxa" w:w="1704"/>
            <w:vAlign w:val="top"/>
          </w:tcPr>
          <w:p>
            <w:r>
              <w:rPr>
                <w:sz w:val="15"/>
              </w:rPr>
              <w:t>D1-CTL-08</w:t>
            </w:r>
          </w:p>
        </w:tc>
        <w:tc>
          <w:tcPr>
            <w:tcW w:type="dxa" w:w="1704"/>
            <w:vAlign w:val="top"/>
          </w:tcPr>
          <w:p>
            <w:r>
              <w:rPr>
                <w:sz w:val="15"/>
              </w:rPr>
              <w:t>Art. 35 — Data protection impact assessment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D1-CTL-08 provides technical or governance capability relevant to the outcome addressed by GDPR Article 35. The relationship is outcome-based and does not establish the required lawful basis, actor status, data-subject procedure, or supervisory interpretation. Article 35 requires processing-context analysis, controller/processor accountability, and legal evidence beyond implementation of this GAISSF control.</w:t>
            </w:r>
          </w:p>
        </w:tc>
      </w:tr>
      <w:tr>
        <w:tc>
          <w:tcPr>
            <w:tcW w:type="dxa" w:w="1704"/>
            <w:vAlign w:val="top"/>
          </w:tcPr>
          <w:p>
            <w:r>
              <w:rPr>
                <w:sz w:val="15"/>
              </w:rPr>
              <w:t>CRO030-MAP-0031</w:t>
            </w:r>
          </w:p>
        </w:tc>
        <w:tc>
          <w:tcPr>
            <w:tcW w:type="dxa" w:w="1704"/>
            <w:vAlign w:val="top"/>
          </w:tcPr>
          <w:p>
            <w:r>
              <w:rPr>
                <w:sz w:val="15"/>
              </w:rPr>
              <w:t>D1-CTL-08</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D1-CTL-08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CRO030-MAP-0032</w:t>
            </w:r>
          </w:p>
        </w:tc>
        <w:tc>
          <w:tcPr>
            <w:tcW w:type="dxa" w:w="1704"/>
            <w:vAlign w:val="top"/>
          </w:tcPr>
          <w:p>
            <w:r>
              <w:rPr>
                <w:sz w:val="15"/>
              </w:rPr>
              <w:t>D1-CTL-08</w:t>
            </w:r>
          </w:p>
        </w:tc>
        <w:tc>
          <w:tcPr>
            <w:tcW w:type="dxa" w:w="1704"/>
            <w:vAlign w:val="top"/>
          </w:tcPr>
          <w:p>
            <w:r>
              <w:rPr>
                <w:sz w:val="15"/>
              </w:rPr>
              <w:t>Art. 33 — Notification of a personal data breach to the supervisory authority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D1-CTL-08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CRO030-MAP-0033</w:t>
            </w:r>
          </w:p>
        </w:tc>
        <w:tc>
          <w:tcPr>
            <w:tcW w:type="dxa" w:w="1704"/>
            <w:vAlign w:val="top"/>
          </w:tcPr>
          <w:p>
            <w:r>
              <w:rPr>
                <w:sz w:val="15"/>
              </w:rPr>
              <w:t>D1-CTL-09</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D1-CTL-09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CRO030-MAP-0034</w:t>
            </w:r>
          </w:p>
        </w:tc>
        <w:tc>
          <w:tcPr>
            <w:tcW w:type="dxa" w:w="1704"/>
            <w:vAlign w:val="top"/>
          </w:tcPr>
          <w:p>
            <w:r>
              <w:rPr>
                <w:sz w:val="15"/>
              </w:rPr>
              <w:t>D1-CTL-09</w:t>
            </w:r>
          </w:p>
        </w:tc>
        <w:tc>
          <w:tcPr>
            <w:tcW w:type="dxa" w:w="1704"/>
            <w:vAlign w:val="top"/>
          </w:tcPr>
          <w:p>
            <w:r>
              <w:rPr>
                <w:sz w:val="15"/>
              </w:rPr>
              <w:t>Art. 41 — Monitoring of approved codes of conduct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D1-CTL-09 provides technical or governance capability relevant to the outcome addressed by GDPR Article 41. The relationship is outcome-based and does not establish the required lawful basis, actor status, data-subject procedure, or supervisory interpretation. Article 41 requires processing-context analysis, controller/processor accountability, and legal evidence beyond implementation of this GAISSF control.</w:t>
            </w:r>
          </w:p>
        </w:tc>
      </w:tr>
      <w:tr>
        <w:tc>
          <w:tcPr>
            <w:tcW w:type="dxa" w:w="1704"/>
            <w:vAlign w:val="top"/>
          </w:tcPr>
          <w:p>
            <w:r>
              <w:rPr>
                <w:sz w:val="15"/>
              </w:rPr>
              <w:t>CRO030-MAP-0035</w:t>
            </w:r>
          </w:p>
        </w:tc>
        <w:tc>
          <w:tcPr>
            <w:tcW w:type="dxa" w:w="1704"/>
            <w:vAlign w:val="top"/>
          </w:tcPr>
          <w:p>
            <w:r>
              <w:rPr>
                <w:sz w:val="15"/>
              </w:rPr>
              <w:t>D1-CTL-09</w:t>
            </w:r>
          </w:p>
        </w:tc>
        <w:tc>
          <w:tcPr>
            <w:tcW w:type="dxa" w:w="1704"/>
            <w:vAlign w:val="top"/>
          </w:tcPr>
          <w:p>
            <w:r>
              <w:rPr>
                <w:sz w:val="15"/>
              </w:rPr>
              <w:t>Art. 39 — Tasks of the data protection officer</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D1-CTL-09 provides technical or governance capability relevant to the outcome addressed by GDPR Article 39. The relationship is outcome-based and does not establish the required lawful basis, actor status, data-subject procedure, or supervisory interpretation. Article 39 requires processing-context analysis, controller/processor accountability, and legal evidence beyond implementation of this GAISSF control.</w:t>
            </w:r>
          </w:p>
        </w:tc>
      </w:tr>
      <w:tr>
        <w:tc>
          <w:tcPr>
            <w:tcW w:type="dxa" w:w="1704"/>
            <w:vAlign w:val="top"/>
          </w:tcPr>
          <w:p>
            <w:r>
              <w:rPr>
                <w:sz w:val="15"/>
              </w:rPr>
              <w:t>CRO030-MAP-0036</w:t>
            </w:r>
          </w:p>
        </w:tc>
        <w:tc>
          <w:tcPr>
            <w:tcW w:type="dxa" w:w="1704"/>
            <w:vAlign w:val="top"/>
          </w:tcPr>
          <w:p>
            <w:r>
              <w:rPr>
                <w:sz w:val="15"/>
              </w:rPr>
              <w:t>D1-CTL-09</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D1-CTL-09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CRO030-MAP-0037</w:t>
            </w:r>
          </w:p>
        </w:tc>
        <w:tc>
          <w:tcPr>
            <w:tcW w:type="dxa" w:w="1704"/>
            <w:vAlign w:val="top"/>
          </w:tcPr>
          <w:p>
            <w:r>
              <w:rPr>
                <w:sz w:val="15"/>
              </w:rPr>
              <w:t>D2-CTL-01</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D2-CTL-01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CRO030-MAP-0038</w:t>
            </w:r>
          </w:p>
        </w:tc>
        <w:tc>
          <w:tcPr>
            <w:tcW w:type="dxa" w:w="1704"/>
            <w:vAlign w:val="top"/>
          </w:tcPr>
          <w:p>
            <w:r>
              <w:rPr>
                <w:sz w:val="15"/>
              </w:rPr>
              <w:t>D2-CTL-01</w:t>
            </w:r>
          </w:p>
        </w:tc>
        <w:tc>
          <w:tcPr>
            <w:tcW w:type="dxa" w:w="1704"/>
            <w:vAlign w:val="top"/>
          </w:tcPr>
          <w:p>
            <w:r>
              <w:rPr>
                <w:sz w:val="15"/>
              </w:rPr>
              <w:t>Art. 25 — Data protection by design and by default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D2-CTL-01 provides technical or governance capability relevant to the outcome addressed by GDPR Article 25. The relationship is outcome-based and does not establish the required lawful basis, actor status, data-subject procedure, or supervisory interpretation. Article 25 requires processing-context analysis, controller/processor accountability, and legal evidence beyond implementation of this GAISSF control.</w:t>
            </w:r>
          </w:p>
        </w:tc>
      </w:tr>
      <w:tr>
        <w:tc>
          <w:tcPr>
            <w:tcW w:type="dxa" w:w="1704"/>
            <w:vAlign w:val="top"/>
          </w:tcPr>
          <w:p>
            <w:r>
              <w:rPr>
                <w:sz w:val="15"/>
              </w:rPr>
              <w:t>CRO030-MAP-0039</w:t>
            </w:r>
          </w:p>
        </w:tc>
        <w:tc>
          <w:tcPr>
            <w:tcW w:type="dxa" w:w="1704"/>
            <w:vAlign w:val="top"/>
          </w:tcPr>
          <w:p>
            <w:r>
              <w:rPr>
                <w:sz w:val="15"/>
              </w:rPr>
              <w:t>D2-CTL-01</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D2-CTL-01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CRO030-MAP-0040</w:t>
            </w:r>
          </w:p>
        </w:tc>
        <w:tc>
          <w:tcPr>
            <w:tcW w:type="dxa" w:w="1704"/>
            <w:vAlign w:val="top"/>
          </w:tcPr>
          <w:p>
            <w:r>
              <w:rPr>
                <w:sz w:val="15"/>
              </w:rPr>
              <w:t>D2-CTL-01</w:t>
            </w:r>
          </w:p>
        </w:tc>
        <w:tc>
          <w:tcPr>
            <w:tcW w:type="dxa" w:w="1704"/>
            <w:vAlign w:val="top"/>
          </w:tcPr>
          <w:p>
            <w:r>
              <w:rPr>
                <w:sz w:val="15"/>
              </w:rPr>
              <w:t>Art. 33 — Notification of a personal data breach to the supervisory authority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D2-CTL-01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CRO030-MAP-0041</w:t>
            </w:r>
          </w:p>
        </w:tc>
        <w:tc>
          <w:tcPr>
            <w:tcW w:type="dxa" w:w="1704"/>
            <w:vAlign w:val="top"/>
          </w:tcPr>
          <w:p>
            <w:r>
              <w:rPr>
                <w:sz w:val="15"/>
              </w:rPr>
              <w:t>D2-CTL-02</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D2-CTL-02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CRO030-MAP-0042</w:t>
            </w:r>
          </w:p>
        </w:tc>
        <w:tc>
          <w:tcPr>
            <w:tcW w:type="dxa" w:w="1704"/>
            <w:vAlign w:val="top"/>
          </w:tcPr>
          <w:p>
            <w:r>
              <w:rPr>
                <w:sz w:val="15"/>
              </w:rPr>
              <w:t>D2-CTL-02</w:t>
            </w:r>
          </w:p>
        </w:tc>
        <w:tc>
          <w:tcPr>
            <w:tcW w:type="dxa" w:w="1704"/>
            <w:vAlign w:val="top"/>
          </w:tcPr>
          <w:p>
            <w:r>
              <w:rPr>
                <w:sz w:val="15"/>
              </w:rPr>
              <w:t>Art. 25 — Data protection by design and by default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D2-CTL-02 provides technical or governance capability relevant to the outcome addressed by GDPR Article 25. The relationship is outcome-based and does not establish the required lawful basis, actor status, data-subject procedure, or supervisory interpretation. Article 25 requires processing-context analysis, controller/processor accountability, and legal evidence beyond implementation of this GAISSF control.</w:t>
            </w:r>
          </w:p>
        </w:tc>
      </w:tr>
      <w:tr>
        <w:tc>
          <w:tcPr>
            <w:tcW w:type="dxa" w:w="1704"/>
            <w:vAlign w:val="top"/>
          </w:tcPr>
          <w:p>
            <w:r>
              <w:rPr>
                <w:sz w:val="15"/>
              </w:rPr>
              <w:t>CRO030-MAP-0043</w:t>
            </w:r>
          </w:p>
        </w:tc>
        <w:tc>
          <w:tcPr>
            <w:tcW w:type="dxa" w:w="1704"/>
            <w:vAlign w:val="top"/>
          </w:tcPr>
          <w:p>
            <w:r>
              <w:rPr>
                <w:sz w:val="15"/>
              </w:rPr>
              <w:t>D2-CTL-02</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D2-CTL-02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CRO030-MAP-0044</w:t>
            </w:r>
          </w:p>
        </w:tc>
        <w:tc>
          <w:tcPr>
            <w:tcW w:type="dxa" w:w="1704"/>
            <w:vAlign w:val="top"/>
          </w:tcPr>
          <w:p>
            <w:r>
              <w:rPr>
                <w:sz w:val="15"/>
              </w:rPr>
              <w:t>D2-CTL-02</w:t>
            </w:r>
          </w:p>
        </w:tc>
        <w:tc>
          <w:tcPr>
            <w:tcW w:type="dxa" w:w="1704"/>
            <w:vAlign w:val="top"/>
          </w:tcPr>
          <w:p>
            <w:r>
              <w:rPr>
                <w:sz w:val="15"/>
              </w:rPr>
              <w:t>Art. 33 — Notification of a personal data breach to the supervisory authority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D2-CTL-02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CRO030-MAP-0045</w:t>
            </w:r>
          </w:p>
        </w:tc>
        <w:tc>
          <w:tcPr>
            <w:tcW w:type="dxa" w:w="1704"/>
            <w:vAlign w:val="top"/>
          </w:tcPr>
          <w:p>
            <w:r>
              <w:rPr>
                <w:sz w:val="15"/>
              </w:rPr>
              <w:t>D2-CTL-03</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D2-CTL-03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CRO030-MAP-0046</w:t>
            </w:r>
          </w:p>
        </w:tc>
        <w:tc>
          <w:tcPr>
            <w:tcW w:type="dxa" w:w="1704"/>
            <w:vAlign w:val="top"/>
          </w:tcPr>
          <w:p>
            <w:r>
              <w:rPr>
                <w:sz w:val="15"/>
              </w:rPr>
              <w:t>D2-CTL-03</w:t>
            </w:r>
          </w:p>
        </w:tc>
        <w:tc>
          <w:tcPr>
            <w:tcW w:type="dxa" w:w="1704"/>
            <w:vAlign w:val="top"/>
          </w:tcPr>
          <w:p>
            <w:r>
              <w:rPr>
                <w:sz w:val="15"/>
              </w:rPr>
              <w:t>Art. 25 — Data protection by design and by default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D2-CTL-03 provides technical or governance capability relevant to the outcome addressed by GDPR Article 25. The relationship is outcome-based and does not establish the required lawful basis, actor status, data-subject procedure, or supervisory interpretation. Article 25 requires processing-context analysis, controller/processor accountability, and legal evidence beyond implementation of this GAISSF control.</w:t>
            </w:r>
          </w:p>
        </w:tc>
      </w:tr>
      <w:tr>
        <w:tc>
          <w:tcPr>
            <w:tcW w:type="dxa" w:w="1704"/>
            <w:vAlign w:val="top"/>
          </w:tcPr>
          <w:p>
            <w:r>
              <w:rPr>
                <w:sz w:val="15"/>
              </w:rPr>
              <w:t>CRO030-MAP-0047</w:t>
            </w:r>
          </w:p>
        </w:tc>
        <w:tc>
          <w:tcPr>
            <w:tcW w:type="dxa" w:w="1704"/>
            <w:vAlign w:val="top"/>
          </w:tcPr>
          <w:p>
            <w:r>
              <w:rPr>
                <w:sz w:val="15"/>
              </w:rPr>
              <w:t>D2-CTL-03</w:t>
            </w:r>
          </w:p>
        </w:tc>
        <w:tc>
          <w:tcPr>
            <w:tcW w:type="dxa" w:w="1704"/>
            <w:vAlign w:val="top"/>
          </w:tcPr>
          <w:p>
            <w:r>
              <w:rPr>
                <w:sz w:val="15"/>
              </w:rPr>
              <w:t>Art. 39 — Tasks of the data protection officer</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D2-CTL-03 provides technical or governance capability relevant to the outcome addressed by GDPR Article 39. The relationship is outcome-based and does not establish the required lawful basis, actor status, data-subject procedure, or supervisory interpretation. Article 39 requires processing-context analysis, controller/processor accountability, and legal evidence beyond implementation of this GAISSF control.</w:t>
            </w:r>
          </w:p>
        </w:tc>
      </w:tr>
      <w:tr>
        <w:tc>
          <w:tcPr>
            <w:tcW w:type="dxa" w:w="1704"/>
            <w:vAlign w:val="top"/>
          </w:tcPr>
          <w:p>
            <w:r>
              <w:rPr>
                <w:sz w:val="15"/>
              </w:rPr>
              <w:t>CRO030-MAP-0048</w:t>
            </w:r>
          </w:p>
        </w:tc>
        <w:tc>
          <w:tcPr>
            <w:tcW w:type="dxa" w:w="1704"/>
            <w:vAlign w:val="top"/>
          </w:tcPr>
          <w:p>
            <w:r>
              <w:rPr>
                <w:sz w:val="15"/>
              </w:rPr>
              <w:t>D2-CTL-03</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D2-CTL-03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CRO030-MAP-0049</w:t>
            </w:r>
          </w:p>
        </w:tc>
        <w:tc>
          <w:tcPr>
            <w:tcW w:type="dxa" w:w="1704"/>
            <w:vAlign w:val="top"/>
          </w:tcPr>
          <w:p>
            <w:r>
              <w:rPr>
                <w:sz w:val="15"/>
              </w:rPr>
              <w:t>D2-CTL-04</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D2-CTL-04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CRO030-MAP-0050</w:t>
            </w:r>
          </w:p>
        </w:tc>
        <w:tc>
          <w:tcPr>
            <w:tcW w:type="dxa" w:w="1704"/>
            <w:vAlign w:val="top"/>
          </w:tcPr>
          <w:p>
            <w:r>
              <w:rPr>
                <w:sz w:val="15"/>
              </w:rPr>
              <w:t>D2-CTL-04</w:t>
            </w:r>
          </w:p>
        </w:tc>
        <w:tc>
          <w:tcPr>
            <w:tcW w:type="dxa" w:w="1704"/>
            <w:vAlign w:val="top"/>
          </w:tcPr>
          <w:p>
            <w:r>
              <w:rPr>
                <w:sz w:val="15"/>
              </w:rPr>
              <w:t>Art. 25 — Data protection by design and by default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D2-CTL-04 provides technical or governance capability relevant to the outcome addressed by GDPR Article 25. The relationship is outcome-based and does not establish the required lawful basis, actor status, data-subject procedure, or supervisory interpretation. Article 25 requires processing-context analysis, controller/processor accountability, and legal evidence beyond implementation of this GAISSF control.</w:t>
            </w:r>
          </w:p>
        </w:tc>
      </w:tr>
      <w:tr>
        <w:tc>
          <w:tcPr>
            <w:tcW w:type="dxa" w:w="1704"/>
            <w:vAlign w:val="top"/>
          </w:tcPr>
          <w:p>
            <w:r>
              <w:rPr>
                <w:sz w:val="15"/>
              </w:rPr>
              <w:t>CRO030-MAP-0051</w:t>
            </w:r>
          </w:p>
        </w:tc>
        <w:tc>
          <w:tcPr>
            <w:tcW w:type="dxa" w:w="1704"/>
            <w:vAlign w:val="top"/>
          </w:tcPr>
          <w:p>
            <w:r>
              <w:rPr>
                <w:sz w:val="15"/>
              </w:rPr>
              <w:t>D2-CTL-04</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D2-CTL-04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CRO030-MAP-0052</w:t>
            </w:r>
          </w:p>
        </w:tc>
        <w:tc>
          <w:tcPr>
            <w:tcW w:type="dxa" w:w="1704"/>
            <w:vAlign w:val="top"/>
          </w:tcPr>
          <w:p>
            <w:r>
              <w:rPr>
                <w:sz w:val="15"/>
              </w:rPr>
              <w:t>D2-CTL-04</w:t>
            </w:r>
          </w:p>
        </w:tc>
        <w:tc>
          <w:tcPr>
            <w:tcW w:type="dxa" w:w="1704"/>
            <w:vAlign w:val="top"/>
          </w:tcPr>
          <w:p>
            <w:r>
              <w:rPr>
                <w:sz w:val="15"/>
              </w:rPr>
              <w:t>Art. 33 — Notification of a personal data breach to the supervisory authority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D2-CTL-04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CRO030-MAP-0053</w:t>
            </w:r>
          </w:p>
        </w:tc>
        <w:tc>
          <w:tcPr>
            <w:tcW w:type="dxa" w:w="1704"/>
            <w:vAlign w:val="top"/>
          </w:tcPr>
          <w:p>
            <w:r>
              <w:rPr>
                <w:sz w:val="15"/>
              </w:rPr>
              <w:t>D2-CTL-05</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D2-CTL-05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CRO030-MAP-0054</w:t>
            </w:r>
          </w:p>
        </w:tc>
        <w:tc>
          <w:tcPr>
            <w:tcW w:type="dxa" w:w="1704"/>
            <w:vAlign w:val="top"/>
          </w:tcPr>
          <w:p>
            <w:r>
              <w:rPr>
                <w:sz w:val="15"/>
              </w:rPr>
              <w:t>D2-CTL-05</w:t>
            </w:r>
          </w:p>
        </w:tc>
        <w:tc>
          <w:tcPr>
            <w:tcW w:type="dxa" w:w="1704"/>
            <w:vAlign w:val="top"/>
          </w:tcPr>
          <w:p>
            <w:r>
              <w:rPr>
                <w:sz w:val="15"/>
              </w:rPr>
              <w:t>Art. 25 — Data protection by design and by default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D2-CTL-05 provides technical or governance capability relevant to the outcome addressed by GDPR Article 25. The relationship is outcome-based and does not establish the required lawful basis, actor status, data-subject procedure, or supervisory interpretation. Article 25 requires processing-context analysis, controller/processor accountability, and legal evidence beyond implementation of this GAISSF control.</w:t>
            </w:r>
          </w:p>
        </w:tc>
      </w:tr>
      <w:tr>
        <w:tc>
          <w:tcPr>
            <w:tcW w:type="dxa" w:w="1704"/>
            <w:vAlign w:val="top"/>
          </w:tcPr>
          <w:p>
            <w:r>
              <w:rPr>
                <w:sz w:val="15"/>
              </w:rPr>
              <w:t>CRO030-MAP-0055</w:t>
            </w:r>
          </w:p>
        </w:tc>
        <w:tc>
          <w:tcPr>
            <w:tcW w:type="dxa" w:w="1704"/>
            <w:vAlign w:val="top"/>
          </w:tcPr>
          <w:p>
            <w:r>
              <w:rPr>
                <w:sz w:val="15"/>
              </w:rPr>
              <w:t>D2-CTL-05</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D2-CTL-05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CRO030-MAP-0056</w:t>
            </w:r>
          </w:p>
        </w:tc>
        <w:tc>
          <w:tcPr>
            <w:tcW w:type="dxa" w:w="1704"/>
            <w:vAlign w:val="top"/>
          </w:tcPr>
          <w:p>
            <w:r>
              <w:rPr>
                <w:sz w:val="15"/>
              </w:rPr>
              <w:t>D2-CTL-05</w:t>
            </w:r>
          </w:p>
        </w:tc>
        <w:tc>
          <w:tcPr>
            <w:tcW w:type="dxa" w:w="1704"/>
            <w:vAlign w:val="top"/>
          </w:tcPr>
          <w:p>
            <w:r>
              <w:rPr>
                <w:sz w:val="15"/>
              </w:rPr>
              <w:t>Art. 33 — Notification of a personal data breach to the supervisory authority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D2-CTL-05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CRO030-MAP-0057</w:t>
            </w:r>
          </w:p>
        </w:tc>
        <w:tc>
          <w:tcPr>
            <w:tcW w:type="dxa" w:w="1704"/>
            <w:vAlign w:val="top"/>
          </w:tcPr>
          <w:p>
            <w:r>
              <w:rPr>
                <w:sz w:val="15"/>
              </w:rPr>
              <w:t>D2-CTL-06</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D2-CTL-06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CRO030-MAP-0058</w:t>
            </w:r>
          </w:p>
        </w:tc>
        <w:tc>
          <w:tcPr>
            <w:tcW w:type="dxa" w:w="1704"/>
            <w:vAlign w:val="top"/>
          </w:tcPr>
          <w:p>
            <w:r>
              <w:rPr>
                <w:sz w:val="15"/>
              </w:rPr>
              <w:t>D2-CTL-06</w:t>
            </w:r>
          </w:p>
        </w:tc>
        <w:tc>
          <w:tcPr>
            <w:tcW w:type="dxa" w:w="1704"/>
            <w:vAlign w:val="top"/>
          </w:tcPr>
          <w:p>
            <w:r>
              <w:rPr>
                <w:sz w:val="15"/>
              </w:rPr>
              <w:t>Art. 25 — Data protection by design and by default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D2-CTL-06 provides technical or governance capability relevant to the outcome addressed by GDPR Article 25. The relationship is outcome-based and does not establish the required lawful basis, actor status, data-subject procedure, or supervisory interpretation. Article 25 requires processing-context analysis, controller/processor accountability, and legal evidence beyond implementation of this GAISSF control.</w:t>
            </w:r>
          </w:p>
        </w:tc>
      </w:tr>
      <w:tr>
        <w:tc>
          <w:tcPr>
            <w:tcW w:type="dxa" w:w="1704"/>
            <w:vAlign w:val="top"/>
          </w:tcPr>
          <w:p>
            <w:r>
              <w:rPr>
                <w:sz w:val="15"/>
              </w:rPr>
              <w:t>CRO030-MAP-0059</w:t>
            </w:r>
          </w:p>
        </w:tc>
        <w:tc>
          <w:tcPr>
            <w:tcW w:type="dxa" w:w="1704"/>
            <w:vAlign w:val="top"/>
          </w:tcPr>
          <w:p>
            <w:r>
              <w:rPr>
                <w:sz w:val="15"/>
              </w:rPr>
              <w:t>D2-CTL-06</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D2-CTL-06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CRO030-MAP-0060</w:t>
            </w:r>
          </w:p>
        </w:tc>
        <w:tc>
          <w:tcPr>
            <w:tcW w:type="dxa" w:w="1704"/>
            <w:vAlign w:val="top"/>
          </w:tcPr>
          <w:p>
            <w:r>
              <w:rPr>
                <w:sz w:val="15"/>
              </w:rPr>
              <w:t>D2-CTL-06</w:t>
            </w:r>
          </w:p>
        </w:tc>
        <w:tc>
          <w:tcPr>
            <w:tcW w:type="dxa" w:w="1704"/>
            <w:vAlign w:val="top"/>
          </w:tcPr>
          <w:p>
            <w:r>
              <w:rPr>
                <w:sz w:val="15"/>
              </w:rPr>
              <w:t>Art. 33 — Notification of a personal data breach to the supervisory authority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D2-CTL-06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CRO030-MAP-0061</w:t>
            </w:r>
          </w:p>
        </w:tc>
        <w:tc>
          <w:tcPr>
            <w:tcW w:type="dxa" w:w="1704"/>
            <w:vAlign w:val="top"/>
          </w:tcPr>
          <w:p>
            <w:r>
              <w:rPr>
                <w:sz w:val="15"/>
              </w:rPr>
              <w:t>D3-CTL-01</w:t>
            </w:r>
          </w:p>
        </w:tc>
        <w:tc>
          <w:tcPr>
            <w:tcW w:type="dxa" w:w="1704"/>
            <w:vAlign w:val="top"/>
          </w:tcPr>
          <w:p>
            <w:r>
              <w:rPr>
                <w:sz w:val="15"/>
              </w:rPr>
              <w:t>Art. 82 — Right to compensation and liability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D3-CTL-01 provides technical or governance capability relevant to the outcome addressed by GDPR Article 82. The relationship is outcome-based and does not establish the required lawful basis, actor status, data-subject procedure, or supervisory interpretation. Article 82 requires processing-context analysis, controller/processor accountability, and legal evidence beyond implementation of this GAISSF control.</w:t>
            </w:r>
          </w:p>
        </w:tc>
      </w:tr>
      <w:tr>
        <w:tc>
          <w:tcPr>
            <w:tcW w:type="dxa" w:w="1704"/>
            <w:vAlign w:val="top"/>
          </w:tcPr>
          <w:p>
            <w:r>
              <w:rPr>
                <w:sz w:val="15"/>
              </w:rPr>
              <w:t>CRO030-MAP-0062</w:t>
            </w:r>
          </w:p>
        </w:tc>
        <w:tc>
          <w:tcPr>
            <w:tcW w:type="dxa" w:w="1704"/>
            <w:vAlign w:val="top"/>
          </w:tcPr>
          <w:p>
            <w:r>
              <w:rPr>
                <w:sz w:val="15"/>
              </w:rPr>
              <w:t>D3-CTL-01</w:t>
            </w:r>
          </w:p>
        </w:tc>
        <w:tc>
          <w:tcPr>
            <w:tcW w:type="dxa" w:w="1704"/>
            <w:vAlign w:val="top"/>
          </w:tcPr>
          <w:p>
            <w:r>
              <w:rPr>
                <w:sz w:val="15"/>
              </w:rPr>
              <w:t>Art. 32 — Security of processing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D3-CTL-01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CRO030-MAP-0063</w:t>
            </w:r>
          </w:p>
        </w:tc>
        <w:tc>
          <w:tcPr>
            <w:tcW w:type="dxa" w:w="1704"/>
            <w:vAlign w:val="top"/>
          </w:tcPr>
          <w:p>
            <w:r>
              <w:rPr>
                <w:sz w:val="15"/>
              </w:rPr>
              <w:t>D3-CTL-02</w:t>
            </w:r>
          </w:p>
        </w:tc>
        <w:tc>
          <w:tcPr>
            <w:tcW w:type="dxa" w:w="1704"/>
            <w:vAlign w:val="top"/>
          </w:tcPr>
          <w:p>
            <w:r>
              <w:rPr>
                <w:sz w:val="15"/>
              </w:rPr>
              <w:t>Art. 46 — Transfers subject to appropriate safeguards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D3-CTL-02 provides technical or governance capability relevant to the outcome addressed by GDPR Article 46. The relationship is outcome-based and does not establish the required lawful basis, actor status, data-subject procedure, or supervisory interpretation. Article 46 requires processing-context analysis, controller/processor accountability, and legal evidence beyond implementation of this GAISSF control.</w:t>
            </w:r>
          </w:p>
        </w:tc>
      </w:tr>
      <w:tr>
        <w:tc>
          <w:tcPr>
            <w:tcW w:type="dxa" w:w="1704"/>
            <w:vAlign w:val="top"/>
          </w:tcPr>
          <w:p>
            <w:r>
              <w:rPr>
                <w:sz w:val="15"/>
              </w:rPr>
              <w:t>CRO030-MAP-0064</w:t>
            </w:r>
          </w:p>
        </w:tc>
        <w:tc>
          <w:tcPr>
            <w:tcW w:type="dxa" w:w="1704"/>
            <w:vAlign w:val="top"/>
          </w:tcPr>
          <w:p>
            <w:r>
              <w:rPr>
                <w:sz w:val="15"/>
              </w:rPr>
              <w:t>D3-CTL-02</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D3-CTL-02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CRO030-MAP-0065</w:t>
            </w:r>
          </w:p>
        </w:tc>
        <w:tc>
          <w:tcPr>
            <w:tcW w:type="dxa" w:w="1704"/>
            <w:vAlign w:val="top"/>
          </w:tcPr>
          <w:p>
            <w:r>
              <w:rPr>
                <w:sz w:val="15"/>
              </w:rPr>
              <w:t>D3-CTL-02</w:t>
            </w:r>
          </w:p>
        </w:tc>
        <w:tc>
          <w:tcPr>
            <w:tcW w:type="dxa" w:w="1704"/>
            <w:vAlign w:val="top"/>
          </w:tcPr>
          <w:p>
            <w:r>
              <w:rPr>
                <w:sz w:val="15"/>
              </w:rPr>
              <w:t>Art. 32 — Security of processing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D3-CTL-02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CRO030-MAP-0066</w:t>
            </w:r>
          </w:p>
        </w:tc>
        <w:tc>
          <w:tcPr>
            <w:tcW w:type="dxa" w:w="1704"/>
            <w:vAlign w:val="top"/>
          </w:tcPr>
          <w:p>
            <w:r>
              <w:rPr>
                <w:sz w:val="15"/>
              </w:rPr>
              <w:t>D3-CTL-02</w:t>
            </w:r>
          </w:p>
        </w:tc>
        <w:tc>
          <w:tcPr>
            <w:tcW w:type="dxa" w:w="1704"/>
            <w:vAlign w:val="top"/>
          </w:tcPr>
          <w:p>
            <w:r>
              <w:rPr>
                <w:sz w:val="15"/>
              </w:rPr>
              <w:t>Art. 25 — Data protection by design and by default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D3-CTL-02 provides technical or governance capability relevant to the outcome addressed by GDPR Article 25. The relationship is outcome-based and does not establish the required lawful basis, actor status, data-subject procedure, or supervisory interpretation. Article 25 requires processing-context analysis, controller/processor accountability, and legal evidence beyond implementation of this GAISSF control.</w:t>
            </w:r>
          </w:p>
        </w:tc>
      </w:tr>
      <w:tr>
        <w:tc>
          <w:tcPr>
            <w:tcW w:type="dxa" w:w="1704"/>
            <w:vAlign w:val="top"/>
          </w:tcPr>
          <w:p>
            <w:r>
              <w:rPr>
                <w:sz w:val="15"/>
              </w:rPr>
              <w:t>CRO030-MAP-0067</w:t>
            </w:r>
          </w:p>
        </w:tc>
        <w:tc>
          <w:tcPr>
            <w:tcW w:type="dxa" w:w="1704"/>
            <w:vAlign w:val="top"/>
          </w:tcPr>
          <w:p>
            <w:r>
              <w:rPr>
                <w:sz w:val="15"/>
              </w:rPr>
              <w:t>D3-CTL-03</w:t>
            </w:r>
          </w:p>
        </w:tc>
        <w:tc>
          <w:tcPr>
            <w:tcW w:type="dxa" w:w="1704"/>
            <w:vAlign w:val="top"/>
          </w:tcPr>
          <w:p>
            <w:r>
              <w:rPr>
                <w:sz w:val="15"/>
              </w:rPr>
              <w:t>Art. 24 — Responsibility of the controller</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D3-CTL-03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CRO030-MAP-0068</w:t>
            </w:r>
          </w:p>
        </w:tc>
        <w:tc>
          <w:tcPr>
            <w:tcW w:type="dxa" w:w="1704"/>
            <w:vAlign w:val="top"/>
          </w:tcPr>
          <w:p>
            <w:r>
              <w:rPr>
                <w:sz w:val="15"/>
              </w:rPr>
              <w:t>D3-CTL-04</w:t>
            </w:r>
          </w:p>
        </w:tc>
        <w:tc>
          <w:tcPr>
            <w:tcW w:type="dxa" w:w="1704"/>
            <w:vAlign w:val="top"/>
          </w:tcPr>
          <w:p>
            <w:r>
              <w:rPr>
                <w:sz w:val="15"/>
              </w:rPr>
              <w:t>Art. 35 — Data protection impact assessment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D3-CTL-04 provides technical or governance capability relevant to the outcome addressed by GDPR Article 35. The relationship is outcome-based and does not establish the required lawful basis, actor status, data-subject procedure, or supervisory interpretation. Article 35 requires processing-context analysis, controller/processor accountability, and legal evidence beyond implementation of this GAISSF control.</w:t>
            </w:r>
          </w:p>
        </w:tc>
      </w:tr>
      <w:tr>
        <w:tc>
          <w:tcPr>
            <w:tcW w:type="dxa" w:w="1704"/>
            <w:vAlign w:val="top"/>
          </w:tcPr>
          <w:p>
            <w:r>
              <w:rPr>
                <w:sz w:val="15"/>
              </w:rPr>
              <w:t>CRO030-MAP-0069</w:t>
            </w:r>
          </w:p>
        </w:tc>
        <w:tc>
          <w:tcPr>
            <w:tcW w:type="dxa" w:w="1704"/>
            <w:vAlign w:val="top"/>
          </w:tcPr>
          <w:p>
            <w:r>
              <w:rPr>
                <w:sz w:val="15"/>
              </w:rPr>
              <w:t>D3-CTL-04</w:t>
            </w:r>
          </w:p>
        </w:tc>
        <w:tc>
          <w:tcPr>
            <w:tcW w:type="dxa" w:w="1704"/>
            <w:vAlign w:val="top"/>
          </w:tcPr>
          <w:p>
            <w:r>
              <w:rPr>
                <w:sz w:val="15"/>
              </w:rPr>
              <w:t>Art. 82 — Right to compensation and liability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D3-CTL-04 provides technical or governance capability relevant to the outcome addressed by GDPR Article 82. The relationship is outcome-based and does not establish the required lawful basis, actor status, data-subject procedure, or supervisory interpretation. Article 82 requires processing-context analysis, controller/processor accountability, and legal evidence beyond implementation of this GAISSF control.</w:t>
            </w:r>
          </w:p>
        </w:tc>
      </w:tr>
      <w:tr>
        <w:tc>
          <w:tcPr>
            <w:tcW w:type="dxa" w:w="1704"/>
            <w:vAlign w:val="top"/>
          </w:tcPr>
          <w:p>
            <w:r>
              <w:rPr>
                <w:sz w:val="15"/>
              </w:rPr>
              <w:t>CRO030-MAP-0070</w:t>
            </w:r>
          </w:p>
        </w:tc>
        <w:tc>
          <w:tcPr>
            <w:tcW w:type="dxa" w:w="1704"/>
            <w:vAlign w:val="top"/>
          </w:tcPr>
          <w:p>
            <w:r>
              <w:rPr>
                <w:sz w:val="15"/>
              </w:rPr>
              <w:t>D3-CTL-04</w:t>
            </w:r>
          </w:p>
        </w:tc>
        <w:tc>
          <w:tcPr>
            <w:tcW w:type="dxa" w:w="1704"/>
            <w:vAlign w:val="top"/>
          </w:tcPr>
          <w:p>
            <w:r>
              <w:rPr>
                <w:sz w:val="15"/>
              </w:rPr>
              <w:t>Art. 32 — Security of processing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D3-CTL-04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CRO030-MAP-0071</w:t>
            </w:r>
          </w:p>
        </w:tc>
        <w:tc>
          <w:tcPr>
            <w:tcW w:type="dxa" w:w="1704"/>
            <w:vAlign w:val="top"/>
          </w:tcPr>
          <w:p>
            <w:r>
              <w:rPr>
                <w:sz w:val="15"/>
              </w:rPr>
              <w:t>D3-CTL-04</w:t>
            </w:r>
          </w:p>
        </w:tc>
        <w:tc>
          <w:tcPr>
            <w:tcW w:type="dxa" w:w="1704"/>
            <w:vAlign w:val="top"/>
          </w:tcPr>
          <w:p>
            <w:r>
              <w:rPr>
                <w:sz w:val="15"/>
              </w:rPr>
              <w:t>Art. 8 — Conditions applicable to child's consent in relation to information society services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D3-CTL-04 provides technical or governance capability relevant to the outcome addressed by GDPR Article 8. The relationship is outcome-based and does not establish the required lawful basis, actor status, data-subject procedure, or supervisory interpretation. Article 8 requires processing-context analysis, controller/processor accountability, and legal evidence beyond implementation of this GAISSF control.</w:t>
            </w:r>
          </w:p>
        </w:tc>
      </w:tr>
      <w:tr>
        <w:tc>
          <w:tcPr>
            <w:tcW w:type="dxa" w:w="1704"/>
            <w:vAlign w:val="top"/>
          </w:tcPr>
          <w:p>
            <w:r>
              <w:rPr>
                <w:sz w:val="15"/>
              </w:rPr>
              <w:t>CRO030-MAP-0072</w:t>
            </w:r>
          </w:p>
        </w:tc>
        <w:tc>
          <w:tcPr>
            <w:tcW w:type="dxa" w:w="1704"/>
            <w:vAlign w:val="top"/>
          </w:tcPr>
          <w:p>
            <w:r>
              <w:rPr>
                <w:sz w:val="15"/>
              </w:rPr>
              <w:t>D3-CTL-05</w:t>
            </w:r>
          </w:p>
        </w:tc>
        <w:tc>
          <w:tcPr>
            <w:tcW w:type="dxa" w:w="1704"/>
            <w:vAlign w:val="top"/>
          </w:tcPr>
          <w:p>
            <w:r>
              <w:rPr>
                <w:sz w:val="15"/>
              </w:rPr>
              <w:t>Art. 24 — Responsibility of the controller</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D3-CTL-05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CRO030-MAP-0073</w:t>
            </w:r>
          </w:p>
        </w:tc>
        <w:tc>
          <w:tcPr>
            <w:tcW w:type="dxa" w:w="1704"/>
            <w:vAlign w:val="top"/>
          </w:tcPr>
          <w:p>
            <w:r>
              <w:rPr>
                <w:sz w:val="15"/>
              </w:rPr>
              <w:t>D3-CTL-06</w:t>
            </w:r>
          </w:p>
        </w:tc>
        <w:tc>
          <w:tcPr>
            <w:tcW w:type="dxa" w:w="1704"/>
            <w:vAlign w:val="top"/>
          </w:tcPr>
          <w:p>
            <w:r>
              <w:rPr>
                <w:sz w:val="15"/>
              </w:rPr>
              <w:t>Art. 82 — Right to compensation and liability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D3-CTL-06 provides technical or governance capability relevant to the outcome addressed by GDPR Article 82. The relationship is outcome-based and does not establish the required lawful basis, actor status, data-subject procedure, or supervisory interpretation. Article 82 requires processing-context analysis, controller/processor accountability, and legal evidence beyond implementation of this GAISSF control.</w:t>
            </w:r>
          </w:p>
        </w:tc>
      </w:tr>
      <w:tr>
        <w:tc>
          <w:tcPr>
            <w:tcW w:type="dxa" w:w="1704"/>
            <w:vAlign w:val="top"/>
          </w:tcPr>
          <w:p>
            <w:r>
              <w:rPr>
                <w:sz w:val="15"/>
              </w:rPr>
              <w:t>CRO030-MAP-0074</w:t>
            </w:r>
          </w:p>
        </w:tc>
        <w:tc>
          <w:tcPr>
            <w:tcW w:type="dxa" w:w="1704"/>
            <w:vAlign w:val="top"/>
          </w:tcPr>
          <w:p>
            <w:r>
              <w:rPr>
                <w:sz w:val="15"/>
              </w:rPr>
              <w:t>D3-CTL-06</w:t>
            </w:r>
          </w:p>
        </w:tc>
        <w:tc>
          <w:tcPr>
            <w:tcW w:type="dxa" w:w="1704"/>
            <w:vAlign w:val="top"/>
          </w:tcPr>
          <w:p>
            <w:r>
              <w:rPr>
                <w:sz w:val="15"/>
              </w:rPr>
              <w:t>Art. 35 — Data protection impact assessment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D3-CTL-06 provides technical or governance capability relevant to the outcome addressed by GDPR Article 35. The relationship is outcome-based and does not establish the required lawful basis, actor status, data-subject procedure, or supervisory interpretation. Article 35 requires processing-context analysis, controller/processor accountability, and legal evidence beyond implementation of this GAISSF control.</w:t>
            </w:r>
          </w:p>
        </w:tc>
      </w:tr>
      <w:tr>
        <w:tc>
          <w:tcPr>
            <w:tcW w:type="dxa" w:w="1704"/>
            <w:vAlign w:val="top"/>
          </w:tcPr>
          <w:p>
            <w:r>
              <w:rPr>
                <w:sz w:val="15"/>
              </w:rPr>
              <w:t>CRO030-MAP-0075</w:t>
            </w:r>
          </w:p>
        </w:tc>
        <w:tc>
          <w:tcPr>
            <w:tcW w:type="dxa" w:w="1704"/>
            <w:vAlign w:val="top"/>
          </w:tcPr>
          <w:p>
            <w:r>
              <w:rPr>
                <w:sz w:val="15"/>
              </w:rPr>
              <w:t>D3-CTL-06</w:t>
            </w:r>
          </w:p>
        </w:tc>
        <w:tc>
          <w:tcPr>
            <w:tcW w:type="dxa" w:w="1704"/>
            <w:vAlign w:val="top"/>
          </w:tcPr>
          <w:p>
            <w:r>
              <w:rPr>
                <w:sz w:val="15"/>
              </w:rPr>
              <w:t>Art. 32 — Security of processing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D3-CTL-06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CRO030-MAP-0076</w:t>
            </w:r>
          </w:p>
        </w:tc>
        <w:tc>
          <w:tcPr>
            <w:tcW w:type="dxa" w:w="1704"/>
            <w:vAlign w:val="top"/>
          </w:tcPr>
          <w:p>
            <w:r>
              <w:rPr>
                <w:sz w:val="15"/>
              </w:rPr>
              <w:t>D3-CTL-06</w:t>
            </w:r>
          </w:p>
        </w:tc>
        <w:tc>
          <w:tcPr>
            <w:tcW w:type="dxa" w:w="1704"/>
            <w:vAlign w:val="top"/>
          </w:tcPr>
          <w:p>
            <w:r>
              <w:rPr>
                <w:sz w:val="15"/>
              </w:rPr>
              <w:t>Art. 25 — Data protection by design and by default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D3-CTL-06 provides technical or governance capability relevant to the outcome addressed by GDPR Article 25. The relationship is outcome-based and does not establish the required lawful basis, actor status, data-subject procedure, or supervisory interpretation. Article 25 requires processing-context analysis, controller/processor accountability, and legal evidence beyond implementation of this GAISSF control.</w:t>
            </w:r>
          </w:p>
        </w:tc>
      </w:tr>
      <w:tr>
        <w:tc>
          <w:tcPr>
            <w:tcW w:type="dxa" w:w="1704"/>
            <w:vAlign w:val="top"/>
          </w:tcPr>
          <w:p>
            <w:r>
              <w:rPr>
                <w:sz w:val="15"/>
              </w:rPr>
              <w:t>CRO030-MAP-0077</w:t>
            </w:r>
          </w:p>
        </w:tc>
        <w:tc>
          <w:tcPr>
            <w:tcW w:type="dxa" w:w="1704"/>
            <w:vAlign w:val="top"/>
          </w:tcPr>
          <w:p>
            <w:r>
              <w:rPr>
                <w:sz w:val="15"/>
              </w:rPr>
              <w:t>D3-CTL-07</w:t>
            </w:r>
          </w:p>
        </w:tc>
        <w:tc>
          <w:tcPr>
            <w:tcW w:type="dxa" w:w="1704"/>
            <w:vAlign w:val="top"/>
          </w:tcPr>
          <w:p>
            <w:r>
              <w:rPr>
                <w:sz w:val="15"/>
              </w:rPr>
              <w:t>Art. 17 — Right to erasure (right to be forgotten)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D3-CTL-07 provides technical or governance capability relevant to the outcome addressed by GDPR Article 17. The relationship is outcome-based and does not establish the required lawful basis, actor status, data-subject procedure, or supervisory interpretation. Article 17 requires processing-context analysis, controller/processor accountability, and legal evidence beyond implementation of this GAISSF control.</w:t>
            </w:r>
          </w:p>
        </w:tc>
      </w:tr>
      <w:tr>
        <w:tc>
          <w:tcPr>
            <w:tcW w:type="dxa" w:w="1704"/>
            <w:vAlign w:val="top"/>
          </w:tcPr>
          <w:p>
            <w:r>
              <w:rPr>
                <w:sz w:val="15"/>
              </w:rPr>
              <w:t>CRO030-MAP-0078</w:t>
            </w:r>
          </w:p>
        </w:tc>
        <w:tc>
          <w:tcPr>
            <w:tcW w:type="dxa" w:w="1704"/>
            <w:vAlign w:val="top"/>
          </w:tcPr>
          <w:p>
            <w:r>
              <w:rPr>
                <w:sz w:val="15"/>
              </w:rPr>
              <w:t>D3-CTL-07</w:t>
            </w:r>
          </w:p>
        </w:tc>
        <w:tc>
          <w:tcPr>
            <w:tcW w:type="dxa" w:w="1704"/>
            <w:vAlign w:val="top"/>
          </w:tcPr>
          <w:p>
            <w:r>
              <w:rPr>
                <w:sz w:val="15"/>
              </w:rPr>
              <w:t>Art. 6 — Lawfulness of processing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D3-CTL-07 provides technical or governance capability relevant to the outcome addressed by GDPR Article 6. The relationship is outcome-based and does not establish the required lawful basis, actor status, data-subject procedure, or supervisory interpretation. Article 6 requires processing-context analysis, controller/processor accountability, and legal evidence beyond implementation of this GAISSF control.</w:t>
            </w:r>
          </w:p>
        </w:tc>
      </w:tr>
      <w:tr>
        <w:tc>
          <w:tcPr>
            <w:tcW w:type="dxa" w:w="1704"/>
            <w:vAlign w:val="top"/>
          </w:tcPr>
          <w:p>
            <w:r>
              <w:rPr>
                <w:sz w:val="15"/>
              </w:rPr>
              <w:t>CRO030-MAP-0079</w:t>
            </w:r>
          </w:p>
        </w:tc>
        <w:tc>
          <w:tcPr>
            <w:tcW w:type="dxa" w:w="1704"/>
            <w:vAlign w:val="top"/>
          </w:tcPr>
          <w:p>
            <w:r>
              <w:rPr>
                <w:sz w:val="15"/>
              </w:rPr>
              <w:t>D3-CTL-07</w:t>
            </w:r>
          </w:p>
        </w:tc>
        <w:tc>
          <w:tcPr>
            <w:tcW w:type="dxa" w:w="1704"/>
            <w:vAlign w:val="top"/>
          </w:tcPr>
          <w:p>
            <w:r>
              <w:rPr>
                <w:sz w:val="15"/>
              </w:rPr>
              <w:t>Art. 5 — Principles relating to processing of personal data</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D3-CTL-07 provides technical or governance capability relevant to the outcome addressed by GDPR Article 5. The relationship is outcome-based and does not establish the required lawful basis, actor status, data-subject procedure, or supervisory interpretation. Article 5 requires processing-context analysis, controller/processor accountability, and legal evidence beyond implementation of this GAISSF control.</w:t>
            </w:r>
          </w:p>
        </w:tc>
      </w:tr>
      <w:tr>
        <w:tc>
          <w:tcPr>
            <w:tcW w:type="dxa" w:w="1704"/>
            <w:vAlign w:val="top"/>
          </w:tcPr>
          <w:p>
            <w:r>
              <w:rPr>
                <w:sz w:val="15"/>
              </w:rPr>
              <w:t>CRO030-MAP-0080</w:t>
            </w:r>
          </w:p>
        </w:tc>
        <w:tc>
          <w:tcPr>
            <w:tcW w:type="dxa" w:w="1704"/>
            <w:vAlign w:val="top"/>
          </w:tcPr>
          <w:p>
            <w:r>
              <w:rPr>
                <w:sz w:val="15"/>
              </w:rPr>
              <w:t>D4-CTL-01</w:t>
            </w:r>
          </w:p>
        </w:tc>
        <w:tc>
          <w:tcPr>
            <w:tcW w:type="dxa" w:w="1704"/>
            <w:vAlign w:val="top"/>
          </w:tcPr>
          <w:p>
            <w:r>
              <w:rPr>
                <w:sz w:val="15"/>
              </w:rPr>
              <w:t>Art. 46 — Transfers subject to appropriate safeguards</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D4-CTL-01 provides technical or governance capability relevant to the outcome addressed by GDPR Article 46. The relationship is outcome-based and does not establish the required lawful basis, actor status, data-subject procedure, or supervisory interpretation. Article 46 requires processing-context analysis, controller/processor accountability, and legal evidence beyond implementation of this GAISSF control.</w:t>
            </w:r>
          </w:p>
        </w:tc>
      </w:tr>
      <w:tr>
        <w:tc>
          <w:tcPr>
            <w:tcW w:type="dxa" w:w="1704"/>
            <w:vAlign w:val="top"/>
          </w:tcPr>
          <w:p>
            <w:r>
              <w:rPr>
                <w:sz w:val="15"/>
              </w:rPr>
              <w:t>CRO030-MAP-0081</w:t>
            </w:r>
          </w:p>
        </w:tc>
        <w:tc>
          <w:tcPr>
            <w:tcW w:type="dxa" w:w="1704"/>
            <w:vAlign w:val="top"/>
          </w:tcPr>
          <w:p>
            <w:r>
              <w:rPr>
                <w:sz w:val="15"/>
              </w:rPr>
              <w:t>D4-CTL-01</w:t>
            </w:r>
          </w:p>
        </w:tc>
        <w:tc>
          <w:tcPr>
            <w:tcW w:type="dxa" w:w="1704"/>
            <w:vAlign w:val="top"/>
          </w:tcPr>
          <w:p>
            <w:r>
              <w:rPr>
                <w:sz w:val="15"/>
              </w:rPr>
              <w:t>Art. 44 — General principle for transfers</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D4-CTL-01 provides technical or governance capability relevant to the outcome addressed by GDPR Article 44. The relationship is outcome-based and does not establish the required lawful basis, actor status, data-subject procedure, or supervisory interpretation. Article 44 requires processing-context analysis, controller/processor accountability, and legal evidence beyond implementation of this GAISSF control.</w:t>
            </w:r>
          </w:p>
        </w:tc>
      </w:tr>
      <w:tr>
        <w:tc>
          <w:tcPr>
            <w:tcW w:type="dxa" w:w="1704"/>
            <w:vAlign w:val="top"/>
          </w:tcPr>
          <w:p>
            <w:r>
              <w:rPr>
                <w:sz w:val="15"/>
              </w:rPr>
              <w:t>CRO030-MAP-0082</w:t>
            </w:r>
          </w:p>
        </w:tc>
        <w:tc>
          <w:tcPr>
            <w:tcW w:type="dxa" w:w="1704"/>
            <w:vAlign w:val="top"/>
          </w:tcPr>
          <w:p>
            <w:r>
              <w:rPr>
                <w:sz w:val="15"/>
              </w:rPr>
              <w:t>D4-CTL-01</w:t>
            </w:r>
          </w:p>
        </w:tc>
        <w:tc>
          <w:tcPr>
            <w:tcW w:type="dxa" w:w="1704"/>
            <w:vAlign w:val="top"/>
          </w:tcPr>
          <w:p>
            <w:r>
              <w:rPr>
                <w:sz w:val="15"/>
              </w:rPr>
              <w:t>Art. 45 — Transfers on the basis of an adequacy decision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D4-CTL-01 provides technical or governance capability relevant to the outcome addressed by GDPR Article 45. The relationship is outcome-based and does not establish the required lawful basis, actor status, data-subject procedure, or supervisory interpretation. Article 45 requires processing-context analysis, controller/processor accountability, and legal evidence beyond implementation of this GAISSF control.</w:t>
            </w:r>
          </w:p>
        </w:tc>
      </w:tr>
      <w:tr>
        <w:tc>
          <w:tcPr>
            <w:tcW w:type="dxa" w:w="1704"/>
            <w:vAlign w:val="top"/>
          </w:tcPr>
          <w:p>
            <w:r>
              <w:rPr>
                <w:sz w:val="15"/>
              </w:rPr>
              <w:t>CRO030-MAP-0083</w:t>
            </w:r>
          </w:p>
        </w:tc>
        <w:tc>
          <w:tcPr>
            <w:tcW w:type="dxa" w:w="1704"/>
            <w:vAlign w:val="top"/>
          </w:tcPr>
          <w:p>
            <w:r>
              <w:rPr>
                <w:sz w:val="15"/>
              </w:rPr>
              <w:t>D4-CTL-01</w:t>
            </w:r>
          </w:p>
        </w:tc>
        <w:tc>
          <w:tcPr>
            <w:tcW w:type="dxa" w:w="1704"/>
            <w:vAlign w:val="top"/>
          </w:tcPr>
          <w:p>
            <w:r>
              <w:rPr>
                <w:sz w:val="15"/>
              </w:rPr>
              <w:t>Art. 28 — Processor</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D4-CTL-01 provides technical or governance capability relevant to the outcome addressed by GDPR Article 28. The relationship is outcome-based and does not establish the required lawful basis, actor status, data-subject procedure, or supervisory interpretation. Article 28 requires processing-context analysis, controller/processor accountability, and legal evidence beyond implementation of this GAISSF control.</w:t>
            </w:r>
          </w:p>
        </w:tc>
      </w:tr>
      <w:tr>
        <w:tc>
          <w:tcPr>
            <w:tcW w:type="dxa" w:w="1704"/>
            <w:vAlign w:val="top"/>
          </w:tcPr>
          <w:p>
            <w:r>
              <w:rPr>
                <w:sz w:val="15"/>
              </w:rPr>
              <w:t>CRO030-MAP-0084</w:t>
            </w:r>
          </w:p>
        </w:tc>
        <w:tc>
          <w:tcPr>
            <w:tcW w:type="dxa" w:w="1704"/>
            <w:vAlign w:val="top"/>
          </w:tcPr>
          <w:p>
            <w:r>
              <w:rPr>
                <w:sz w:val="15"/>
              </w:rPr>
              <w:t>D4-CTL-02</w:t>
            </w:r>
          </w:p>
        </w:tc>
        <w:tc>
          <w:tcPr>
            <w:tcW w:type="dxa" w:w="1704"/>
            <w:vAlign w:val="top"/>
          </w:tcPr>
          <w:p>
            <w:r>
              <w:rPr>
                <w:sz w:val="15"/>
              </w:rPr>
              <w:t>Art. 46 — Transfers subject to appropriate safeguards</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D4-CTL-02 provides technical or governance capability relevant to the outcome addressed by GDPR Article 46. The relationship is outcome-based and does not establish the required lawful basis, actor status, data-subject procedure, or supervisory interpretation. Article 46 requires processing-context analysis, controller/processor accountability, and legal evidence beyond implementation of this GAISSF control.</w:t>
            </w:r>
          </w:p>
        </w:tc>
      </w:tr>
      <w:tr>
        <w:tc>
          <w:tcPr>
            <w:tcW w:type="dxa" w:w="1704"/>
            <w:vAlign w:val="top"/>
          </w:tcPr>
          <w:p>
            <w:r>
              <w:rPr>
                <w:sz w:val="15"/>
              </w:rPr>
              <w:t>CRO030-MAP-0085</w:t>
            </w:r>
          </w:p>
        </w:tc>
        <w:tc>
          <w:tcPr>
            <w:tcW w:type="dxa" w:w="1704"/>
            <w:vAlign w:val="top"/>
          </w:tcPr>
          <w:p>
            <w:r>
              <w:rPr>
                <w:sz w:val="15"/>
              </w:rPr>
              <w:t>D4-CTL-02</w:t>
            </w:r>
          </w:p>
        </w:tc>
        <w:tc>
          <w:tcPr>
            <w:tcW w:type="dxa" w:w="1704"/>
            <w:vAlign w:val="top"/>
          </w:tcPr>
          <w:p>
            <w:r>
              <w:rPr>
                <w:sz w:val="15"/>
              </w:rPr>
              <w:t>Art. 45 — Transfers on the basis of an adequacy decision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D4-CTL-02 provides technical or governance capability relevant to the outcome addressed by GDPR Article 45. The relationship is outcome-based and does not establish the required lawful basis, actor status, data-subject procedure, or supervisory interpretation. Article 45 requires processing-context analysis, controller/processor accountability, and legal evidence beyond implementation of this GAISSF control.</w:t>
            </w:r>
          </w:p>
        </w:tc>
      </w:tr>
      <w:tr>
        <w:tc>
          <w:tcPr>
            <w:tcW w:type="dxa" w:w="1704"/>
            <w:vAlign w:val="top"/>
          </w:tcPr>
          <w:p>
            <w:r>
              <w:rPr>
                <w:sz w:val="15"/>
              </w:rPr>
              <w:t>CRO030-MAP-0086</w:t>
            </w:r>
          </w:p>
        </w:tc>
        <w:tc>
          <w:tcPr>
            <w:tcW w:type="dxa" w:w="1704"/>
            <w:vAlign w:val="top"/>
          </w:tcPr>
          <w:p>
            <w:r>
              <w:rPr>
                <w:sz w:val="15"/>
              </w:rPr>
              <w:t>D4-CTL-02</w:t>
            </w:r>
          </w:p>
        </w:tc>
        <w:tc>
          <w:tcPr>
            <w:tcW w:type="dxa" w:w="1704"/>
            <w:vAlign w:val="top"/>
          </w:tcPr>
          <w:p>
            <w:r>
              <w:rPr>
                <w:sz w:val="15"/>
              </w:rPr>
              <w:t>Art. 44 — General principle for transfers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D4-CTL-02 provides technical or governance capability relevant to the outcome addressed by GDPR Article 44. The relationship is outcome-based and does not establish the required lawful basis, actor status, data-subject procedure, or supervisory interpretation. Article 44 requires processing-context analysis, controller/processor accountability, and legal evidence beyond implementation of this GAISSF control.</w:t>
            </w:r>
          </w:p>
        </w:tc>
      </w:tr>
      <w:tr>
        <w:tc>
          <w:tcPr>
            <w:tcW w:type="dxa" w:w="1704"/>
            <w:vAlign w:val="top"/>
          </w:tcPr>
          <w:p>
            <w:r>
              <w:rPr>
                <w:sz w:val="15"/>
              </w:rPr>
              <w:t>CRO030-MAP-0087</w:t>
            </w:r>
          </w:p>
        </w:tc>
        <w:tc>
          <w:tcPr>
            <w:tcW w:type="dxa" w:w="1704"/>
            <w:vAlign w:val="top"/>
          </w:tcPr>
          <w:p>
            <w:r>
              <w:rPr>
                <w:sz w:val="15"/>
              </w:rPr>
              <w:t>D4-CTL-02</w:t>
            </w:r>
          </w:p>
        </w:tc>
        <w:tc>
          <w:tcPr>
            <w:tcW w:type="dxa" w:w="1704"/>
            <w:vAlign w:val="top"/>
          </w:tcPr>
          <w:p>
            <w:r>
              <w:rPr>
                <w:sz w:val="15"/>
              </w:rPr>
              <w:t>Art. 28 — Processor</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D4-CTL-02 provides technical or governance capability relevant to the outcome addressed by GDPR Article 28. The relationship is outcome-based and does not establish the required lawful basis, actor status, data-subject procedure, or supervisory interpretation. Article 28 requires processing-context analysis, controller/processor accountability, and legal evidence beyond implementation of this GAISSF control.</w:t>
            </w:r>
          </w:p>
        </w:tc>
      </w:tr>
      <w:tr>
        <w:tc>
          <w:tcPr>
            <w:tcW w:type="dxa" w:w="1704"/>
            <w:vAlign w:val="top"/>
          </w:tcPr>
          <w:p>
            <w:r>
              <w:rPr>
                <w:sz w:val="15"/>
              </w:rPr>
              <w:t>CRO030-MAP-0088</w:t>
            </w:r>
          </w:p>
        </w:tc>
        <w:tc>
          <w:tcPr>
            <w:tcW w:type="dxa" w:w="1704"/>
            <w:vAlign w:val="top"/>
          </w:tcPr>
          <w:p>
            <w:r>
              <w:rPr>
                <w:sz w:val="15"/>
              </w:rPr>
              <w:t>D4-CTL-03</w:t>
            </w:r>
          </w:p>
        </w:tc>
        <w:tc>
          <w:tcPr>
            <w:tcW w:type="dxa" w:w="1704"/>
            <w:vAlign w:val="top"/>
          </w:tcPr>
          <w:p>
            <w:r>
              <w:rPr>
                <w:sz w:val="15"/>
              </w:rPr>
              <w:t>Art. 46 — Transfers subject to appropriate safeguards</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D4-CTL-03 provides technical or governance capability relevant to the outcome addressed by GDPR Article 46. The relationship is outcome-based and does not establish the required lawful basis, actor status, data-subject procedure, or supervisory interpretation. Article 46 requires processing-context analysis, controller/processor accountability, and legal evidence beyond implementation of this GAISSF control.</w:t>
            </w:r>
          </w:p>
        </w:tc>
      </w:tr>
      <w:tr>
        <w:tc>
          <w:tcPr>
            <w:tcW w:type="dxa" w:w="1704"/>
            <w:vAlign w:val="top"/>
          </w:tcPr>
          <w:p>
            <w:r>
              <w:rPr>
                <w:sz w:val="15"/>
              </w:rPr>
              <w:t>CRO030-MAP-0089</w:t>
            </w:r>
          </w:p>
        </w:tc>
        <w:tc>
          <w:tcPr>
            <w:tcW w:type="dxa" w:w="1704"/>
            <w:vAlign w:val="top"/>
          </w:tcPr>
          <w:p>
            <w:r>
              <w:rPr>
                <w:sz w:val="15"/>
              </w:rPr>
              <w:t>D4-CTL-03</w:t>
            </w:r>
          </w:p>
        </w:tc>
        <w:tc>
          <w:tcPr>
            <w:tcW w:type="dxa" w:w="1704"/>
            <w:vAlign w:val="top"/>
          </w:tcPr>
          <w:p>
            <w:r>
              <w:rPr>
                <w:sz w:val="15"/>
              </w:rPr>
              <w:t>Art. 45 — Transfers on the basis of an adequacy decision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D4-CTL-03 provides technical or governance capability relevant to the outcome addressed by GDPR Article 45. The relationship is outcome-based and does not establish the required lawful basis, actor status, data-subject procedure, or supervisory interpretation. Article 45 requires processing-context analysis, controller/processor accountability, and legal evidence beyond implementation of this GAISSF control.</w:t>
            </w:r>
          </w:p>
        </w:tc>
      </w:tr>
      <w:tr>
        <w:tc>
          <w:tcPr>
            <w:tcW w:type="dxa" w:w="1704"/>
            <w:vAlign w:val="top"/>
          </w:tcPr>
          <w:p>
            <w:r>
              <w:rPr>
                <w:sz w:val="15"/>
              </w:rPr>
              <w:t>CRO030-MAP-0090</w:t>
            </w:r>
          </w:p>
        </w:tc>
        <w:tc>
          <w:tcPr>
            <w:tcW w:type="dxa" w:w="1704"/>
            <w:vAlign w:val="top"/>
          </w:tcPr>
          <w:p>
            <w:r>
              <w:rPr>
                <w:sz w:val="15"/>
              </w:rPr>
              <w:t>D4-CTL-03</w:t>
            </w:r>
          </w:p>
        </w:tc>
        <w:tc>
          <w:tcPr>
            <w:tcW w:type="dxa" w:w="1704"/>
            <w:vAlign w:val="top"/>
          </w:tcPr>
          <w:p>
            <w:r>
              <w:rPr>
                <w:sz w:val="15"/>
              </w:rPr>
              <w:t>Art. 44 — General principle for transfers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D4-CTL-03 provides technical or governance capability relevant to the outcome addressed by GDPR Article 44. The relationship is outcome-based and does not establish the required lawful basis, actor status, data-subject procedure, or supervisory interpretation. Article 44 requires processing-context analysis, controller/processor accountability, and legal evidence beyond implementation of this GAISSF control.</w:t>
            </w:r>
          </w:p>
        </w:tc>
      </w:tr>
      <w:tr>
        <w:tc>
          <w:tcPr>
            <w:tcW w:type="dxa" w:w="1704"/>
            <w:vAlign w:val="top"/>
          </w:tcPr>
          <w:p>
            <w:r>
              <w:rPr>
                <w:sz w:val="15"/>
              </w:rPr>
              <w:t>CRO030-MAP-0091</w:t>
            </w:r>
          </w:p>
        </w:tc>
        <w:tc>
          <w:tcPr>
            <w:tcW w:type="dxa" w:w="1704"/>
            <w:vAlign w:val="top"/>
          </w:tcPr>
          <w:p>
            <w:r>
              <w:rPr>
                <w:sz w:val="15"/>
              </w:rPr>
              <w:t>D4-CTL-03</w:t>
            </w:r>
          </w:p>
        </w:tc>
        <w:tc>
          <w:tcPr>
            <w:tcW w:type="dxa" w:w="1704"/>
            <w:vAlign w:val="top"/>
          </w:tcPr>
          <w:p>
            <w:r>
              <w:rPr>
                <w:sz w:val="15"/>
              </w:rPr>
              <w:t>Art. 28 — Processor</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D4-CTL-03 provides technical or governance capability relevant to the outcome addressed by GDPR Article 28. The relationship is outcome-based and does not establish the required lawful basis, actor status, data-subject procedure, or supervisory interpretation. Article 28 requires processing-context analysis, controller/processor accountability, and legal evidence beyond implementation of this GAISSF control.</w:t>
            </w:r>
          </w:p>
        </w:tc>
      </w:tr>
      <w:tr>
        <w:tc>
          <w:tcPr>
            <w:tcW w:type="dxa" w:w="1704"/>
            <w:vAlign w:val="top"/>
          </w:tcPr>
          <w:p>
            <w:r>
              <w:rPr>
                <w:sz w:val="15"/>
              </w:rPr>
              <w:t>CRO030-MAP-0092</w:t>
            </w:r>
          </w:p>
        </w:tc>
        <w:tc>
          <w:tcPr>
            <w:tcW w:type="dxa" w:w="1704"/>
            <w:vAlign w:val="top"/>
          </w:tcPr>
          <w:p>
            <w:r>
              <w:rPr>
                <w:sz w:val="15"/>
              </w:rPr>
              <w:t>D4-CTL-04</w:t>
            </w:r>
          </w:p>
        </w:tc>
        <w:tc>
          <w:tcPr>
            <w:tcW w:type="dxa" w:w="1704"/>
            <w:vAlign w:val="top"/>
          </w:tcPr>
          <w:p>
            <w:r>
              <w:rPr>
                <w:sz w:val="15"/>
              </w:rPr>
              <w:t>Art. 46 — Transfers subject to appropriate safeguards</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D4-CTL-04 provides technical or governance capability relevant to the outcome addressed by GDPR Article 46. The relationship is outcome-based and does not establish the required lawful basis, actor status, data-subject procedure, or supervisory interpretation. Article 46 requires processing-context analysis, controller/processor accountability, and legal evidence beyond implementation of this GAISSF control.</w:t>
            </w:r>
          </w:p>
        </w:tc>
      </w:tr>
      <w:tr>
        <w:tc>
          <w:tcPr>
            <w:tcW w:type="dxa" w:w="1704"/>
            <w:vAlign w:val="top"/>
          </w:tcPr>
          <w:p>
            <w:r>
              <w:rPr>
                <w:sz w:val="15"/>
              </w:rPr>
              <w:t>CRO030-MAP-0093</w:t>
            </w:r>
          </w:p>
        </w:tc>
        <w:tc>
          <w:tcPr>
            <w:tcW w:type="dxa" w:w="1704"/>
            <w:vAlign w:val="top"/>
          </w:tcPr>
          <w:p>
            <w:r>
              <w:rPr>
                <w:sz w:val="15"/>
              </w:rPr>
              <w:t>D4-CTL-04</w:t>
            </w:r>
          </w:p>
        </w:tc>
        <w:tc>
          <w:tcPr>
            <w:tcW w:type="dxa" w:w="1704"/>
            <w:vAlign w:val="top"/>
          </w:tcPr>
          <w:p>
            <w:r>
              <w:rPr>
                <w:sz w:val="15"/>
              </w:rPr>
              <w:t>Art. 45 — Transfers on the basis of an adequacy decision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D4-CTL-04 provides technical or governance capability relevant to the outcome addressed by GDPR Article 45. The relationship is outcome-based and does not establish the required lawful basis, actor status, data-subject procedure, or supervisory interpretation. Article 45 requires processing-context analysis, controller/processor accountability, and legal evidence beyond implementation of this GAISSF control.</w:t>
            </w:r>
          </w:p>
        </w:tc>
      </w:tr>
      <w:tr>
        <w:tc>
          <w:tcPr>
            <w:tcW w:type="dxa" w:w="1704"/>
            <w:vAlign w:val="top"/>
          </w:tcPr>
          <w:p>
            <w:r>
              <w:rPr>
                <w:sz w:val="15"/>
              </w:rPr>
              <w:t>CRO030-MAP-0094</w:t>
            </w:r>
          </w:p>
        </w:tc>
        <w:tc>
          <w:tcPr>
            <w:tcW w:type="dxa" w:w="1704"/>
            <w:vAlign w:val="top"/>
          </w:tcPr>
          <w:p>
            <w:r>
              <w:rPr>
                <w:sz w:val="15"/>
              </w:rPr>
              <w:t>D4-CTL-04</w:t>
            </w:r>
          </w:p>
        </w:tc>
        <w:tc>
          <w:tcPr>
            <w:tcW w:type="dxa" w:w="1704"/>
            <w:vAlign w:val="top"/>
          </w:tcPr>
          <w:p>
            <w:r>
              <w:rPr>
                <w:sz w:val="15"/>
              </w:rPr>
              <w:t>Art. 44 — General principle for transfers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D4-CTL-04 provides technical or governance capability relevant to the outcome addressed by GDPR Article 44. The relationship is outcome-based and does not establish the required lawful basis, actor status, data-subject procedure, or supervisory interpretation. Article 44 requires processing-context analysis, controller/processor accountability, and legal evidence beyond implementation of this GAISSF control.</w:t>
            </w:r>
          </w:p>
        </w:tc>
      </w:tr>
      <w:tr>
        <w:tc>
          <w:tcPr>
            <w:tcW w:type="dxa" w:w="1704"/>
            <w:vAlign w:val="top"/>
          </w:tcPr>
          <w:p>
            <w:r>
              <w:rPr>
                <w:sz w:val="15"/>
              </w:rPr>
              <w:t>CRO030-MAP-0095</w:t>
            </w:r>
          </w:p>
        </w:tc>
        <w:tc>
          <w:tcPr>
            <w:tcW w:type="dxa" w:w="1704"/>
            <w:vAlign w:val="top"/>
          </w:tcPr>
          <w:p>
            <w:r>
              <w:rPr>
                <w:sz w:val="15"/>
              </w:rPr>
              <w:t>D4-CTL-04</w:t>
            </w:r>
          </w:p>
        </w:tc>
        <w:tc>
          <w:tcPr>
            <w:tcW w:type="dxa" w:w="1704"/>
            <w:vAlign w:val="top"/>
          </w:tcPr>
          <w:p>
            <w:r>
              <w:rPr>
                <w:sz w:val="15"/>
              </w:rPr>
              <w:t>Art. 32 — Security of processing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D4-CTL-04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CRO030-MAP-0096</w:t>
            </w:r>
          </w:p>
        </w:tc>
        <w:tc>
          <w:tcPr>
            <w:tcW w:type="dxa" w:w="1704"/>
            <w:vAlign w:val="top"/>
          </w:tcPr>
          <w:p>
            <w:r>
              <w:rPr>
                <w:sz w:val="15"/>
              </w:rPr>
              <w:t>D4-CTL-05</w:t>
            </w:r>
          </w:p>
        </w:tc>
        <w:tc>
          <w:tcPr>
            <w:tcW w:type="dxa" w:w="1704"/>
            <w:vAlign w:val="top"/>
          </w:tcPr>
          <w:p>
            <w:r>
              <w:rPr>
                <w:sz w:val="15"/>
              </w:rPr>
              <w:t>Art. 46 — Transfers subject to appropriate safeguards</w:t>
            </w:r>
          </w:p>
        </w:tc>
        <w:tc>
          <w:tcPr>
            <w:tcW w:type="dxa" w:w="1704"/>
            <w:vAlign w:val="top"/>
          </w:tcPr>
          <w:p>
            <w:r>
              <w:rPr>
                <w:sz w:val="15"/>
              </w:rPr>
              <w:t>SP</w:t>
            </w:r>
          </w:p>
        </w:tc>
        <w:tc>
          <w:tcPr>
            <w:tcW w:type="dxa" w:w="1704"/>
            <w:vAlign w:val="top"/>
          </w:tcPr>
          <w:p>
            <w:r>
              <w:rPr>
                <w:sz w:val="15"/>
              </w:rPr>
              <w:t>High</w:t>
            </w:r>
          </w:p>
        </w:tc>
        <w:tc>
          <w:tcPr>
            <w:tcW w:type="dxa" w:w="1704"/>
            <w:vAlign w:val="top"/>
          </w:tcPr>
          <w:p>
            <w:r>
              <w:rPr>
                <w:sz w:val="15"/>
              </w:rPr>
              <w:t>GAISSF D4-CTL-05 provides technical or governance capability relevant to the outcome addressed by GDPR Article 46. The relationship is outcome-based and does not establish the required lawful basis, actor status, data-subject procedure, or supervisory interpretation. Article 46 requires processing-context analysis, controller/processor accountability, and legal evidence beyond implementation of this GAISSF control.</w:t>
            </w:r>
          </w:p>
        </w:tc>
      </w:tr>
      <w:tr>
        <w:tc>
          <w:tcPr>
            <w:tcW w:type="dxa" w:w="1704"/>
            <w:vAlign w:val="top"/>
          </w:tcPr>
          <w:p>
            <w:r>
              <w:rPr>
                <w:sz w:val="15"/>
              </w:rPr>
              <w:t>CRO030-MAP-0097</w:t>
            </w:r>
          </w:p>
        </w:tc>
        <w:tc>
          <w:tcPr>
            <w:tcW w:type="dxa" w:w="1704"/>
            <w:vAlign w:val="top"/>
          </w:tcPr>
          <w:p>
            <w:r>
              <w:rPr>
                <w:sz w:val="15"/>
              </w:rPr>
              <w:t>D4-CTL-05</w:t>
            </w:r>
          </w:p>
        </w:tc>
        <w:tc>
          <w:tcPr>
            <w:tcW w:type="dxa" w:w="1704"/>
            <w:vAlign w:val="top"/>
          </w:tcPr>
          <w:p>
            <w:r>
              <w:rPr>
                <w:sz w:val="15"/>
              </w:rPr>
              <w:t>Art. 44 — General principle for transfers</w:t>
            </w:r>
          </w:p>
        </w:tc>
        <w:tc>
          <w:tcPr>
            <w:tcW w:type="dxa" w:w="1704"/>
            <w:vAlign w:val="top"/>
          </w:tcPr>
          <w:p>
            <w:r>
              <w:rPr>
                <w:sz w:val="15"/>
              </w:rPr>
              <w:t>SP</w:t>
            </w:r>
          </w:p>
        </w:tc>
        <w:tc>
          <w:tcPr>
            <w:tcW w:type="dxa" w:w="1704"/>
            <w:vAlign w:val="top"/>
          </w:tcPr>
          <w:p>
            <w:r>
              <w:rPr>
                <w:sz w:val="15"/>
              </w:rPr>
              <w:t>Medium-High</w:t>
            </w:r>
          </w:p>
        </w:tc>
        <w:tc>
          <w:tcPr>
            <w:tcW w:type="dxa" w:w="1704"/>
            <w:vAlign w:val="top"/>
          </w:tcPr>
          <w:p>
            <w:r>
              <w:rPr>
                <w:sz w:val="15"/>
              </w:rPr>
              <w:t>GAISSF D4-CTL-05 provides technical or governance capability relevant to the outcome addressed by GDPR Article 44. The relationship is outcome-based and does not establish the required lawful basis, actor status, data-subject procedure, or supervisory interpretation. Article 44 requires processing-context analysis, controller/processor accountability, and legal evidence beyond implementation of this GAISSF control.</w:t>
            </w:r>
          </w:p>
        </w:tc>
      </w:tr>
      <w:tr>
        <w:tc>
          <w:tcPr>
            <w:tcW w:type="dxa" w:w="1704"/>
            <w:vAlign w:val="top"/>
          </w:tcPr>
          <w:p>
            <w:r>
              <w:rPr>
                <w:sz w:val="15"/>
              </w:rPr>
              <w:t>CRO030-MAP-0098</w:t>
            </w:r>
          </w:p>
        </w:tc>
        <w:tc>
          <w:tcPr>
            <w:tcW w:type="dxa" w:w="1704"/>
            <w:vAlign w:val="top"/>
          </w:tcPr>
          <w:p>
            <w:r>
              <w:rPr>
                <w:sz w:val="15"/>
              </w:rPr>
              <w:t>D4-CTL-05</w:t>
            </w:r>
          </w:p>
        </w:tc>
        <w:tc>
          <w:tcPr>
            <w:tcW w:type="dxa" w:w="1704"/>
            <w:vAlign w:val="top"/>
          </w:tcPr>
          <w:p>
            <w:r>
              <w:rPr>
                <w:sz w:val="15"/>
              </w:rPr>
              <w:t>Art. 28 — Processor</w:t>
            </w:r>
          </w:p>
        </w:tc>
        <w:tc>
          <w:tcPr>
            <w:tcW w:type="dxa" w:w="1704"/>
            <w:vAlign w:val="top"/>
          </w:tcPr>
          <w:p>
            <w:r>
              <w:rPr>
                <w:sz w:val="15"/>
              </w:rPr>
              <w:t>SP</w:t>
            </w:r>
          </w:p>
        </w:tc>
        <w:tc>
          <w:tcPr>
            <w:tcW w:type="dxa" w:w="1704"/>
            <w:vAlign w:val="top"/>
          </w:tcPr>
          <w:p>
            <w:r>
              <w:rPr>
                <w:sz w:val="15"/>
              </w:rPr>
              <w:t>Medium-High</w:t>
            </w:r>
          </w:p>
        </w:tc>
        <w:tc>
          <w:tcPr>
            <w:tcW w:type="dxa" w:w="1704"/>
            <w:vAlign w:val="top"/>
          </w:tcPr>
          <w:p>
            <w:r>
              <w:rPr>
                <w:sz w:val="15"/>
              </w:rPr>
              <w:t>GAISSF D4-CTL-05 provides technical or governance capability relevant to the outcome addressed by GDPR Article 28. The relationship is outcome-based and does not establish the required lawful basis, actor status, data-subject procedure, or supervisory interpretation. Article 28 requires processing-context analysis, controller/processor accountability, and legal evidence beyond implementation of this GAISSF control.</w:t>
            </w:r>
          </w:p>
        </w:tc>
      </w:tr>
      <w:tr>
        <w:tc>
          <w:tcPr>
            <w:tcW w:type="dxa" w:w="1704"/>
            <w:vAlign w:val="top"/>
          </w:tcPr>
          <w:p>
            <w:r>
              <w:rPr>
                <w:sz w:val="15"/>
              </w:rPr>
              <w:t>CRO030-MAP-0099</w:t>
            </w:r>
          </w:p>
        </w:tc>
        <w:tc>
          <w:tcPr>
            <w:tcW w:type="dxa" w:w="1704"/>
            <w:vAlign w:val="top"/>
          </w:tcPr>
          <w:p>
            <w:r>
              <w:rPr>
                <w:sz w:val="15"/>
              </w:rPr>
              <w:t>D4-CTL-05</w:t>
            </w:r>
          </w:p>
        </w:tc>
        <w:tc>
          <w:tcPr>
            <w:tcW w:type="dxa" w:w="1704"/>
            <w:vAlign w:val="top"/>
          </w:tcPr>
          <w:p>
            <w:r>
              <w:rPr>
                <w:sz w:val="15"/>
              </w:rPr>
              <w:t>Art. 45 — Transfers on the basis of an adequacy decision</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D4-CTL-05 provides technical or governance capability relevant to the outcome addressed by GDPR Article 45. The relationship is outcome-based and does not establish the required lawful basis, actor status, data-subject procedure, or supervisory interpretation. Article 45 requires processing-context analysis, controller/processor accountability, and legal evidence beyond implementation of this GAISSF control.</w:t>
            </w:r>
          </w:p>
        </w:tc>
      </w:tr>
      <w:tr>
        <w:tc>
          <w:tcPr>
            <w:tcW w:type="dxa" w:w="1704"/>
            <w:vAlign w:val="top"/>
          </w:tcPr>
          <w:p>
            <w:r>
              <w:rPr>
                <w:sz w:val="15"/>
              </w:rPr>
              <w:t>CRO030-MAP-0100</w:t>
            </w:r>
          </w:p>
        </w:tc>
        <w:tc>
          <w:tcPr>
            <w:tcW w:type="dxa" w:w="1704"/>
            <w:vAlign w:val="top"/>
          </w:tcPr>
          <w:p>
            <w:r>
              <w:rPr>
                <w:sz w:val="15"/>
              </w:rPr>
              <w:t>D4-CTL-06</w:t>
            </w:r>
          </w:p>
        </w:tc>
        <w:tc>
          <w:tcPr>
            <w:tcW w:type="dxa" w:w="1704"/>
            <w:vAlign w:val="top"/>
          </w:tcPr>
          <w:p>
            <w:r>
              <w:rPr>
                <w:sz w:val="15"/>
              </w:rPr>
              <w:t>Art. 47 — Binding corporate rules</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D4-CTL-06 provides technical or governance capability relevant to the outcome addressed by GDPR Article 47. The relationship is outcome-based and does not establish the required lawful basis, actor status, data-subject procedure, or supervisory interpretation. Article 47 requires processing-context analysis, controller/processor accountability, and legal evidence beyond implementation of this GAISSF control.</w:t>
            </w:r>
          </w:p>
        </w:tc>
      </w:tr>
      <w:tr>
        <w:tc>
          <w:tcPr>
            <w:tcW w:type="dxa" w:w="1704"/>
            <w:vAlign w:val="top"/>
          </w:tcPr>
          <w:p>
            <w:r>
              <w:rPr>
                <w:sz w:val="15"/>
              </w:rPr>
              <w:t>CRO030-MAP-0101</w:t>
            </w:r>
          </w:p>
        </w:tc>
        <w:tc>
          <w:tcPr>
            <w:tcW w:type="dxa" w:w="1704"/>
            <w:vAlign w:val="top"/>
          </w:tcPr>
          <w:p>
            <w:r>
              <w:rPr>
                <w:sz w:val="15"/>
              </w:rPr>
              <w:t>D4-CTL-06</w:t>
            </w:r>
          </w:p>
        </w:tc>
        <w:tc>
          <w:tcPr>
            <w:tcW w:type="dxa" w:w="1704"/>
            <w:vAlign w:val="top"/>
          </w:tcPr>
          <w:p>
            <w:r>
              <w:rPr>
                <w:sz w:val="15"/>
              </w:rPr>
              <w:t>Art. 46 — Transfers subject to appropriate safeguards</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D4-CTL-06 provides technical or governance capability relevant to the outcome addressed by GDPR Article 46. The relationship is outcome-based and does not establish the required lawful basis, actor status, data-subject procedure, or supervisory interpretation. Article 46 requires processing-context analysis, controller/processor accountability, and legal evidence beyond implementation of this GAISSF control.</w:t>
            </w:r>
          </w:p>
        </w:tc>
      </w:tr>
      <w:tr>
        <w:tc>
          <w:tcPr>
            <w:tcW w:type="dxa" w:w="1704"/>
            <w:vAlign w:val="top"/>
          </w:tcPr>
          <w:p>
            <w:r>
              <w:rPr>
                <w:sz w:val="15"/>
              </w:rPr>
              <w:t>CRO030-MAP-0102</w:t>
            </w:r>
          </w:p>
        </w:tc>
        <w:tc>
          <w:tcPr>
            <w:tcW w:type="dxa" w:w="1704"/>
            <w:vAlign w:val="top"/>
          </w:tcPr>
          <w:p>
            <w:r>
              <w:rPr>
                <w:sz w:val="15"/>
              </w:rPr>
              <w:t>D4-CTL-06</w:t>
            </w:r>
          </w:p>
        </w:tc>
        <w:tc>
          <w:tcPr>
            <w:tcW w:type="dxa" w:w="1704"/>
            <w:vAlign w:val="top"/>
          </w:tcPr>
          <w:p>
            <w:r>
              <w:rPr>
                <w:sz w:val="15"/>
              </w:rPr>
              <w:t>Art. 49 — Derogations for specific situations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D4-CTL-06 provides technical or governance capability relevant to the outcome addressed by GDPR Article 49. The relationship is outcome-based and does not establish the required lawful basis, actor status, data-subject procedure, or supervisory interpretation. Article 49 requires processing-context analysis, controller/processor accountability, and legal evidence beyond implementation of this GAISSF control.</w:t>
            </w:r>
          </w:p>
        </w:tc>
      </w:tr>
      <w:tr>
        <w:tc>
          <w:tcPr>
            <w:tcW w:type="dxa" w:w="1704"/>
            <w:vAlign w:val="top"/>
          </w:tcPr>
          <w:p>
            <w:r>
              <w:rPr>
                <w:sz w:val="15"/>
              </w:rPr>
              <w:t>CRO030-MAP-0103</w:t>
            </w:r>
          </w:p>
        </w:tc>
        <w:tc>
          <w:tcPr>
            <w:tcW w:type="dxa" w:w="1704"/>
            <w:vAlign w:val="top"/>
          </w:tcPr>
          <w:p>
            <w:r>
              <w:rPr>
                <w:sz w:val="15"/>
              </w:rPr>
              <w:t>D4-CTL-06</w:t>
            </w:r>
          </w:p>
        </w:tc>
        <w:tc>
          <w:tcPr>
            <w:tcW w:type="dxa" w:w="1704"/>
            <w:vAlign w:val="top"/>
          </w:tcPr>
          <w:p>
            <w:r>
              <w:rPr>
                <w:sz w:val="15"/>
              </w:rPr>
              <w:t>Art. 45 — Transfers on the basis of an adequacy decision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D4-CTL-06 provides technical or governance capability relevant to the outcome addressed by GDPR Article 45. The relationship is outcome-based and does not establish the required lawful basis, actor status, data-subject procedure, or supervisory interpretation. Article 45 requires processing-context analysis, controller/processor accountability, and legal evidence beyond implementation of this GAISSF control.</w:t>
            </w:r>
          </w:p>
        </w:tc>
      </w:tr>
      <w:tr>
        <w:tc>
          <w:tcPr>
            <w:tcW w:type="dxa" w:w="1704"/>
            <w:vAlign w:val="top"/>
          </w:tcPr>
          <w:p>
            <w:r>
              <w:rPr>
                <w:sz w:val="15"/>
              </w:rPr>
              <w:t>CRO030-MAP-0104</w:t>
            </w:r>
          </w:p>
        </w:tc>
        <w:tc>
          <w:tcPr>
            <w:tcW w:type="dxa" w:w="1704"/>
            <w:vAlign w:val="top"/>
          </w:tcPr>
          <w:p>
            <w:r>
              <w:rPr>
                <w:sz w:val="15"/>
              </w:rPr>
              <w:t>D4-CTL-07</w:t>
            </w:r>
          </w:p>
        </w:tc>
        <w:tc>
          <w:tcPr>
            <w:tcW w:type="dxa" w:w="1704"/>
            <w:vAlign w:val="top"/>
          </w:tcPr>
          <w:p>
            <w:r>
              <w:rPr>
                <w:sz w:val="15"/>
              </w:rPr>
              <w:t>Art. 46 — Transfers subject to appropriate safeguards</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D4-CTL-07 provides technical or governance capability relevant to the outcome addressed by GDPR Article 46. The relationship is outcome-based and does not establish the required lawful basis, actor status, data-subject procedure, or supervisory interpretation. Article 46 requires processing-context analysis, controller/processor accountability, and legal evidence beyond implementation of this GAISSF control.</w:t>
            </w:r>
          </w:p>
        </w:tc>
      </w:tr>
      <w:tr>
        <w:tc>
          <w:tcPr>
            <w:tcW w:type="dxa" w:w="1704"/>
            <w:vAlign w:val="top"/>
          </w:tcPr>
          <w:p>
            <w:r>
              <w:rPr>
                <w:sz w:val="15"/>
              </w:rPr>
              <w:t>CRO030-MAP-0105</w:t>
            </w:r>
          </w:p>
        </w:tc>
        <w:tc>
          <w:tcPr>
            <w:tcW w:type="dxa" w:w="1704"/>
            <w:vAlign w:val="top"/>
          </w:tcPr>
          <w:p>
            <w:r>
              <w:rPr>
                <w:sz w:val="15"/>
              </w:rPr>
              <w:t>D4-CTL-07</w:t>
            </w:r>
          </w:p>
        </w:tc>
        <w:tc>
          <w:tcPr>
            <w:tcW w:type="dxa" w:w="1704"/>
            <w:vAlign w:val="top"/>
          </w:tcPr>
          <w:p>
            <w:r>
              <w:rPr>
                <w:sz w:val="15"/>
              </w:rPr>
              <w:t>Art. 45 — Transfers on the basis of an adequacy decision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D4-CTL-07 provides technical or governance capability relevant to the outcome addressed by GDPR Article 45. The relationship is outcome-based and does not establish the required lawful basis, actor status, data-subject procedure, or supervisory interpretation. Article 45 requires processing-context analysis, controller/processor accountability, and legal evidence beyond implementation of this GAISSF control.</w:t>
            </w:r>
          </w:p>
        </w:tc>
      </w:tr>
      <w:tr>
        <w:tc>
          <w:tcPr>
            <w:tcW w:type="dxa" w:w="1704"/>
            <w:vAlign w:val="top"/>
          </w:tcPr>
          <w:p>
            <w:r>
              <w:rPr>
                <w:sz w:val="15"/>
              </w:rPr>
              <w:t>CRO030-MAP-0106</w:t>
            </w:r>
          </w:p>
        </w:tc>
        <w:tc>
          <w:tcPr>
            <w:tcW w:type="dxa" w:w="1704"/>
            <w:vAlign w:val="top"/>
          </w:tcPr>
          <w:p>
            <w:r>
              <w:rPr>
                <w:sz w:val="15"/>
              </w:rPr>
              <w:t>D4-CTL-07</w:t>
            </w:r>
          </w:p>
        </w:tc>
        <w:tc>
          <w:tcPr>
            <w:tcW w:type="dxa" w:w="1704"/>
            <w:vAlign w:val="top"/>
          </w:tcPr>
          <w:p>
            <w:r>
              <w:rPr>
                <w:sz w:val="15"/>
              </w:rPr>
              <w:t>Art. 44 — General principle for transfers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D4-CTL-07 provides technical or governance capability relevant to the outcome addressed by GDPR Article 44. The relationship is outcome-based and does not establish the required lawful basis, actor status, data-subject procedure, or supervisory interpretation. Article 44 requires processing-context analysis, controller/processor accountability, and legal evidence beyond implementation of this GAISSF control.</w:t>
            </w:r>
          </w:p>
        </w:tc>
      </w:tr>
      <w:tr>
        <w:tc>
          <w:tcPr>
            <w:tcW w:type="dxa" w:w="1704"/>
            <w:vAlign w:val="top"/>
          </w:tcPr>
          <w:p>
            <w:r>
              <w:rPr>
                <w:sz w:val="15"/>
              </w:rPr>
              <w:t>CRO030-MAP-0107</w:t>
            </w:r>
          </w:p>
        </w:tc>
        <w:tc>
          <w:tcPr>
            <w:tcW w:type="dxa" w:w="1704"/>
            <w:vAlign w:val="top"/>
          </w:tcPr>
          <w:p>
            <w:r>
              <w:rPr>
                <w:sz w:val="15"/>
              </w:rPr>
              <w:t>D4-CTL-07</w:t>
            </w:r>
          </w:p>
        </w:tc>
        <w:tc>
          <w:tcPr>
            <w:tcW w:type="dxa" w:w="1704"/>
            <w:vAlign w:val="top"/>
          </w:tcPr>
          <w:p>
            <w:r>
              <w:rPr>
                <w:sz w:val="15"/>
              </w:rPr>
              <w:t>Art. 28 — Processor</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D4-CTL-07 provides technical or governance capability relevant to the outcome addressed by GDPR Article 28. The relationship is outcome-based and does not establish the required lawful basis, actor status, data-subject procedure, or supervisory interpretation. Article 28 requires processing-context analysis, controller/processor accountability, and legal evidence beyond implementation of this GAISSF control.</w:t>
            </w:r>
          </w:p>
        </w:tc>
      </w:tr>
      <w:tr>
        <w:tc>
          <w:tcPr>
            <w:tcW w:type="dxa" w:w="1704"/>
            <w:vAlign w:val="top"/>
          </w:tcPr>
          <w:p>
            <w:r>
              <w:rPr>
                <w:sz w:val="15"/>
              </w:rPr>
              <w:t>CRO030-MAP-0108</w:t>
            </w:r>
          </w:p>
        </w:tc>
        <w:tc>
          <w:tcPr>
            <w:tcW w:type="dxa" w:w="1704"/>
            <w:vAlign w:val="top"/>
          </w:tcPr>
          <w:p>
            <w:r>
              <w:rPr>
                <w:sz w:val="15"/>
              </w:rPr>
              <w:t>D5-CTL-01</w:t>
            </w:r>
          </w:p>
        </w:tc>
        <w:tc>
          <w:tcPr>
            <w:tcW w:type="dxa" w:w="1704"/>
            <w:vAlign w:val="top"/>
          </w:tcPr>
          <w:p>
            <w:r>
              <w:rPr>
                <w:sz w:val="15"/>
              </w:rPr>
              <w:t>Art. 22 — Automated individual decision-making, including profiling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D5-CTL-01 provides technical or governance capability relevant to the outcome addressed by GDPR Article 22. The relationship is outcome-based and does not establish the required lawful basis, actor status, data-subject procedure, or supervisory interpretation. Article 22 requires processing-context analysis, controller/processor accountability, and legal evidence beyond implementation of this GAISSF control.</w:t>
            </w:r>
          </w:p>
        </w:tc>
      </w:tr>
      <w:tr>
        <w:tc>
          <w:tcPr>
            <w:tcW w:type="dxa" w:w="1704"/>
            <w:vAlign w:val="top"/>
          </w:tcPr>
          <w:p>
            <w:r>
              <w:rPr>
                <w:sz w:val="15"/>
              </w:rPr>
              <w:t>CRO030-MAP-0109</w:t>
            </w:r>
          </w:p>
        </w:tc>
        <w:tc>
          <w:tcPr>
            <w:tcW w:type="dxa" w:w="1704"/>
            <w:vAlign w:val="top"/>
          </w:tcPr>
          <w:p>
            <w:r>
              <w:rPr>
                <w:sz w:val="15"/>
              </w:rPr>
              <w:t>D5-CTL-01</w:t>
            </w:r>
          </w:p>
        </w:tc>
        <w:tc>
          <w:tcPr>
            <w:tcW w:type="dxa" w:w="1704"/>
            <w:vAlign w:val="top"/>
          </w:tcPr>
          <w:p>
            <w:r>
              <w:rPr>
                <w:sz w:val="15"/>
              </w:rPr>
              <w:t>Art. 8 — Conditions applicable to child's consent in relation to information society services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D5-CTL-01 provides technical or governance capability relevant to the outcome addressed by GDPR Article 8. The relationship is outcome-based and does not establish the required lawful basis, actor status, data-subject procedure, or supervisory interpretation. Article 8 requires processing-context analysis, controller/processor accountability, and legal evidence beyond implementation of this GAISSF control.</w:t>
            </w:r>
          </w:p>
        </w:tc>
      </w:tr>
      <w:tr>
        <w:tc>
          <w:tcPr>
            <w:tcW w:type="dxa" w:w="1704"/>
            <w:vAlign w:val="top"/>
          </w:tcPr>
          <w:p>
            <w:r>
              <w:rPr>
                <w:sz w:val="15"/>
              </w:rPr>
              <w:t>CRO030-MAP-0110</w:t>
            </w:r>
          </w:p>
        </w:tc>
        <w:tc>
          <w:tcPr>
            <w:tcW w:type="dxa" w:w="1704"/>
            <w:vAlign w:val="top"/>
          </w:tcPr>
          <w:p>
            <w:r>
              <w:rPr>
                <w:sz w:val="15"/>
              </w:rPr>
              <w:t>D5-CTL-01</w:t>
            </w:r>
          </w:p>
        </w:tc>
        <w:tc>
          <w:tcPr>
            <w:tcW w:type="dxa" w:w="1704"/>
            <w:vAlign w:val="top"/>
          </w:tcPr>
          <w:p>
            <w:r>
              <w:rPr>
                <w:sz w:val="15"/>
              </w:rPr>
              <w:t>Art. 35 — Data protection impact assessment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D5-CTL-01 provides technical or governance capability relevant to the outcome addressed by GDPR Article 35. The relationship is outcome-based and does not establish the required lawful basis, actor status, data-subject procedure, or supervisory interpretation. Article 35 requires processing-context analysis, controller/processor accountability, and legal evidence beyond implementation of this GAISSF control.</w:t>
            </w:r>
          </w:p>
        </w:tc>
      </w:tr>
      <w:tr>
        <w:tc>
          <w:tcPr>
            <w:tcW w:type="dxa" w:w="1704"/>
            <w:vAlign w:val="top"/>
          </w:tcPr>
          <w:p>
            <w:r>
              <w:rPr>
                <w:sz w:val="15"/>
              </w:rPr>
              <w:t>CRO030-MAP-0111</w:t>
            </w:r>
          </w:p>
        </w:tc>
        <w:tc>
          <w:tcPr>
            <w:tcW w:type="dxa" w:w="1704"/>
            <w:vAlign w:val="top"/>
          </w:tcPr>
          <w:p>
            <w:r>
              <w:rPr>
                <w:sz w:val="15"/>
              </w:rPr>
              <w:t>D5-CTL-01</w:t>
            </w:r>
          </w:p>
        </w:tc>
        <w:tc>
          <w:tcPr>
            <w:tcW w:type="dxa" w:w="1704"/>
            <w:vAlign w:val="top"/>
          </w:tcPr>
          <w:p>
            <w:r>
              <w:rPr>
                <w:sz w:val="15"/>
              </w:rPr>
              <w:t>Art. 5 — Principles relating to processing of personal data</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D5-CTL-01 provides technical or governance capability relevant to the outcome addressed by GDPR Article 5. The relationship is outcome-based and does not establish the required lawful basis, actor status, data-subject procedure, or supervisory interpretation. Article 5 requires processing-context analysis, controller/processor accountability, and legal evidence beyond implementation of this GAISSF control.</w:t>
            </w:r>
          </w:p>
        </w:tc>
      </w:tr>
      <w:tr>
        <w:tc>
          <w:tcPr>
            <w:tcW w:type="dxa" w:w="1704"/>
            <w:vAlign w:val="top"/>
          </w:tcPr>
          <w:p>
            <w:r>
              <w:rPr>
                <w:sz w:val="15"/>
              </w:rPr>
              <w:t>CRO030-MAP-0112</w:t>
            </w:r>
          </w:p>
        </w:tc>
        <w:tc>
          <w:tcPr>
            <w:tcW w:type="dxa" w:w="1704"/>
            <w:vAlign w:val="top"/>
          </w:tcPr>
          <w:p>
            <w:r>
              <w:rPr>
                <w:sz w:val="15"/>
              </w:rPr>
              <w:t>D5-CTL-02</w:t>
            </w:r>
          </w:p>
        </w:tc>
        <w:tc>
          <w:tcPr>
            <w:tcW w:type="dxa" w:w="1704"/>
            <w:vAlign w:val="top"/>
          </w:tcPr>
          <w:p>
            <w:r>
              <w:rPr>
                <w:sz w:val="15"/>
              </w:rPr>
              <w:t>Art. 22 — Automated individual decision-making, including profiling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D5-CTL-02 provides technical or governance capability relevant to the outcome addressed by GDPR Article 22. The relationship is outcome-based and does not establish the required lawful basis, actor status, data-subject procedure, or supervisory interpretation. Article 22 requires processing-context analysis, controller/processor accountability, and legal evidence beyond implementation of this GAISSF control.</w:t>
            </w:r>
          </w:p>
        </w:tc>
      </w:tr>
      <w:tr>
        <w:tc>
          <w:tcPr>
            <w:tcW w:type="dxa" w:w="1704"/>
            <w:vAlign w:val="top"/>
          </w:tcPr>
          <w:p>
            <w:r>
              <w:rPr>
                <w:sz w:val="15"/>
              </w:rPr>
              <w:t>CRO030-MAP-0113</w:t>
            </w:r>
          </w:p>
        </w:tc>
        <w:tc>
          <w:tcPr>
            <w:tcW w:type="dxa" w:w="1704"/>
            <w:vAlign w:val="top"/>
          </w:tcPr>
          <w:p>
            <w:r>
              <w:rPr>
                <w:sz w:val="15"/>
              </w:rPr>
              <w:t>D5-CTL-02</w:t>
            </w:r>
          </w:p>
        </w:tc>
        <w:tc>
          <w:tcPr>
            <w:tcW w:type="dxa" w:w="1704"/>
            <w:vAlign w:val="top"/>
          </w:tcPr>
          <w:p>
            <w:r>
              <w:rPr>
                <w:sz w:val="15"/>
              </w:rPr>
              <w:t>Art. 32 — Security of processing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D5-CTL-02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CRO030-MAP-0114</w:t>
            </w:r>
          </w:p>
        </w:tc>
        <w:tc>
          <w:tcPr>
            <w:tcW w:type="dxa" w:w="1704"/>
            <w:vAlign w:val="top"/>
          </w:tcPr>
          <w:p>
            <w:r>
              <w:rPr>
                <w:sz w:val="15"/>
              </w:rPr>
              <w:t>D5-CTL-02</w:t>
            </w:r>
          </w:p>
        </w:tc>
        <w:tc>
          <w:tcPr>
            <w:tcW w:type="dxa" w:w="1704"/>
            <w:vAlign w:val="top"/>
          </w:tcPr>
          <w:p>
            <w:r>
              <w:rPr>
                <w:sz w:val="15"/>
              </w:rPr>
              <w:t>Art. 8 — Conditions applicable to child's consent in relation to information society services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D5-CTL-02 provides technical or governance capability relevant to the outcome addressed by GDPR Article 8. The relationship is outcome-based and does not establish the required lawful basis, actor status, data-subject procedure, or supervisory interpretation. Article 8 requires processing-context analysis, controller/processor accountability, and legal evidence beyond implementation of this GAISSF control.</w:t>
            </w:r>
          </w:p>
        </w:tc>
      </w:tr>
      <w:tr>
        <w:tc>
          <w:tcPr>
            <w:tcW w:type="dxa" w:w="1704"/>
            <w:vAlign w:val="top"/>
          </w:tcPr>
          <w:p>
            <w:r>
              <w:rPr>
                <w:sz w:val="15"/>
              </w:rPr>
              <w:t>CRO030-MAP-0115</w:t>
            </w:r>
          </w:p>
        </w:tc>
        <w:tc>
          <w:tcPr>
            <w:tcW w:type="dxa" w:w="1704"/>
            <w:vAlign w:val="top"/>
          </w:tcPr>
          <w:p>
            <w:r>
              <w:rPr>
                <w:sz w:val="15"/>
              </w:rPr>
              <w:t>D5-CTL-02</w:t>
            </w:r>
          </w:p>
        </w:tc>
        <w:tc>
          <w:tcPr>
            <w:tcW w:type="dxa" w:w="1704"/>
            <w:vAlign w:val="top"/>
          </w:tcPr>
          <w:p>
            <w:r>
              <w:rPr>
                <w:sz w:val="15"/>
              </w:rPr>
              <w:t>Art. 5 — Principles relating to processing of personal data</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D5-CTL-02 provides technical or governance capability relevant to the outcome addressed by GDPR Article 5. The relationship is outcome-based and does not establish the required lawful basis, actor status, data-subject procedure, or supervisory interpretation. Article 5 requires processing-context analysis, controller/processor accountability, and legal evidence beyond implementation of this GAISSF control.</w:t>
            </w:r>
          </w:p>
        </w:tc>
      </w:tr>
      <w:tr>
        <w:tc>
          <w:tcPr>
            <w:tcW w:type="dxa" w:w="1704"/>
            <w:vAlign w:val="top"/>
          </w:tcPr>
          <w:p>
            <w:r>
              <w:rPr>
                <w:sz w:val="15"/>
              </w:rPr>
              <w:t>CRO030-MAP-0116</w:t>
            </w:r>
          </w:p>
        </w:tc>
        <w:tc>
          <w:tcPr>
            <w:tcW w:type="dxa" w:w="1704"/>
            <w:vAlign w:val="top"/>
          </w:tcPr>
          <w:p>
            <w:r>
              <w:rPr>
                <w:sz w:val="15"/>
              </w:rPr>
              <w:t>D5-CTL-03</w:t>
            </w:r>
          </w:p>
        </w:tc>
        <w:tc>
          <w:tcPr>
            <w:tcW w:type="dxa" w:w="1704"/>
            <w:vAlign w:val="top"/>
          </w:tcPr>
          <w:p>
            <w:r>
              <w:rPr>
                <w:sz w:val="15"/>
              </w:rPr>
              <w:t>Art. 22 — Automated individual decision-making, including profiling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D5-CTL-03 provides technical or governance capability relevant to the outcome addressed by GDPR Article 22. The relationship is outcome-based and does not establish the required lawful basis, actor status, data-subject procedure, or supervisory interpretation. Article 22 requires processing-context analysis, controller/processor accountability, and legal evidence beyond implementation of this GAISSF control.</w:t>
            </w:r>
          </w:p>
        </w:tc>
      </w:tr>
      <w:tr>
        <w:tc>
          <w:tcPr>
            <w:tcW w:type="dxa" w:w="1704"/>
            <w:vAlign w:val="top"/>
          </w:tcPr>
          <w:p>
            <w:r>
              <w:rPr>
                <w:sz w:val="15"/>
              </w:rPr>
              <w:t>CRO030-MAP-0117</w:t>
            </w:r>
          </w:p>
        </w:tc>
        <w:tc>
          <w:tcPr>
            <w:tcW w:type="dxa" w:w="1704"/>
            <w:vAlign w:val="top"/>
          </w:tcPr>
          <w:p>
            <w:r>
              <w:rPr>
                <w:sz w:val="15"/>
              </w:rPr>
              <w:t>D5-CTL-03</w:t>
            </w:r>
          </w:p>
        </w:tc>
        <w:tc>
          <w:tcPr>
            <w:tcW w:type="dxa" w:w="1704"/>
            <w:vAlign w:val="top"/>
          </w:tcPr>
          <w:p>
            <w:r>
              <w:rPr>
                <w:sz w:val="15"/>
              </w:rPr>
              <w:t>Art. 8 — Conditions applicable to child's consent in relation to information society services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D5-CTL-03 provides technical or governance capability relevant to the outcome addressed by GDPR Article 8. The relationship is outcome-based and does not establish the required lawful basis, actor status, data-subject procedure, or supervisory interpretation. Article 8 requires processing-context analysis, controller/processor accountability, and legal evidence beyond implementation of this GAISSF control.</w:t>
            </w:r>
          </w:p>
        </w:tc>
      </w:tr>
      <w:tr>
        <w:tc>
          <w:tcPr>
            <w:tcW w:type="dxa" w:w="1704"/>
            <w:vAlign w:val="top"/>
          </w:tcPr>
          <w:p>
            <w:r>
              <w:rPr>
                <w:sz w:val="15"/>
              </w:rPr>
              <w:t>CRO030-MAP-0118</w:t>
            </w:r>
          </w:p>
        </w:tc>
        <w:tc>
          <w:tcPr>
            <w:tcW w:type="dxa" w:w="1704"/>
            <w:vAlign w:val="top"/>
          </w:tcPr>
          <w:p>
            <w:r>
              <w:rPr>
                <w:sz w:val="15"/>
              </w:rPr>
              <w:t>D5-CTL-03</w:t>
            </w:r>
          </w:p>
        </w:tc>
        <w:tc>
          <w:tcPr>
            <w:tcW w:type="dxa" w:w="1704"/>
            <w:vAlign w:val="top"/>
          </w:tcPr>
          <w:p>
            <w:r>
              <w:rPr>
                <w:sz w:val="15"/>
              </w:rPr>
              <w:t>Art. 5 — Principles relating to processing of personal data</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D5-CTL-03 provides technical or governance capability relevant to the outcome addressed by GDPR Article 5. The relationship is outcome-based and does not establish the required lawful basis, actor status, data-subject procedure, or supervisory interpretation. Article 5 requires processing-context analysis, controller/processor accountability, and legal evidence beyond implementation of this GAISSF control.</w:t>
            </w:r>
          </w:p>
        </w:tc>
      </w:tr>
      <w:tr>
        <w:tc>
          <w:tcPr>
            <w:tcW w:type="dxa" w:w="1704"/>
            <w:vAlign w:val="top"/>
          </w:tcPr>
          <w:p>
            <w:r>
              <w:rPr>
                <w:sz w:val="15"/>
              </w:rPr>
              <w:t>CRO030-MAP-0119</w:t>
            </w:r>
          </w:p>
        </w:tc>
        <w:tc>
          <w:tcPr>
            <w:tcW w:type="dxa" w:w="1704"/>
            <w:vAlign w:val="top"/>
          </w:tcPr>
          <w:p>
            <w:r>
              <w:rPr>
                <w:sz w:val="15"/>
              </w:rPr>
              <w:t>D5-CTL-04</w:t>
            </w:r>
          </w:p>
        </w:tc>
        <w:tc>
          <w:tcPr>
            <w:tcW w:type="dxa" w:w="1704"/>
            <w:vAlign w:val="top"/>
          </w:tcPr>
          <w:p>
            <w:r>
              <w:rPr>
                <w:sz w:val="15"/>
              </w:rPr>
              <w:t>Art. 22 — Automated individual decision-making, including profiling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D5-CTL-04 provides technical or governance capability relevant to the outcome addressed by GDPR Article 22. The relationship is outcome-based and does not establish the required lawful basis, actor status, data-subject procedure, or supervisory interpretation. Article 22 requires processing-context analysis, controller/processor accountability, and legal evidence beyond implementation of this GAISSF control.</w:t>
            </w:r>
          </w:p>
        </w:tc>
      </w:tr>
      <w:tr>
        <w:tc>
          <w:tcPr>
            <w:tcW w:type="dxa" w:w="1704"/>
            <w:vAlign w:val="top"/>
          </w:tcPr>
          <w:p>
            <w:r>
              <w:rPr>
                <w:sz w:val="15"/>
              </w:rPr>
              <w:t>CRO030-MAP-0120</w:t>
            </w:r>
          </w:p>
        </w:tc>
        <w:tc>
          <w:tcPr>
            <w:tcW w:type="dxa" w:w="1704"/>
            <w:vAlign w:val="top"/>
          </w:tcPr>
          <w:p>
            <w:r>
              <w:rPr>
                <w:sz w:val="15"/>
              </w:rPr>
              <w:t>D5-CTL-04</w:t>
            </w:r>
          </w:p>
        </w:tc>
        <w:tc>
          <w:tcPr>
            <w:tcW w:type="dxa" w:w="1704"/>
            <w:vAlign w:val="top"/>
          </w:tcPr>
          <w:p>
            <w:r>
              <w:rPr>
                <w:sz w:val="15"/>
              </w:rPr>
              <w:t>Art. 32 — Security of processing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D5-CTL-04 provides technical or governance capability relevant to the outcome addressed by GDPR Article 32. The relationship is outcome-based and does not establish the required lawful basis, actor status, data-subject procedure, or supervisory interpretation. Article 32 requires processing-context analysis, controller/processor accountability, and legal evidence beyond implementation of this GAISSF control.</w:t>
            </w:r>
          </w:p>
        </w:tc>
      </w:tr>
      <w:tr>
        <w:tc>
          <w:tcPr>
            <w:tcW w:type="dxa" w:w="1704"/>
            <w:vAlign w:val="top"/>
          </w:tcPr>
          <w:p>
            <w:r>
              <w:rPr>
                <w:sz w:val="15"/>
              </w:rPr>
              <w:t>CRO030-MAP-0121</w:t>
            </w:r>
          </w:p>
        </w:tc>
        <w:tc>
          <w:tcPr>
            <w:tcW w:type="dxa" w:w="1704"/>
            <w:vAlign w:val="top"/>
          </w:tcPr>
          <w:p>
            <w:r>
              <w:rPr>
                <w:sz w:val="15"/>
              </w:rPr>
              <w:t>D5-CTL-04</w:t>
            </w:r>
          </w:p>
        </w:tc>
        <w:tc>
          <w:tcPr>
            <w:tcW w:type="dxa" w:w="1704"/>
            <w:vAlign w:val="top"/>
          </w:tcPr>
          <w:p>
            <w:r>
              <w:rPr>
                <w:sz w:val="15"/>
              </w:rPr>
              <w:t>Art. 8 — Conditions applicable to child's consent in relation to information society services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D5-CTL-04 provides technical or governance capability relevant to the outcome addressed by GDPR Article 8. The relationship is outcome-based and does not establish the required lawful basis, actor status, data-subject procedure, or supervisory interpretation. Article 8 requires processing-context analysis, controller/processor accountability, and legal evidence beyond implementation of this GAISSF control.</w:t>
            </w:r>
          </w:p>
        </w:tc>
      </w:tr>
      <w:tr>
        <w:tc>
          <w:tcPr>
            <w:tcW w:type="dxa" w:w="1704"/>
            <w:vAlign w:val="top"/>
          </w:tcPr>
          <w:p>
            <w:r>
              <w:rPr>
                <w:sz w:val="15"/>
              </w:rPr>
              <w:t>CRO030-MAP-0122</w:t>
            </w:r>
          </w:p>
        </w:tc>
        <w:tc>
          <w:tcPr>
            <w:tcW w:type="dxa" w:w="1704"/>
            <w:vAlign w:val="top"/>
          </w:tcPr>
          <w:p>
            <w:r>
              <w:rPr>
                <w:sz w:val="15"/>
              </w:rPr>
              <w:t>D5-CTL-04</w:t>
            </w:r>
          </w:p>
        </w:tc>
        <w:tc>
          <w:tcPr>
            <w:tcW w:type="dxa" w:w="1704"/>
            <w:vAlign w:val="top"/>
          </w:tcPr>
          <w:p>
            <w:r>
              <w:rPr>
                <w:sz w:val="15"/>
              </w:rPr>
              <w:t>Art. 5 — Principles relating to processing of personal data</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D5-CTL-04 provides technical or governance capability relevant to the outcome addressed by GDPR Article 5. The relationship is outcome-based and does not establish the required lawful basis, actor status, data-subject procedure, or supervisory interpretation. Article 5 requires processing-context analysis, controller/processor accountability, and legal evidence beyond implementation of this GAISSF control.</w:t>
            </w:r>
          </w:p>
        </w:tc>
      </w:tr>
      <w:tr>
        <w:tc>
          <w:tcPr>
            <w:tcW w:type="dxa" w:w="1704"/>
            <w:vAlign w:val="top"/>
          </w:tcPr>
          <w:p>
            <w:r>
              <w:rPr>
                <w:sz w:val="15"/>
              </w:rPr>
              <w:t>CRO030-MAP-0123</w:t>
            </w:r>
          </w:p>
        </w:tc>
        <w:tc>
          <w:tcPr>
            <w:tcW w:type="dxa" w:w="1704"/>
            <w:vAlign w:val="top"/>
          </w:tcPr>
          <w:p>
            <w:r>
              <w:rPr>
                <w:sz w:val="15"/>
              </w:rPr>
              <w:t>D5-CTL-05</w:t>
            </w:r>
          </w:p>
        </w:tc>
        <w:tc>
          <w:tcPr>
            <w:tcW w:type="dxa" w:w="1704"/>
            <w:vAlign w:val="top"/>
          </w:tcPr>
          <w:p>
            <w:r>
              <w:rPr>
                <w:sz w:val="15"/>
              </w:rPr>
              <w:t>Art. 25 — Data protection by design and by default</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D5-CTL-05 provides technical or governance capability relevant to the outcome addressed by GDPR Article 25. The relationship is outcome-based and does not establish the required lawful basis, actor status, data-subject procedure, or supervisory interpretation. Article 25 requires processing-context analysis, controller/processor accountability, and legal evidence beyond implementation of this GAISSF control.</w:t>
            </w:r>
          </w:p>
        </w:tc>
      </w:tr>
      <w:tr>
        <w:tc>
          <w:tcPr>
            <w:tcW w:type="dxa" w:w="1704"/>
            <w:vAlign w:val="top"/>
          </w:tcPr>
          <w:p>
            <w:r>
              <w:rPr>
                <w:sz w:val="15"/>
              </w:rPr>
              <w:t>CRO030-MAP-0124</w:t>
            </w:r>
          </w:p>
        </w:tc>
        <w:tc>
          <w:tcPr>
            <w:tcW w:type="dxa" w:w="1704"/>
            <w:vAlign w:val="top"/>
          </w:tcPr>
          <w:p>
            <w:r>
              <w:rPr>
                <w:sz w:val="15"/>
              </w:rPr>
              <w:t>D5-CTL-05</w:t>
            </w:r>
          </w:p>
        </w:tc>
        <w:tc>
          <w:tcPr>
            <w:tcW w:type="dxa" w:w="1704"/>
            <w:vAlign w:val="top"/>
          </w:tcPr>
          <w:p>
            <w:r>
              <w:rPr>
                <w:sz w:val="15"/>
              </w:rPr>
              <w:t>Art. 35 — Data protection impact assessment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D5-CTL-05 provides technical or governance capability relevant to the outcome addressed by GDPR Article 35. The relationship is outcome-based and does not establish the required lawful basis, actor status, data-subject procedure, or supervisory interpretation. Article 35 requires processing-context analysis, controller/processor accountability, and legal evidence beyond implementation of this GAISSF control.</w:t>
            </w:r>
          </w:p>
        </w:tc>
      </w:tr>
      <w:tr>
        <w:tc>
          <w:tcPr>
            <w:tcW w:type="dxa" w:w="1704"/>
            <w:vAlign w:val="top"/>
          </w:tcPr>
          <w:p>
            <w:r>
              <w:rPr>
                <w:sz w:val="15"/>
              </w:rPr>
              <w:t>CRO030-MAP-0125</w:t>
            </w:r>
          </w:p>
        </w:tc>
        <w:tc>
          <w:tcPr>
            <w:tcW w:type="dxa" w:w="1704"/>
            <w:vAlign w:val="top"/>
          </w:tcPr>
          <w:p>
            <w:r>
              <w:rPr>
                <w:sz w:val="15"/>
              </w:rPr>
              <w:t>D5-CTL-05</w:t>
            </w:r>
          </w:p>
        </w:tc>
        <w:tc>
          <w:tcPr>
            <w:tcW w:type="dxa" w:w="1704"/>
            <w:vAlign w:val="top"/>
          </w:tcPr>
          <w:p>
            <w:r>
              <w:rPr>
                <w:sz w:val="15"/>
              </w:rPr>
              <w:t>Art. 22 — Automated individual decision-making, including profiling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D5-CTL-05 provides technical or governance capability relevant to the outcome addressed by GDPR Article 22. The relationship is outcome-based and does not establish the required lawful basis, actor status, data-subject procedure, or supervisory interpretation. Article 22 requires processing-context analysis, controller/processor accountability, and legal evidence beyond implementation of this GAISSF control.</w:t>
            </w:r>
          </w:p>
        </w:tc>
      </w:tr>
      <w:tr>
        <w:tc>
          <w:tcPr>
            <w:tcW w:type="dxa" w:w="1704"/>
            <w:vAlign w:val="top"/>
          </w:tcPr>
          <w:p>
            <w:r>
              <w:rPr>
                <w:sz w:val="15"/>
              </w:rPr>
              <w:t>CRO030-MAP-0126</w:t>
            </w:r>
          </w:p>
        </w:tc>
        <w:tc>
          <w:tcPr>
            <w:tcW w:type="dxa" w:w="1704"/>
            <w:vAlign w:val="top"/>
          </w:tcPr>
          <w:p>
            <w:r>
              <w:rPr>
                <w:sz w:val="15"/>
              </w:rPr>
              <w:t>D5-CTL-05</w:t>
            </w:r>
          </w:p>
        </w:tc>
        <w:tc>
          <w:tcPr>
            <w:tcW w:type="dxa" w:w="1704"/>
            <w:vAlign w:val="top"/>
          </w:tcPr>
          <w:p>
            <w:r>
              <w:rPr>
                <w:sz w:val="15"/>
              </w:rPr>
              <w:t>Art. 11 — Processing which does not require identification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D5-CTL-05 provides technical or governance capability relevant to the outcome addressed by GDPR Article 11. The relationship is outcome-based and does not establish the required lawful basis, actor status, data-subject procedure, or supervisory interpretation. Article 11 requires processing-context analysis, controller/processor accountability, and legal evidence beyond implementation of this GAISSF control.</w:t>
            </w:r>
          </w:p>
        </w:tc>
      </w:tr>
      <w:tr>
        <w:tc>
          <w:tcPr>
            <w:tcW w:type="dxa" w:w="1704"/>
            <w:vAlign w:val="top"/>
          </w:tcPr>
          <w:p>
            <w:r>
              <w:rPr>
                <w:sz w:val="15"/>
              </w:rPr>
              <w:t>CRO030-MAP-0127</w:t>
            </w:r>
          </w:p>
        </w:tc>
        <w:tc>
          <w:tcPr>
            <w:tcW w:type="dxa" w:w="1704"/>
            <w:vAlign w:val="top"/>
          </w:tcPr>
          <w:p>
            <w:r>
              <w:rPr>
                <w:sz w:val="15"/>
              </w:rPr>
              <w:t>D5-CTL-06</w:t>
            </w:r>
          </w:p>
        </w:tc>
        <w:tc>
          <w:tcPr>
            <w:tcW w:type="dxa" w:w="1704"/>
            <w:vAlign w:val="top"/>
          </w:tcPr>
          <w:p>
            <w:r>
              <w:rPr>
                <w:sz w:val="15"/>
              </w:rPr>
              <w:t>Art. 35 — Data protection impact assessment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D5-CTL-06 provides technical or governance capability relevant to the outcome addressed by GDPR Article 35. The relationship is outcome-based and does not establish the required lawful basis, actor status, data-subject procedure, or supervisory interpretation. Article 35 requires processing-context analysis, controller/processor accountability, and legal evidence beyond implementation of this GAISSF control.</w:t>
            </w:r>
          </w:p>
        </w:tc>
      </w:tr>
      <w:tr>
        <w:tc>
          <w:tcPr>
            <w:tcW w:type="dxa" w:w="1704"/>
            <w:vAlign w:val="top"/>
          </w:tcPr>
          <w:p>
            <w:r>
              <w:rPr>
                <w:sz w:val="15"/>
              </w:rPr>
              <w:t>CRO030-MAP-0128</w:t>
            </w:r>
          </w:p>
        </w:tc>
        <w:tc>
          <w:tcPr>
            <w:tcW w:type="dxa" w:w="1704"/>
            <w:vAlign w:val="top"/>
          </w:tcPr>
          <w:p>
            <w:r>
              <w:rPr>
                <w:sz w:val="15"/>
              </w:rPr>
              <w:t>D5-CTL-06</w:t>
            </w:r>
          </w:p>
        </w:tc>
        <w:tc>
          <w:tcPr>
            <w:tcW w:type="dxa" w:w="1704"/>
            <w:vAlign w:val="top"/>
          </w:tcPr>
          <w:p>
            <w:r>
              <w:rPr>
                <w:sz w:val="15"/>
              </w:rPr>
              <w:t>Art. 22 — Automated individual decision-making, including profiling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D5-CTL-06 provides technical or governance capability relevant to the outcome addressed by GDPR Article 22. The relationship is outcome-based and does not establish the required lawful basis, actor status, data-subject procedure, or supervisory interpretation. Article 22 requires processing-context analysis, controller/processor accountability, and legal evidence beyond implementation of this GAISSF control.</w:t>
            </w:r>
          </w:p>
        </w:tc>
      </w:tr>
      <w:tr>
        <w:tc>
          <w:tcPr>
            <w:tcW w:type="dxa" w:w="1704"/>
            <w:vAlign w:val="top"/>
          </w:tcPr>
          <w:p>
            <w:r>
              <w:rPr>
                <w:sz w:val="15"/>
              </w:rPr>
              <w:t>CRO030-MAP-0129</w:t>
            </w:r>
          </w:p>
        </w:tc>
        <w:tc>
          <w:tcPr>
            <w:tcW w:type="dxa" w:w="1704"/>
            <w:vAlign w:val="top"/>
          </w:tcPr>
          <w:p>
            <w:r>
              <w:rPr>
                <w:sz w:val="15"/>
              </w:rPr>
              <w:t>D5-CTL-06</w:t>
            </w:r>
          </w:p>
        </w:tc>
        <w:tc>
          <w:tcPr>
            <w:tcW w:type="dxa" w:w="1704"/>
            <w:vAlign w:val="top"/>
          </w:tcPr>
          <w:p>
            <w:r>
              <w:rPr>
                <w:sz w:val="15"/>
              </w:rPr>
              <w:t>Art. 9 — Processing of special categories of personal data</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D5-CTL-06 provides technical or governance capability relevant to the outcome addressed by GDPR Article 9. The relationship is outcome-based and does not establish the required lawful basis, actor status, data-subject procedure, or supervisory interpretation. Article 9 requires processing-context analysis, controller/processor accountability, and legal evidence beyond implementation of this GAISSF control.</w:t>
            </w:r>
          </w:p>
        </w:tc>
      </w:tr>
      <w:tr>
        <w:tc>
          <w:tcPr>
            <w:tcW w:type="dxa" w:w="1704"/>
            <w:vAlign w:val="top"/>
          </w:tcPr>
          <w:p>
            <w:r>
              <w:rPr>
                <w:sz w:val="15"/>
              </w:rPr>
              <w:t>CRO030-MAP-0130</w:t>
            </w:r>
          </w:p>
        </w:tc>
        <w:tc>
          <w:tcPr>
            <w:tcW w:type="dxa" w:w="1704"/>
            <w:vAlign w:val="top"/>
          </w:tcPr>
          <w:p>
            <w:r>
              <w:rPr>
                <w:sz w:val="15"/>
              </w:rPr>
              <w:t>D5-CTL-06</w:t>
            </w:r>
          </w:p>
        </w:tc>
        <w:tc>
          <w:tcPr>
            <w:tcW w:type="dxa" w:w="1704"/>
            <w:vAlign w:val="top"/>
          </w:tcPr>
          <w:p>
            <w:r>
              <w:rPr>
                <w:sz w:val="15"/>
              </w:rPr>
              <w:t>Art. 5 — Principles relating to processing of personal data</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D5-CTL-06 provides technical or governance capability relevant to the outcome addressed by GDPR Article 5. The relationship is outcome-based and does not establish the required lawful basis, actor status, data-subject procedure, or supervisory interpretation. Article 5 requires processing-context analysis, controller/processor accountability, and legal evidence beyond implementation of this GAISSF control.</w:t>
            </w:r>
          </w:p>
        </w:tc>
      </w:tr>
      <w:tr>
        <w:tc>
          <w:tcPr>
            <w:tcW w:type="dxa" w:w="1704"/>
            <w:vAlign w:val="top"/>
          </w:tcPr>
          <w:p>
            <w:r>
              <w:rPr>
                <w:sz w:val="15"/>
              </w:rPr>
              <w:t>CRO030-MAP-0131</w:t>
            </w:r>
          </w:p>
        </w:tc>
        <w:tc>
          <w:tcPr>
            <w:tcW w:type="dxa" w:w="1704"/>
            <w:vAlign w:val="top"/>
          </w:tcPr>
          <w:p>
            <w:r>
              <w:rPr>
                <w:sz w:val="15"/>
              </w:rPr>
              <w:t>D6-CTL-01</w:t>
            </w:r>
          </w:p>
        </w:tc>
        <w:tc>
          <w:tcPr>
            <w:tcW w:type="dxa" w:w="1704"/>
            <w:vAlign w:val="top"/>
          </w:tcPr>
          <w:p>
            <w:r>
              <w:rPr>
                <w:sz w:val="15"/>
              </w:rPr>
              <w:t>Art. 82 — Right to compensation and liability</w:t>
            </w:r>
          </w:p>
        </w:tc>
        <w:tc>
          <w:tcPr>
            <w:tcW w:type="dxa" w:w="1704"/>
            <w:vAlign w:val="top"/>
          </w:tcPr>
          <w:p>
            <w:r>
              <w:rPr>
                <w:sz w:val="15"/>
              </w:rPr>
              <w:t>SP</w:t>
            </w:r>
          </w:p>
        </w:tc>
        <w:tc>
          <w:tcPr>
            <w:tcW w:type="dxa" w:w="1704"/>
            <w:vAlign w:val="top"/>
          </w:tcPr>
          <w:p>
            <w:r>
              <w:rPr>
                <w:sz w:val="15"/>
              </w:rPr>
              <w:t>High</w:t>
            </w:r>
          </w:p>
        </w:tc>
        <w:tc>
          <w:tcPr>
            <w:tcW w:type="dxa" w:w="1704"/>
            <w:vAlign w:val="top"/>
          </w:tcPr>
          <w:p>
            <w:r>
              <w:rPr>
                <w:sz w:val="15"/>
              </w:rPr>
              <w:t>GAISSF D6-CTL-01 provides technical or governance capability relevant to the outcome addressed by GDPR Article 82. The relationship is outcome-based and does not establish the required lawful basis, actor status, data-subject procedure, or supervisory interpretation. Article 82 requires processing-context analysis, controller/processor accountability, and legal evidence beyond implementation of this GAISSF control.</w:t>
            </w:r>
          </w:p>
        </w:tc>
      </w:tr>
      <w:tr>
        <w:tc>
          <w:tcPr>
            <w:tcW w:type="dxa" w:w="1704"/>
            <w:vAlign w:val="top"/>
          </w:tcPr>
          <w:p>
            <w:r>
              <w:rPr>
                <w:sz w:val="15"/>
              </w:rPr>
              <w:t>CRO030-MAP-0132</w:t>
            </w:r>
          </w:p>
        </w:tc>
        <w:tc>
          <w:tcPr>
            <w:tcW w:type="dxa" w:w="1704"/>
            <w:vAlign w:val="top"/>
          </w:tcPr>
          <w:p>
            <w:r>
              <w:rPr>
                <w:sz w:val="15"/>
              </w:rPr>
              <w:t>D6-CTL-01</w:t>
            </w:r>
          </w:p>
        </w:tc>
        <w:tc>
          <w:tcPr>
            <w:tcW w:type="dxa" w:w="1704"/>
            <w:vAlign w:val="top"/>
          </w:tcPr>
          <w:p>
            <w:r>
              <w:rPr>
                <w:sz w:val="15"/>
              </w:rPr>
              <w:t>Art. 24 — Responsibility of the controller</w:t>
            </w:r>
          </w:p>
        </w:tc>
        <w:tc>
          <w:tcPr>
            <w:tcW w:type="dxa" w:w="1704"/>
            <w:vAlign w:val="top"/>
          </w:tcPr>
          <w:p>
            <w:r>
              <w:rPr>
                <w:sz w:val="15"/>
              </w:rPr>
              <w:t>SP</w:t>
            </w:r>
          </w:p>
        </w:tc>
        <w:tc>
          <w:tcPr>
            <w:tcW w:type="dxa" w:w="1704"/>
            <w:vAlign w:val="top"/>
          </w:tcPr>
          <w:p>
            <w:r>
              <w:rPr>
                <w:sz w:val="15"/>
              </w:rPr>
              <w:t>High</w:t>
            </w:r>
          </w:p>
        </w:tc>
        <w:tc>
          <w:tcPr>
            <w:tcW w:type="dxa" w:w="1704"/>
            <w:vAlign w:val="top"/>
          </w:tcPr>
          <w:p>
            <w:r>
              <w:rPr>
                <w:sz w:val="15"/>
              </w:rPr>
              <w:t>GAISSF D6-CTL-01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CRO030-MAP-0133</w:t>
            </w:r>
          </w:p>
        </w:tc>
        <w:tc>
          <w:tcPr>
            <w:tcW w:type="dxa" w:w="1704"/>
            <w:vAlign w:val="top"/>
          </w:tcPr>
          <w:p>
            <w:r>
              <w:rPr>
                <w:sz w:val="15"/>
              </w:rPr>
              <w:t>D6-CTL-01</w:t>
            </w:r>
          </w:p>
        </w:tc>
        <w:tc>
          <w:tcPr>
            <w:tcW w:type="dxa" w:w="1704"/>
            <w:vAlign w:val="top"/>
          </w:tcPr>
          <w:p>
            <w:r>
              <w:rPr>
                <w:sz w:val="15"/>
              </w:rPr>
              <w:t>Art. 36 — Prior consultation</w:t>
            </w:r>
          </w:p>
        </w:tc>
        <w:tc>
          <w:tcPr>
            <w:tcW w:type="dxa" w:w="1704"/>
            <w:vAlign w:val="top"/>
          </w:tcPr>
          <w:p>
            <w:r>
              <w:rPr>
                <w:sz w:val="15"/>
              </w:rPr>
              <w:t>SP</w:t>
            </w:r>
          </w:p>
        </w:tc>
        <w:tc>
          <w:tcPr>
            <w:tcW w:type="dxa" w:w="1704"/>
            <w:vAlign w:val="top"/>
          </w:tcPr>
          <w:p>
            <w:r>
              <w:rPr>
                <w:sz w:val="15"/>
              </w:rPr>
              <w:t>Medium-High</w:t>
            </w:r>
          </w:p>
        </w:tc>
        <w:tc>
          <w:tcPr>
            <w:tcW w:type="dxa" w:w="1704"/>
            <w:vAlign w:val="top"/>
          </w:tcPr>
          <w:p>
            <w:r>
              <w:rPr>
                <w:sz w:val="15"/>
              </w:rPr>
              <w:t>GAISSF D6-CTL-01 provides technical or governance capability relevant to the outcome addressed by GDPR Article 36. The relationship is outcome-based and does not establish the required lawful basis, actor status, data-subject procedure, or supervisory interpretation. Article 36 requires processing-context analysis, controller/processor accountability, and legal evidence beyond implementation of this GAISSF control.</w:t>
            </w:r>
          </w:p>
        </w:tc>
      </w:tr>
      <w:tr>
        <w:tc>
          <w:tcPr>
            <w:tcW w:type="dxa" w:w="1704"/>
            <w:vAlign w:val="top"/>
          </w:tcPr>
          <w:p>
            <w:r>
              <w:rPr>
                <w:sz w:val="15"/>
              </w:rPr>
              <w:t>CRO030-MAP-0134</w:t>
            </w:r>
          </w:p>
        </w:tc>
        <w:tc>
          <w:tcPr>
            <w:tcW w:type="dxa" w:w="1704"/>
            <w:vAlign w:val="top"/>
          </w:tcPr>
          <w:p>
            <w:r>
              <w:rPr>
                <w:sz w:val="15"/>
              </w:rPr>
              <w:t>D6-CTL-01</w:t>
            </w:r>
          </w:p>
        </w:tc>
        <w:tc>
          <w:tcPr>
            <w:tcW w:type="dxa" w:w="1704"/>
            <w:vAlign w:val="top"/>
          </w:tcPr>
          <w:p>
            <w:r>
              <w:rPr>
                <w:sz w:val="15"/>
              </w:rPr>
              <w:t>Art. 39 — Tasks of the data protection officer</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D6-CTL-01 provides technical or governance capability relevant to the outcome addressed by GDPR Article 39. The relationship is outcome-based and does not establish the required lawful basis, actor status, data-subject procedure, or supervisory interpretation. Article 39 requires processing-context analysis, controller/processor accountability, and legal evidence beyond implementation of this GAISSF control.</w:t>
            </w:r>
          </w:p>
        </w:tc>
      </w:tr>
      <w:tr>
        <w:tc>
          <w:tcPr>
            <w:tcW w:type="dxa" w:w="1704"/>
            <w:vAlign w:val="top"/>
          </w:tcPr>
          <w:p>
            <w:r>
              <w:rPr>
                <w:sz w:val="15"/>
              </w:rPr>
              <w:t>CRO030-MAP-0135</w:t>
            </w:r>
          </w:p>
        </w:tc>
        <w:tc>
          <w:tcPr>
            <w:tcW w:type="dxa" w:w="1704"/>
            <w:vAlign w:val="top"/>
          </w:tcPr>
          <w:p>
            <w:r>
              <w:rPr>
                <w:sz w:val="15"/>
              </w:rPr>
              <w:t>D6-CTL-02</w:t>
            </w:r>
          </w:p>
        </w:tc>
        <w:tc>
          <w:tcPr>
            <w:tcW w:type="dxa" w:w="1704"/>
            <w:vAlign w:val="top"/>
          </w:tcPr>
          <w:p>
            <w:r>
              <w:rPr>
                <w:sz w:val="15"/>
              </w:rPr>
              <w:t>Art. 39 — Tasks of the data protection officer</w:t>
            </w:r>
          </w:p>
        </w:tc>
        <w:tc>
          <w:tcPr>
            <w:tcW w:type="dxa" w:w="1704"/>
            <w:vAlign w:val="top"/>
          </w:tcPr>
          <w:p>
            <w:r>
              <w:rPr>
                <w:sz w:val="15"/>
              </w:rPr>
              <w:t>SP</w:t>
            </w:r>
          </w:p>
        </w:tc>
        <w:tc>
          <w:tcPr>
            <w:tcW w:type="dxa" w:w="1704"/>
            <w:vAlign w:val="top"/>
          </w:tcPr>
          <w:p>
            <w:r>
              <w:rPr>
                <w:sz w:val="15"/>
              </w:rPr>
              <w:t>Medium-High</w:t>
            </w:r>
          </w:p>
        </w:tc>
        <w:tc>
          <w:tcPr>
            <w:tcW w:type="dxa" w:w="1704"/>
            <w:vAlign w:val="top"/>
          </w:tcPr>
          <w:p>
            <w:r>
              <w:rPr>
                <w:sz w:val="15"/>
              </w:rPr>
              <w:t>GAISSF D6-CTL-02 provides technical or governance capability relevant to the outcome addressed by GDPR Article 39. The relationship is outcome-based and does not establish the required lawful basis, actor status, data-subject procedure, or supervisory interpretation. Article 39 requires processing-context analysis, controller/processor accountability, and legal evidence beyond implementation of this GAISSF control.</w:t>
            </w:r>
          </w:p>
        </w:tc>
      </w:tr>
      <w:tr>
        <w:tc>
          <w:tcPr>
            <w:tcW w:type="dxa" w:w="1704"/>
            <w:vAlign w:val="top"/>
          </w:tcPr>
          <w:p>
            <w:r>
              <w:rPr>
                <w:sz w:val="15"/>
              </w:rPr>
              <w:t>CRO030-MAP-0136</w:t>
            </w:r>
          </w:p>
        </w:tc>
        <w:tc>
          <w:tcPr>
            <w:tcW w:type="dxa" w:w="1704"/>
            <w:vAlign w:val="top"/>
          </w:tcPr>
          <w:p>
            <w:r>
              <w:rPr>
                <w:sz w:val="15"/>
              </w:rPr>
              <w:t>D6-CTL-02</w:t>
            </w:r>
          </w:p>
        </w:tc>
        <w:tc>
          <w:tcPr>
            <w:tcW w:type="dxa" w:w="1704"/>
            <w:vAlign w:val="top"/>
          </w:tcPr>
          <w:p>
            <w:r>
              <w:rPr>
                <w:sz w:val="15"/>
              </w:rPr>
              <w:t>Art. 24 — Responsibility of the controller</w:t>
            </w:r>
          </w:p>
        </w:tc>
        <w:tc>
          <w:tcPr>
            <w:tcW w:type="dxa" w:w="1704"/>
            <w:vAlign w:val="top"/>
          </w:tcPr>
          <w:p>
            <w:r>
              <w:rPr>
                <w:sz w:val="15"/>
              </w:rPr>
              <w:t>SP</w:t>
            </w:r>
          </w:p>
        </w:tc>
        <w:tc>
          <w:tcPr>
            <w:tcW w:type="dxa" w:w="1704"/>
            <w:vAlign w:val="top"/>
          </w:tcPr>
          <w:p>
            <w:r>
              <w:rPr>
                <w:sz w:val="15"/>
              </w:rPr>
              <w:t>Medium-High</w:t>
            </w:r>
          </w:p>
        </w:tc>
        <w:tc>
          <w:tcPr>
            <w:tcW w:type="dxa" w:w="1704"/>
            <w:vAlign w:val="top"/>
          </w:tcPr>
          <w:p>
            <w:r>
              <w:rPr>
                <w:sz w:val="15"/>
              </w:rPr>
              <w:t>GAISSF D6-CTL-02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CRO030-MAP-0137</w:t>
            </w:r>
          </w:p>
        </w:tc>
        <w:tc>
          <w:tcPr>
            <w:tcW w:type="dxa" w:w="1704"/>
            <w:vAlign w:val="top"/>
          </w:tcPr>
          <w:p>
            <w:r>
              <w:rPr>
                <w:sz w:val="15"/>
              </w:rPr>
              <w:t>D6-CTL-02</w:t>
            </w:r>
          </w:p>
        </w:tc>
        <w:tc>
          <w:tcPr>
            <w:tcW w:type="dxa" w:w="1704"/>
            <w:vAlign w:val="top"/>
          </w:tcPr>
          <w:p>
            <w:r>
              <w:rPr>
                <w:sz w:val="15"/>
              </w:rPr>
              <w:t>Art. 82 — Right to compensation and liability</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D6-CTL-02 provides technical or governance capability relevant to the outcome addressed by GDPR Article 82. The relationship is outcome-based and does not establish the required lawful basis, actor status, data-subject procedure, or supervisory interpretation. Article 82 requires processing-context analysis, controller/processor accountability, and legal evidence beyond implementation of this GAISSF control.</w:t>
            </w:r>
          </w:p>
        </w:tc>
      </w:tr>
      <w:tr>
        <w:tc>
          <w:tcPr>
            <w:tcW w:type="dxa" w:w="1704"/>
            <w:vAlign w:val="top"/>
          </w:tcPr>
          <w:p>
            <w:r>
              <w:rPr>
                <w:sz w:val="15"/>
              </w:rPr>
              <w:t>CRO030-MAP-0138</w:t>
            </w:r>
          </w:p>
        </w:tc>
        <w:tc>
          <w:tcPr>
            <w:tcW w:type="dxa" w:w="1704"/>
            <w:vAlign w:val="top"/>
          </w:tcPr>
          <w:p>
            <w:r>
              <w:rPr>
                <w:sz w:val="15"/>
              </w:rPr>
              <w:t>D6-CTL-02</w:t>
            </w:r>
          </w:p>
        </w:tc>
        <w:tc>
          <w:tcPr>
            <w:tcW w:type="dxa" w:w="1704"/>
            <w:vAlign w:val="top"/>
          </w:tcPr>
          <w:p>
            <w:r>
              <w:rPr>
                <w:sz w:val="15"/>
              </w:rPr>
              <w:t>Art. 41 — Monitoring of approved codes of conduct</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D6-CTL-02 provides technical or governance capability relevant to the outcome addressed by GDPR Article 41. The relationship is outcome-based and does not establish the required lawful basis, actor status, data-subject procedure, or supervisory interpretation. Article 41 requires processing-context analysis, controller/processor accountability, and legal evidence beyond implementation of this GAISSF control.</w:t>
            </w:r>
          </w:p>
        </w:tc>
      </w:tr>
      <w:tr>
        <w:tc>
          <w:tcPr>
            <w:tcW w:type="dxa" w:w="1704"/>
            <w:vAlign w:val="top"/>
          </w:tcPr>
          <w:p>
            <w:r>
              <w:rPr>
                <w:sz w:val="15"/>
              </w:rPr>
              <w:t>CRO030-MAP-0139</w:t>
            </w:r>
          </w:p>
        </w:tc>
        <w:tc>
          <w:tcPr>
            <w:tcW w:type="dxa" w:w="1704"/>
            <w:vAlign w:val="top"/>
          </w:tcPr>
          <w:p>
            <w:r>
              <w:rPr>
                <w:sz w:val="15"/>
              </w:rPr>
              <w:t>D6-CTL-03</w:t>
            </w:r>
          </w:p>
        </w:tc>
        <w:tc>
          <w:tcPr>
            <w:tcW w:type="dxa" w:w="1704"/>
            <w:vAlign w:val="top"/>
          </w:tcPr>
          <w:p>
            <w:r>
              <w:rPr>
                <w:sz w:val="15"/>
              </w:rPr>
              <w:t>Art. 24 — Responsibility of the controller</w:t>
            </w:r>
          </w:p>
        </w:tc>
        <w:tc>
          <w:tcPr>
            <w:tcW w:type="dxa" w:w="1704"/>
            <w:vAlign w:val="top"/>
          </w:tcPr>
          <w:p>
            <w:r>
              <w:rPr>
                <w:sz w:val="15"/>
              </w:rPr>
              <w:t>SP</w:t>
            </w:r>
          </w:p>
        </w:tc>
        <w:tc>
          <w:tcPr>
            <w:tcW w:type="dxa" w:w="1704"/>
            <w:vAlign w:val="top"/>
          </w:tcPr>
          <w:p>
            <w:r>
              <w:rPr>
                <w:sz w:val="15"/>
              </w:rPr>
              <w:t>Medium-High</w:t>
            </w:r>
          </w:p>
        </w:tc>
        <w:tc>
          <w:tcPr>
            <w:tcW w:type="dxa" w:w="1704"/>
            <w:vAlign w:val="top"/>
          </w:tcPr>
          <w:p>
            <w:r>
              <w:rPr>
                <w:sz w:val="15"/>
              </w:rPr>
              <w:t>GAISSF D6-CTL-03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CRO030-MAP-0140</w:t>
            </w:r>
          </w:p>
        </w:tc>
        <w:tc>
          <w:tcPr>
            <w:tcW w:type="dxa" w:w="1704"/>
            <w:vAlign w:val="top"/>
          </w:tcPr>
          <w:p>
            <w:r>
              <w:rPr>
                <w:sz w:val="15"/>
              </w:rPr>
              <w:t>D6-CTL-03</w:t>
            </w:r>
          </w:p>
        </w:tc>
        <w:tc>
          <w:tcPr>
            <w:tcW w:type="dxa" w:w="1704"/>
            <w:vAlign w:val="top"/>
          </w:tcPr>
          <w:p>
            <w:r>
              <w:rPr>
                <w:sz w:val="15"/>
              </w:rPr>
              <w:t>Art. 82 — Right to compensation and liability</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D6-CTL-03 provides technical or governance capability relevant to the outcome addressed by GDPR Article 82. The relationship is outcome-based and does not establish the required lawful basis, actor status, data-subject procedure, or supervisory interpretation. Article 82 requires processing-context analysis, controller/processor accountability, and legal evidence beyond implementation of this GAISSF control.</w:t>
            </w:r>
          </w:p>
        </w:tc>
      </w:tr>
      <w:tr>
        <w:tc>
          <w:tcPr>
            <w:tcW w:type="dxa" w:w="1704"/>
            <w:vAlign w:val="top"/>
          </w:tcPr>
          <w:p>
            <w:r>
              <w:rPr>
                <w:sz w:val="15"/>
              </w:rPr>
              <w:t>CRO030-MAP-0141</w:t>
            </w:r>
          </w:p>
        </w:tc>
        <w:tc>
          <w:tcPr>
            <w:tcW w:type="dxa" w:w="1704"/>
            <w:vAlign w:val="top"/>
          </w:tcPr>
          <w:p>
            <w:r>
              <w:rPr>
                <w:sz w:val="15"/>
              </w:rPr>
              <w:t>D6-CTL-03</w:t>
            </w:r>
          </w:p>
        </w:tc>
        <w:tc>
          <w:tcPr>
            <w:tcW w:type="dxa" w:w="1704"/>
            <w:vAlign w:val="top"/>
          </w:tcPr>
          <w:p>
            <w:r>
              <w:rPr>
                <w:sz w:val="15"/>
              </w:rPr>
              <w:t>Art. 36 — Prior consultation</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D6-CTL-03 provides technical or governance capability relevant to the outcome addressed by GDPR Article 36. The relationship is outcome-based and does not establish the required lawful basis, actor status, data-subject procedure, or supervisory interpretation. Article 36 requires processing-context analysis, controller/processor accountability, and legal evidence beyond implementation of this GAISSF control.</w:t>
            </w:r>
          </w:p>
        </w:tc>
      </w:tr>
      <w:tr>
        <w:tc>
          <w:tcPr>
            <w:tcW w:type="dxa" w:w="1704"/>
            <w:vAlign w:val="top"/>
          </w:tcPr>
          <w:p>
            <w:r>
              <w:rPr>
                <w:sz w:val="15"/>
              </w:rPr>
              <w:t>CRO030-MAP-0142</w:t>
            </w:r>
          </w:p>
        </w:tc>
        <w:tc>
          <w:tcPr>
            <w:tcW w:type="dxa" w:w="1704"/>
            <w:vAlign w:val="top"/>
          </w:tcPr>
          <w:p>
            <w:r>
              <w:rPr>
                <w:sz w:val="15"/>
              </w:rPr>
              <w:t>D6-CTL-03</w:t>
            </w:r>
          </w:p>
        </w:tc>
        <w:tc>
          <w:tcPr>
            <w:tcW w:type="dxa" w:w="1704"/>
            <w:vAlign w:val="top"/>
          </w:tcPr>
          <w:p>
            <w:r>
              <w:rPr>
                <w:sz w:val="15"/>
              </w:rPr>
              <w:t>Art. 31 — Cooperation with the supervisory authority</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D6-CTL-03 provides technical or governance capability relevant to the outcome addressed by GDPR Article 31. The relationship is outcome-based and does not establish the required lawful basis, actor status, data-subject procedure, or supervisory interpretation. Article 31 requires processing-context analysis, controller/processor accountability, and legal evidence beyond implementation of this GAISSF control.</w:t>
            </w:r>
          </w:p>
        </w:tc>
      </w:tr>
      <w:tr>
        <w:tc>
          <w:tcPr>
            <w:tcW w:type="dxa" w:w="1704"/>
            <w:vAlign w:val="top"/>
          </w:tcPr>
          <w:p>
            <w:r>
              <w:rPr>
                <w:sz w:val="15"/>
              </w:rPr>
              <w:t>CRO030-MAP-0143</w:t>
            </w:r>
          </w:p>
        </w:tc>
        <w:tc>
          <w:tcPr>
            <w:tcW w:type="dxa" w:w="1704"/>
            <w:vAlign w:val="top"/>
          </w:tcPr>
          <w:p>
            <w:r>
              <w:rPr>
                <w:sz w:val="15"/>
              </w:rPr>
              <w:t>D6-CTL-04</w:t>
            </w:r>
          </w:p>
        </w:tc>
        <w:tc>
          <w:tcPr>
            <w:tcW w:type="dxa" w:w="1704"/>
            <w:vAlign w:val="top"/>
          </w:tcPr>
          <w:p>
            <w:r>
              <w:rPr>
                <w:sz w:val="15"/>
              </w:rPr>
              <w:t>Art. 24 — Responsibility of the controller</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D6-CTL-04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CRO030-MAP-0144</w:t>
            </w:r>
          </w:p>
        </w:tc>
        <w:tc>
          <w:tcPr>
            <w:tcW w:type="dxa" w:w="1704"/>
            <w:vAlign w:val="top"/>
          </w:tcPr>
          <w:p>
            <w:r>
              <w:rPr>
                <w:sz w:val="15"/>
              </w:rPr>
              <w:t>D6-CTL-04</w:t>
            </w:r>
          </w:p>
        </w:tc>
        <w:tc>
          <w:tcPr>
            <w:tcW w:type="dxa" w:w="1704"/>
            <w:vAlign w:val="top"/>
          </w:tcPr>
          <w:p>
            <w:r>
              <w:rPr>
                <w:sz w:val="15"/>
              </w:rPr>
              <w:t>Art. 84 — Penalties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D6-CTL-04 provides technical or governance capability relevant to the outcome addressed by GDPR Article 84. The relationship is outcome-based and does not establish the required lawful basis, actor status, data-subject procedure, or supervisory interpretation. Article 84 requires processing-context analysis, controller/processor accountability, and legal evidence beyond implementation of this GAISSF control.</w:t>
            </w:r>
          </w:p>
        </w:tc>
      </w:tr>
      <w:tr>
        <w:tc>
          <w:tcPr>
            <w:tcW w:type="dxa" w:w="1704"/>
            <w:vAlign w:val="top"/>
          </w:tcPr>
          <w:p>
            <w:r>
              <w:rPr>
                <w:sz w:val="15"/>
              </w:rPr>
              <w:t>CRO030-MAP-0145</w:t>
            </w:r>
          </w:p>
        </w:tc>
        <w:tc>
          <w:tcPr>
            <w:tcW w:type="dxa" w:w="1704"/>
            <w:vAlign w:val="top"/>
          </w:tcPr>
          <w:p>
            <w:r>
              <w:rPr>
                <w:sz w:val="15"/>
              </w:rPr>
              <w:t>D6-CTL-04</w:t>
            </w:r>
          </w:p>
        </w:tc>
        <w:tc>
          <w:tcPr>
            <w:tcW w:type="dxa" w:w="1704"/>
            <w:vAlign w:val="top"/>
          </w:tcPr>
          <w:p>
            <w:r>
              <w:rPr>
                <w:sz w:val="15"/>
              </w:rPr>
              <w:t>Art. 83 — General conditions for imposing administrative fines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D6-CTL-04 provides technical or governance capability relevant to the outcome addressed by GDPR Article 83. The relationship is outcome-based and does not establish the required lawful basis, actor status, data-subject procedure, or supervisory interpretation. Article 83 requires processing-context analysis, controller/processor accountability, and legal evidence beyond implementation of this GAISSF control.</w:t>
            </w:r>
          </w:p>
        </w:tc>
      </w:tr>
      <w:tr>
        <w:tc>
          <w:tcPr>
            <w:tcW w:type="dxa" w:w="1704"/>
            <w:vAlign w:val="top"/>
          </w:tcPr>
          <w:p>
            <w:r>
              <w:rPr>
                <w:sz w:val="15"/>
              </w:rPr>
              <w:t>CRO030-MAP-0146</w:t>
            </w:r>
          </w:p>
        </w:tc>
        <w:tc>
          <w:tcPr>
            <w:tcW w:type="dxa" w:w="1704"/>
            <w:vAlign w:val="top"/>
          </w:tcPr>
          <w:p>
            <w:r>
              <w:rPr>
                <w:sz w:val="15"/>
              </w:rPr>
              <w:t>D6-CTL-04</w:t>
            </w:r>
          </w:p>
        </w:tc>
        <w:tc>
          <w:tcPr>
            <w:tcW w:type="dxa" w:w="1704"/>
            <w:vAlign w:val="top"/>
          </w:tcPr>
          <w:p>
            <w:r>
              <w:rPr>
                <w:sz w:val="15"/>
              </w:rPr>
              <w:t>Art. 82 — Right to compensation and liability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D6-CTL-04 provides technical or governance capability relevant to the outcome addressed by GDPR Article 82. The relationship is outcome-based and does not establish the required lawful basis, actor status, data-subject procedure, or supervisory interpretation. Article 82 requires processing-context analysis, controller/processor accountability, and legal evidence beyond implementation of this GAISSF control.</w:t>
            </w:r>
          </w:p>
        </w:tc>
      </w:tr>
      <w:tr>
        <w:tc>
          <w:tcPr>
            <w:tcW w:type="dxa" w:w="1704"/>
            <w:vAlign w:val="top"/>
          </w:tcPr>
          <w:p>
            <w:r>
              <w:rPr>
                <w:sz w:val="15"/>
              </w:rPr>
              <w:t>CRO030-MAP-0147</w:t>
            </w:r>
          </w:p>
        </w:tc>
        <w:tc>
          <w:tcPr>
            <w:tcW w:type="dxa" w:w="1704"/>
            <w:vAlign w:val="top"/>
          </w:tcPr>
          <w:p>
            <w:r>
              <w:rPr>
                <w:sz w:val="15"/>
              </w:rPr>
              <w:t>D6-CTL-05</w:t>
            </w:r>
          </w:p>
        </w:tc>
        <w:tc>
          <w:tcPr>
            <w:tcW w:type="dxa" w:w="1704"/>
            <w:vAlign w:val="top"/>
          </w:tcPr>
          <w:p>
            <w:r>
              <w:rPr>
                <w:sz w:val="15"/>
              </w:rPr>
              <w:t>Art. 39 — Tasks of the data protection officer</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D6-CTL-05 provides technical or governance capability relevant to the outcome addressed by GDPR Article 39. The relationship is outcome-based and does not establish the required lawful basis, actor status, data-subject procedure, or supervisory interpretation. Article 39 requires processing-context analysis, controller/processor accountability, and legal evidence beyond implementation of this GAISSF control.</w:t>
            </w:r>
          </w:p>
        </w:tc>
      </w:tr>
      <w:tr>
        <w:tc>
          <w:tcPr>
            <w:tcW w:type="dxa" w:w="1704"/>
            <w:vAlign w:val="top"/>
          </w:tcPr>
          <w:p>
            <w:r>
              <w:rPr>
                <w:sz w:val="15"/>
              </w:rPr>
              <w:t>CRO030-MAP-0148</w:t>
            </w:r>
          </w:p>
        </w:tc>
        <w:tc>
          <w:tcPr>
            <w:tcW w:type="dxa" w:w="1704"/>
            <w:vAlign w:val="top"/>
          </w:tcPr>
          <w:p>
            <w:r>
              <w:rPr>
                <w:sz w:val="15"/>
              </w:rPr>
              <w:t>D6-CTL-05</w:t>
            </w:r>
          </w:p>
        </w:tc>
        <w:tc>
          <w:tcPr>
            <w:tcW w:type="dxa" w:w="1704"/>
            <w:vAlign w:val="top"/>
          </w:tcPr>
          <w:p>
            <w:r>
              <w:rPr>
                <w:sz w:val="15"/>
              </w:rPr>
              <w:t>Art. 24 — Responsibility of the controller</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D6-CTL-05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CRO030-MAP-0149</w:t>
            </w:r>
          </w:p>
        </w:tc>
        <w:tc>
          <w:tcPr>
            <w:tcW w:type="dxa" w:w="1704"/>
            <w:vAlign w:val="top"/>
          </w:tcPr>
          <w:p>
            <w:r>
              <w:rPr>
                <w:sz w:val="15"/>
              </w:rPr>
              <w:t>D6-CTL-05</w:t>
            </w:r>
          </w:p>
        </w:tc>
        <w:tc>
          <w:tcPr>
            <w:tcW w:type="dxa" w:w="1704"/>
            <w:vAlign w:val="top"/>
          </w:tcPr>
          <w:p>
            <w:r>
              <w:rPr>
                <w:sz w:val="15"/>
              </w:rPr>
              <w:t>Art. 84 — Penalties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D6-CTL-05 provides technical or governance capability relevant to the outcome addressed by GDPR Article 84. The relationship is outcome-based and does not establish the required lawful basis, actor status, data-subject procedure, or supervisory interpretation. Article 84 requires processing-context analysis, controller/processor accountability, and legal evidence beyond implementation of this GAISSF control.</w:t>
            </w:r>
          </w:p>
        </w:tc>
      </w:tr>
      <w:tr>
        <w:tc>
          <w:tcPr>
            <w:tcW w:type="dxa" w:w="1704"/>
            <w:vAlign w:val="top"/>
          </w:tcPr>
          <w:p>
            <w:r>
              <w:rPr>
                <w:sz w:val="15"/>
              </w:rPr>
              <w:t>CRO030-MAP-0150</w:t>
            </w:r>
          </w:p>
        </w:tc>
        <w:tc>
          <w:tcPr>
            <w:tcW w:type="dxa" w:w="1704"/>
            <w:vAlign w:val="top"/>
          </w:tcPr>
          <w:p>
            <w:r>
              <w:rPr>
                <w:sz w:val="15"/>
              </w:rPr>
              <w:t>D6-CTL-05</w:t>
            </w:r>
          </w:p>
        </w:tc>
        <w:tc>
          <w:tcPr>
            <w:tcW w:type="dxa" w:w="1704"/>
            <w:vAlign w:val="top"/>
          </w:tcPr>
          <w:p>
            <w:r>
              <w:rPr>
                <w:sz w:val="15"/>
              </w:rPr>
              <w:t>Art. 83 — General conditions for imposing administrative fines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D6-CTL-05 provides technical or governance capability relevant to the outcome addressed by GDPR Article 83. The relationship is outcome-based and does not establish the required lawful basis, actor status, data-subject procedure, or supervisory interpretation. Article 83 requires processing-context analysis, controller/processor accountability, and legal evidence beyond implementation of this GAISSF control.</w:t>
            </w:r>
          </w:p>
        </w:tc>
      </w:tr>
      <w:tr>
        <w:tc>
          <w:tcPr>
            <w:tcW w:type="dxa" w:w="1704"/>
            <w:vAlign w:val="top"/>
          </w:tcPr>
          <w:p>
            <w:r>
              <w:rPr>
                <w:sz w:val="15"/>
              </w:rPr>
              <w:t>CRO030-MAP-0151</w:t>
            </w:r>
          </w:p>
        </w:tc>
        <w:tc>
          <w:tcPr>
            <w:tcW w:type="dxa" w:w="1704"/>
            <w:vAlign w:val="top"/>
          </w:tcPr>
          <w:p>
            <w:r>
              <w:rPr>
                <w:sz w:val="15"/>
              </w:rPr>
              <w:t>D6-CTL-06</w:t>
            </w:r>
          </w:p>
        </w:tc>
        <w:tc>
          <w:tcPr>
            <w:tcW w:type="dxa" w:w="1704"/>
            <w:vAlign w:val="top"/>
          </w:tcPr>
          <w:p>
            <w:r>
              <w:rPr>
                <w:sz w:val="15"/>
              </w:rPr>
              <w:t>Art. 24 — Responsibility of the controller</w:t>
            </w:r>
          </w:p>
        </w:tc>
        <w:tc>
          <w:tcPr>
            <w:tcW w:type="dxa" w:w="1704"/>
            <w:vAlign w:val="top"/>
          </w:tcPr>
          <w:p>
            <w:r>
              <w:rPr>
                <w:sz w:val="15"/>
              </w:rPr>
              <w:t>SP</w:t>
            </w:r>
          </w:p>
        </w:tc>
        <w:tc>
          <w:tcPr>
            <w:tcW w:type="dxa" w:w="1704"/>
            <w:vAlign w:val="top"/>
          </w:tcPr>
          <w:p>
            <w:r>
              <w:rPr>
                <w:sz w:val="15"/>
              </w:rPr>
              <w:t>High</w:t>
            </w:r>
          </w:p>
        </w:tc>
        <w:tc>
          <w:tcPr>
            <w:tcW w:type="dxa" w:w="1704"/>
            <w:vAlign w:val="top"/>
          </w:tcPr>
          <w:p>
            <w:r>
              <w:rPr>
                <w:sz w:val="15"/>
              </w:rPr>
              <w:t>GAISSF D6-CTL-06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CRO030-MAP-0152</w:t>
            </w:r>
          </w:p>
        </w:tc>
        <w:tc>
          <w:tcPr>
            <w:tcW w:type="dxa" w:w="1704"/>
            <w:vAlign w:val="top"/>
          </w:tcPr>
          <w:p>
            <w:r>
              <w:rPr>
                <w:sz w:val="15"/>
              </w:rPr>
              <w:t>D6-CTL-06</w:t>
            </w:r>
          </w:p>
        </w:tc>
        <w:tc>
          <w:tcPr>
            <w:tcW w:type="dxa" w:w="1704"/>
            <w:vAlign w:val="top"/>
          </w:tcPr>
          <w:p>
            <w:r>
              <w:rPr>
                <w:sz w:val="15"/>
              </w:rPr>
              <w:t>Art. 82 — Right to compensation and liability</w:t>
            </w:r>
          </w:p>
        </w:tc>
        <w:tc>
          <w:tcPr>
            <w:tcW w:type="dxa" w:w="1704"/>
            <w:vAlign w:val="top"/>
          </w:tcPr>
          <w:p>
            <w:r>
              <w:rPr>
                <w:sz w:val="15"/>
              </w:rPr>
              <w:t>SP</w:t>
            </w:r>
          </w:p>
        </w:tc>
        <w:tc>
          <w:tcPr>
            <w:tcW w:type="dxa" w:w="1704"/>
            <w:vAlign w:val="top"/>
          </w:tcPr>
          <w:p>
            <w:r>
              <w:rPr>
                <w:sz w:val="15"/>
              </w:rPr>
              <w:t>Medium-High</w:t>
            </w:r>
          </w:p>
        </w:tc>
        <w:tc>
          <w:tcPr>
            <w:tcW w:type="dxa" w:w="1704"/>
            <w:vAlign w:val="top"/>
          </w:tcPr>
          <w:p>
            <w:r>
              <w:rPr>
                <w:sz w:val="15"/>
              </w:rPr>
              <w:t>GAISSF D6-CTL-06 provides technical or governance capability relevant to the outcome addressed by GDPR Article 82. The relationship is outcome-based and does not establish the required lawful basis, actor status, data-subject procedure, or supervisory interpretation. Article 82 requires processing-context analysis, controller/processor accountability, and legal evidence beyond implementation of this GAISSF control.</w:t>
            </w:r>
          </w:p>
        </w:tc>
      </w:tr>
      <w:tr>
        <w:tc>
          <w:tcPr>
            <w:tcW w:type="dxa" w:w="1704"/>
            <w:vAlign w:val="top"/>
          </w:tcPr>
          <w:p>
            <w:r>
              <w:rPr>
                <w:sz w:val="15"/>
              </w:rPr>
              <w:t>CRO030-MAP-0153</w:t>
            </w:r>
          </w:p>
        </w:tc>
        <w:tc>
          <w:tcPr>
            <w:tcW w:type="dxa" w:w="1704"/>
            <w:vAlign w:val="top"/>
          </w:tcPr>
          <w:p>
            <w:r>
              <w:rPr>
                <w:sz w:val="15"/>
              </w:rPr>
              <w:t>D6-CTL-06</w:t>
            </w:r>
          </w:p>
        </w:tc>
        <w:tc>
          <w:tcPr>
            <w:tcW w:type="dxa" w:w="1704"/>
            <w:vAlign w:val="top"/>
          </w:tcPr>
          <w:p>
            <w:r>
              <w:rPr>
                <w:sz w:val="15"/>
              </w:rPr>
              <w:t>Art. 39 — Tasks of the data protection officer</w:t>
            </w:r>
          </w:p>
        </w:tc>
        <w:tc>
          <w:tcPr>
            <w:tcW w:type="dxa" w:w="1704"/>
            <w:vAlign w:val="top"/>
          </w:tcPr>
          <w:p>
            <w:r>
              <w:rPr>
                <w:sz w:val="15"/>
              </w:rPr>
              <w:t>SP</w:t>
            </w:r>
          </w:p>
        </w:tc>
        <w:tc>
          <w:tcPr>
            <w:tcW w:type="dxa" w:w="1704"/>
            <w:vAlign w:val="top"/>
          </w:tcPr>
          <w:p>
            <w:r>
              <w:rPr>
                <w:sz w:val="15"/>
              </w:rPr>
              <w:t>Medium-High</w:t>
            </w:r>
          </w:p>
        </w:tc>
        <w:tc>
          <w:tcPr>
            <w:tcW w:type="dxa" w:w="1704"/>
            <w:vAlign w:val="top"/>
          </w:tcPr>
          <w:p>
            <w:r>
              <w:rPr>
                <w:sz w:val="15"/>
              </w:rPr>
              <w:t>GAISSF D6-CTL-06 provides technical or governance capability relevant to the outcome addressed by GDPR Article 39. The relationship is outcome-based and does not establish the required lawful basis, actor status, data-subject procedure, or supervisory interpretation. Article 39 requires processing-context analysis, controller/processor accountability, and legal evidence beyond implementation of this GAISSF control.</w:t>
            </w:r>
          </w:p>
        </w:tc>
      </w:tr>
      <w:tr>
        <w:tc>
          <w:tcPr>
            <w:tcW w:type="dxa" w:w="1704"/>
            <w:vAlign w:val="top"/>
          </w:tcPr>
          <w:p>
            <w:r>
              <w:rPr>
                <w:sz w:val="15"/>
              </w:rPr>
              <w:t>CRO030-MAP-0154</w:t>
            </w:r>
          </w:p>
        </w:tc>
        <w:tc>
          <w:tcPr>
            <w:tcW w:type="dxa" w:w="1704"/>
            <w:vAlign w:val="top"/>
          </w:tcPr>
          <w:p>
            <w:r>
              <w:rPr>
                <w:sz w:val="15"/>
              </w:rPr>
              <w:t>D6-CTL-06</w:t>
            </w:r>
          </w:p>
        </w:tc>
        <w:tc>
          <w:tcPr>
            <w:tcW w:type="dxa" w:w="1704"/>
            <w:vAlign w:val="top"/>
          </w:tcPr>
          <w:p>
            <w:r>
              <w:rPr>
                <w:sz w:val="15"/>
              </w:rPr>
              <w:t>Art. 36 — Prior consultation</w:t>
            </w:r>
          </w:p>
        </w:tc>
        <w:tc>
          <w:tcPr>
            <w:tcW w:type="dxa" w:w="1704"/>
            <w:vAlign w:val="top"/>
          </w:tcPr>
          <w:p>
            <w:r>
              <w:rPr>
                <w:sz w:val="15"/>
              </w:rPr>
              <w:t>SP</w:t>
            </w:r>
          </w:p>
        </w:tc>
        <w:tc>
          <w:tcPr>
            <w:tcW w:type="dxa" w:w="1704"/>
            <w:vAlign w:val="top"/>
          </w:tcPr>
          <w:p>
            <w:r>
              <w:rPr>
                <w:sz w:val="15"/>
              </w:rPr>
              <w:t>Medium-High</w:t>
            </w:r>
          </w:p>
        </w:tc>
        <w:tc>
          <w:tcPr>
            <w:tcW w:type="dxa" w:w="1704"/>
            <w:vAlign w:val="top"/>
          </w:tcPr>
          <w:p>
            <w:r>
              <w:rPr>
                <w:sz w:val="15"/>
              </w:rPr>
              <w:t>GAISSF D6-CTL-06 provides technical or governance capability relevant to the outcome addressed by GDPR Article 36. The relationship is outcome-based and does not establish the required lawful basis, actor status, data-subject procedure, or supervisory interpretation. Article 36 requires processing-context analysis, controller/processor accountability, and legal evidence beyond implementation of this GAISSF control.</w:t>
            </w:r>
          </w:p>
        </w:tc>
      </w:tr>
      <w:tr>
        <w:tc>
          <w:tcPr>
            <w:tcW w:type="dxa" w:w="1704"/>
            <w:vAlign w:val="top"/>
          </w:tcPr>
          <w:p>
            <w:r>
              <w:rPr>
                <w:sz w:val="15"/>
              </w:rPr>
              <w:t>CRO030-MAP-0155</w:t>
            </w:r>
          </w:p>
        </w:tc>
        <w:tc>
          <w:tcPr>
            <w:tcW w:type="dxa" w:w="1704"/>
            <w:vAlign w:val="top"/>
          </w:tcPr>
          <w:p>
            <w:r>
              <w:rPr>
                <w:sz w:val="15"/>
              </w:rPr>
              <w:t>D6-CTL-07</w:t>
            </w:r>
          </w:p>
        </w:tc>
        <w:tc>
          <w:tcPr>
            <w:tcW w:type="dxa" w:w="1704"/>
            <w:vAlign w:val="top"/>
          </w:tcPr>
          <w:p>
            <w:r>
              <w:rPr>
                <w:sz w:val="15"/>
              </w:rPr>
              <w:t>Art. 24 — Responsibility of the controller</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D6-CTL-07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CRO030-MAP-0156</w:t>
            </w:r>
          </w:p>
        </w:tc>
        <w:tc>
          <w:tcPr>
            <w:tcW w:type="dxa" w:w="1704"/>
            <w:vAlign w:val="top"/>
          </w:tcPr>
          <w:p>
            <w:r>
              <w:rPr>
                <w:sz w:val="15"/>
              </w:rPr>
              <w:t>D6-CTL-07</w:t>
            </w:r>
          </w:p>
        </w:tc>
        <w:tc>
          <w:tcPr>
            <w:tcW w:type="dxa" w:w="1704"/>
            <w:vAlign w:val="top"/>
          </w:tcPr>
          <w:p>
            <w:r>
              <w:rPr>
                <w:sz w:val="15"/>
              </w:rPr>
              <w:t>Art. 84 — Penalties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D6-CTL-07 provides technical or governance capability relevant to the outcome addressed by GDPR Article 84. The relationship is outcome-based and does not establish the required lawful basis, actor status, data-subject procedure, or supervisory interpretation. Article 84 requires processing-context analysis, controller/processor accountability, and legal evidence beyond implementation of this GAISSF control.</w:t>
            </w:r>
          </w:p>
        </w:tc>
      </w:tr>
      <w:tr>
        <w:tc>
          <w:tcPr>
            <w:tcW w:type="dxa" w:w="1704"/>
            <w:vAlign w:val="top"/>
          </w:tcPr>
          <w:p>
            <w:r>
              <w:rPr>
                <w:sz w:val="15"/>
              </w:rPr>
              <w:t>CRO030-MAP-0157</w:t>
            </w:r>
          </w:p>
        </w:tc>
        <w:tc>
          <w:tcPr>
            <w:tcW w:type="dxa" w:w="1704"/>
            <w:vAlign w:val="top"/>
          </w:tcPr>
          <w:p>
            <w:r>
              <w:rPr>
                <w:sz w:val="15"/>
              </w:rPr>
              <w:t>D6-CTL-07</w:t>
            </w:r>
          </w:p>
        </w:tc>
        <w:tc>
          <w:tcPr>
            <w:tcW w:type="dxa" w:w="1704"/>
            <w:vAlign w:val="top"/>
          </w:tcPr>
          <w:p>
            <w:r>
              <w:rPr>
                <w:sz w:val="15"/>
              </w:rPr>
              <w:t>Art. 83 — General conditions for imposing administrative fines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D6-CTL-07 provides technical or governance capability relevant to the outcome addressed by GDPR Article 83. The relationship is outcome-based and does not establish the required lawful basis, actor status, data-subject procedure, or supervisory interpretation. Article 83 requires processing-context analysis, controller/processor accountability, and legal evidence beyond implementation of this GAISSF control.</w:t>
            </w:r>
          </w:p>
        </w:tc>
      </w:tr>
      <w:tr>
        <w:tc>
          <w:tcPr>
            <w:tcW w:type="dxa" w:w="1704"/>
            <w:vAlign w:val="top"/>
          </w:tcPr>
          <w:p>
            <w:r>
              <w:rPr>
                <w:sz w:val="15"/>
              </w:rPr>
              <w:t>CRO030-MAP-0158</w:t>
            </w:r>
          </w:p>
        </w:tc>
        <w:tc>
          <w:tcPr>
            <w:tcW w:type="dxa" w:w="1704"/>
            <w:vAlign w:val="top"/>
          </w:tcPr>
          <w:p>
            <w:r>
              <w:rPr>
                <w:sz w:val="15"/>
              </w:rPr>
              <w:t>D6-CTL-07</w:t>
            </w:r>
          </w:p>
        </w:tc>
        <w:tc>
          <w:tcPr>
            <w:tcW w:type="dxa" w:w="1704"/>
            <w:vAlign w:val="top"/>
          </w:tcPr>
          <w:p>
            <w:r>
              <w:rPr>
                <w:sz w:val="15"/>
              </w:rPr>
              <w:t>Art. 82 — Right to compensation and liability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D6-CTL-07 provides technical or governance capability relevant to the outcome addressed by GDPR Article 82. The relationship is outcome-based and does not establish the required lawful basis, actor status, data-subject procedure, or supervisory interpretation. Article 82 requires processing-context analysis, controller/processor accountability, and legal evidence beyond implementation of this GAISSF control.</w:t>
            </w:r>
          </w:p>
        </w:tc>
      </w:tr>
      <w:tr>
        <w:tc>
          <w:tcPr>
            <w:tcW w:type="dxa" w:w="1704"/>
            <w:vAlign w:val="top"/>
          </w:tcPr>
          <w:p>
            <w:r>
              <w:rPr>
                <w:sz w:val="15"/>
              </w:rPr>
              <w:t>CRO030-MAP-0159</w:t>
            </w:r>
          </w:p>
        </w:tc>
        <w:tc>
          <w:tcPr>
            <w:tcW w:type="dxa" w:w="1704"/>
            <w:vAlign w:val="top"/>
          </w:tcPr>
          <w:p>
            <w:r>
              <w:rPr>
                <w:sz w:val="15"/>
              </w:rPr>
              <w:t>D7-CTL-H01</w:t>
            </w:r>
          </w:p>
        </w:tc>
        <w:tc>
          <w:tcPr>
            <w:tcW w:type="dxa" w:w="1704"/>
            <w:vAlign w:val="top"/>
          </w:tcPr>
          <w:p>
            <w:r>
              <w:rPr>
                <w:sz w:val="15"/>
              </w:rPr>
              <w:t>Art. 22 — Automated individual decision-making, including profiling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D7-CTL-H01 provides technical or governance capability relevant to the outcome addressed by GDPR Article 22. The relationship is outcome-based and does not establish the required lawful basis, actor status, data-subject procedure, or supervisory interpretation. Article 22 requires processing-context analysis, controller/processor accountability, and legal evidence beyond implementation of this GAISSF control.</w:t>
            </w:r>
          </w:p>
        </w:tc>
      </w:tr>
      <w:tr>
        <w:tc>
          <w:tcPr>
            <w:tcW w:type="dxa" w:w="1704"/>
            <w:vAlign w:val="top"/>
          </w:tcPr>
          <w:p>
            <w:r>
              <w:rPr>
                <w:sz w:val="15"/>
              </w:rPr>
              <w:t>CRO030-MAP-0160</w:t>
            </w:r>
          </w:p>
        </w:tc>
        <w:tc>
          <w:tcPr>
            <w:tcW w:type="dxa" w:w="1704"/>
            <w:vAlign w:val="top"/>
          </w:tcPr>
          <w:p>
            <w:r>
              <w:rPr>
                <w:sz w:val="15"/>
              </w:rPr>
              <w:t>D7-CTL-H02</w:t>
            </w:r>
          </w:p>
        </w:tc>
        <w:tc>
          <w:tcPr>
            <w:tcW w:type="dxa" w:w="1704"/>
            <w:vAlign w:val="top"/>
          </w:tcPr>
          <w:p>
            <w:r>
              <w:rPr>
                <w:sz w:val="15"/>
              </w:rPr>
              <w:t>Art. 22 — Automated individual decision-making, including profiling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D7-CTL-H02 provides technical or governance capability relevant to the outcome addressed by GDPR Article 22. The relationship is outcome-based and does not establish the required lawful basis, actor status, data-subject procedure, or supervisory interpretation. Article 22 requires processing-context analysis, controller/processor accountability, and legal evidence beyond implementation of this GAISSF control.</w:t>
            </w:r>
          </w:p>
        </w:tc>
      </w:tr>
      <w:tr>
        <w:tc>
          <w:tcPr>
            <w:tcW w:type="dxa" w:w="1704"/>
            <w:vAlign w:val="top"/>
          </w:tcPr>
          <w:p>
            <w:r>
              <w:rPr>
                <w:sz w:val="15"/>
              </w:rPr>
              <w:t>CRO030-MAP-0161</w:t>
            </w:r>
          </w:p>
        </w:tc>
        <w:tc>
          <w:tcPr>
            <w:tcW w:type="dxa" w:w="1704"/>
            <w:vAlign w:val="top"/>
          </w:tcPr>
          <w:p>
            <w:r>
              <w:rPr>
                <w:sz w:val="15"/>
              </w:rPr>
              <w:t>D7-CTL-H02</w:t>
            </w:r>
          </w:p>
        </w:tc>
        <w:tc>
          <w:tcPr>
            <w:tcW w:type="dxa" w:w="1704"/>
            <w:vAlign w:val="top"/>
          </w:tcPr>
          <w:p>
            <w:r>
              <w:rPr>
                <w:sz w:val="15"/>
              </w:rPr>
              <w:t>Art. 39 — Tasks of the data protection officer</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D7-CTL-H02 provides technical or governance capability relevant to the outcome addressed by GDPR Article 39. The relationship is outcome-based and does not establish the required lawful basis, actor status, data-subject procedure, or supervisory interpretation. Article 39 requires processing-context analysis, controller/processor accountability, and legal evidence beyond implementation of this GAISSF control.</w:t>
            </w:r>
          </w:p>
        </w:tc>
      </w:tr>
      <w:tr>
        <w:tc>
          <w:tcPr>
            <w:tcW w:type="dxa" w:w="1704"/>
            <w:vAlign w:val="top"/>
          </w:tcPr>
          <w:p>
            <w:r>
              <w:rPr>
                <w:sz w:val="15"/>
              </w:rPr>
              <w:t>CRO030-MAP-0162</w:t>
            </w:r>
          </w:p>
        </w:tc>
        <w:tc>
          <w:tcPr>
            <w:tcW w:type="dxa" w:w="1704"/>
            <w:vAlign w:val="top"/>
          </w:tcPr>
          <w:p>
            <w:r>
              <w:rPr>
                <w:sz w:val="15"/>
              </w:rPr>
              <w:t>D7-CTL-H03</w:t>
            </w:r>
          </w:p>
        </w:tc>
        <w:tc>
          <w:tcPr>
            <w:tcW w:type="dxa" w:w="1704"/>
            <w:vAlign w:val="top"/>
          </w:tcPr>
          <w:p>
            <w:r>
              <w:rPr>
                <w:sz w:val="15"/>
              </w:rPr>
              <w:t>Art. 22 — Automated individual decision-making, including profiling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D7-CTL-H03 provides technical or governance capability relevant to the outcome addressed by GDPR Article 22. The relationship is outcome-based and does not establish the required lawful basis, actor status, data-subject procedure, or supervisory interpretation. Article 22 requires processing-context analysis, controller/processor accountability, and legal evidence beyond implementation of this GAISSF control.</w:t>
            </w:r>
          </w:p>
        </w:tc>
      </w:tr>
      <w:tr>
        <w:tc>
          <w:tcPr>
            <w:tcW w:type="dxa" w:w="1704"/>
            <w:vAlign w:val="top"/>
          </w:tcPr>
          <w:p>
            <w:r>
              <w:rPr>
                <w:sz w:val="15"/>
              </w:rPr>
              <w:t>CRO030-MAP-0163</w:t>
            </w:r>
          </w:p>
        </w:tc>
        <w:tc>
          <w:tcPr>
            <w:tcW w:type="dxa" w:w="1704"/>
            <w:vAlign w:val="top"/>
          </w:tcPr>
          <w:p>
            <w:r>
              <w:rPr>
                <w:sz w:val="15"/>
              </w:rPr>
              <w:t>D7-CTL-H04</w:t>
            </w:r>
          </w:p>
        </w:tc>
        <w:tc>
          <w:tcPr>
            <w:tcW w:type="dxa" w:w="1704"/>
            <w:vAlign w:val="top"/>
          </w:tcPr>
          <w:p>
            <w:r>
              <w:rPr>
                <w:sz w:val="15"/>
              </w:rPr>
              <w:t>Art. 22 — Automated individual decision-making, including profiling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D7-CTL-H04 provides technical or governance capability relevant to the outcome addressed by GDPR Article 22. The relationship is outcome-based and does not establish the required lawful basis, actor status, data-subject procedure, or supervisory interpretation. Article 22 requires processing-context analysis, controller/processor accountability, and legal evidence beyond implementation of this GAISSF control.</w:t>
            </w:r>
          </w:p>
        </w:tc>
      </w:tr>
      <w:tr>
        <w:tc>
          <w:tcPr>
            <w:tcW w:type="dxa" w:w="1704"/>
            <w:vAlign w:val="top"/>
          </w:tcPr>
          <w:p>
            <w:r>
              <w:rPr>
                <w:sz w:val="15"/>
              </w:rPr>
              <w:t>CRO030-MAP-0164</w:t>
            </w:r>
          </w:p>
        </w:tc>
        <w:tc>
          <w:tcPr>
            <w:tcW w:type="dxa" w:w="1704"/>
            <w:vAlign w:val="top"/>
          </w:tcPr>
          <w:p>
            <w:r>
              <w:rPr>
                <w:sz w:val="15"/>
              </w:rPr>
              <w:t>D7-CTL-H05</w:t>
            </w:r>
          </w:p>
        </w:tc>
        <w:tc>
          <w:tcPr>
            <w:tcW w:type="dxa" w:w="1704"/>
            <w:vAlign w:val="top"/>
          </w:tcPr>
          <w:p>
            <w:r>
              <w:rPr>
                <w:sz w:val="15"/>
              </w:rPr>
              <w:t>Art. 22 — Automated individual decision-making, including profiling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D7-CTL-H05 provides technical or governance capability relevant to the outcome addressed by GDPR Article 22. The relationship is outcome-based and does not establish the required lawful basis, actor status, data-subject procedure, or supervisory interpretation. Article 22 requires processing-context analysis, controller/processor accountability, and legal evidence beyond implementation of this GAISSF control.</w:t>
            </w:r>
          </w:p>
        </w:tc>
      </w:tr>
      <w:tr>
        <w:tc>
          <w:tcPr>
            <w:tcW w:type="dxa" w:w="1704"/>
            <w:vAlign w:val="top"/>
          </w:tcPr>
          <w:p>
            <w:r>
              <w:rPr>
                <w:sz w:val="15"/>
              </w:rPr>
              <w:t>CRO030-MAP-0165</w:t>
            </w:r>
          </w:p>
        </w:tc>
        <w:tc>
          <w:tcPr>
            <w:tcW w:type="dxa" w:w="1704"/>
            <w:vAlign w:val="top"/>
          </w:tcPr>
          <w:p>
            <w:r>
              <w:rPr>
                <w:sz w:val="15"/>
              </w:rPr>
              <w:t>D8-CTL-01</w:t>
            </w:r>
          </w:p>
        </w:tc>
        <w:tc>
          <w:tcPr>
            <w:tcW w:type="dxa" w:w="1704"/>
            <w:vAlign w:val="top"/>
          </w:tcPr>
          <w:p>
            <w:r>
              <w:rPr>
                <w:sz w:val="15"/>
              </w:rPr>
              <w:t>Art. 82 — Right to compensation and liability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D8-CTL-01 provides technical or governance capability relevant to the outcome addressed by GDPR Article 82. The relationship is outcome-based and does not establish the required lawful basis, actor status, data-subject procedure, or supervisory interpretation. Article 82 requires processing-context analysis, controller/processor accountability, and legal evidence beyond implementation of this GAISSF control.</w:t>
            </w:r>
          </w:p>
        </w:tc>
      </w:tr>
      <w:tr>
        <w:tc>
          <w:tcPr>
            <w:tcW w:type="dxa" w:w="1704"/>
            <w:vAlign w:val="top"/>
          </w:tcPr>
          <w:p>
            <w:r>
              <w:rPr>
                <w:sz w:val="15"/>
              </w:rPr>
              <w:t>CRO030-MAP-0166</w:t>
            </w:r>
          </w:p>
        </w:tc>
        <w:tc>
          <w:tcPr>
            <w:tcW w:type="dxa" w:w="1704"/>
            <w:vAlign w:val="top"/>
          </w:tcPr>
          <w:p>
            <w:r>
              <w:rPr>
                <w:sz w:val="15"/>
              </w:rPr>
              <w:t>D8-CTL-01</w:t>
            </w:r>
          </w:p>
        </w:tc>
        <w:tc>
          <w:tcPr>
            <w:tcW w:type="dxa" w:w="1704"/>
            <w:vAlign w:val="top"/>
          </w:tcPr>
          <w:p>
            <w:r>
              <w:rPr>
                <w:sz w:val="15"/>
              </w:rPr>
              <w:t>Art. 49 — Derogations for specific situations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D8-CTL-01 provides technical or governance capability relevant to the outcome addressed by GDPR Article 49. The relationship is outcome-based and does not establish the required lawful basis, actor status, data-subject procedure, or supervisory interpretation. Article 49 requires processing-context analysis, controller/processor accountability, and legal evidence beyond implementation of this GAISSF control.</w:t>
            </w:r>
          </w:p>
        </w:tc>
      </w:tr>
      <w:tr>
        <w:tc>
          <w:tcPr>
            <w:tcW w:type="dxa" w:w="1704"/>
            <w:vAlign w:val="top"/>
          </w:tcPr>
          <w:p>
            <w:r>
              <w:rPr>
                <w:sz w:val="15"/>
              </w:rPr>
              <w:t>CRO030-MAP-0167</w:t>
            </w:r>
          </w:p>
        </w:tc>
        <w:tc>
          <w:tcPr>
            <w:tcW w:type="dxa" w:w="1704"/>
            <w:vAlign w:val="top"/>
          </w:tcPr>
          <w:p>
            <w:r>
              <w:rPr>
                <w:sz w:val="15"/>
              </w:rPr>
              <w:t>D8-CTL-01</w:t>
            </w:r>
          </w:p>
        </w:tc>
        <w:tc>
          <w:tcPr>
            <w:tcW w:type="dxa" w:w="1704"/>
            <w:vAlign w:val="top"/>
          </w:tcPr>
          <w:p>
            <w:r>
              <w:rPr>
                <w:sz w:val="15"/>
              </w:rPr>
              <w:t>Art. 42 — Certification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D8-CTL-01 provides technical or governance capability relevant to the outcome addressed by GDPR Article 42. The relationship is outcome-based and does not establish the required lawful basis, actor status, data-subject procedure, or supervisory interpretation. Article 42 requires processing-context analysis, controller/processor accountability, and legal evidence beyond implementation of this GAISSF control.</w:t>
            </w:r>
          </w:p>
        </w:tc>
      </w:tr>
      <w:tr>
        <w:tc>
          <w:tcPr>
            <w:tcW w:type="dxa" w:w="1704"/>
            <w:vAlign w:val="top"/>
          </w:tcPr>
          <w:p>
            <w:r>
              <w:rPr>
                <w:sz w:val="15"/>
              </w:rPr>
              <w:t>CRO030-MAP-0168</w:t>
            </w:r>
          </w:p>
        </w:tc>
        <w:tc>
          <w:tcPr>
            <w:tcW w:type="dxa" w:w="1704"/>
            <w:vAlign w:val="top"/>
          </w:tcPr>
          <w:p>
            <w:r>
              <w:rPr>
                <w:sz w:val="15"/>
              </w:rPr>
              <w:t>D8-CTL-01</w:t>
            </w:r>
          </w:p>
        </w:tc>
        <w:tc>
          <w:tcPr>
            <w:tcW w:type="dxa" w:w="1704"/>
            <w:vAlign w:val="top"/>
          </w:tcPr>
          <w:p>
            <w:r>
              <w:rPr>
                <w:sz w:val="15"/>
              </w:rPr>
              <w:t>Art. 36 — Prior consultation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D8-CTL-01 provides technical or governance capability relevant to the outcome addressed by GDPR Article 36. The relationship is outcome-based and does not establish the required lawful basis, actor status, data-subject procedure, or supervisory interpretation. Article 36 requires processing-context analysis, controller/processor accountability, and legal evidence beyond implementation of this GAISSF control.</w:t>
            </w:r>
          </w:p>
        </w:tc>
      </w:tr>
      <w:tr>
        <w:tc>
          <w:tcPr>
            <w:tcW w:type="dxa" w:w="1704"/>
            <w:vAlign w:val="top"/>
          </w:tcPr>
          <w:p>
            <w:r>
              <w:rPr>
                <w:sz w:val="15"/>
              </w:rPr>
              <w:t>CRO030-MAP-0169</w:t>
            </w:r>
          </w:p>
        </w:tc>
        <w:tc>
          <w:tcPr>
            <w:tcW w:type="dxa" w:w="1704"/>
            <w:vAlign w:val="top"/>
          </w:tcPr>
          <w:p>
            <w:r>
              <w:rPr>
                <w:sz w:val="15"/>
              </w:rPr>
              <w:t>D8-CTL-02</w:t>
            </w:r>
          </w:p>
        </w:tc>
        <w:tc>
          <w:tcPr>
            <w:tcW w:type="dxa" w:w="1704"/>
            <w:vAlign w:val="top"/>
          </w:tcPr>
          <w:p>
            <w:r>
              <w:rPr>
                <w:sz w:val="15"/>
              </w:rPr>
              <w:t>Art. 24 — Responsibility of the controller</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D8-CTL-02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CRO030-MAP-0170</w:t>
            </w:r>
          </w:p>
        </w:tc>
        <w:tc>
          <w:tcPr>
            <w:tcW w:type="dxa" w:w="1704"/>
            <w:vAlign w:val="top"/>
          </w:tcPr>
          <w:p>
            <w:r>
              <w:rPr>
                <w:sz w:val="15"/>
              </w:rPr>
              <w:t>D8-CTL-03</w:t>
            </w:r>
          </w:p>
        </w:tc>
        <w:tc>
          <w:tcPr>
            <w:tcW w:type="dxa" w:w="1704"/>
            <w:vAlign w:val="top"/>
          </w:tcPr>
          <w:p>
            <w:r>
              <w:rPr>
                <w:sz w:val="15"/>
              </w:rPr>
              <w:t>Art. 30 — Records of processing activities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D8-CTL-03 provides technical or governance capability relevant to the outcome addressed by GDPR Article 30. The relationship is outcome-based and does not establish the required lawful basis, actor status, data-subject procedure, or supervisory interpretation. Article 30 requires processing-context analysis, controller/processor accountability, and legal evidence beyond implementation of this GAISSF control.</w:t>
            </w:r>
          </w:p>
        </w:tc>
      </w:tr>
      <w:tr>
        <w:tc>
          <w:tcPr>
            <w:tcW w:type="dxa" w:w="1704"/>
            <w:vAlign w:val="top"/>
          </w:tcPr>
          <w:p>
            <w:r>
              <w:rPr>
                <w:sz w:val="15"/>
              </w:rPr>
              <w:t>CRO030-MAP-0171</w:t>
            </w:r>
          </w:p>
        </w:tc>
        <w:tc>
          <w:tcPr>
            <w:tcW w:type="dxa" w:w="1704"/>
            <w:vAlign w:val="top"/>
          </w:tcPr>
          <w:p>
            <w:r>
              <w:rPr>
                <w:sz w:val="15"/>
              </w:rPr>
              <w:t>D8-CTL-03</w:t>
            </w:r>
          </w:p>
        </w:tc>
        <w:tc>
          <w:tcPr>
            <w:tcW w:type="dxa" w:w="1704"/>
            <w:vAlign w:val="top"/>
          </w:tcPr>
          <w:p>
            <w:r>
              <w:rPr>
                <w:sz w:val="15"/>
              </w:rPr>
              <w:t>Art. 6 — Lawfulness of processing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D8-CTL-03 provides technical or governance capability relevant to the outcome addressed by GDPR Article 6. The relationship is outcome-based and does not establish the required lawful basis, actor status, data-subject procedure, or supervisory interpretation. Article 6 requires processing-context analysis, controller/processor accountability, and legal evidence beyond implementation of this GAISSF control.</w:t>
            </w:r>
          </w:p>
        </w:tc>
      </w:tr>
      <w:tr>
        <w:tc>
          <w:tcPr>
            <w:tcW w:type="dxa" w:w="1704"/>
            <w:vAlign w:val="top"/>
          </w:tcPr>
          <w:p>
            <w:r>
              <w:rPr>
                <w:sz w:val="15"/>
              </w:rPr>
              <w:t>CRO030-MAP-0172</w:t>
            </w:r>
          </w:p>
        </w:tc>
        <w:tc>
          <w:tcPr>
            <w:tcW w:type="dxa" w:w="1704"/>
            <w:vAlign w:val="top"/>
          </w:tcPr>
          <w:p>
            <w:r>
              <w:rPr>
                <w:sz w:val="15"/>
              </w:rPr>
              <w:t>D8-CTL-03</w:t>
            </w:r>
          </w:p>
        </w:tc>
        <w:tc>
          <w:tcPr>
            <w:tcW w:type="dxa" w:w="1704"/>
            <w:vAlign w:val="top"/>
          </w:tcPr>
          <w:p>
            <w:r>
              <w:rPr>
                <w:sz w:val="15"/>
              </w:rPr>
              <w:t>Art. 5 — Principles relating to processing of personal data</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D8-CTL-03 provides technical or governance capability relevant to the outcome addressed by GDPR Article 5. The relationship is outcome-based and does not establish the required lawful basis, actor status, data-subject procedure, or supervisory interpretation. Article 5 requires processing-context analysis, controller/processor accountability, and legal evidence beyond implementation of this GAISSF control.</w:t>
            </w:r>
          </w:p>
        </w:tc>
      </w:tr>
      <w:tr>
        <w:tc>
          <w:tcPr>
            <w:tcW w:type="dxa" w:w="1704"/>
            <w:vAlign w:val="top"/>
          </w:tcPr>
          <w:p>
            <w:r>
              <w:rPr>
                <w:sz w:val="15"/>
              </w:rPr>
              <w:t>CRO030-MAP-0173</w:t>
            </w:r>
          </w:p>
        </w:tc>
        <w:tc>
          <w:tcPr>
            <w:tcW w:type="dxa" w:w="1704"/>
            <w:vAlign w:val="top"/>
          </w:tcPr>
          <w:p>
            <w:r>
              <w:rPr>
                <w:sz w:val="15"/>
              </w:rPr>
              <w:t>D8-CTL-04</w:t>
            </w:r>
          </w:p>
        </w:tc>
        <w:tc>
          <w:tcPr>
            <w:tcW w:type="dxa" w:w="1704"/>
            <w:vAlign w:val="top"/>
          </w:tcPr>
          <w:p>
            <w:r>
              <w:rPr>
                <w:sz w:val="15"/>
              </w:rPr>
              <w:t>Art. 33 — Notification of a personal data breach to the supervisory authority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D8-CTL-04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CRO030-MAP-0174</w:t>
            </w:r>
          </w:p>
        </w:tc>
        <w:tc>
          <w:tcPr>
            <w:tcW w:type="dxa" w:w="1704"/>
            <w:vAlign w:val="top"/>
          </w:tcPr>
          <w:p>
            <w:r>
              <w:rPr>
                <w:sz w:val="15"/>
              </w:rPr>
              <w:t>D8-CTL-04</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D8-CTL-04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r>
        <w:tc>
          <w:tcPr>
            <w:tcW w:type="dxa" w:w="1704"/>
            <w:vAlign w:val="top"/>
          </w:tcPr>
          <w:p>
            <w:r>
              <w:rPr>
                <w:sz w:val="15"/>
              </w:rPr>
              <w:t>CRO030-MAP-0175</w:t>
            </w:r>
          </w:p>
        </w:tc>
        <w:tc>
          <w:tcPr>
            <w:tcW w:type="dxa" w:w="1704"/>
            <w:vAlign w:val="top"/>
          </w:tcPr>
          <w:p>
            <w:r>
              <w:rPr>
                <w:sz w:val="15"/>
              </w:rPr>
              <w:t>D8-CTL-05</w:t>
            </w:r>
          </w:p>
        </w:tc>
        <w:tc>
          <w:tcPr>
            <w:tcW w:type="dxa" w:w="1704"/>
            <w:vAlign w:val="top"/>
          </w:tcPr>
          <w:p>
            <w:r>
              <w:rPr>
                <w:sz w:val="15"/>
              </w:rPr>
              <w:t>Art. 6 — Lawfulness of processing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D8-CTL-05 provides technical or governance capability relevant to the outcome addressed by GDPR Article 6. The relationship is outcome-based and does not establish the required lawful basis, actor status, data-subject procedure, or supervisory interpretation. Article 6 requires processing-context analysis, controller/processor accountability, and legal evidence beyond implementation of this GAISSF control.</w:t>
            </w:r>
          </w:p>
        </w:tc>
      </w:tr>
      <w:tr>
        <w:tc>
          <w:tcPr>
            <w:tcW w:type="dxa" w:w="1704"/>
            <w:vAlign w:val="top"/>
          </w:tcPr>
          <w:p>
            <w:r>
              <w:rPr>
                <w:sz w:val="15"/>
              </w:rPr>
              <w:t>CRO030-MAP-0176</w:t>
            </w:r>
          </w:p>
        </w:tc>
        <w:tc>
          <w:tcPr>
            <w:tcW w:type="dxa" w:w="1704"/>
            <w:vAlign w:val="top"/>
          </w:tcPr>
          <w:p>
            <w:r>
              <w:rPr>
                <w:sz w:val="15"/>
              </w:rPr>
              <w:t>D9-CTL-01</w:t>
            </w:r>
          </w:p>
        </w:tc>
        <w:tc>
          <w:tcPr>
            <w:tcW w:type="dxa" w:w="1704"/>
            <w:vAlign w:val="top"/>
          </w:tcPr>
          <w:p>
            <w:r>
              <w:rPr>
                <w:sz w:val="15"/>
              </w:rPr>
              <w:t>Art. 24 — Responsibility of the controller</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D9-CTL-01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CRO030-MAP-0177</w:t>
            </w:r>
          </w:p>
        </w:tc>
        <w:tc>
          <w:tcPr>
            <w:tcW w:type="dxa" w:w="1704"/>
            <w:vAlign w:val="top"/>
          </w:tcPr>
          <w:p>
            <w:r>
              <w:rPr>
                <w:sz w:val="15"/>
              </w:rPr>
              <w:t>D9-CTL-02</w:t>
            </w:r>
          </w:p>
        </w:tc>
        <w:tc>
          <w:tcPr>
            <w:tcW w:type="dxa" w:w="1704"/>
            <w:vAlign w:val="top"/>
          </w:tcPr>
          <w:p>
            <w:r>
              <w:rPr>
                <w:sz w:val="15"/>
              </w:rPr>
              <w:t>Art. 35 — Data protection impact assessment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D9-CTL-02 provides technical or governance capability relevant to the outcome addressed by GDPR Article 35. The relationship is outcome-based and does not establish the required lawful basis, actor status, data-subject procedure, or supervisory interpretation. Article 35 requires processing-context analysis, controller/processor accountability, and legal evidence beyond implementation of this GAISSF control.</w:t>
            </w:r>
          </w:p>
        </w:tc>
      </w:tr>
      <w:tr>
        <w:tc>
          <w:tcPr>
            <w:tcW w:type="dxa" w:w="1704"/>
            <w:vAlign w:val="top"/>
          </w:tcPr>
          <w:p>
            <w:r>
              <w:rPr>
                <w:sz w:val="15"/>
              </w:rPr>
              <w:t>CRO030-MAP-0178</w:t>
            </w:r>
          </w:p>
        </w:tc>
        <w:tc>
          <w:tcPr>
            <w:tcW w:type="dxa" w:w="1704"/>
            <w:vAlign w:val="top"/>
          </w:tcPr>
          <w:p>
            <w:r>
              <w:rPr>
                <w:sz w:val="15"/>
              </w:rPr>
              <w:t>D9-CTL-03</w:t>
            </w:r>
          </w:p>
        </w:tc>
        <w:tc>
          <w:tcPr>
            <w:tcW w:type="dxa" w:w="1704"/>
            <w:vAlign w:val="top"/>
          </w:tcPr>
          <w:p>
            <w:r>
              <w:rPr>
                <w:sz w:val="15"/>
              </w:rPr>
              <w:t>Art. 24 — Responsibility of the controller</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D9-CTL-03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CRO030-MAP-0179</w:t>
            </w:r>
          </w:p>
        </w:tc>
        <w:tc>
          <w:tcPr>
            <w:tcW w:type="dxa" w:w="1704"/>
            <w:vAlign w:val="top"/>
          </w:tcPr>
          <w:p>
            <w:r>
              <w:rPr>
                <w:sz w:val="15"/>
              </w:rPr>
              <w:t>D9-CTL-04</w:t>
            </w:r>
          </w:p>
        </w:tc>
        <w:tc>
          <w:tcPr>
            <w:tcW w:type="dxa" w:w="1704"/>
            <w:vAlign w:val="top"/>
          </w:tcPr>
          <w:p>
            <w:r>
              <w:rPr>
                <w:sz w:val="15"/>
              </w:rPr>
              <w:t>Art. 24 — Responsibility of the controller</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D9-CTL-04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CRO030-MAP-0180</w:t>
            </w:r>
          </w:p>
        </w:tc>
        <w:tc>
          <w:tcPr>
            <w:tcW w:type="dxa" w:w="1704"/>
            <w:vAlign w:val="top"/>
          </w:tcPr>
          <w:p>
            <w:r>
              <w:rPr>
                <w:sz w:val="15"/>
              </w:rPr>
              <w:t>D9-CTL-05</w:t>
            </w:r>
          </w:p>
        </w:tc>
        <w:tc>
          <w:tcPr>
            <w:tcW w:type="dxa" w:w="1704"/>
            <w:vAlign w:val="top"/>
          </w:tcPr>
          <w:p>
            <w:r>
              <w:rPr>
                <w:sz w:val="15"/>
              </w:rPr>
              <w:t>Art. 5 — Principles relating to processing of personal data</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D9-CTL-05 provides technical or governance capability relevant to the outcome addressed by GDPR Article 5. The relationship is outcome-based and does not establish the required lawful basis, actor status, data-subject procedure, or supervisory interpretation. Article 5 requires processing-context analysis, controller/processor accountability, and legal evidence beyond implementation of this GAISSF control.</w:t>
            </w:r>
          </w:p>
        </w:tc>
      </w:tr>
      <w:tr>
        <w:tc>
          <w:tcPr>
            <w:tcW w:type="dxa" w:w="1704"/>
            <w:vAlign w:val="top"/>
          </w:tcPr>
          <w:p>
            <w:r>
              <w:rPr>
                <w:sz w:val="15"/>
              </w:rPr>
              <w:t>CRO030-MAP-0181</w:t>
            </w:r>
          </w:p>
        </w:tc>
        <w:tc>
          <w:tcPr>
            <w:tcW w:type="dxa" w:w="1704"/>
            <w:vAlign w:val="top"/>
          </w:tcPr>
          <w:p>
            <w:r>
              <w:rPr>
                <w:sz w:val="15"/>
              </w:rPr>
              <w:t>D9-CTL-05</w:t>
            </w:r>
          </w:p>
        </w:tc>
        <w:tc>
          <w:tcPr>
            <w:tcW w:type="dxa" w:w="1704"/>
            <w:vAlign w:val="top"/>
          </w:tcPr>
          <w:p>
            <w:r>
              <w:rPr>
                <w:sz w:val="15"/>
              </w:rPr>
              <w:t>Art. 22 — Automated individual decision-making, including profiling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D9-CTL-05 provides technical or governance capability relevant to the outcome addressed by GDPR Article 22. The relationship is outcome-based and does not establish the required lawful basis, actor status, data-subject procedure, or supervisory interpretation. Article 22 requires processing-context analysis, controller/processor accountability, and legal evidence beyond implementation of this GAISSF control.</w:t>
            </w:r>
          </w:p>
        </w:tc>
      </w:tr>
      <w:tr>
        <w:tc>
          <w:tcPr>
            <w:tcW w:type="dxa" w:w="1704"/>
            <w:vAlign w:val="top"/>
          </w:tcPr>
          <w:p>
            <w:r>
              <w:rPr>
                <w:sz w:val="15"/>
              </w:rPr>
              <w:t>CRO030-MAP-0182</w:t>
            </w:r>
          </w:p>
        </w:tc>
        <w:tc>
          <w:tcPr>
            <w:tcW w:type="dxa" w:w="1704"/>
            <w:vAlign w:val="top"/>
          </w:tcPr>
          <w:p>
            <w:r>
              <w:rPr>
                <w:sz w:val="15"/>
              </w:rPr>
              <w:t>D9-CTL-05</w:t>
            </w:r>
          </w:p>
        </w:tc>
        <w:tc>
          <w:tcPr>
            <w:tcW w:type="dxa" w:w="1704"/>
            <w:vAlign w:val="top"/>
          </w:tcPr>
          <w:p>
            <w:r>
              <w:rPr>
                <w:sz w:val="15"/>
              </w:rPr>
              <w:t>Art. 41 — Monitoring of approved codes of conduct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D9-CTL-05 provides technical or governance capability relevant to the outcome addressed by GDPR Article 41. The relationship is outcome-based and does not establish the required lawful basis, actor status, data-subject procedure, or supervisory interpretation. Article 41 requires processing-context analysis, controller/processor accountability, and legal evidence beyond implementation of this GAISSF control.</w:t>
            </w:r>
          </w:p>
        </w:tc>
      </w:tr>
      <w:tr>
        <w:tc>
          <w:tcPr>
            <w:tcW w:type="dxa" w:w="1704"/>
            <w:vAlign w:val="top"/>
          </w:tcPr>
          <w:p>
            <w:r>
              <w:rPr>
                <w:sz w:val="15"/>
              </w:rPr>
              <w:t>CRO030-MAP-0183</w:t>
            </w:r>
          </w:p>
        </w:tc>
        <w:tc>
          <w:tcPr>
            <w:tcW w:type="dxa" w:w="1704"/>
            <w:vAlign w:val="top"/>
          </w:tcPr>
          <w:p>
            <w:r>
              <w:rPr>
                <w:sz w:val="15"/>
              </w:rPr>
              <w:t>D9-CTL-05</w:t>
            </w:r>
          </w:p>
        </w:tc>
        <w:tc>
          <w:tcPr>
            <w:tcW w:type="dxa" w:w="1704"/>
            <w:vAlign w:val="top"/>
          </w:tcPr>
          <w:p>
            <w:r>
              <w:rPr>
                <w:sz w:val="15"/>
              </w:rPr>
              <w:t>Art. 39 — Tasks of the data protection officer</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D9-CTL-05 provides technical or governance capability relevant to the outcome addressed by GDPR Article 39. The relationship is outcome-based and does not establish the required lawful basis, actor status, data-subject procedure, or supervisory interpretation. Article 39 requires processing-context analysis, controller/processor accountability, and legal evidence beyond implementation of this GAISSF control.</w:t>
            </w:r>
          </w:p>
        </w:tc>
      </w:tr>
      <w:tr>
        <w:tc>
          <w:tcPr>
            <w:tcW w:type="dxa" w:w="1704"/>
            <w:vAlign w:val="top"/>
          </w:tcPr>
          <w:p>
            <w:r>
              <w:rPr>
                <w:sz w:val="15"/>
              </w:rPr>
              <w:t>CRO030-MAP-0184</w:t>
            </w:r>
          </w:p>
        </w:tc>
        <w:tc>
          <w:tcPr>
            <w:tcW w:type="dxa" w:w="1704"/>
            <w:vAlign w:val="top"/>
          </w:tcPr>
          <w:p>
            <w:r>
              <w:rPr>
                <w:sz w:val="15"/>
              </w:rPr>
              <w:t>D9-CTL-06</w:t>
            </w:r>
          </w:p>
        </w:tc>
        <w:tc>
          <w:tcPr>
            <w:tcW w:type="dxa" w:w="1704"/>
            <w:vAlign w:val="top"/>
          </w:tcPr>
          <w:p>
            <w:r>
              <w:rPr>
                <w:sz w:val="15"/>
              </w:rPr>
              <w:t>Art. 24 — Responsibility of the controller</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D9-CTL-06 provides technical or governance capability relevant to the outcome addressed by GDPR Article 24. The relationship is outcome-based and does not establish the required lawful basis, actor status, data-subject procedure, or supervisory interpretation. Article 24 requires processing-context analysis, controller/processor accountability, and legal evidence beyond implementation of this GAISSF control.</w:t>
            </w:r>
          </w:p>
        </w:tc>
      </w:tr>
      <w:tr>
        <w:tc>
          <w:tcPr>
            <w:tcW w:type="dxa" w:w="1704"/>
            <w:vAlign w:val="top"/>
          </w:tcPr>
          <w:p>
            <w:r>
              <w:rPr>
                <w:sz w:val="15"/>
              </w:rPr>
              <w:t>CRO030-MAP-0185</w:t>
            </w:r>
          </w:p>
        </w:tc>
        <w:tc>
          <w:tcPr>
            <w:tcW w:type="dxa" w:w="1704"/>
            <w:vAlign w:val="top"/>
          </w:tcPr>
          <w:p>
            <w:r>
              <w:rPr>
                <w:sz w:val="15"/>
              </w:rPr>
              <w:t>D9-CTL-07</w:t>
            </w:r>
          </w:p>
        </w:tc>
        <w:tc>
          <w:tcPr>
            <w:tcW w:type="dxa" w:w="1704"/>
            <w:vAlign w:val="top"/>
          </w:tcPr>
          <w:p>
            <w:r>
              <w:rPr>
                <w:sz w:val="15"/>
              </w:rPr>
              <w:t>Art. 33 — Notification of a personal data breach to the supervisory authority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D9-CTL-07 provides technical or governance capability relevant to the outcome addressed by GDPR Article 33. The relationship is outcome-based and does not establish the required lawful basis, actor status, data-subject procedure, or supervisory interpretation. Article 33 requires processing-context analysis, controller/processor accountability, and legal evidence beyond implementation of this GAISSF control.</w:t>
            </w:r>
          </w:p>
        </w:tc>
      </w:tr>
      <w:tr>
        <w:tc>
          <w:tcPr>
            <w:tcW w:type="dxa" w:w="1704"/>
            <w:vAlign w:val="top"/>
          </w:tcPr>
          <w:p>
            <w:r>
              <w:rPr>
                <w:sz w:val="15"/>
              </w:rPr>
              <w:t>CRO030-MAP-0186</w:t>
            </w:r>
          </w:p>
        </w:tc>
        <w:tc>
          <w:tcPr>
            <w:tcW w:type="dxa" w:w="1704"/>
            <w:vAlign w:val="top"/>
          </w:tcPr>
          <w:p>
            <w:r>
              <w:rPr>
                <w:sz w:val="15"/>
              </w:rPr>
              <w:t>D9-CTL-07</w:t>
            </w:r>
          </w:p>
        </w:tc>
        <w:tc>
          <w:tcPr>
            <w:tcW w:type="dxa" w:w="1704"/>
            <w:vAlign w:val="top"/>
          </w:tcPr>
          <w:p>
            <w:r>
              <w:rPr>
                <w:sz w:val="15"/>
              </w:rPr>
              <w:t>Art. 42 — Certification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D9-CTL-07 provides technical or governance capability relevant to the outcome addressed by GDPR Article 42. The relationship is outcome-based and does not establish the required lawful basis, actor status, data-subject procedure, or supervisory interpretation. Article 42 requires processing-context analysis, controller/processor accountability, and legal evidence beyond implementation of this GAISSF control.</w:t>
            </w:r>
          </w:p>
        </w:tc>
      </w:tr>
      <w:tr>
        <w:tc>
          <w:tcPr>
            <w:tcW w:type="dxa" w:w="1704"/>
            <w:vAlign w:val="top"/>
          </w:tcPr>
          <w:p>
            <w:r>
              <w:rPr>
                <w:sz w:val="15"/>
              </w:rPr>
              <w:t>CRO030-MAP-0187</w:t>
            </w:r>
          </w:p>
        </w:tc>
        <w:tc>
          <w:tcPr>
            <w:tcW w:type="dxa" w:w="1704"/>
            <w:vAlign w:val="top"/>
          </w:tcPr>
          <w:p>
            <w:r>
              <w:rPr>
                <w:sz w:val="15"/>
              </w:rPr>
              <w:t>D9-CTL-07</w:t>
            </w:r>
          </w:p>
        </w:tc>
        <w:tc>
          <w:tcPr>
            <w:tcW w:type="dxa" w:w="1704"/>
            <w:vAlign w:val="top"/>
          </w:tcPr>
          <w:p>
            <w:r>
              <w:rPr>
                <w:sz w:val="15"/>
              </w:rPr>
              <w:t>Art. 35 — Data protection impact assessment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D9-CTL-07 provides technical or governance capability relevant to the outcome addressed by GDPR Article 35. The relationship is outcome-based and does not establish the required lawful basis, actor status, data-subject procedure, or supervisory interpretation. Article 35 requires processing-context analysis, controller/processor accountability, and legal evidence beyond implementation of this GAISSF control.</w:t>
            </w:r>
          </w:p>
        </w:tc>
      </w:tr>
      <w:tr>
        <w:tc>
          <w:tcPr>
            <w:tcW w:type="dxa" w:w="1704"/>
            <w:vAlign w:val="top"/>
          </w:tcPr>
          <w:p>
            <w:r>
              <w:rPr>
                <w:sz w:val="15"/>
              </w:rPr>
              <w:t>CRO030-MAP-0188</w:t>
            </w:r>
          </w:p>
        </w:tc>
        <w:tc>
          <w:tcPr>
            <w:tcW w:type="dxa" w:w="1704"/>
            <w:vAlign w:val="top"/>
          </w:tcPr>
          <w:p>
            <w:r>
              <w:rPr>
                <w:sz w:val="15"/>
              </w:rPr>
              <w:t>D9-CTL-07</w:t>
            </w:r>
          </w:p>
        </w:tc>
        <w:tc>
          <w:tcPr>
            <w:tcW w:type="dxa" w:w="1704"/>
            <w:vAlign w:val="top"/>
          </w:tcPr>
          <w:p>
            <w:r>
              <w:rPr>
                <w:sz w:val="15"/>
              </w:rPr>
              <w:t>Art. 34 — Communication of a personal data breach to the data subject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D9-CTL-07 provides technical or governance capability relevant to the outcome addressed by GDPR Article 34. The relationship is outcome-based and does not establish the required lawful basis, actor status, data-subject procedure, or supervisory interpretation. Article 34 requires processing-context analysis, controller/processor accountability, and legal evidence beyond implementation of this GAISSF control.</w:t>
            </w:r>
          </w:p>
        </w:tc>
      </w:tr>
    </w:tbl>
    <w:p>
      <w:pPr>
        <w:pStyle w:val="Heading1"/>
      </w:pPr>
      <w:r>
        <w:t>Annex B — Source Register</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shd w:fill="163A5F"/>
          </w:tcPr>
          <w:p>
            <w:r>
              <w:rPr>
                <w:b/>
                <w:color w:val="FFFFFF"/>
                <w:sz w:val="16"/>
              </w:rPr>
              <w:t>Source</w:t>
            </w:r>
          </w:p>
        </w:tc>
        <w:tc>
          <w:tcPr>
            <w:tcW w:type="dxa" w:w="3408"/>
            <w:shd w:fill="163A5F"/>
          </w:tcPr>
          <w:p>
            <w:r>
              <w:rPr>
                <w:b/>
                <w:color w:val="FFFFFF"/>
                <w:sz w:val="16"/>
              </w:rPr>
              <w:t>Role</w:t>
            </w:r>
          </w:p>
        </w:tc>
        <w:tc>
          <w:tcPr>
            <w:tcW w:type="dxa" w:w="3408"/>
            <w:shd w:fill="163A5F"/>
          </w:tcPr>
          <w:p>
            <w:r>
              <w:rPr>
                <w:b/>
                <w:color w:val="FFFFFF"/>
                <w:sz w:val="16"/>
              </w:rPr>
              <w:t>Status</w:t>
            </w:r>
          </w:p>
        </w:tc>
      </w:tr>
      <w:tr>
        <w:tc>
          <w:tcPr>
            <w:tcW w:type="dxa" w:w="3408"/>
            <w:vAlign w:val="top"/>
          </w:tcPr>
          <w:p>
            <w:r>
              <w:rPr>
                <w:sz w:val="15"/>
              </w:rPr>
              <w:t>GAISSF-NOR-001 v1.0</w:t>
            </w:r>
          </w:p>
        </w:tc>
        <w:tc>
          <w:tcPr>
            <w:tcW w:type="dxa" w:w="3408"/>
            <w:vAlign w:val="top"/>
          </w:tcPr>
          <w:p>
            <w:r>
              <w:rPr>
                <w:sz w:val="15"/>
              </w:rPr>
              <w:t>Framework and conformance baseline</w:t>
            </w:r>
          </w:p>
        </w:tc>
        <w:tc>
          <w:tcPr>
            <w:tcW w:type="dxa" w:w="3408"/>
            <w:vAlign w:val="top"/>
          </w:tcPr>
          <w:p>
            <w:r>
              <w:rPr>
                <w:sz w:val="15"/>
              </w:rPr>
              <w:t>Normative</w:t>
            </w:r>
          </w:p>
        </w:tc>
      </w:tr>
      <w:tr>
        <w:tc>
          <w:tcPr>
            <w:tcW w:type="dxa" w:w="3408"/>
            <w:vAlign w:val="top"/>
          </w:tcPr>
          <w:p>
            <w:r>
              <w:rPr>
                <w:sz w:val="15"/>
              </w:rPr>
              <w:t>GAISSF-NOR-004 v1.0</w:t>
            </w:r>
          </w:p>
        </w:tc>
        <w:tc>
          <w:tcPr>
            <w:tcW w:type="dxa" w:w="3408"/>
            <w:vAlign w:val="top"/>
          </w:tcPr>
          <w:p>
            <w:r>
              <w:rPr>
                <w:sz w:val="15"/>
              </w:rPr>
              <w:t>Authoritative 59-control catalogue</w:t>
            </w:r>
          </w:p>
        </w:tc>
        <w:tc>
          <w:tcPr>
            <w:tcW w:type="dxa" w:w="3408"/>
            <w:vAlign w:val="top"/>
          </w:tcPr>
          <w:p>
            <w:r>
              <w:rPr>
                <w:sz w:val="15"/>
              </w:rPr>
              <w:t>Normative</w:t>
            </w:r>
          </w:p>
        </w:tc>
      </w:tr>
      <w:tr>
        <w:tc>
          <w:tcPr>
            <w:tcW w:type="dxa" w:w="3408"/>
            <w:vAlign w:val="top"/>
          </w:tcPr>
          <w:p>
            <w:r>
              <w:rPr>
                <w:sz w:val="15"/>
              </w:rPr>
              <w:t>Regulation (EU) 2016/679</w:t>
            </w:r>
          </w:p>
        </w:tc>
        <w:tc>
          <w:tcPr>
            <w:tcW w:type="dxa" w:w="3408"/>
            <w:vAlign w:val="top"/>
          </w:tcPr>
          <w:p>
            <w:r>
              <w:rPr>
                <w:sz w:val="15"/>
              </w:rPr>
              <w:t>Primary legal baseline</w:t>
            </w:r>
          </w:p>
        </w:tc>
        <w:tc>
          <w:tcPr>
            <w:tcW w:type="dxa" w:w="3408"/>
            <w:vAlign w:val="top"/>
          </w:tcPr>
          <w:p>
            <w:r>
              <w:rPr>
                <w:sz w:val="15"/>
              </w:rPr>
              <w:t>Binding regulation</w:t>
            </w:r>
          </w:p>
        </w:tc>
      </w:tr>
      <w:tr>
        <w:tc>
          <w:tcPr>
            <w:tcW w:type="dxa" w:w="3408"/>
            <w:vAlign w:val="top"/>
          </w:tcPr>
          <w:p>
            <w:r>
              <w:rPr>
                <w:sz w:val="15"/>
              </w:rPr>
              <w:t>EDPB guidance</w:t>
            </w:r>
          </w:p>
        </w:tc>
        <w:tc>
          <w:tcPr>
            <w:tcW w:type="dxa" w:w="3408"/>
            <w:vAlign w:val="top"/>
          </w:tcPr>
          <w:p>
            <w:r>
              <w:rPr>
                <w:sz w:val="15"/>
              </w:rPr>
              <w:t>Interpretive implementation guidance</w:t>
            </w:r>
          </w:p>
        </w:tc>
        <w:tc>
          <w:tcPr>
            <w:tcW w:type="dxa" w:w="3408"/>
            <w:vAlign w:val="top"/>
          </w:tcPr>
          <w:p>
            <w:r>
              <w:rPr>
                <w:sz w:val="15"/>
              </w:rPr>
              <w:t>Non-legislative guidance</w:t>
            </w:r>
          </w:p>
        </w:tc>
      </w:tr>
      <w:tr>
        <w:tc>
          <w:tcPr>
            <w:tcW w:type="dxa" w:w="3408"/>
            <w:vAlign w:val="top"/>
          </w:tcPr>
          <w:p>
            <w:r>
              <w:rPr>
                <w:sz w:val="15"/>
              </w:rPr>
              <w:t>CJEU and national decisions</w:t>
            </w:r>
          </w:p>
        </w:tc>
        <w:tc>
          <w:tcPr>
            <w:tcW w:type="dxa" w:w="3408"/>
            <w:vAlign w:val="top"/>
          </w:tcPr>
          <w:p>
            <w:r>
              <w:rPr>
                <w:sz w:val="15"/>
              </w:rPr>
              <w:t>Legal interpretation and enforcement context</w:t>
            </w:r>
          </w:p>
        </w:tc>
        <w:tc>
          <w:tcPr>
            <w:tcW w:type="dxa" w:w="3408"/>
            <w:vAlign w:val="top"/>
          </w:tcPr>
          <w:p>
            <w:r>
              <w:rPr>
                <w:sz w:val="15"/>
              </w:rPr>
              <w:t>Separate review required</w:t>
            </w:r>
          </w:p>
        </w:tc>
      </w:tr>
    </w:tbl>
    <w:p>
      <w:pPr>
        <w:pStyle w:val="Heading1"/>
      </w:pPr>
      <w:r>
        <w:t>Limitations and Reliance Notice</w:t>
      </w:r>
    </w:p>
    <w:p>
      <w:pPr>
        <w:pStyle w:val="ListBullet"/>
      </w:pPr>
      <w:r>
        <w:t>Mapping does not establish GDPR compliance.</w:t>
      </w:r>
    </w:p>
    <w:p>
      <w:pPr>
        <w:pStyle w:val="ListBullet"/>
      </w:pPr>
      <w:r>
        <w:t>GAISSF controls cannot determine lawful basis, controller/processor status, territorial scope, or validity of consent.</w:t>
      </w:r>
    </w:p>
    <w:p>
      <w:pPr>
        <w:pStyle w:val="ListBullet"/>
      </w:pPr>
      <w:r>
        <w:t>EDPB guidance, CJEU case law and national supervisory practice require separate review.</w:t>
      </w:r>
    </w:p>
    <w:p>
      <w:pPr>
        <w:pStyle w:val="ListBullet"/>
      </w:pPr>
      <w:r>
        <w:t>National laws may supplement the GDPR in permitted areas.</w:t>
      </w:r>
    </w:p>
    <w:p>
      <w:pPr>
        <w:pStyle w:val="ListBullet"/>
      </w:pPr>
      <w:r>
        <w:t>Evidence of control design is not evidence of operating effectiveness or lawful processing.</w:t>
      </w:r>
    </w:p>
    <w:p>
      <w:r>
        <w:t>© 2026 ODA3 Pvt Ltd. Published by ODA3 Institute. Third-party laws, names and marks remain the property of their respective owners. No endorsement or legal opinion is implied.</w:t>
      </w: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63A5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F5D7C"/>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63A5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