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GAISSF–GDPR Mapping</w:t>
      </w:r>
    </w:p>
    <w:p>
      <w:pPr>
        <w:jc w:val="center"/>
      </w:pPr>
      <w:r>
        <w:rPr>
          <w:b/>
        </w:rPr>
        <w:t>CRO-030 | Website and Executive Summary | Version 1.0</w:t>
      </w:r>
    </w:p>
    <w:p>
      <w:pPr>
        <w:pStyle w:val="Heading1"/>
      </w:pPr>
      <w:r>
        <w:t>What this publication provides</w:t>
      </w:r>
    </w:p>
    <w:p>
      <w:r>
        <w:t>A structured, bidirectional crosswalk between all 59 GAISSF controls and 58 operationally material provisions of Regulation (EU) 2016/679. The accompanying register contains 188 mapping records with relationship, confidence, rationale and residual-gap fields.</w:t>
      </w:r>
    </w:p>
    <w:p>
      <w:pPr>
        <w:pStyle w:val="Heading1"/>
      </w:pPr>
      <w:r>
        <w:t>Primary uses</w:t>
      </w:r>
    </w:p>
    <w:p>
      <w:pPr>
        <w:pStyle w:val="ListBullet"/>
      </w:pPr>
      <w:r>
        <w:t>Privacy engineering and AI system design</w:t>
      </w:r>
    </w:p>
    <w:p>
      <w:pPr>
        <w:pStyle w:val="ListBullet"/>
      </w:pPr>
      <w:r>
        <w:t>DPIA preparation and evidence reuse</w:t>
      </w:r>
    </w:p>
    <w:p>
      <w:pPr>
        <w:pStyle w:val="ListBullet"/>
      </w:pPr>
      <w:r>
        <w:t>Security-of-processing and breach-response alignment</w:t>
      </w:r>
    </w:p>
    <w:p>
      <w:pPr>
        <w:pStyle w:val="ListBullet"/>
      </w:pPr>
      <w:r>
        <w:t>Automated-decision governance</w:t>
      </w:r>
    </w:p>
    <w:p>
      <w:pPr>
        <w:pStyle w:val="ListBullet"/>
      </w:pPr>
      <w:r>
        <w:t>Supplier and international-transfer gap analysis</w:t>
      </w:r>
    </w:p>
    <w:p>
      <w:pPr>
        <w:pStyle w:val="Heading1"/>
      </w:pPr>
      <w:r>
        <w:t>Important limitation</w:t>
      </w:r>
    </w:p>
    <w:p>
      <w:r>
        <w:t>This is an implementation crosswalk, not legal advice or a compliance determination. GDPR applicability and compliance depend on processing purpose, lawful basis, data categories, actor roles, data-subject impacts, transfers, national law and current supervisory interpretation.</w:t>
      </w:r>
    </w:p>
    <w:p>
      <w:pPr>
        <w:pStyle w:val="Heading1"/>
      </w:pPr>
      <w:r>
        <w:t>Publication contents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</w:trPr>
        <w:tc>
          <w:tcPr>
            <w:tcW w:type="dxa" w:w="5112"/>
            <w:shd w:fill="163A5F"/>
          </w:tcPr>
          <w:p>
            <w:r>
              <w:rPr>
                <w:b/>
                <w:color w:val="FFFFFF"/>
                <w:sz w:val="16"/>
              </w:rPr>
              <w:t>File</w:t>
            </w:r>
          </w:p>
        </w:tc>
        <w:tc>
          <w:tcPr>
            <w:tcW w:type="dxa" w:w="5112"/>
            <w:shd w:fill="163A5F"/>
          </w:tcPr>
          <w:p>
            <w:r>
              <w:rPr>
                <w:b/>
                <w:color w:val="FFFFFF"/>
                <w:sz w:val="16"/>
              </w:rPr>
              <w:t>Purpose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DOCX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Full publication crosswalk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XLSX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Detailed forward, reverse, article, gap, source and QA registers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Markdown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GitHub-ready edition</w:t>
            </w:r>
          </w:p>
        </w:tc>
      </w:tr>
      <w:tr>
        <w:tc>
          <w:tcPr>
            <w:tcW w:type="dxa" w:w="5112"/>
            <w:vAlign w:val="top"/>
          </w:tcPr>
          <w:p>
            <w:r>
              <w:rPr>
                <w:sz w:val="15"/>
              </w:rPr>
              <w:t>JSON</w:t>
            </w:r>
          </w:p>
        </w:tc>
        <w:tc>
          <w:tcPr>
            <w:tcW w:type="dxa" w:w="5112"/>
            <w:vAlign w:val="top"/>
          </w:tcPr>
          <w:p>
            <w:r>
              <w:rPr>
                <w:sz w:val="15"/>
              </w:rPr>
              <w:t>Machine-readable dataset</w:t>
            </w:r>
          </w:p>
        </w:tc>
      </w:tr>
    </w:tbl>
    <w:p>
      <w:pPr>
        <w:pStyle w:val="Heading1"/>
      </w:pPr>
      <w:r>
        <w:t>Notably Absent</w:t>
      </w:r>
    </w:p>
    <w:p>
      <w:r>
        <w:t>No claim of GDPR certification, automatic compliance, regulator endorsement, lawful-basis determination, or substitution for a DPIA is made.</w:t>
      </w:r>
    </w:p>
    <w:p>
      <w:r>
        <w:t>© 2026 ODA3 Pvt Ltd. Published by ODA3 Institute.</w:t>
      </w:r>
    </w:p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63A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F5D7C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63A5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