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GAISSF–SOC 2 Mapping</w:t>
      </w:r>
    </w:p>
    <w:p>
      <w:pPr>
        <w:jc w:val="center"/>
      </w:pPr>
      <w:r>
        <w:rPr>
          <w:b/>
        </w:rPr>
        <w:t>CRO-031 | Website and Executive Summary | Version 1.0</w:t>
      </w:r>
    </w:p>
    <w:p>
      <w:pPr>
        <w:pStyle w:val="Heading1"/>
      </w:pPr>
      <w:r>
        <w:t>What this publication provides</w:t>
      </w:r>
    </w:p>
    <w:p>
      <w:r>
        <w:t>A bidirectional crosswalk between all 59 GAISSF controls and all 60 criterion identifiers in the AICPA Trust Services Criteria baseline. The register contains 215 mappings with relationship, confidence, rationale and residual-gap fields.</w:t>
      </w:r>
    </w:p>
    <w:p>
      <w:pPr>
        <w:pStyle w:val="Heading1"/>
      </w:pPr>
      <w:r>
        <w:t>Primary uses</w:t>
      </w:r>
    </w:p>
    <w:p>
      <w:pPr>
        <w:pStyle w:val="ListBullet"/>
      </w:pPr>
      <w:r>
        <w:t>SOC 2 readiness and scoping discussions</w:t>
      </w:r>
    </w:p>
    <w:p>
      <w:pPr>
        <w:pStyle w:val="ListBullet"/>
      </w:pPr>
      <w:r>
        <w:t>Control rationalization and evidence reuse</w:t>
      </w:r>
    </w:p>
    <w:p>
      <w:pPr>
        <w:pStyle w:val="ListBullet"/>
      </w:pPr>
      <w:r>
        <w:t>Security and availability assurance planning</w:t>
      </w:r>
    </w:p>
    <w:p>
      <w:pPr>
        <w:pStyle w:val="ListBullet"/>
      </w:pPr>
      <w:r>
        <w:t>Processing-integrity, confidentiality and privacy gap analysis</w:t>
      </w:r>
    </w:p>
    <w:p>
      <w:pPr>
        <w:pStyle w:val="ListBullet"/>
      </w:pPr>
      <w:r>
        <w:t>Supplier, incident, access and change-control alignment</w:t>
      </w:r>
    </w:p>
    <w:p>
      <w:pPr>
        <w:pStyle w:val="Heading1"/>
      </w:pPr>
      <w:r>
        <w:t>Important limitation</w:t>
      </w:r>
    </w:p>
    <w:p>
      <w:r>
        <w:t>This mapping is not a SOC 2 report or attestation. A SOC 2 examination requires management assertions, a system description, criterion and category selection, evidence, independent CPA procedures and a formal report. Type I and Type II conclusions cannot be inferred from mapped controls.</w:t>
      </w:r>
    </w:p>
    <w:p>
      <w:pPr>
        <w:pStyle w:val="Heading1"/>
      </w:pPr>
      <w:r>
        <w:t>Publication contents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5112"/>
            <w:shd w:fill="163A5F"/>
          </w:tcPr>
          <w:p>
            <w:r>
              <w:rPr>
                <w:b/>
                <w:color w:val="FFFFFF"/>
                <w:sz w:val="16"/>
              </w:rPr>
              <w:t>File</w:t>
            </w:r>
          </w:p>
        </w:tc>
        <w:tc>
          <w:tcPr>
            <w:tcW w:type="dxa" w:w="5112"/>
            <w:shd w:fill="163A5F"/>
          </w:tcPr>
          <w:p>
            <w:r>
              <w:rPr>
                <w:b/>
                <w:color w:val="FFFFFF"/>
                <w:sz w:val="16"/>
              </w:rPr>
              <w:t>Purpose</w:t>
            </w:r>
          </w:p>
        </w:tc>
      </w:tr>
      <w:tr>
        <w:tc>
          <w:tcPr>
            <w:tcW w:type="dxa" w:w="5112"/>
            <w:vAlign w:val="top"/>
          </w:tcPr>
          <w:p>
            <w:r>
              <w:rPr>
                <w:sz w:val="15"/>
              </w:rPr>
              <w:t>DOCX</w:t>
            </w:r>
          </w:p>
        </w:tc>
        <w:tc>
          <w:tcPr>
            <w:tcW w:type="dxa" w:w="5112"/>
            <w:vAlign w:val="top"/>
          </w:tcPr>
          <w:p>
            <w:r>
              <w:rPr>
                <w:sz w:val="15"/>
              </w:rPr>
              <w:t>Full publication crosswalk</w:t>
            </w:r>
          </w:p>
        </w:tc>
      </w:tr>
      <w:tr>
        <w:tc>
          <w:tcPr>
            <w:tcW w:type="dxa" w:w="5112"/>
            <w:vAlign w:val="top"/>
          </w:tcPr>
          <w:p>
            <w:r>
              <w:rPr>
                <w:sz w:val="15"/>
              </w:rPr>
              <w:t>XLSX</w:t>
            </w:r>
          </w:p>
        </w:tc>
        <w:tc>
          <w:tcPr>
            <w:tcW w:type="dxa" w:w="5112"/>
            <w:vAlign w:val="top"/>
          </w:tcPr>
          <w:p>
            <w:r>
              <w:rPr>
                <w:sz w:val="15"/>
              </w:rPr>
              <w:t>Forward, reverse, criterion, gap, source and QA registers</w:t>
            </w:r>
          </w:p>
        </w:tc>
      </w:tr>
      <w:tr>
        <w:tc>
          <w:tcPr>
            <w:tcW w:type="dxa" w:w="5112"/>
            <w:vAlign w:val="top"/>
          </w:tcPr>
          <w:p>
            <w:r>
              <w:rPr>
                <w:sz w:val="15"/>
              </w:rPr>
              <w:t>Markdown</w:t>
            </w:r>
          </w:p>
        </w:tc>
        <w:tc>
          <w:tcPr>
            <w:tcW w:type="dxa" w:w="5112"/>
            <w:vAlign w:val="top"/>
          </w:tcPr>
          <w:p>
            <w:r>
              <w:rPr>
                <w:sz w:val="15"/>
              </w:rPr>
              <w:t>GitHub-ready edition</w:t>
            </w:r>
          </w:p>
        </w:tc>
      </w:tr>
      <w:tr>
        <w:tc>
          <w:tcPr>
            <w:tcW w:type="dxa" w:w="5112"/>
            <w:vAlign w:val="top"/>
          </w:tcPr>
          <w:p>
            <w:r>
              <w:rPr>
                <w:sz w:val="15"/>
              </w:rPr>
              <w:t>JSON</w:t>
            </w:r>
          </w:p>
        </w:tc>
        <w:tc>
          <w:tcPr>
            <w:tcW w:type="dxa" w:w="5112"/>
            <w:vAlign w:val="top"/>
          </w:tcPr>
          <w:p>
            <w:r>
              <w:rPr>
                <w:sz w:val="15"/>
              </w:rPr>
              <w:t>Machine-readable dataset</w:t>
            </w:r>
          </w:p>
        </w:tc>
      </w:tr>
    </w:tbl>
    <w:p>
      <w:pPr>
        <w:pStyle w:val="Heading1"/>
      </w:pPr>
      <w:r>
        <w:t>Notably Absent</w:t>
      </w:r>
    </w:p>
    <w:p>
      <w:r>
        <w:t>No SOC 2 certification, CPA opinion, auditor acceptance, operating-effectiveness conclusion, or AICPA endorsement is claimed.</w:t>
      </w:r>
    </w:p>
    <w:p>
      <w:r>
        <w:t>© 2026 ODA3 Pvt Ltd. Published by ODA3 Institute.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F5D7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63A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