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GAISSF–PCI DSS Mapping</w:t>
      </w:r>
    </w:p>
    <w:p>
      <w:pPr>
        <w:jc w:val="center"/>
      </w:pPr>
      <w:r>
        <w:rPr>
          <w:b/>
        </w:rPr>
        <w:t>CRO-032 | Website and Executive Summary | Version 1.0</w:t>
      </w:r>
    </w:p>
    <w:p>
      <w:pPr>
        <w:pStyle w:val="Heading1"/>
      </w:pPr>
      <w:r>
        <w:t>What this publication provides</w:t>
      </w:r>
    </w:p>
    <w:p>
      <w:r>
        <w:t>A bidirectional crosswalk between all 59 GAISSF controls and the 12 principal PCI DSS v4.0.1 requirement families. The register contains 187 mappings with relationship, confidence, rationale and residual-gap fields.</w:t>
      </w:r>
    </w:p>
    <w:p>
      <w:pPr>
        <w:pStyle w:val="Heading1"/>
      </w:pPr>
      <w:r>
        <w:t>Primary uses</w:t>
      </w:r>
    </w:p>
    <w:p>
      <w:pPr>
        <w:pStyle w:val="ListBullet"/>
      </w:pPr>
      <w:r>
        <w:t>PCI DSS readiness and control rationalization</w:t>
      </w:r>
    </w:p>
    <w:p>
      <w:pPr>
        <w:pStyle w:val="ListBullet"/>
      </w:pPr>
      <w:r>
        <w:t>Payment-security gap analysis</w:t>
      </w:r>
    </w:p>
    <w:p>
      <w:pPr>
        <w:pStyle w:val="ListBullet"/>
      </w:pPr>
      <w:r>
        <w:t>Evidence reuse planning</w:t>
      </w:r>
    </w:p>
    <w:p>
      <w:pPr>
        <w:pStyle w:val="ListBullet"/>
      </w:pPr>
      <w:r>
        <w:t>Secure development, access, monitoring and testing alignment</w:t>
      </w:r>
    </w:p>
    <w:p>
      <w:pPr>
        <w:pStyle w:val="ListBullet"/>
      </w:pPr>
      <w:r>
        <w:t>Third-party and governance control integration</w:t>
      </w:r>
    </w:p>
    <w:p>
      <w:pPr>
        <w:pStyle w:val="Heading1"/>
      </w:pPr>
      <w:r>
        <w:t>Important limitation</w:t>
      </w:r>
    </w:p>
    <w:p>
      <w:r>
        <w:t>This mapping is not PCI DSS compliance or validation. Entity applicability, cardholder data environment scope, every subrequirement and testing procedure, targeted risk analyses, customized or compensating controls, evidence and acceptance through ROC, SAQ, AOC, assessor, acquirer or payment-brand processes must be established separately.</w:t>
      </w:r>
    </w:p>
    <w:p>
      <w:pPr>
        <w:pStyle w:val="Heading1"/>
      </w:pPr>
      <w:r>
        <w:t>Publication contents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63A5F"/>
          </w:tcPr>
          <w:p>
            <w:r>
              <w:rPr>
                <w:b/>
                <w:color w:val="FFFFFF"/>
                <w:sz w:val="16"/>
              </w:rPr>
              <w:t>File</w:t>
            </w:r>
          </w:p>
        </w:tc>
        <w:tc>
          <w:tcPr>
            <w:tcW w:type="dxa" w:w="5112"/>
            <w:shd w:fill="163A5F"/>
          </w:tcPr>
          <w:p>
            <w:r>
              <w:rPr>
                <w:b/>
                <w:color w:val="FFFFFF"/>
                <w:sz w:val="16"/>
              </w:rPr>
              <w:t>Purpose</w:t>
            </w:r>
          </w:p>
        </w:tc>
      </w:tr>
      <w:tr>
        <w:tc>
          <w:tcPr>
            <w:tcW w:type="dxa" w:w="5112"/>
            <w:vAlign w:val="top"/>
          </w:tcPr>
          <w:p>
            <w:r>
              <w:rPr>
                <w:sz w:val="15"/>
              </w:rPr>
              <w:t>DOCX</w:t>
            </w:r>
          </w:p>
        </w:tc>
        <w:tc>
          <w:tcPr>
            <w:tcW w:type="dxa" w:w="5112"/>
            <w:vAlign w:val="top"/>
          </w:tcPr>
          <w:p>
            <w:r>
              <w:rPr>
                <w:sz w:val="15"/>
              </w:rPr>
              <w:t>Full publication crosswalk</w:t>
            </w:r>
          </w:p>
        </w:tc>
      </w:tr>
      <w:tr>
        <w:tc>
          <w:tcPr>
            <w:tcW w:type="dxa" w:w="5112"/>
            <w:vAlign w:val="top"/>
          </w:tcPr>
          <w:p>
            <w:r>
              <w:rPr>
                <w:sz w:val="15"/>
              </w:rPr>
              <w:t>XLSX</w:t>
            </w:r>
          </w:p>
        </w:tc>
        <w:tc>
          <w:tcPr>
            <w:tcW w:type="dxa" w:w="5112"/>
            <w:vAlign w:val="top"/>
          </w:tcPr>
          <w:p>
            <w:r>
              <w:rPr>
                <w:sz w:val="15"/>
              </w:rPr>
              <w:t>Forward, reverse, requirement, gap, source and QA registers</w:t>
            </w:r>
          </w:p>
        </w:tc>
      </w:tr>
      <w:tr>
        <w:tc>
          <w:tcPr>
            <w:tcW w:type="dxa" w:w="5112"/>
            <w:vAlign w:val="top"/>
          </w:tcPr>
          <w:p>
            <w:r>
              <w:rPr>
                <w:sz w:val="15"/>
              </w:rPr>
              <w:t>Markdown</w:t>
            </w:r>
          </w:p>
        </w:tc>
        <w:tc>
          <w:tcPr>
            <w:tcW w:type="dxa" w:w="5112"/>
            <w:vAlign w:val="top"/>
          </w:tcPr>
          <w:p>
            <w:r>
              <w:rPr>
                <w:sz w:val="15"/>
              </w:rPr>
              <w:t>GitHub-ready edition</w:t>
            </w:r>
          </w:p>
        </w:tc>
      </w:tr>
      <w:tr>
        <w:tc>
          <w:tcPr>
            <w:tcW w:type="dxa" w:w="5112"/>
            <w:vAlign w:val="top"/>
          </w:tcPr>
          <w:p>
            <w:r>
              <w:rPr>
                <w:sz w:val="15"/>
              </w:rPr>
              <w:t>JSON</w:t>
            </w:r>
          </w:p>
        </w:tc>
        <w:tc>
          <w:tcPr>
            <w:tcW w:type="dxa" w:w="5112"/>
            <w:vAlign w:val="top"/>
          </w:tcPr>
          <w:p>
            <w:r>
              <w:rPr>
                <w:sz w:val="15"/>
              </w:rPr>
              <w:t>Machine-readable dataset</w:t>
            </w:r>
          </w:p>
        </w:tc>
      </w:tr>
    </w:tbl>
    <w:p>
      <w:pPr>
        <w:pStyle w:val="Heading1"/>
      </w:pPr>
      <w:r>
        <w:t>Notably Absent</w:t>
      </w:r>
    </w:p>
    <w:p>
      <w:r>
        <w:t>No PCI DSS certification, QSA opinion, payment-brand acceptance, automatic scope reduction, or PCI SSC endorsement is claimed.</w:t>
      </w:r>
    </w:p>
    <w:p>
      <w:r>
        <w:t>© 2026 ODA3 Pvt Ltd. Published by ODA3 Institute.</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63A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5D7C"/>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63A5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