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GAISSF–CIS Controls Mapping</w:t>
      </w:r>
    </w:p>
    <w:p>
      <w:pPr>
        <w:jc w:val="center"/>
      </w:pPr>
      <w:r>
        <w:rPr>
          <w:b/>
        </w:rPr>
        <w:t>CRO-033 | Website and Executive Summary | Version 1.0</w:t>
      </w:r>
    </w:p>
    <w:p>
      <w:pPr>
        <w:pStyle w:val="Heading1"/>
      </w:pPr>
      <w:r>
        <w:t>What this publication provides</w:t>
      </w:r>
    </w:p>
    <w:p>
      <w:r>
        <w:t>A bidirectional crosswalk between all 59 GAISSF controls and the 18 CIS Controls v8.1 families, comprising 194 mapping records with relationship, confidence, rationale and residual-gap fields.</w:t>
      </w:r>
    </w:p>
    <w:p>
      <w:pPr>
        <w:pStyle w:val="Heading1"/>
      </w:pPr>
      <w:r>
        <w:t>Primary uses</w:t>
      </w:r>
    </w:p>
    <w:p>
      <w:pPr>
        <w:pStyle w:val="ListBullet"/>
      </w:pPr>
      <w:r>
        <w:t>Best-practice alignment and control rationalization</w:t>
      </w:r>
    </w:p>
    <w:p>
      <w:pPr>
        <w:pStyle w:val="ListBullet"/>
      </w:pPr>
      <w:r>
        <w:t>AI-security integration with enterprise cyber programs</w:t>
      </w:r>
    </w:p>
    <w:p>
      <w:pPr>
        <w:pStyle w:val="ListBullet"/>
      </w:pPr>
      <w:r>
        <w:t>Gap analysis and evidence reuse planning</w:t>
      </w:r>
    </w:p>
    <w:p>
      <w:pPr>
        <w:pStyle w:val="ListBullet"/>
      </w:pPr>
      <w:r>
        <w:t>Implementation Group scoping support</w:t>
      </w:r>
    </w:p>
    <w:p>
      <w:pPr>
        <w:pStyle w:val="ListBullet"/>
      </w:pPr>
      <w:r>
        <w:t>Audit and assessment preparation</w:t>
      </w:r>
    </w:p>
    <w:p>
      <w:pPr>
        <w:pStyle w:val="Heading1"/>
      </w:pPr>
      <w:r>
        <w:t>Important limitation</w:t>
      </w:r>
    </w:p>
    <w:p>
      <w:r>
        <w:t>This mapping does not establish implementation of all 153 CIS Safeguards, correct IG selection, CIS CSAT results, SecureSuite conformance, accreditation or certification. Safeguard-level implementation must be verified using official CIS materials.</w:t>
      </w:r>
    </w:p>
    <w:p>
      <w:pPr>
        <w:pStyle w:val="Heading1"/>
      </w:pPr>
      <w:r>
        <w:t>Publication contents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rPr>
          <w:tblHeader w:val="true"/>
        </w:trPr>
        <w:tc>
          <w:tcPr>
            <w:tcW w:type="dxa" w:w="5112"/>
            <w:shd w:fill="163A5F"/>
          </w:tcPr>
          <w:p>
            <w:r>
              <w:rPr>
                <w:b/>
                <w:color w:val="FFFFFF"/>
                <w:sz w:val="16"/>
              </w:rPr>
              <w:t>File</w:t>
            </w:r>
          </w:p>
        </w:tc>
        <w:tc>
          <w:tcPr>
            <w:tcW w:type="dxa" w:w="5112"/>
            <w:shd w:fill="163A5F"/>
          </w:tcPr>
          <w:p>
            <w:r>
              <w:rPr>
                <w:b/>
                <w:color w:val="FFFFFF"/>
                <w:sz w:val="16"/>
              </w:rPr>
              <w:t>Purpose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DOCX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Full publication crosswalk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XLSX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Forward, reverse, Control, gap, source and QA registers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Markdown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GitHub-ready edition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JSON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Machine-readable dataset</w:t>
            </w:r>
          </w:p>
        </w:tc>
      </w:tr>
    </w:tbl>
    <w:p>
      <w:pPr>
        <w:pStyle w:val="Heading1"/>
      </w:pPr>
      <w:r>
        <w:t>Notably Absent</w:t>
      </w:r>
    </w:p>
    <w:p>
      <w:r>
        <w:t>No CIS certification, accreditation, Safeguard-completeness claim, IG determination or CIS endorsement is asserted.</w:t>
      </w:r>
    </w:p>
    <w:p>
      <w:r>
        <w:t>© 2026 ODA3 Pvt Ltd. Published by ODA3 Institute.</w:t>
      </w:r>
    </w:p>
    <w:sectPr w:rsidR="00FC693F" w:rsidRPr="0006063C" w:rsidSect="00034616">
      <w:pgSz w:w="12240" w:h="15840"/>
      <w:pgMar w:top="936" w:right="1008" w:bottom="936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163A5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2F5D7C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163A5F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