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3A5F"/>
          <w:sz w:val="30"/>
        </w:rPr>
        <w:t>ODA3 Institute</w:t>
      </w:r>
    </w:p>
    <w:p>
      <w:pPr/>
    </w:p>
    <w:p>
      <w:pPr>
        <w:pStyle w:val="Title"/>
        <w:jc w:val="center"/>
      </w:pPr>
      <w:r>
        <w:t>GAISSF–CSA Cloud Controls Matrix Mapping</w:t>
      </w:r>
    </w:p>
    <w:p>
      <w:pPr>
        <w:jc w:val="center"/>
      </w:pPr>
      <w:r>
        <w:rPr>
          <w:sz w:val="26"/>
        </w:rPr>
        <w:t>Website and executive summary</w:t>
      </w:r>
    </w:p>
    <w:p>
      <w:pPr>
        <w:jc w:val="center"/>
      </w:pPr>
      <w:r>
        <w:t>Document ID: CRO-034  |  Version 1.0  |  Status: Publication Candidate</w:t>
      </w:r>
    </w:p>
    <w:p>
      <w:pPr>
        <w:jc w:val="center"/>
      </w:pPr>
      <w:r>
        <w:t>Publication date: 29 June 2026</w:t>
      </w:r>
    </w:p>
    <w:p>
      <w:pPr>
        <w:jc w:val="center"/>
      </w:pPr>
      <w:r>
        <w:t>© 2026 ODA3 Pvt Ltd. Published by ODA3 Institute.</w:t>
      </w:r>
    </w:p>
    <w:p>
      <w:r>
        <w:br w:type="page"/>
      </w:r>
    </w:p>
    <w:p>
      <w:pPr>
        <w:pStyle w:val="Heading1"/>
      </w:pPr>
      <w:r>
        <w:t>Overview</w:t>
      </w:r>
    </w:p>
    <w:p>
      <w:r>
        <w:t>CRO-034 provides a bidirectional domain-level crosswalk between all 59 GAISSF v1.0 controls and the 17 security domains of CSA Cloud Controls Matrix v4.1. It helps cloud security, AI governance and assurance teams identify areas of alignment, evidence reuse and supplementary cloud-specific work.</w:t>
      </w:r>
    </w:p>
    <w:p>
      <w:pPr>
        <w:pStyle w:val="Heading1"/>
      </w:pPr>
      <w:r>
        <w:t>Baseline and Coverage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top"/>
            <w:shd w:fill="163A5F"/>
          </w:tcPr>
          <w:p>
            <w:r/>
            <w:r>
              <w:rPr>
                <w:b/>
                <w:color w:val="FFFFFF"/>
                <w:sz w:val="15"/>
              </w:rPr>
              <w:t>Item</w:t>
            </w:r>
          </w:p>
        </w:tc>
        <w:tc>
          <w:tcPr>
            <w:tcW w:type="dxa" w:w="5112"/>
            <w:vAlign w:val="top"/>
            <w:shd w:fill="163A5F"/>
          </w:tcPr>
          <w:p>
            <w:r/>
            <w:r>
              <w:rPr>
                <w:b/>
                <w:color w:val="FFFFFF"/>
                <w:sz w:val="15"/>
              </w:rPr>
              <w:t>Coverage</w:t>
            </w:r>
          </w:p>
        </w:tc>
      </w:tr>
      <w:tr>
        <w:tc>
          <w:tcPr>
            <w:tcW w:type="dxa" w:w="5112"/>
            <w:vAlign w:val="top"/>
          </w:tcPr>
          <w:p>
            <w:r/>
            <w:r>
              <w:rPr>
                <w:b w:val="0"/>
                <w:sz w:val="15"/>
              </w:rPr>
              <w:t>GAISSF baseline</w:t>
            </w:r>
          </w:p>
        </w:tc>
        <w:tc>
          <w:tcPr>
            <w:tcW w:type="dxa" w:w="5112"/>
            <w:vAlign w:val="top"/>
          </w:tcPr>
          <w:p>
            <w:r/>
            <w:r>
              <w:rPr>
                <w:b w:val="0"/>
                <w:sz w:val="15"/>
              </w:rPr>
              <w:t>59 controls across nine domains</w:t>
            </w:r>
          </w:p>
        </w:tc>
      </w:tr>
      <w:tr>
        <w:tc>
          <w:tcPr>
            <w:tcW w:type="dxa" w:w="5112"/>
            <w:vAlign w:val="top"/>
          </w:tcPr>
          <w:p>
            <w:r/>
            <w:r>
              <w:rPr>
                <w:b w:val="0"/>
                <w:sz w:val="15"/>
              </w:rPr>
              <w:t>CSA baseline</w:t>
            </w:r>
          </w:p>
        </w:tc>
        <w:tc>
          <w:tcPr>
            <w:tcW w:type="dxa" w:w="5112"/>
            <w:vAlign w:val="top"/>
          </w:tcPr>
          <w:p>
            <w:r/>
            <w:r>
              <w:rPr>
                <w:b w:val="0"/>
                <w:sz w:val="15"/>
              </w:rPr>
              <w:t>CCM v4.1, released 27 January 2026</w:t>
            </w:r>
          </w:p>
        </w:tc>
      </w:tr>
      <w:tr>
        <w:tc>
          <w:tcPr>
            <w:tcW w:type="dxa" w:w="5112"/>
            <w:vAlign w:val="top"/>
          </w:tcPr>
          <w:p>
            <w:r/>
            <w:r>
              <w:rPr>
                <w:b w:val="0"/>
                <w:sz w:val="15"/>
              </w:rPr>
              <w:t>CCM structure</w:t>
            </w:r>
          </w:p>
        </w:tc>
        <w:tc>
          <w:tcPr>
            <w:tcW w:type="dxa" w:w="5112"/>
            <w:vAlign w:val="top"/>
          </w:tcPr>
          <w:p>
            <w:r/>
            <w:r>
              <w:rPr>
                <w:b w:val="0"/>
                <w:sz w:val="15"/>
              </w:rPr>
              <w:t>207 controls across 17 domains</w:t>
            </w:r>
          </w:p>
        </w:tc>
      </w:tr>
      <w:tr>
        <w:tc>
          <w:tcPr>
            <w:tcW w:type="dxa" w:w="5112"/>
            <w:vAlign w:val="top"/>
          </w:tcPr>
          <w:p>
            <w:r/>
            <w:r>
              <w:rPr>
                <w:b w:val="0"/>
                <w:sz w:val="15"/>
              </w:rPr>
              <w:t>CAIQ</w:t>
            </w:r>
          </w:p>
        </w:tc>
        <w:tc>
          <w:tcPr>
            <w:tcW w:type="dxa" w:w="5112"/>
            <w:vAlign w:val="top"/>
          </w:tcPr>
          <w:p>
            <w:r/>
            <w:r>
              <w:rPr>
                <w:b w:val="0"/>
                <w:sz w:val="15"/>
              </w:rPr>
              <w:t>283 questions, treated separately</w:t>
            </w:r>
          </w:p>
        </w:tc>
      </w:tr>
      <w:tr>
        <w:tc>
          <w:tcPr>
            <w:tcW w:type="dxa" w:w="5112"/>
            <w:vAlign w:val="top"/>
          </w:tcPr>
          <w:p>
            <w:r/>
            <w:r>
              <w:rPr>
                <w:b w:val="0"/>
                <w:sz w:val="15"/>
              </w:rPr>
              <w:t>Mapping records</w:t>
            </w:r>
          </w:p>
        </w:tc>
        <w:tc>
          <w:tcPr>
            <w:tcW w:type="dxa" w:w="5112"/>
            <w:vAlign w:val="top"/>
          </w:tcPr>
          <w:p>
            <w:r/>
            <w:r>
              <w:rPr>
                <w:b w:val="0"/>
                <w:sz w:val="15"/>
              </w:rPr>
              <w:t>281 domain-level relationships</w:t>
            </w:r>
          </w:p>
        </w:tc>
      </w:tr>
    </w:tbl>
    <w:p>
      <w:pPr>
        <w:pStyle w:val="Heading1"/>
      </w:pPr>
      <w:r>
        <w:t>What the Mapping Supports</w:t>
      </w:r>
    </w:p>
    <w:p>
      <w:r>
        <w:t>• Cloud and AI-security gap analysis</w:t>
      </w:r>
    </w:p>
    <w:p>
      <w:r>
        <w:t>• Shared-responsibility planning</w:t>
      </w:r>
    </w:p>
    <w:p>
      <w:r>
        <w:t>• Evidence reuse and control rationalization</w:t>
      </w:r>
    </w:p>
    <w:p>
      <w:r>
        <w:t>• Preparation for control-specification-level CCM review</w:t>
      </w:r>
    </w:p>
    <w:p>
      <w:r>
        <w:t>• Identification of residual cloud assurance gaps</w:t>
      </w:r>
    </w:p>
    <w:p>
      <w:pPr>
        <w:pStyle w:val="Heading1"/>
      </w:pPr>
      <w:r>
        <w:t>Important Limitations</w:t>
      </w:r>
    </w:p>
    <w:p>
      <w:r>
        <w:t>This is a domain-level mapping. It does not reproduce or claim coverage of all 207 CCM controls, complete CAIQ, determine shared responsibility, or establish STAR listing, certification, attestation, CSA endorsement or operating effectiveness.</w:t>
      </w:r>
    </w:p>
    <w:p>
      <w:pPr>
        <w:pStyle w:val="Heading1"/>
      </w:pPr>
      <w:r>
        <w:t>Primary Findings</w:t>
      </w:r>
    </w:p>
    <w:p>
      <w:r>
        <w:t>The strongest alignment occurs in governance and risk, data security and privacy, application security, logging and monitoring, incident management, supply-chain management and vulnerability management. Material gaps remain in provider-specific infrastructure, cloud configuration, inherited controls, contractual responsibilities, portability, physical datacenter assurance, CAIQ responses and STAR assessment processes.</w:t>
      </w:r>
    </w:p>
    <w:p>
      <w:pPr>
        <w:pStyle w:val="Heading1"/>
      </w:pPr>
      <w:r>
        <w:t>Publication Package</w:t>
      </w:r>
    </w:p>
    <w:p>
      <w:r>
        <w:t>The package contains the full crosswalk, XLSX register, GitHub Markdown edition, JSON dataset and this website summary. The publication remains a candidate pending independent cloud-security and CSA-framework review.</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4"/>
      </w:rPr>
      <w:t>ODA3 Institute | CRO-034 | GAISSF® v1.0 | Publication Candidate | © 2026 ODA3 Pvt Ltd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63A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63A5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