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63A5F"/>
          <w:sz w:val="32"/>
        </w:rPr>
        <w:t>ODA3 Institute</w:t>
      </w:r>
    </w:p>
    <w:p>
      <w:pPr>
        <w:jc w:val="center"/>
      </w:pPr>
      <w:r>
        <w:rPr>
          <w:b/>
          <w:sz w:val="44"/>
        </w:rPr>
        <w:t>GAISSF-HIPAA Mapping</w:t>
      </w:r>
    </w:p>
    <w:p>
      <w:pPr>
        <w:jc w:val="center"/>
      </w:pPr>
      <w:r>
        <w:rPr>
          <w:i/>
          <w:sz w:val="22"/>
        </w:rPr>
        <w:t>Crosswalk between GAISSF v1.0 and the HIPAA Rules</w:t>
      </w:r>
    </w:p>
    <w:p>
      <w:r>
        <w:t>Document ID: CRO-035 | Version 1.0 | Status: Publication Candidate | Publication date: 29 June 2026</w:t>
      </w:r>
    </w:p>
    <w:p>
      <w:pPr>
        <w:pStyle w:val="Heading1"/>
      </w:pPr>
      <w:r>
        <w:t>Executive Summary</w:t>
      </w:r>
    </w:p>
    <w:p>
      <w:r>
        <w:t>This crosswalk maps all 59 GAISSF controls to operationally material provisions of the HIPAA Privacy, Security, Breach Notification, and Enforcement Rules. It contains 163 forward mapping records and a reverse coverage register for 39 provisions.</w:t>
      </w:r>
    </w:p>
    <w:p>
      <w:r>
        <w:t>The mapping supports gap analysis and evidence reuse. It does not determine whether an organization is a covered entity or business associate, whether information is PHI or ePHI, whether a use or disclosure is permitted, or whether HIPAA compliance has been achieved.</w:t>
      </w:r>
    </w:p>
    <w:p>
      <w:pPr>
        <w:pStyle w:val="Heading1"/>
      </w:pPr>
      <w:r>
        <w:t>1. Source Baseline</w:t>
      </w:r>
    </w:p>
    <w:p>
      <w:pPr>
        <w:pStyle w:val="ListBullet"/>
      </w:pPr>
      <w:r>
        <w:t>GAISSF-NOR-001 v1.0 and GAISSF-NOR-004 v1.0, 59-control baseline.</w:t>
      </w:r>
    </w:p>
    <w:p>
      <w:pPr>
        <w:pStyle w:val="ListBullet"/>
      </w:pPr>
      <w:r>
        <w:t>45 CFR Parts 160 and 164, current enforceable HIPAA Rules verified 29 June 2026.</w:t>
      </w:r>
    </w:p>
    <w:p>
      <w:pPr>
        <w:pStyle w:val="ListBullet"/>
      </w:pPr>
      <w:r>
        <w:t>HHS OCR guidance is informative and subordinate to the regulations.</w:t>
      </w:r>
    </w:p>
    <w:p>
      <w:pPr>
        <w:pStyle w:val="ListBullet"/>
      </w:pPr>
      <w:r>
        <w:t>The proposed HIPAA Security Rule modernization is excluded from the normative mapping because it is not final.</w:t>
      </w:r>
    </w:p>
    <w:p>
      <w:pPr>
        <w:pStyle w:val="Heading1"/>
      </w:pPr>
      <w:r>
        <w:t>2. Methodology</w:t>
      </w:r>
    </w:p>
    <w:p>
      <w:r>
        <w:t>Mappings compare control outcomes, scope, evidence, responsible actors, and operating effect. Relationship codes are SP (strong partial), P (partial), S (supporting), C (contextual), N (no material mapping), O (outside scope), and U (unable to determine). No mapping is treated as legal equivalence.</w:t>
      </w:r>
    </w:p>
    <w:p>
      <w:pPr>
        <w:pStyle w:val="Heading1"/>
      </w:pPr>
      <w:r>
        <w:t>3. Rule-Level Coverage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045"/>
        <w:gridCol w:w="2045"/>
        <w:gridCol w:w="2045"/>
        <w:gridCol w:w="2045"/>
        <w:gridCol w:w="2045"/>
      </w:tblGrid>
      <w:tr>
        <w:tc>
          <w:tcPr>
            <w:tcW w:type="dxa" w:w="2045"/>
            <w:shd w:fill="163A5F"/>
            <w:vAlign w:val="top"/>
          </w:tcPr>
          <w:p>
            <w:r/>
            <w:r>
              <w:rPr>
                <w:b/>
                <w:color w:val="FFFFFF"/>
                <w:sz w:val="14"/>
              </w:rPr>
              <w:t>HIPAA provision</w:t>
            </w:r>
          </w:p>
        </w:tc>
        <w:tc>
          <w:tcPr>
            <w:tcW w:type="dxa" w:w="2045"/>
            <w:shd w:fill="163A5F"/>
            <w:vAlign w:val="top"/>
          </w:tcPr>
          <w:p>
            <w:r/>
            <w:r>
              <w:rPr>
                <w:b/>
                <w:color w:val="FFFFFF"/>
                <w:sz w:val="14"/>
              </w:rPr>
              <w:t>Title</w:t>
            </w:r>
          </w:p>
        </w:tc>
        <w:tc>
          <w:tcPr>
            <w:tcW w:type="dxa" w:w="2045"/>
            <w:shd w:fill="163A5F"/>
            <w:vAlign w:val="top"/>
          </w:tcPr>
          <w:p>
            <w:r/>
            <w:r>
              <w:rPr>
                <w:b/>
                <w:color w:val="FFFFFF"/>
                <w:sz w:val="14"/>
              </w:rPr>
              <w:t>Rule group</w:t>
            </w:r>
          </w:p>
        </w:tc>
        <w:tc>
          <w:tcPr>
            <w:tcW w:type="dxa" w:w="2045"/>
            <w:shd w:fill="163A5F"/>
            <w:vAlign w:val="top"/>
          </w:tcPr>
          <w:p>
            <w:r/>
            <w:r>
              <w:rPr>
                <w:b/>
                <w:color w:val="FFFFFF"/>
                <w:sz w:val="14"/>
              </w:rPr>
              <w:t>Mapped GAISSF controls</w:t>
            </w:r>
          </w:p>
        </w:tc>
        <w:tc>
          <w:tcPr>
            <w:tcW w:type="dxa" w:w="2045"/>
            <w:shd w:fill="163A5F"/>
            <w:vAlign w:val="top"/>
          </w:tcPr>
          <w:p>
            <w:r/>
            <w:r>
              <w:rPr>
                <w:b/>
                <w:color w:val="FFFFFF"/>
                <w:sz w:val="14"/>
              </w:rPr>
              <w:t>Coverage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160.103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Definitions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General Provisions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160.203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General rule and exceptions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Preemption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164.105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Organizational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General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standards: general rules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164.308(a)(1)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management process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24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164.308(a)(2)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Assigned security responsibility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7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164.308(a)(3)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Workforce security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164.308(a)(4)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Information access management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164.308(a)(5)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awareness and training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3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164.308(a)(6)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incident procedures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164.308(a)(7)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Contingency plan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164.308(a)(8)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Evaluation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3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164.308(b)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Business associate contracts and arrangements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8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164.310(a)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Facility access controls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Physical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7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164.310(b)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Workstation use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Physical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164.310(c)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Workstation security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Physical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164.310(d)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Device and media controls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Physical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164.312(a)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Access control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Technical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164.312(b)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Audit controls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Technical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2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164.312(c)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Integrity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Technical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164.312(d)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Person or entity authentication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Technical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164.312(e)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Transmission security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Technical Safeguards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Organizational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164.316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Policies, procedures and documentation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Security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164.502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Uses and disclosures of PHI: general rules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164.504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Organizational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164.506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Uses and disclosures for treatment, payment, operations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164.508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Uses and disclosures requiring authorization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164.514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Other requirements relating to uses and disclosures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164.520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Notice of privacy practices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164.522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Rights to request privacy protection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164.524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Access of individuals to PHI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164.526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Amendment of PHI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164.528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Accounting of disclosures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164.530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Administrative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13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164.532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Transition provisions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164.534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Compliance dates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Privacy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0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Not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164.400-414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Breach notification requirements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Breach Notification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4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  <w:tr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160.300-552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Compliance, investigations and penalties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Enforcement Rule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5</w:t>
            </w:r>
          </w:p>
        </w:tc>
        <w:tc>
          <w:tcPr>
            <w:tcW w:type="dxa" w:w="2045"/>
            <w:vAlign w:val="top"/>
          </w:tcPr>
          <w:p>
            <w:r/>
            <w:r>
              <w:rPr>
                <w:b w:val="0"/>
                <w:sz w:val="14"/>
              </w:rPr>
              <w:t>Partially Addressed</w:t>
            </w:r>
          </w:p>
        </w:tc>
      </w:tr>
    </w:tbl>
    <w:p>
      <w:pPr>
        <w:pStyle w:val="Heading1"/>
      </w:pPr>
      <w:r>
        <w:t>4. GAISSF-to-HIPAA Mapping Register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1461"/>
        <w:gridCol w:w="1461"/>
        <w:gridCol w:w="1461"/>
        <w:gridCol w:w="1461"/>
        <w:gridCol w:w="1461"/>
        <w:gridCol w:w="1461"/>
        <w:gridCol w:w="1461"/>
      </w:tblGrid>
      <w:tr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GAISSF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Control title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HIPAA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Provision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Rel.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Confidence</w:t>
            </w:r>
          </w:p>
        </w:tc>
        <w:tc>
          <w:tcPr>
            <w:tcW w:type="dxa" w:w="1461"/>
            <w:shd w:fill="163A5F"/>
            <w:vAlign w:val="top"/>
          </w:tcPr>
          <w:p>
            <w:r/>
            <w:r>
              <w:rPr>
                <w:b/>
                <w:color w:val="FFFFFF"/>
                <w:sz w:val="12"/>
              </w:rPr>
              <w:t>Rationale / residual gap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DATASET PROVENANCE &amp;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DATASET PROVENANCE &amp;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DATASET PROVENANCE &amp;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164.310(d)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Device and media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 supports the security, governance, privacy, resilience, or evidence objective represented by 164.310(d).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DATASET PROVENANCE &amp;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D1-CTL-01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EXTRACTION RESISTANCE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EXTRACTION RESISTANCE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EXTRACTION RESISTANCE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D1-CTL-02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BEHAVIORAL DRIFT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BEHAVIORAL DRIFT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BEHAVIORAL DRIFT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BEHAVIORAL DRIFT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D1-CTL-03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FEDERATED LEARNING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FEDERATED LEARNING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FEDERATED LEARNING POISONING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D1-CTL-04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EMBEDDING SPACE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EMBEDDING SPACE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EMBEDDING SPACE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D1-CTL-05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POST-QUANTUM MODEL SIGNING &amp; CRYPTO HARDENING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POST-QUANTUM MODEL SIGNING &amp; CRYPTO HARDENING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POST-QUANTUM MODEL SIGNING &amp; CRYPTO HARDENING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D1-CTL-06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LORA/ADAPTER INTEGRITY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LORA/ADAPTER INTEGRITY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LORA/ADAPTER INTEGRITY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D1-CTL-07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MERGE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MERGE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MERGE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MERGE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D1-CTL-08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QUANTIZATION BACKDOOR SCREENING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QUANTIZATION BACKDOOR SCREENING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QUANTIZATION BACKDOOR SCREENING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D1-CTL-09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DIRECT PROMPT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D2-CTL-01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DIRECT PROMPT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D2-CTL-01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INDIRECT PROMPT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D2-CTL-02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INDIRECT PROMPT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D2-CTL-02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JAILBREAK RESISTANCE TESTING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JAILBREAK RESISTANCE TESTING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164.308(a)(8)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Evaluation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 supports the security, governance, privacy, resilience, or evidence objective represented by 164.308(a)(8).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JAILBREAK RESISTANCE TESTING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D2-CTL-03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MULTI-MODAL INJECTION DEFENSE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D2-CTL-04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MULTI-MODAL INJECTION DEFENSE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D2-CTL-04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FUNCTION CALL/TOOL CALL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D2-CTL-05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FUNCTION CALL/TOOL CALL INJECTION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D2-CTL-05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CROSS-CONTEXT HIJACKING MITIGATION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Workstation use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D2-CTL-06 supports the security, governance, privacy, resilience, or evidence objective represented by 164.310(b).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CROSS-CONTEXT HIJACKING MITIGATION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D2-CTL-06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LEAST AGENCY ENFORCEMENT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D3-CTL-01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INTER-AGENT COMMUNICATION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D3-CTL-02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AGENTIC PROMPT CHAINING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D3-CTL-03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AGENTIC PROMPT CHAINING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D3-CTL-03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EMBODIED AI SAFETY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D3-CTL-04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MULTI-AGENT TRUST CHAIN ATTESTATION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164.308(a)(8)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Evaluation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D3-CTL-05 supports the security, governance, privacy, resilience, or evidence objective represented by 164.308(a)(8).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MULTI-AGENT TRUST CHAIN ATTESTATION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D3-CTL-05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PERSISTENT MEMORY EXFILTRATION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164.400-414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Breach notification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 supports the security, governance, privacy, resilience, or evidence objective represented by 164.400-414.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PERSISTENT MEMORY EXFILTRATION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164.312(e)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Transmission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 supports the security, governance, privacy, resilience, or evidence objective represented by 164.312(e).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PERSISTENT MEMORY EXFILTRATION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D3-CTL-06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SECURE MEMORY LIFECYCLE MANAGEMENT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D3-CTL-07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BILL OF MATERIALS (AI BOM) MAINTENANCE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D4-CTL-01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BILL OF MATERIALS (AI BOM) MAINTENANCE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D4-CTL-01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FILE &amp; ARTIFACT SCANNING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D4-CTL-02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FILE &amp; ARTIFACT SCANNING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D4-CTL-02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HUB &amp; REGISTRY VETTING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D4-CTL-03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HUB &amp; REGISTRY VETTING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D4-CTL-03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MCP SERVER BEHAVIORAL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MCP SERVER BEHAVIORAL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MCP SERVER BEHAVIORAL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 supports the security, governance, privacy, resilience, or evidence objective represented by 164.312(b).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MCP SERVER BEHAVIORAL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D4-CTL-04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API SECURITY ASSESSMENT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API SECURITY ASSESSMENT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API SECURITY ASSESSMENT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164.308(a)(8)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Evaluation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D4-CTL-05 supports the security, governance, privacy, resilience, or evidence objective represented by 164.308(a)(8).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SHADOW AI DISCOVERY &amp;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SHADOW AI DISCOVERY &amp;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SHADOW AI DISCOVERY &amp;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SHADOW AI DISCOVERY &amp;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D4-CTL-06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SOFTWARE COMPOSITION ANALYSIS (SCA)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D4-CTL-07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SOFTWARE COMPOSITION ANALYSIS (SCA)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D4-CTL-07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HARMFUL CONTENT BLOCKING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HARMFUL CONTENT BLOCKING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HARMFUL CONTENT BLOCKING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D5-CTL-01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PII LEAKAGE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PII LEAKAGE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PII LEAKAGE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PII LEAKAGE PREVENTION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164.514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Other requirements relating to uses and disclosures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D5-CTL-02 supports the security, governance, privacy, resilience, or evidence objective represented by 164.514.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COPYRIGHT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COPYRIGHT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COPYRIGHT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COPYRIGHT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D5-CTL-03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WATERMARKING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WATERMARKING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WATERMARKING ROBUSTNESS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D5-CTL-04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PRIVACY-BY-DESIGN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PRIVACY-BY-DESIGN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PRIVACY-BY-DESIGN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PRIVACY-BY-DESIGN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D5-CTL-05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PRIVACY-PRESERVING ML VALIDATION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Uses and disclosures of PHI: general rules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 supports the security, governance, privacy, resilience, or evidence objective represented by 164.502.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PRIVACY-PRESERVING ML VALIDATION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PRIVACY-PRESERVING ML VALIDATION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PRIVACY-PRESERVING ML VALIDATION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D5-CTL-06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HUMAN-IN-THE-LOOP FOR HIGH-RISK ACTIONS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HUMAN-IN-THE-LOOP FOR HIGH-RISK ACTIONS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HUMAN-IN-THE-LOOP FOR HIGH-RISK ACTIONS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HUMAN-IN-THE-LOOP FOR HIGH-RISK ACTIONS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D6-CTL-01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TRAIL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TRAIL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TRAIL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160.300-552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Compliance, investigations and penalties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 supports the security, governance, privacy, resilience, or evidence objective represented by 160.300-552.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TRAIL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D6-CTL-02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MODEL CARD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MODEL CARD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MODEL CARD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MODEL CARD COMPLETENESS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D6-CTL-03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INCIDENT RESPONSE READINESS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INCIDENT RESPONSE READINESS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INCIDENT RESPONSE READINESS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164.400-414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Breach notification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 supports the security, governance, privacy, resilience, or evidence objective represented by 164.400-414.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INCIDENT RESPONSE READINESS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D6-CTL-04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DEPRECATION &amp; DECOMMISSIONING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DEPRECATION &amp; DECOMMISSIONING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DEPRECATION &amp; DECOMMISSIONING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MODEL DEPRECATION &amp; DECOMMISSIONING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D6-CTL-05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VENDOR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Organizational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 supports the security, governance, privacy, resilience, or evidence objective represented by 164.504.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VENDOR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VENDOR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Business associate contracts and arrangements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 supports the security, governance, privacy, resilience, or evidence objective represented by 164.308(b).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THIRD-PARTY AI VENDOR GOVERNANCE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D6-CTL-06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RESILIENCE &amp; BUSINESS CONTINUITY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164.308(a)(2)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Assigned security responsibility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 supports the security, governance, privacy, resilience, or evidence objective represented by 164.308(a)(2).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RESILIENCE &amp; BUSINESS CONTINUITY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164.308(a)(7)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Contingency plan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 supports the security, governance, privacy, resilience, or evidence objective represented by 164.308(a)(7).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RESILIENCE &amp; BUSINESS CONTINUITY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RESILIENCE &amp; BUSINESS CONTINUITY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D6-CTL-07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AI-GENERATED PHISHING SIMULATION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164.308(a)(5)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awareness and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D7-CTL-H01 supports the security, governance, privacy, resilience, or evidence objective represented by 164.308(a)(5).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AI-GENERATED PHISHING SIMULATION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D7-CTL-H01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DEEPFAKE DETECTION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164.308(a)(5)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awareness and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 supports the security, governance, privacy, resilience, or evidence objective represented by 164.308(a)(5).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DEEPFAKE DETECTION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DEEPFAKE DETECTION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DEEPFAKE DETECTION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D7-CTL-H02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OUT-OF-BAND AUTHENTICATION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164.312(d)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Person or entity authentication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 supports the security, governance, privacy, resilience, or evidence objective represented by 164.312(d).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OUT-OF-BAND AUTHENTICATION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OUT-OF-BAND AUTHENTICATION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Access control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D7-CTL-H03 supports the security, governance, privacy, resilience, or evidence objective represented by 164.312(a).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SOCIAL ENGINEERING IR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164.308(a)(5)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awareness and training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D7-CTL-H04 supports the security, governance, privacy, resilience, or evidence objective represented by 164.308(a)(5).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 SOCIAL ENGINEERING IR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D7-CTL-H04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AI-ENHANCED EXTERNAL ATTACK DEFENSE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D7-CTL-H05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EU AI ACT RISK TIER MAPPING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EU AI ACT RISK TIER MAPPING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164.308(a)(1)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management process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 supports the security, governance, privacy, resilience, or evidence objective represented by 164.308(a)(1).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EU AI ACT RISK TIER MAPPING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160.300-552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Compliance, investigations and penalties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D8-CTL-01 supports the security, governance, privacy, resilience, or evidence objective represented by 160.300-552.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ISO 42001 GAP ANALYSIS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D8-CTL-02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ISO 42001 GAP ANALYSIS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160.300-552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Compliance, investigations and penalties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D8-CTL-02 supports the security, governance, privacy, resilience, or evidence objective represented by 160.300-552.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GPAI TECHNICAL DOCUMENTATION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D8-CTL-03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GPAI TECHNICAL DOCUMENTATION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160.300-552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Compliance, investigations and penalties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D8-CTL-03 supports the security, governance, privacy, resilience, or evidence objective represented by 160.300-552.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DORA ICT INCIDENT REPORTING (FINANCIAL SECTOR)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DORA ICT INCIDENT REPORTING (FINANCIAL SECTOR)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164.400-414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Breach notification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 supports the security, governance, privacy, resilience, or evidence objective represented by 164.400-414.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DORA ICT INCIDENT REPORTING (FINANCIAL SECTOR)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DORA ICT INCIDENT REPORTING (FINANCIAL SECTOR)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D8-CTL-04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NIST SP 800-218A COMPLIANCE CHECK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Policies, procedures and documentation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D8-CTL-05 supports the security, governance, privacy, resilience, or evidence objective represented by 164.316.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NIST SP 800-218A COMPLIANCE CHECK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160.300-552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Compliance, investigations and penalties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D8-CTL-05 supports the security, governance, privacy, resilience, or evidence objective represented by 160.300-552.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D9-CTL-01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HARM BOUNDARY ENFORCEMENT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D9-CTL-01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D9-CTL-02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SAFE STATE AND GRACEFUL DEGRADATION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D9-CTL-02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 OVERRIDE AND EMERGENCY STOP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D9-CTL-03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D9-CTL-03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HUMAN OVERRIDE AND EMERGENCY STOP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164.308(a)(3)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Workforce security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D9-CTL-03 supports the security, governance, privacy, resilience, or evidence objective represented by 164.308(a)(3).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CYBER-PHYSICAL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D9-CTL-04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CYBER-PHYSICAL ATTACK DETECTION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D9-CTL-04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ENVIRONMENT INTEGRITY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164.526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Amendment of PHI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 supports the security, governance, privacy, resilience, or evidence objective represented by 164.526.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ENVIRONMENT INTEGRITY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164.312(c)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Integrity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 supports the security, governance, privacy, resilience, or evidence objective represented by 164.312(c).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ENVIRONMENT INTEGRITY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164.312(b)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Audit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 supports the security, governance, privacy, resilience, or evidence objective represented by 164.312(b).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ENVIRONMENT INTEGRITY MONITORING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D9-CTL-05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D9-CTL-06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ACTUATOR COMMAND VERIFICATION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D9-CTL-06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INCIDENT EVIDENCE PRESERVATION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164.530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Administrative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 supports the security, governance, privacy, resilience, or evidence objective represented by 164.530.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INCIDENT EVIDENCE PRESERVATION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164.400-414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Breach notification requirements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 supports the security, governance, privacy, resilience, or evidence objective represented by 164.400-414.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INCIDENT EVIDENCE PRESERVATION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164.310(a)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Facility access controls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 supports the security, governance, privacy, resilience, or evidence objective represented by 164.310(a).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  <w:tr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PHYSICAL INCIDENT EVIDENCE PRESERVATION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164.308(a)(6)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Security incident procedures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SP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Medium-High</w:t>
            </w:r>
          </w:p>
        </w:tc>
        <w:tc>
          <w:tcPr>
            <w:tcW w:type="dxa" w:w="1461"/>
            <w:vAlign w:val="top"/>
          </w:tcPr>
          <w:p>
            <w:r/>
            <w:r>
              <w:rPr>
                <w:b w:val="0"/>
                <w:sz w:val="12"/>
              </w:rPr>
              <w:t>D9-CTL-07 supports the security, governance, privacy, resilience, or evidence objective represented by 164.308(a)(6). The relationship is functional, not legal equivalence. Entity status, PHI/ePHI scope, required-versus-addressable implementation specifications, reasonableness, documentation, and legal determinations remain HIPAA-specific.</w:t>
            </w:r>
          </w:p>
        </w:tc>
      </w:tr>
    </w:tbl>
    <w:p>
      <w:pPr>
        <w:pStyle w:val="Heading1"/>
      </w:pPr>
      <w:r>
        <w:t>5. Implementation Guidance</w:t>
      </w:r>
    </w:p>
    <w:p>
      <w:pPr>
        <w:pStyle w:val="ListBullet"/>
      </w:pPr>
      <w:r>
        <w:t>Confirm regulated-entity status and identify all PHI/ePHI flows before applying the mapping.</w:t>
      </w:r>
    </w:p>
    <w:p>
      <w:pPr>
        <w:pStyle w:val="ListBullet"/>
      </w:pPr>
      <w:r>
        <w:t>Treat required and addressable Security Rule implementation specifications according to the regulatory text and documented risk analysis.</w:t>
      </w:r>
    </w:p>
    <w:p>
      <w:pPr>
        <w:pStyle w:val="ListBullet"/>
      </w:pPr>
      <w:r>
        <w:t>Maintain HIPAA-specific policies, business associate agreements, privacy notices, rights workflows, breach assessments, and documentation.</w:t>
      </w:r>
    </w:p>
    <w:p>
      <w:pPr>
        <w:pStyle w:val="ListBullet"/>
      </w:pPr>
      <w:r>
        <w:t>Validate state-law, FTC, substance-use-disorder, genetic-information, and sector-specific obligations separately.</w:t>
      </w:r>
    </w:p>
    <w:p>
      <w:pPr>
        <w:pStyle w:val="Heading1"/>
      </w:pPr>
      <w:r>
        <w:t>6. Notably Absent</w:t>
      </w:r>
    </w:p>
    <w:p>
      <w:r>
        <w:t>No HHS endorsement; no HIPAA certification; no automatic safe harbor; no determination of covered-entity or business-associate status; no proof that all PHI uses and disclosures are lawful; no substitute for a Security Risk Analysis; no incorporation of the unfinalized proposed Security Rule.</w:t>
      </w:r>
    </w:p>
    <w:p>
      <w:pPr>
        <w:pStyle w:val="Heading1"/>
      </w:pPr>
      <w:r>
        <w:t>7. Limitations</w:t>
      </w:r>
    </w:p>
    <w:p>
      <w:pPr>
        <w:pStyle w:val="ListBullet"/>
      </w:pPr>
      <w:r>
        <w:t>Mapping does not establish HIPAA compliance.</w:t>
      </w:r>
    </w:p>
    <w:p>
      <w:pPr>
        <w:pStyle w:val="ListBullet"/>
      </w:pPr>
      <w:r>
        <w:t>Covered entity or business associate status is not determined.</w:t>
      </w:r>
    </w:p>
    <w:p>
      <w:pPr>
        <w:pStyle w:val="ListBullet"/>
      </w:pPr>
      <w:r>
        <w:t>PHI/ePHI scope and permitted uses/disclosures require legal analysis.</w:t>
      </w:r>
    </w:p>
    <w:p>
      <w:pPr>
        <w:pStyle w:val="ListBullet"/>
      </w:pPr>
      <w:r>
        <w:t>State health privacy laws may impose additional duties.</w:t>
      </w:r>
    </w:p>
    <w:p>
      <w:pPr>
        <w:pStyle w:val="ListBullet"/>
      </w:pPr>
      <w:r>
        <w:t>The proposed Security Rule modernization is not treated as binding.</w:t>
      </w:r>
    </w:p>
    <w:p>
      <w:r>
        <w:t>© 2026 ODA3 Pvt Ltd. Published by ODA3 Institute.</w:t>
      </w:r>
    </w:p>
    <w:sectPr w:rsidR="00FC693F" w:rsidRPr="0006063C" w:rsidSect="00034616">
      <w:pgSz w:w="12240" w:h="15840"/>
      <w:pgMar w:top="936" w:right="1008" w:bottom="936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