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63A5F"/>
          <w:sz w:val="32"/>
        </w:rPr>
        <w:t>ODA3 Institute</w:t>
      </w:r>
    </w:p>
    <w:p>
      <w:pPr>
        <w:jc w:val="center"/>
      </w:pPr>
      <w:r>
        <w:rPr>
          <w:b/>
          <w:sz w:val="44"/>
        </w:rPr>
        <w:t>GAISSF-HIPAA Mapping</w:t>
      </w:r>
    </w:p>
    <w:p>
      <w:pPr>
        <w:jc w:val="center"/>
      </w:pPr>
      <w:r>
        <w:rPr>
          <w:i/>
          <w:sz w:val="22"/>
        </w:rPr>
        <w:t>Website and executive summary</w:t>
      </w:r>
    </w:p>
    <w:p>
      <w:r>
        <w:t>Document ID: CRO-035 | Version 1.0 | Status: Publication Candidate | Publication date: 29 June 2026</w:t>
      </w:r>
    </w:p>
    <w:p>
      <w:pPr>
        <w:pStyle w:val="Heading1"/>
      </w:pPr>
      <w:r>
        <w:t>Overview</w:t>
      </w:r>
    </w:p>
    <w:p>
      <w:r>
        <w:t>CRO-035 provides a source-bounded crosswalk between GAISSF v1.0 and the current HIPAA Rules. It is designed for healthcare security, privacy, compliance, assurance, and AI-governance teams evaluating how AI-specific controls may support existing HIPAA programs.</w:t>
      </w:r>
    </w:p>
    <w:p>
      <w:pPr>
        <w:pStyle w:val="Heading1"/>
      </w:pPr>
      <w:r>
        <w:t>Package Coverage</w:t>
      </w:r>
    </w:p>
    <w:p>
      <w:pPr>
        <w:pStyle w:val="ListBullet"/>
      </w:pPr>
      <w:r>
        <w:t>59 GAISSF controls</w:t>
      </w:r>
    </w:p>
    <w:p>
      <w:pPr>
        <w:pStyle w:val="ListBullet"/>
      </w:pPr>
      <w:r>
        <w:t>39 operationally material HIPAA provisions</w:t>
      </w:r>
    </w:p>
    <w:p>
      <w:pPr>
        <w:pStyle w:val="ListBullet"/>
      </w:pPr>
      <w:r>
        <w:t>163 forward mapping records</w:t>
      </w:r>
    </w:p>
    <w:p>
      <w:pPr>
        <w:pStyle w:val="ListBullet"/>
      </w:pPr>
      <w:r>
        <w:t>Privacy, Security, Breach Notification, and Enforcement Rule coverage</w:t>
      </w:r>
    </w:p>
    <w:p>
      <w:pPr>
        <w:pStyle w:val="ListBullet"/>
      </w:pPr>
      <w:r>
        <w:t>Reverse coverage and residual-gap analysis</w:t>
      </w:r>
    </w:p>
    <w:p>
      <w:pPr>
        <w:pStyle w:val="Heading1"/>
      </w:pPr>
      <w:r>
        <w:t>How to Use It</w:t>
      </w:r>
    </w:p>
    <w:p>
      <w:r>
        <w:t>Use the register to identify reusable controls and evidence, then complete a HIPAA-specific applicability, risk, privacy, breach-notification, and documentation assessment. The crosswalk does not establish compliance or replace legal advice, OCR guidance, or independent assessment.</w:t>
      </w:r>
    </w:p>
    <w:p>
      <w:pPr>
        <w:pStyle w:val="Heading1"/>
      </w:pPr>
      <w:r>
        <w:t>Notably Absent</w:t>
      </w:r>
    </w:p>
    <w:p>
      <w:r>
        <w:t>The package does not claim HHS endorsement, HIPAA certification, lawful-basis determinations, permitted-use determinations, or automatic satisfaction of required or addressable implementation specifications. The proposed Security Rule modernization is not treated as binding.</w:t>
      </w:r>
    </w:p>
    <w:p>
      <w:r>
        <w:t>© 2026 ODA3 Pvt Ltd. Published by ODA3 Institute.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