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63A5F"/>
          <w:sz w:val="30"/>
        </w:rPr>
        <w:t>ODA3 Institute</w:t>
      </w:r>
    </w:p>
    <w:p>
      <w:pPr>
        <w:jc w:val="center"/>
      </w:pPr>
      <w:r>
        <w:rPr>
          <w:b/>
          <w:sz w:val="44"/>
        </w:rPr>
        <w:t>GAISSF® v1.0</w:t>
      </w:r>
    </w:p>
    <w:p>
      <w:pPr>
        <w:jc w:val="center"/>
      </w:pPr>
      <w:r>
        <w:rPr>
          <w:b/>
          <w:color w:val="163A5F"/>
          <w:sz w:val="56"/>
        </w:rPr>
        <w:t>FedRAMP Mapping</w:t>
      </w:r>
    </w:p>
    <w:p>
      <w:pPr>
        <w:jc w:val="center"/>
      </w:pPr>
      <w:r>
        <w:rPr>
          <w:i/>
          <w:sz w:val="24"/>
        </w:rPr>
        <w:t>Government Cloud Security and Assurance Alignment</w:t>
      </w:r>
    </w:p>
    <w:p/>
    <w:tbl>
      <w:tblPr>
        <w:tblStyle w:val="TableGrid"/>
        <w:tblW w:type="auto" w:w="0"/>
        <w:jc w:val="center"/>
        <w:tblLook w:firstColumn="1" w:firstRow="1" w:lastColumn="0" w:lastRow="0" w:noHBand="0" w:noVBand="1" w:val="04A0"/>
      </w:tblPr>
      <w:tblGrid>
        <w:gridCol w:w="5040"/>
        <w:gridCol w:w="5040"/>
      </w:tblGrid>
      <w:tr>
        <w:tc>
          <w:tcPr>
            <w:tcW w:type="dxa" w:w="5040"/>
            <w:shd w:fill="DCE6F1"/>
          </w:tcPr>
          <w:p>
            <w:r>
              <w:rPr>
                <w:b/>
              </w:rPr>
              <w:t>Document ID</w:t>
            </w:r>
          </w:p>
        </w:tc>
        <w:tc>
          <w:tcPr>
            <w:tcW w:type="dxa" w:w="5040"/>
          </w:tcPr>
          <w:p>
            <w:r>
              <w:t>CRO-036</w:t>
            </w:r>
          </w:p>
        </w:tc>
      </w:tr>
      <w:tr>
        <w:tc>
          <w:tcPr>
            <w:tcW w:type="dxa" w:w="5040"/>
            <w:shd w:fill="DCE6F1"/>
          </w:tcPr>
          <w:p>
            <w:r>
              <w:rPr>
                <w:b/>
              </w:rPr>
              <w:t>Version</w:t>
            </w:r>
          </w:p>
        </w:tc>
        <w:tc>
          <w:tcPr>
            <w:tcW w:type="dxa" w:w="5040"/>
          </w:tcPr>
          <w:p>
            <w:r>
              <w:t>1.0</w:t>
            </w:r>
          </w:p>
        </w:tc>
      </w:tr>
      <w:tr>
        <w:tc>
          <w:tcPr>
            <w:tcW w:type="dxa" w:w="5040"/>
            <w:shd w:fill="DCE6F1"/>
          </w:tcPr>
          <w:p>
            <w:r>
              <w:rPr>
                <w:b/>
              </w:rPr>
              <w:t>Status</w:t>
            </w:r>
          </w:p>
        </w:tc>
        <w:tc>
          <w:tcPr>
            <w:tcW w:type="dxa" w:w="5040"/>
          </w:tcPr>
          <w:p>
            <w:r>
              <w:t>Publication Candidate</w:t>
            </w:r>
          </w:p>
        </w:tc>
      </w:tr>
      <w:tr>
        <w:tc>
          <w:tcPr>
            <w:tcW w:type="dxa" w:w="5040"/>
            <w:shd w:fill="DCE6F1"/>
          </w:tcPr>
          <w:p>
            <w:r>
              <w:rPr>
                <w:b/>
              </w:rPr>
              <w:t>Classification</w:t>
            </w:r>
          </w:p>
        </w:tc>
        <w:tc>
          <w:tcPr>
            <w:tcW w:type="dxa" w:w="5040"/>
          </w:tcPr>
          <w:p>
            <w:r>
              <w:t>Crosswalk — Informative</w:t>
            </w:r>
          </w:p>
        </w:tc>
      </w:tr>
      <w:tr>
        <w:tc>
          <w:tcPr>
            <w:tcW w:type="dxa" w:w="5040"/>
            <w:shd w:fill="DCE6F1"/>
          </w:tcPr>
          <w:p>
            <w:r>
              <w:rPr>
                <w:b/>
              </w:rPr>
              <w:t>Publisher</w:t>
            </w:r>
          </w:p>
        </w:tc>
        <w:tc>
          <w:tcPr>
            <w:tcW w:type="dxa" w:w="5040"/>
          </w:tcPr>
          <w:p>
            <w:r>
              <w:t>ODA3 Institute</w:t>
            </w:r>
          </w:p>
        </w:tc>
      </w:tr>
      <w:tr>
        <w:tc>
          <w:tcPr>
            <w:tcW w:type="dxa" w:w="5040"/>
            <w:shd w:fill="DCE6F1"/>
          </w:tcPr>
          <w:p>
            <w:r>
              <w:rPr>
                <w:b/>
              </w:rPr>
              <w:t>Publication date</w:t>
            </w:r>
          </w:p>
        </w:tc>
        <w:tc>
          <w:tcPr>
            <w:tcW w:type="dxa" w:w="5040"/>
          </w:tcPr>
          <w:p>
            <w:r>
              <w:t>29 June 2026</w:t>
            </w:r>
          </w:p>
        </w:tc>
      </w:tr>
    </w:tbl>
    <w:p/>
    <w:p>
      <w:pPr>
        <w:jc w:val="center"/>
      </w:pPr>
      <w:r>
        <w:rPr>
          <w:b/>
          <w:color w:val="991B1B"/>
        </w:rPr>
        <w:t>This document does not create FedRAMP Certification, a Marketplace listing, or an agency Authorization to Operate.</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163A5F"/>
            <w:vAlign w:val="center"/>
          </w:tcPr>
          <w:p>
            <w:r>
              <w:rPr>
                <w:b/>
                <w:color w:val="FFFFFF"/>
                <w:sz w:val="16"/>
              </w:rPr>
              <w:t>Attribute</w:t>
            </w:r>
          </w:p>
        </w:tc>
        <w:tc>
          <w:tcPr>
            <w:tcW w:type="dxa" w:w="5040"/>
            <w:shd w:fill="163A5F"/>
            <w:vAlign w:val="center"/>
          </w:tcPr>
          <w:p>
            <w:r>
              <w:rPr>
                <w:b/>
                <w:color w:val="FFFFFF"/>
                <w:sz w:val="16"/>
              </w:rPr>
              <w:t>Controlled value</w:t>
            </w:r>
          </w:p>
        </w:tc>
      </w:tr>
      <w:tr>
        <w:tc>
          <w:tcPr>
            <w:tcW w:type="dxa" w:w="5040"/>
            <w:vAlign w:val="top"/>
          </w:tcPr>
          <w:p>
            <w:pPr>
              <w:spacing w:after="0"/>
            </w:pPr>
            <w:r>
              <w:rPr>
                <w:sz w:val="16"/>
              </w:rPr>
              <w:t>Purpose</w:t>
            </w:r>
          </w:p>
        </w:tc>
        <w:tc>
          <w:tcPr>
            <w:tcW w:type="dxa" w:w="5040"/>
            <w:vAlign w:val="top"/>
          </w:tcPr>
          <w:p>
            <w:pPr>
              <w:spacing w:after="0"/>
            </w:pPr>
            <w:r>
              <w:rPr>
                <w:sz w:val="16"/>
              </w:rPr>
              <w:t>Map GAISSF v1.0 controls to FedRAMP/NIST SP 800-53 Rev. 5 control families for planning and gap analysis.</w:t>
            </w:r>
          </w:p>
        </w:tc>
      </w:tr>
      <w:tr>
        <w:tc>
          <w:tcPr>
            <w:tcW w:type="dxa" w:w="5040"/>
            <w:vAlign w:val="top"/>
          </w:tcPr>
          <w:p>
            <w:pPr>
              <w:spacing w:after="0"/>
            </w:pPr>
            <w:r>
              <w:rPr>
                <w:sz w:val="16"/>
              </w:rPr>
              <w:t>Normative GAISSF sources</w:t>
            </w:r>
          </w:p>
        </w:tc>
        <w:tc>
          <w:tcPr>
            <w:tcW w:type="dxa" w:w="5040"/>
            <w:vAlign w:val="top"/>
          </w:tcPr>
          <w:p>
            <w:pPr>
              <w:spacing w:after="0"/>
            </w:pPr>
            <w:r>
              <w:rPr>
                <w:sz w:val="16"/>
              </w:rPr>
              <w:t>GAISSF-NOR-001 and GAISSF-NOR-004, version 1.0.</w:t>
            </w:r>
          </w:p>
        </w:tc>
      </w:tr>
      <w:tr>
        <w:tc>
          <w:tcPr>
            <w:tcW w:type="dxa" w:w="5040"/>
            <w:vAlign w:val="top"/>
          </w:tcPr>
          <w:p>
            <w:pPr>
              <w:spacing w:after="0"/>
            </w:pPr>
            <w:r>
              <w:rPr>
                <w:sz w:val="16"/>
              </w:rPr>
              <w:t>External baseline</w:t>
            </w:r>
          </w:p>
        </w:tc>
        <w:tc>
          <w:tcPr>
            <w:tcW w:type="dxa" w:w="5040"/>
            <w:vAlign w:val="top"/>
          </w:tcPr>
          <w:p>
            <w:pPr>
              <w:spacing w:after="0"/>
            </w:pPr>
            <w:r>
              <w:rPr>
                <w:sz w:val="16"/>
              </w:rPr>
              <w:t>FedRAMP Consolidated Rules for 2026; FedRAMP Rev5/Class D; FedRAMP 20x Classes A–C; NIST SP 800-53 Rev. 5.</w:t>
            </w:r>
          </w:p>
        </w:tc>
      </w:tr>
      <w:tr>
        <w:tc>
          <w:tcPr>
            <w:tcW w:type="dxa" w:w="5040"/>
            <w:vAlign w:val="top"/>
          </w:tcPr>
          <w:p>
            <w:pPr>
              <w:spacing w:after="0"/>
            </w:pPr>
            <w:r>
              <w:rPr>
                <w:sz w:val="16"/>
              </w:rPr>
              <w:t>Mapping granularity</w:t>
            </w:r>
          </w:p>
        </w:tc>
        <w:tc>
          <w:tcPr>
            <w:tcW w:type="dxa" w:w="5040"/>
            <w:vAlign w:val="top"/>
          </w:tcPr>
          <w:p>
            <w:pPr>
              <w:spacing w:after="0"/>
            </w:pPr>
            <w:r>
              <w:rPr>
                <w:sz w:val="16"/>
              </w:rPr>
              <w:t>Control-family level; not individual FedRAMP control or assessment-objective level.</w:t>
            </w:r>
          </w:p>
        </w:tc>
      </w:tr>
      <w:tr>
        <w:tc>
          <w:tcPr>
            <w:tcW w:type="dxa" w:w="5040"/>
            <w:vAlign w:val="top"/>
          </w:tcPr>
          <w:p>
            <w:pPr>
              <w:spacing w:after="0"/>
            </w:pPr>
            <w:r>
              <w:rPr>
                <w:sz w:val="16"/>
              </w:rPr>
              <w:t>Review trigger</w:t>
            </w:r>
          </w:p>
        </w:tc>
        <w:tc>
          <w:tcPr>
            <w:tcW w:type="dxa" w:w="5040"/>
            <w:vAlign w:val="top"/>
          </w:tcPr>
          <w:p>
            <w:pPr>
              <w:spacing w:after="0"/>
            </w:pPr>
            <w:r>
              <w:rPr>
                <w:sz w:val="16"/>
              </w:rPr>
              <w:t>Any change to GAISSF, FedRAMP rules, certification classes, Rev5 baselines, 20x requirements, NIST SP 800-53 or agency requirements.</w:t>
            </w:r>
          </w:p>
        </w:tc>
      </w:tr>
      <w:tr>
        <w:tc>
          <w:tcPr>
            <w:tcW w:type="dxa" w:w="5040"/>
            <w:vAlign w:val="top"/>
          </w:tcPr>
          <w:p>
            <w:pPr>
              <w:spacing w:after="0"/>
            </w:pPr>
            <w:r>
              <w:rPr>
                <w:sz w:val="16"/>
              </w:rPr>
              <w:t>Distribution</w:t>
            </w:r>
          </w:p>
        </w:tc>
        <w:tc>
          <w:tcPr>
            <w:tcW w:type="dxa" w:w="5040"/>
            <w:vAlign w:val="top"/>
          </w:tcPr>
          <w:p>
            <w:pPr>
              <w:spacing w:after="0"/>
            </w:pPr>
            <w:r>
              <w:rPr>
                <w:sz w:val="16"/>
              </w:rPr>
              <w:t>Public — Website and GitHub.</w:t>
            </w:r>
          </w:p>
        </w:tc>
      </w:tr>
    </w:tbl>
    <w:p>
      <w:pPr>
        <w:pStyle w:val="Heading1"/>
      </w:pPr>
      <w:r>
        <w:t>1. Executive Summary</w:t>
      </w:r>
    </w:p>
    <w:p>
      <w:r>
        <w:t>CRO-036 maps all 59 GAISSF v1.0 controls to the 20 NIST SP 800-53 Revision 5 control families used in the FedRAMP Rev5 security model. The register contains 258 forward relationships and a complete reverse family coverage view.</w:t>
      </w:r>
    </w:p>
    <w:p>
      <w:r>
        <w:t>The mapping supports preliminary federal-cloud readiness analysis, control ownership, evidence rationalization and identification of AI-specific security capabilities. It is not a FedRAMP assessment and cannot substitute for a defined cloud service offering boundary, applicable certification class, Security Decision Record, security package, independent assessment, continuous monitoring, agency risk acceptance or Marketplace action.</w:t>
      </w:r>
    </w:p>
    <w:p>
      <w:pPr>
        <w:pStyle w:val="Heading1"/>
      </w:pPr>
      <w:r>
        <w:t>2. Current FedRAMP Baseline</w:t>
      </w:r>
    </w:p>
    <w:p>
      <w:r>
        <w:t>As verified on 29 June 2026, FedRAMP operates under the Consolidated Rules for 2026, officially launched on 24 June 2026. The current program includes the traditional Rev5 path and the FedRAMP 20x pathway. Rev5 program and agency certifications are Class D and use NIST SP 800-53 Rev. 5 controls. FedRAMP 20x Classes A, B and C are available; a 20x Class D path remains planned.</w:t>
      </w:r>
    </w:p>
    <w:p>
      <w:r>
        <w:t>The crosswalk therefore treats the NIST/FedRAMP control families as the stable common organizing layer while preserving separate conclusions for Rev5 controls, FedRAMP-defined parameters, 20x security decisions and indicators, certification class, authorization path and agency-specific risk decisions.</w:t>
      </w:r>
    </w:p>
    <w:p>
      <w:pPr>
        <w:pStyle w:val="Heading1"/>
      </w:pPr>
      <w:r>
        <w:t>3. Purpose and Intended Use</w:t>
      </w:r>
    </w:p>
    <w:p>
      <w:pPr>
        <w:pStyle w:val="ListBullet"/>
      </w:pPr>
      <w:r>
        <w:t>Identify candidate overlap between AI security controls and federal cloud security outcome areas.</w:t>
      </w:r>
    </w:p>
    <w:p>
      <w:pPr>
        <w:pStyle w:val="ListBullet"/>
      </w:pPr>
      <w:r>
        <w:t>Support preliminary gap analysis before a formal FedRAMP readiness or certification engagement.</w:t>
      </w:r>
    </w:p>
    <w:p>
      <w:pPr>
        <w:pStyle w:val="ListBullet"/>
      </w:pPr>
      <w:r>
        <w:t>Structure evidence reuse while preserving cloud service boundary and shared-responsibility constraints.</w:t>
      </w:r>
    </w:p>
    <w:p>
      <w:pPr>
        <w:pStyle w:val="ListBullet"/>
      </w:pPr>
      <w:r>
        <w:t>Assist CISOs, cloud security architects, AI governance leads and compliance teams in assigning ownership.</w:t>
      </w:r>
    </w:p>
    <w:p>
      <w:r>
        <w:t>This document must not be used as proof of FedRAMP Certification, authorization, ATO, control implementation, assessment completion or agency acceptance.</w:t>
      </w:r>
    </w:p>
    <w:p>
      <w:pPr>
        <w:pStyle w:val="Heading1"/>
      </w:pPr>
      <w:r>
        <w:t>4. Scope and Exclusions</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163A5F"/>
            <w:vAlign w:val="center"/>
          </w:tcPr>
          <w:p>
            <w:r>
              <w:rPr>
                <w:b/>
                <w:color w:val="FFFFFF"/>
                <w:sz w:val="16"/>
              </w:rPr>
              <w:t>In scope</w:t>
            </w:r>
          </w:p>
        </w:tc>
        <w:tc>
          <w:tcPr>
            <w:tcW w:type="dxa" w:w="5040"/>
            <w:shd w:fill="163A5F"/>
            <w:vAlign w:val="center"/>
          </w:tcPr>
          <w:p>
            <w:r>
              <w:rPr>
                <w:b/>
                <w:color w:val="FFFFFF"/>
                <w:sz w:val="16"/>
              </w:rPr>
              <w:t>Out of scope</w:t>
            </w:r>
          </w:p>
        </w:tc>
      </w:tr>
      <w:tr>
        <w:tc>
          <w:tcPr>
            <w:tcW w:type="dxa" w:w="5040"/>
            <w:vAlign w:val="top"/>
          </w:tcPr>
          <w:p>
            <w:pPr>
              <w:spacing w:after="0"/>
            </w:pPr>
            <w:r>
              <w:rPr>
                <w:sz w:val="16"/>
              </w:rPr>
              <w:t>GAISSF v1.0 — 59 authoritative controls</w:t>
            </w:r>
          </w:p>
        </w:tc>
        <w:tc>
          <w:tcPr>
            <w:tcW w:type="dxa" w:w="5040"/>
            <w:vAlign w:val="top"/>
          </w:tcPr>
          <w:p>
            <w:pPr>
              <w:spacing w:after="0"/>
            </w:pPr>
            <w:r>
              <w:rPr>
                <w:sz w:val="16"/>
              </w:rPr>
              <w:t>Individual Rev5 control and enhancement determinations</w:t>
            </w:r>
          </w:p>
        </w:tc>
      </w:tr>
      <w:tr>
        <w:tc>
          <w:tcPr>
            <w:tcW w:type="dxa" w:w="5040"/>
            <w:vAlign w:val="top"/>
          </w:tcPr>
          <w:p>
            <w:pPr>
              <w:spacing w:after="0"/>
            </w:pPr>
            <w:r>
              <w:rPr>
                <w:sz w:val="16"/>
              </w:rPr>
              <w:t>Twenty NIST SP 800-53 Rev. 5 control families</w:t>
            </w:r>
          </w:p>
        </w:tc>
        <w:tc>
          <w:tcPr>
            <w:tcW w:type="dxa" w:w="5040"/>
            <w:vAlign w:val="top"/>
          </w:tcPr>
          <w:p>
            <w:pPr>
              <w:spacing w:after="0"/>
            </w:pPr>
            <w:r>
              <w:rPr>
                <w:sz w:val="16"/>
              </w:rPr>
              <w:t>FedRAMP-defined parameters and control-specific guidance</w:t>
            </w:r>
          </w:p>
        </w:tc>
      </w:tr>
      <w:tr>
        <w:tc>
          <w:tcPr>
            <w:tcW w:type="dxa" w:w="5040"/>
            <w:vAlign w:val="top"/>
          </w:tcPr>
          <w:p>
            <w:pPr>
              <w:spacing w:after="0"/>
            </w:pPr>
            <w:r>
              <w:rPr>
                <w:sz w:val="16"/>
              </w:rPr>
              <w:t>Family-level forward and reverse mapping</w:t>
            </w:r>
          </w:p>
        </w:tc>
        <w:tc>
          <w:tcPr>
            <w:tcW w:type="dxa" w:w="5040"/>
            <w:vAlign w:val="top"/>
          </w:tcPr>
          <w:p>
            <w:pPr>
              <w:spacing w:after="0"/>
            </w:pPr>
            <w:r>
              <w:rPr>
                <w:sz w:val="16"/>
              </w:rPr>
              <w:t>FedRAMP 20x KSI implementation and automated validation</w:t>
            </w:r>
          </w:p>
        </w:tc>
      </w:tr>
      <w:tr>
        <w:tc>
          <w:tcPr>
            <w:tcW w:type="dxa" w:w="5040"/>
            <w:vAlign w:val="top"/>
          </w:tcPr>
          <w:p>
            <w:pPr>
              <w:spacing w:after="0"/>
            </w:pPr>
            <w:r>
              <w:rPr>
                <w:sz w:val="16"/>
              </w:rPr>
              <w:t>Current Rev5 and 20x pathway context</w:t>
            </w:r>
          </w:p>
        </w:tc>
        <w:tc>
          <w:tcPr>
            <w:tcW w:type="dxa" w:w="5040"/>
            <w:vAlign w:val="top"/>
          </w:tcPr>
          <w:p>
            <w:pPr>
              <w:spacing w:after="0"/>
            </w:pPr>
            <w:r>
              <w:rPr>
                <w:sz w:val="16"/>
              </w:rPr>
              <w:t>SSP, SAP, SAR, POA&amp;M, Security Decision Record or ConMon completion</w:t>
            </w:r>
          </w:p>
        </w:tc>
      </w:tr>
      <w:tr>
        <w:tc>
          <w:tcPr>
            <w:tcW w:type="dxa" w:w="5040"/>
            <w:vAlign w:val="top"/>
          </w:tcPr>
          <w:p>
            <w:pPr>
              <w:spacing w:after="0"/>
            </w:pPr>
            <w:r>
              <w:rPr>
                <w:sz w:val="16"/>
              </w:rPr>
              <w:t>Evidence and residual-gap guidance</w:t>
            </w:r>
          </w:p>
        </w:tc>
        <w:tc>
          <w:tcPr>
            <w:tcW w:type="dxa" w:w="5040"/>
            <w:vAlign w:val="top"/>
          </w:tcPr>
          <w:p>
            <w:pPr>
              <w:spacing w:after="0"/>
            </w:pPr>
            <w:r>
              <w:rPr>
                <w:sz w:val="16"/>
              </w:rPr>
              <w:t>3PAO/FedRAMP Recognized assessment, FedRAMP Certification, Marketplace listing or agency ATO</w:t>
            </w:r>
          </w:p>
        </w:tc>
      </w:tr>
    </w:tbl>
    <w:p>
      <w:pPr>
        <w:pStyle w:val="Heading1"/>
      </w:pPr>
      <w:r>
        <w:t>5. Source Register</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rPr>
        <w:tc>
          <w:tcPr>
            <w:tcW w:type="dxa" w:w="2520"/>
            <w:shd w:fill="163A5F"/>
            <w:vAlign w:val="center"/>
          </w:tcPr>
          <w:p>
            <w:r>
              <w:rPr>
                <w:b/>
                <w:color w:val="FFFFFF"/>
                <w:sz w:val="16"/>
              </w:rPr>
              <w:t>Source</w:t>
            </w:r>
          </w:p>
        </w:tc>
        <w:tc>
          <w:tcPr>
            <w:tcW w:type="dxa" w:w="2520"/>
            <w:shd w:fill="163A5F"/>
            <w:vAlign w:val="center"/>
          </w:tcPr>
          <w:p>
            <w:r>
              <w:rPr>
                <w:b/>
                <w:color w:val="FFFFFF"/>
                <w:sz w:val="16"/>
              </w:rPr>
              <w:t>Role</w:t>
            </w:r>
          </w:p>
        </w:tc>
        <w:tc>
          <w:tcPr>
            <w:tcW w:type="dxa" w:w="2520"/>
            <w:shd w:fill="163A5F"/>
            <w:vAlign w:val="center"/>
          </w:tcPr>
          <w:p>
            <w:r>
              <w:rPr>
                <w:b/>
                <w:color w:val="FFFFFF"/>
                <w:sz w:val="16"/>
              </w:rPr>
              <w:t>Status</w:t>
            </w:r>
          </w:p>
        </w:tc>
        <w:tc>
          <w:tcPr>
            <w:tcW w:type="dxa" w:w="2520"/>
            <w:shd w:fill="163A5F"/>
            <w:vAlign w:val="center"/>
          </w:tcPr>
          <w:p>
            <w:r>
              <w:rPr>
                <w:b/>
                <w:color w:val="FFFFFF"/>
                <w:sz w:val="16"/>
              </w:rPr>
              <w:t>Verified</w:t>
            </w:r>
          </w:p>
        </w:tc>
      </w:tr>
      <w:tr>
        <w:tc>
          <w:tcPr>
            <w:tcW w:type="dxa" w:w="2520"/>
            <w:vAlign w:val="top"/>
          </w:tcPr>
          <w:p>
            <w:pPr>
              <w:spacing w:after="0"/>
            </w:pPr>
            <w:r>
              <w:rPr>
                <w:sz w:val="16"/>
              </w:rPr>
              <w:t>GAISSF-NOR-001 v1.0</w:t>
            </w:r>
          </w:p>
        </w:tc>
        <w:tc>
          <w:tcPr>
            <w:tcW w:type="dxa" w:w="2520"/>
            <w:vAlign w:val="top"/>
          </w:tcPr>
          <w:p>
            <w:pPr>
              <w:spacing w:after="0"/>
            </w:pPr>
            <w:r>
              <w:rPr>
                <w:sz w:val="16"/>
              </w:rPr>
              <w:t>Framework and conformance baseline</w:t>
            </w:r>
          </w:p>
        </w:tc>
        <w:tc>
          <w:tcPr>
            <w:tcW w:type="dxa" w:w="2520"/>
            <w:vAlign w:val="top"/>
          </w:tcPr>
          <w:p>
            <w:pPr>
              <w:spacing w:after="0"/>
            </w:pPr>
            <w:r>
              <w:rPr>
                <w:sz w:val="16"/>
              </w:rPr>
              <w:t>Normative GAISSF</w:t>
            </w:r>
          </w:p>
        </w:tc>
        <w:tc>
          <w:tcPr>
            <w:tcW w:type="dxa" w:w="2520"/>
            <w:vAlign w:val="top"/>
          </w:tcPr>
          <w:p>
            <w:pPr>
              <w:spacing w:after="0"/>
            </w:pPr>
            <w:r>
              <w:rPr>
                <w:sz w:val="16"/>
              </w:rPr>
              <w:t>29 Jun 2026</w:t>
            </w:r>
          </w:p>
        </w:tc>
      </w:tr>
      <w:tr>
        <w:tc>
          <w:tcPr>
            <w:tcW w:type="dxa" w:w="2520"/>
            <w:vAlign w:val="top"/>
          </w:tcPr>
          <w:p>
            <w:pPr>
              <w:spacing w:after="0"/>
            </w:pPr>
            <w:r>
              <w:rPr>
                <w:sz w:val="16"/>
              </w:rPr>
              <w:t>GAISSF-NOR-004 v1.0</w:t>
            </w:r>
          </w:p>
        </w:tc>
        <w:tc>
          <w:tcPr>
            <w:tcW w:type="dxa" w:w="2520"/>
            <w:vAlign w:val="top"/>
          </w:tcPr>
          <w:p>
            <w:pPr>
              <w:spacing w:after="0"/>
            </w:pPr>
            <w:r>
              <w:rPr>
                <w:sz w:val="16"/>
              </w:rPr>
              <w:t>Authoritative 59-control catalogue</w:t>
            </w:r>
          </w:p>
        </w:tc>
        <w:tc>
          <w:tcPr>
            <w:tcW w:type="dxa" w:w="2520"/>
            <w:vAlign w:val="top"/>
          </w:tcPr>
          <w:p>
            <w:pPr>
              <w:spacing w:after="0"/>
            </w:pPr>
            <w:r>
              <w:rPr>
                <w:sz w:val="16"/>
              </w:rPr>
              <w:t>Normative GAISSF</w:t>
            </w:r>
          </w:p>
        </w:tc>
        <w:tc>
          <w:tcPr>
            <w:tcW w:type="dxa" w:w="2520"/>
            <w:vAlign w:val="top"/>
          </w:tcPr>
          <w:p>
            <w:pPr>
              <w:spacing w:after="0"/>
            </w:pPr>
            <w:r>
              <w:rPr>
                <w:sz w:val="16"/>
              </w:rPr>
              <w:t>29 Jun 2026</w:t>
            </w:r>
          </w:p>
        </w:tc>
      </w:tr>
      <w:tr>
        <w:tc>
          <w:tcPr>
            <w:tcW w:type="dxa" w:w="2520"/>
            <w:vAlign w:val="top"/>
          </w:tcPr>
          <w:p>
            <w:pPr>
              <w:spacing w:after="0"/>
            </w:pPr>
            <w:r>
              <w:rPr>
                <w:sz w:val="16"/>
              </w:rPr>
              <w:t>FedRAMP Consolidated Rules for 2026</w:t>
            </w:r>
          </w:p>
        </w:tc>
        <w:tc>
          <w:tcPr>
            <w:tcW w:type="dxa" w:w="2520"/>
            <w:vAlign w:val="top"/>
          </w:tcPr>
          <w:p>
            <w:pPr>
              <w:spacing w:after="0"/>
            </w:pPr>
            <w:r>
              <w:rPr>
                <w:sz w:val="16"/>
              </w:rPr>
              <w:t>Current program rules and terminology</w:t>
            </w:r>
          </w:p>
        </w:tc>
        <w:tc>
          <w:tcPr>
            <w:tcW w:type="dxa" w:w="2520"/>
            <w:vAlign w:val="top"/>
          </w:tcPr>
          <w:p>
            <w:pPr>
              <w:spacing w:after="0"/>
            </w:pPr>
            <w:r>
              <w:rPr>
                <w:sz w:val="16"/>
              </w:rPr>
              <w:t>Official FedRAMP</w:t>
            </w:r>
          </w:p>
        </w:tc>
        <w:tc>
          <w:tcPr>
            <w:tcW w:type="dxa" w:w="2520"/>
            <w:vAlign w:val="top"/>
          </w:tcPr>
          <w:p>
            <w:pPr>
              <w:spacing w:after="0"/>
            </w:pPr>
            <w:r>
              <w:rPr>
                <w:sz w:val="16"/>
              </w:rPr>
              <w:t>29 Jun 2026</w:t>
            </w:r>
          </w:p>
        </w:tc>
      </w:tr>
      <w:tr>
        <w:tc>
          <w:tcPr>
            <w:tcW w:type="dxa" w:w="2520"/>
            <w:vAlign w:val="top"/>
          </w:tcPr>
          <w:p>
            <w:pPr>
              <w:spacing w:after="0"/>
            </w:pPr>
            <w:r>
              <w:rPr>
                <w:sz w:val="16"/>
              </w:rPr>
              <w:t>NIST SP 800-53 Revision 5</w:t>
            </w:r>
          </w:p>
        </w:tc>
        <w:tc>
          <w:tcPr>
            <w:tcW w:type="dxa" w:w="2520"/>
            <w:vAlign w:val="top"/>
          </w:tcPr>
          <w:p>
            <w:pPr>
              <w:spacing w:after="0"/>
            </w:pPr>
            <w:r>
              <w:rPr>
                <w:sz w:val="16"/>
              </w:rPr>
              <w:t>Rev5 control-family and control baseline</w:t>
            </w:r>
          </w:p>
        </w:tc>
        <w:tc>
          <w:tcPr>
            <w:tcW w:type="dxa" w:w="2520"/>
            <w:vAlign w:val="top"/>
          </w:tcPr>
          <w:p>
            <w:pPr>
              <w:spacing w:after="0"/>
            </w:pPr>
            <w:r>
              <w:rPr>
                <w:sz w:val="16"/>
              </w:rPr>
              <w:t>Official NIST</w:t>
            </w:r>
          </w:p>
        </w:tc>
        <w:tc>
          <w:tcPr>
            <w:tcW w:type="dxa" w:w="2520"/>
            <w:vAlign w:val="top"/>
          </w:tcPr>
          <w:p>
            <w:pPr>
              <w:spacing w:after="0"/>
            </w:pPr>
            <w:r>
              <w:rPr>
                <w:sz w:val="16"/>
              </w:rPr>
              <w:t>29 Jun 2026</w:t>
            </w:r>
          </w:p>
        </w:tc>
      </w:tr>
      <w:tr>
        <w:tc>
          <w:tcPr>
            <w:tcW w:type="dxa" w:w="2520"/>
            <w:vAlign w:val="top"/>
          </w:tcPr>
          <w:p>
            <w:pPr>
              <w:spacing w:after="0"/>
            </w:pPr>
            <w:r>
              <w:rPr>
                <w:sz w:val="16"/>
              </w:rPr>
              <w:t>OMB Memorandum M-24-15</w:t>
            </w:r>
          </w:p>
        </w:tc>
        <w:tc>
          <w:tcPr>
            <w:tcW w:type="dxa" w:w="2520"/>
            <w:vAlign w:val="top"/>
          </w:tcPr>
          <w:p>
            <w:pPr>
              <w:spacing w:after="0"/>
            </w:pPr>
            <w:r>
              <w:rPr>
                <w:sz w:val="16"/>
              </w:rPr>
              <w:t>Authorization policy and responsibilities</w:t>
            </w:r>
          </w:p>
        </w:tc>
        <w:tc>
          <w:tcPr>
            <w:tcW w:type="dxa" w:w="2520"/>
            <w:vAlign w:val="top"/>
          </w:tcPr>
          <w:p>
            <w:pPr>
              <w:spacing w:after="0"/>
            </w:pPr>
            <w:r>
              <w:rPr>
                <w:sz w:val="16"/>
              </w:rPr>
              <w:t>Binding federal policy</w:t>
            </w:r>
          </w:p>
        </w:tc>
        <w:tc>
          <w:tcPr>
            <w:tcW w:type="dxa" w:w="2520"/>
            <w:vAlign w:val="top"/>
          </w:tcPr>
          <w:p>
            <w:pPr>
              <w:spacing w:after="0"/>
            </w:pPr>
            <w:r>
              <w:rPr>
                <w:sz w:val="16"/>
              </w:rPr>
              <w:t>29 Jun 2026</w:t>
            </w:r>
          </w:p>
        </w:tc>
      </w:tr>
      <w:tr>
        <w:tc>
          <w:tcPr>
            <w:tcW w:type="dxa" w:w="2520"/>
            <w:vAlign w:val="top"/>
          </w:tcPr>
          <w:p>
            <w:pPr>
              <w:spacing w:after="0"/>
            </w:pPr>
            <w:r>
              <w:rPr>
                <w:sz w:val="16"/>
              </w:rPr>
              <w:t>FedRAMP 20x documentation</w:t>
            </w:r>
          </w:p>
        </w:tc>
        <w:tc>
          <w:tcPr>
            <w:tcW w:type="dxa" w:w="2520"/>
            <w:vAlign w:val="top"/>
          </w:tcPr>
          <w:p>
            <w:pPr>
              <w:spacing w:after="0"/>
            </w:pPr>
            <w:r>
              <w:rPr>
                <w:sz w:val="16"/>
              </w:rPr>
              <w:t>Current classes and phased implementation</w:t>
            </w:r>
          </w:p>
        </w:tc>
        <w:tc>
          <w:tcPr>
            <w:tcW w:type="dxa" w:w="2520"/>
            <w:vAlign w:val="top"/>
          </w:tcPr>
          <w:p>
            <w:pPr>
              <w:spacing w:after="0"/>
            </w:pPr>
            <w:r>
              <w:rPr>
                <w:sz w:val="16"/>
              </w:rPr>
              <w:t>Official FedRAMP</w:t>
            </w:r>
          </w:p>
        </w:tc>
        <w:tc>
          <w:tcPr>
            <w:tcW w:type="dxa" w:w="2520"/>
            <w:vAlign w:val="top"/>
          </w:tcPr>
          <w:p>
            <w:pPr>
              <w:spacing w:after="0"/>
            </w:pPr>
            <w:r>
              <w:rPr>
                <w:sz w:val="16"/>
              </w:rPr>
              <w:t>29 Jun 2026</w:t>
            </w:r>
          </w:p>
        </w:tc>
      </w:tr>
    </w:tbl>
    <w:p>
      <w:pPr>
        <w:pStyle w:val="Heading1"/>
      </w:pPr>
      <w:r>
        <w:t>6. Mapping Methodology</w:t>
      </w:r>
    </w:p>
    <w:p>
      <w:r>
        <w:t>Mappings compare intended security outcome, lifecycle relevance, cloud implementation context, evidence expectations and shared-responsibility implications. A relationship is assigned only where a substantive operational connection exists. Similar terminology alone is insufficient.</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5040"/>
            <w:shd w:fill="163A5F"/>
            <w:vAlign w:val="center"/>
          </w:tcPr>
          <w:p>
            <w:r>
              <w:rPr>
                <w:b/>
                <w:color w:val="FFFFFF"/>
                <w:sz w:val="16"/>
              </w:rPr>
              <w:t>Code</w:t>
            </w:r>
          </w:p>
        </w:tc>
        <w:tc>
          <w:tcPr>
            <w:tcW w:type="dxa" w:w="5040"/>
            <w:shd w:fill="163A5F"/>
            <w:vAlign w:val="center"/>
          </w:tcPr>
          <w:p>
            <w:r>
              <w:rPr>
                <w:b/>
                <w:color w:val="FFFFFF"/>
                <w:sz w:val="16"/>
              </w:rPr>
              <w:t>Meaning</w:t>
            </w:r>
          </w:p>
        </w:tc>
      </w:tr>
      <w:tr>
        <w:tc>
          <w:tcPr>
            <w:tcW w:type="dxa" w:w="5040"/>
            <w:vAlign w:val="top"/>
          </w:tcPr>
          <w:p>
            <w:pPr>
              <w:spacing w:after="0"/>
            </w:pPr>
            <w:r>
              <w:rPr>
                <w:sz w:val="16"/>
              </w:rPr>
              <w:t>SP</w:t>
            </w:r>
          </w:p>
        </w:tc>
        <w:tc>
          <w:tcPr>
            <w:tcW w:type="dxa" w:w="5040"/>
            <w:vAlign w:val="top"/>
          </w:tcPr>
          <w:p>
            <w:pPr>
              <w:spacing w:after="0"/>
            </w:pPr>
            <w:r>
              <w:rPr>
                <w:sz w:val="16"/>
              </w:rPr>
              <w:t>Strong partial: the GAISSF control materially supports the family outcome but leaves FedRAMP-specific requirements.</w:t>
            </w:r>
          </w:p>
        </w:tc>
      </w:tr>
      <w:tr>
        <w:tc>
          <w:tcPr>
            <w:tcW w:type="dxa" w:w="5040"/>
            <w:vAlign w:val="top"/>
          </w:tcPr>
          <w:p>
            <w:pPr>
              <w:spacing w:after="0"/>
            </w:pPr>
            <w:r>
              <w:rPr>
                <w:sz w:val="16"/>
              </w:rPr>
              <w:t>P</w:t>
            </w:r>
          </w:p>
        </w:tc>
        <w:tc>
          <w:tcPr>
            <w:tcW w:type="dxa" w:w="5040"/>
            <w:vAlign w:val="top"/>
          </w:tcPr>
          <w:p>
            <w:pPr>
              <w:spacing w:after="0"/>
            </w:pPr>
            <w:r>
              <w:rPr>
                <w:sz w:val="16"/>
              </w:rPr>
              <w:t>Partial: meaningful overlap exists but the GAISSF control addresses only part of the family scope.</w:t>
            </w:r>
          </w:p>
        </w:tc>
      </w:tr>
      <w:tr>
        <w:tc>
          <w:tcPr>
            <w:tcW w:type="dxa" w:w="5040"/>
            <w:vAlign w:val="top"/>
          </w:tcPr>
          <w:p>
            <w:pPr>
              <w:spacing w:after="0"/>
            </w:pPr>
            <w:r>
              <w:rPr>
                <w:sz w:val="16"/>
              </w:rPr>
              <w:t>S</w:t>
            </w:r>
          </w:p>
        </w:tc>
        <w:tc>
          <w:tcPr>
            <w:tcW w:type="dxa" w:w="5040"/>
            <w:vAlign w:val="top"/>
          </w:tcPr>
          <w:p>
            <w:pPr>
              <w:spacing w:after="0"/>
            </w:pPr>
            <w:r>
              <w:rPr>
                <w:sz w:val="16"/>
              </w:rPr>
              <w:t>Supporting: the control contributes evidence or capability without directly satisfying the family outcome.</w:t>
            </w:r>
          </w:p>
        </w:tc>
      </w:tr>
      <w:tr>
        <w:tc>
          <w:tcPr>
            <w:tcW w:type="dxa" w:w="5040"/>
            <w:vAlign w:val="top"/>
          </w:tcPr>
          <w:p>
            <w:pPr>
              <w:spacing w:after="0"/>
            </w:pPr>
            <w:r>
              <w:rPr>
                <w:sz w:val="16"/>
              </w:rPr>
              <w:t>N/O/U</w:t>
            </w:r>
          </w:p>
        </w:tc>
        <w:tc>
          <w:tcPr>
            <w:tcW w:type="dxa" w:w="5040"/>
            <w:vAlign w:val="top"/>
          </w:tcPr>
          <w:p>
            <w:pPr>
              <w:spacing w:after="0"/>
            </w:pPr>
            <w:r>
              <w:rPr>
                <w:sz w:val="16"/>
              </w:rPr>
              <w:t>No material mapping, outside scope or unable to determine.</w:t>
            </w:r>
          </w:p>
        </w:tc>
      </w:tr>
    </w:tbl>
    <w:p>
      <w:pPr>
        <w:pStyle w:val="Heading1"/>
      </w:pPr>
      <w:r>
        <w:t>7. Coverage Summary by Control Family</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2016"/>
            <w:shd w:fill="163A5F"/>
            <w:vAlign w:val="center"/>
          </w:tcPr>
          <w:p>
            <w:r>
              <w:rPr>
                <w:b/>
                <w:color w:val="FFFFFF"/>
                <w:sz w:val="16"/>
              </w:rPr>
              <w:t>Family</w:t>
            </w:r>
          </w:p>
        </w:tc>
        <w:tc>
          <w:tcPr>
            <w:tcW w:type="dxa" w:w="2016"/>
            <w:shd w:fill="163A5F"/>
            <w:vAlign w:val="center"/>
          </w:tcPr>
          <w:p>
            <w:r>
              <w:rPr>
                <w:b/>
                <w:color w:val="FFFFFF"/>
                <w:sz w:val="16"/>
              </w:rPr>
              <w:t>Title</w:t>
            </w:r>
          </w:p>
        </w:tc>
        <w:tc>
          <w:tcPr>
            <w:tcW w:type="dxa" w:w="2016"/>
            <w:shd w:fill="163A5F"/>
            <w:vAlign w:val="center"/>
          </w:tcPr>
          <w:p>
            <w:r>
              <w:rPr>
                <w:b/>
                <w:color w:val="FFFFFF"/>
                <w:sz w:val="16"/>
              </w:rPr>
              <w:t>GAISSF controls</w:t>
            </w:r>
          </w:p>
        </w:tc>
        <w:tc>
          <w:tcPr>
            <w:tcW w:type="dxa" w:w="2016"/>
            <w:shd w:fill="163A5F"/>
            <w:vAlign w:val="center"/>
          </w:tcPr>
          <w:p>
            <w:r>
              <w:rPr>
                <w:b/>
                <w:color w:val="FFFFFF"/>
                <w:sz w:val="16"/>
              </w:rPr>
              <w:t>Records</w:t>
            </w:r>
          </w:p>
        </w:tc>
        <w:tc>
          <w:tcPr>
            <w:tcW w:type="dxa" w:w="2016"/>
            <w:shd w:fill="163A5F"/>
            <w:vAlign w:val="center"/>
          </w:tcPr>
          <w:p>
            <w:r>
              <w:rPr>
                <w:b/>
                <w:color w:val="FFFFFF"/>
                <w:sz w:val="16"/>
              </w:rPr>
              <w:t>Coverage status</w:t>
            </w:r>
          </w:p>
        </w:tc>
      </w:tr>
      <w:tr>
        <w:tc>
          <w:tcPr>
            <w:tcW w:type="dxa" w:w="2016"/>
            <w:vAlign w:val="top"/>
          </w:tcPr>
          <w:p>
            <w:pPr>
              <w:spacing w:after="0"/>
            </w:pPr>
            <w:r>
              <w:rPr>
                <w:sz w:val="16"/>
              </w:rPr>
              <w:t>AC</w:t>
            </w:r>
          </w:p>
        </w:tc>
        <w:tc>
          <w:tcPr>
            <w:tcW w:type="dxa" w:w="2016"/>
            <w:vAlign w:val="top"/>
          </w:tcPr>
          <w:p>
            <w:pPr>
              <w:spacing w:after="0"/>
            </w:pPr>
            <w:r>
              <w:rPr>
                <w:sz w:val="16"/>
              </w:rPr>
              <w:t>Access Control</w:t>
            </w:r>
          </w:p>
        </w:tc>
        <w:tc>
          <w:tcPr>
            <w:tcW w:type="dxa" w:w="2016"/>
            <w:vAlign w:val="top"/>
          </w:tcPr>
          <w:p>
            <w:pPr>
              <w:spacing w:after="0"/>
            </w:pPr>
            <w:r>
              <w:rPr>
                <w:sz w:val="16"/>
              </w:rPr>
              <w:t>14</w:t>
            </w:r>
          </w:p>
        </w:tc>
        <w:tc>
          <w:tcPr>
            <w:tcW w:type="dxa" w:w="2016"/>
            <w:vAlign w:val="top"/>
          </w:tcPr>
          <w:p>
            <w:pPr>
              <w:spacing w:after="0"/>
            </w:pPr>
            <w:r>
              <w:rPr>
                <w:sz w:val="16"/>
              </w:rPr>
              <w:t>14</w:t>
            </w:r>
          </w:p>
        </w:tc>
        <w:tc>
          <w:tcPr>
            <w:tcW w:type="dxa" w:w="2016"/>
            <w:vAlign w:val="top"/>
          </w:tcPr>
          <w:p>
            <w:pPr>
              <w:spacing w:after="0"/>
            </w:pPr>
            <w:r>
              <w:rPr>
                <w:sz w:val="16"/>
              </w:rPr>
              <w:t>Substantially Addressed</w:t>
            </w:r>
          </w:p>
        </w:tc>
      </w:tr>
      <w:tr>
        <w:tc>
          <w:tcPr>
            <w:tcW w:type="dxa" w:w="2016"/>
            <w:vAlign w:val="top"/>
          </w:tcPr>
          <w:p>
            <w:pPr>
              <w:spacing w:after="0"/>
            </w:pPr>
            <w:r>
              <w:rPr>
                <w:sz w:val="16"/>
              </w:rPr>
              <w:t>AT</w:t>
            </w:r>
          </w:p>
        </w:tc>
        <w:tc>
          <w:tcPr>
            <w:tcW w:type="dxa" w:w="2016"/>
            <w:vAlign w:val="top"/>
          </w:tcPr>
          <w:p>
            <w:pPr>
              <w:spacing w:after="0"/>
            </w:pPr>
            <w:r>
              <w:rPr>
                <w:sz w:val="16"/>
              </w:rPr>
              <w:t>Awareness and Training</w:t>
            </w:r>
          </w:p>
        </w:tc>
        <w:tc>
          <w:tcPr>
            <w:tcW w:type="dxa" w:w="2016"/>
            <w:vAlign w:val="top"/>
          </w:tcPr>
          <w:p>
            <w:pPr>
              <w:spacing w:after="0"/>
            </w:pPr>
            <w:r>
              <w:rPr>
                <w:sz w:val="16"/>
              </w:rPr>
              <w:t>5</w:t>
            </w:r>
          </w:p>
        </w:tc>
        <w:tc>
          <w:tcPr>
            <w:tcW w:type="dxa" w:w="2016"/>
            <w:vAlign w:val="top"/>
          </w:tcPr>
          <w:p>
            <w:pPr>
              <w:spacing w:after="0"/>
            </w:pPr>
            <w:r>
              <w:rPr>
                <w:sz w:val="16"/>
              </w:rPr>
              <w:t>5</w:t>
            </w:r>
          </w:p>
        </w:tc>
        <w:tc>
          <w:tcPr>
            <w:tcW w:type="dxa" w:w="2016"/>
            <w:vAlign w:val="top"/>
          </w:tcPr>
          <w:p>
            <w:pPr>
              <w:spacing w:after="0"/>
            </w:pPr>
            <w:r>
              <w:rPr>
                <w:sz w:val="16"/>
              </w:rPr>
              <w:t>Substantially Addressed</w:t>
            </w:r>
          </w:p>
        </w:tc>
      </w:tr>
      <w:tr>
        <w:tc>
          <w:tcPr>
            <w:tcW w:type="dxa" w:w="2016"/>
            <w:vAlign w:val="top"/>
          </w:tcPr>
          <w:p>
            <w:pPr>
              <w:spacing w:after="0"/>
            </w:pPr>
            <w:r>
              <w:rPr>
                <w:sz w:val="16"/>
              </w:rPr>
              <w:t>AU</w:t>
            </w:r>
          </w:p>
        </w:tc>
        <w:tc>
          <w:tcPr>
            <w:tcW w:type="dxa" w:w="2016"/>
            <w:vAlign w:val="top"/>
          </w:tcPr>
          <w:p>
            <w:pPr>
              <w:spacing w:after="0"/>
            </w:pPr>
            <w:r>
              <w:rPr>
                <w:sz w:val="16"/>
              </w:rPr>
              <w:t>Audit and Accountability</w:t>
            </w:r>
          </w:p>
        </w:tc>
        <w:tc>
          <w:tcPr>
            <w:tcW w:type="dxa" w:w="2016"/>
            <w:vAlign w:val="top"/>
          </w:tcPr>
          <w:p>
            <w:pPr>
              <w:spacing w:after="0"/>
            </w:pPr>
            <w:r>
              <w:rPr>
                <w:sz w:val="16"/>
              </w:rPr>
              <w:t>9</w:t>
            </w:r>
          </w:p>
        </w:tc>
        <w:tc>
          <w:tcPr>
            <w:tcW w:type="dxa" w:w="2016"/>
            <w:vAlign w:val="top"/>
          </w:tcPr>
          <w:p>
            <w:pPr>
              <w:spacing w:after="0"/>
            </w:pPr>
            <w:r>
              <w:rPr>
                <w:sz w:val="16"/>
              </w:rPr>
              <w:t>9</w:t>
            </w:r>
          </w:p>
        </w:tc>
        <w:tc>
          <w:tcPr>
            <w:tcW w:type="dxa" w:w="2016"/>
            <w:vAlign w:val="top"/>
          </w:tcPr>
          <w:p>
            <w:pPr>
              <w:spacing w:after="0"/>
            </w:pPr>
            <w:r>
              <w:rPr>
                <w:sz w:val="16"/>
              </w:rPr>
              <w:t>Substantially Addressed</w:t>
            </w:r>
          </w:p>
        </w:tc>
      </w:tr>
      <w:tr>
        <w:tc>
          <w:tcPr>
            <w:tcW w:type="dxa" w:w="2016"/>
            <w:vAlign w:val="top"/>
          </w:tcPr>
          <w:p>
            <w:pPr>
              <w:spacing w:after="0"/>
            </w:pPr>
            <w:r>
              <w:rPr>
                <w:sz w:val="16"/>
              </w:rPr>
              <w:t>CA</w:t>
            </w:r>
          </w:p>
        </w:tc>
        <w:tc>
          <w:tcPr>
            <w:tcW w:type="dxa" w:w="2016"/>
            <w:vAlign w:val="top"/>
          </w:tcPr>
          <w:p>
            <w:pPr>
              <w:spacing w:after="0"/>
            </w:pPr>
            <w:r>
              <w:rPr>
                <w:sz w:val="16"/>
              </w:rPr>
              <w:t>Assessment, Authorization and Monitoring</w:t>
            </w:r>
          </w:p>
        </w:tc>
        <w:tc>
          <w:tcPr>
            <w:tcW w:type="dxa" w:w="2016"/>
            <w:vAlign w:val="top"/>
          </w:tcPr>
          <w:p>
            <w:pPr>
              <w:spacing w:after="0"/>
            </w:pPr>
            <w:r>
              <w:rPr>
                <w:sz w:val="16"/>
              </w:rPr>
              <w:t>13</w:t>
            </w:r>
          </w:p>
        </w:tc>
        <w:tc>
          <w:tcPr>
            <w:tcW w:type="dxa" w:w="2016"/>
            <w:vAlign w:val="top"/>
          </w:tcPr>
          <w:p>
            <w:pPr>
              <w:spacing w:after="0"/>
            </w:pPr>
            <w:r>
              <w:rPr>
                <w:sz w:val="16"/>
              </w:rPr>
              <w:t>13</w:t>
            </w:r>
          </w:p>
        </w:tc>
        <w:tc>
          <w:tcPr>
            <w:tcW w:type="dxa" w:w="2016"/>
            <w:vAlign w:val="top"/>
          </w:tcPr>
          <w:p>
            <w:pPr>
              <w:spacing w:after="0"/>
            </w:pPr>
            <w:r>
              <w:rPr>
                <w:sz w:val="16"/>
              </w:rPr>
              <w:t>Substantially Addressed</w:t>
            </w:r>
          </w:p>
        </w:tc>
      </w:tr>
      <w:tr>
        <w:tc>
          <w:tcPr>
            <w:tcW w:type="dxa" w:w="2016"/>
            <w:vAlign w:val="top"/>
          </w:tcPr>
          <w:p>
            <w:pPr>
              <w:spacing w:after="0"/>
            </w:pPr>
            <w:r>
              <w:rPr>
                <w:sz w:val="16"/>
              </w:rPr>
              <w:t>CM</w:t>
            </w:r>
          </w:p>
        </w:tc>
        <w:tc>
          <w:tcPr>
            <w:tcW w:type="dxa" w:w="2016"/>
            <w:vAlign w:val="top"/>
          </w:tcPr>
          <w:p>
            <w:pPr>
              <w:spacing w:after="0"/>
            </w:pPr>
            <w:r>
              <w:rPr>
                <w:sz w:val="16"/>
              </w:rPr>
              <w:t>Configuration Management</w:t>
            </w:r>
          </w:p>
        </w:tc>
        <w:tc>
          <w:tcPr>
            <w:tcW w:type="dxa" w:w="2016"/>
            <w:vAlign w:val="top"/>
          </w:tcPr>
          <w:p>
            <w:pPr>
              <w:spacing w:after="0"/>
            </w:pPr>
            <w:r>
              <w:rPr>
                <w:sz w:val="16"/>
              </w:rPr>
              <w:t>9</w:t>
            </w:r>
          </w:p>
        </w:tc>
        <w:tc>
          <w:tcPr>
            <w:tcW w:type="dxa" w:w="2016"/>
            <w:vAlign w:val="top"/>
          </w:tcPr>
          <w:p>
            <w:pPr>
              <w:spacing w:after="0"/>
            </w:pPr>
            <w:r>
              <w:rPr>
                <w:sz w:val="16"/>
              </w:rPr>
              <w:t>9</w:t>
            </w:r>
          </w:p>
        </w:tc>
        <w:tc>
          <w:tcPr>
            <w:tcW w:type="dxa" w:w="2016"/>
            <w:vAlign w:val="top"/>
          </w:tcPr>
          <w:p>
            <w:pPr>
              <w:spacing w:after="0"/>
            </w:pPr>
            <w:r>
              <w:rPr>
                <w:sz w:val="16"/>
              </w:rPr>
              <w:t>Substantially Addressed</w:t>
            </w:r>
          </w:p>
        </w:tc>
      </w:tr>
      <w:tr>
        <w:tc>
          <w:tcPr>
            <w:tcW w:type="dxa" w:w="2016"/>
            <w:vAlign w:val="top"/>
          </w:tcPr>
          <w:p>
            <w:pPr>
              <w:spacing w:after="0"/>
            </w:pPr>
            <w:r>
              <w:rPr>
                <w:sz w:val="16"/>
              </w:rPr>
              <w:t>CP</w:t>
            </w:r>
          </w:p>
        </w:tc>
        <w:tc>
          <w:tcPr>
            <w:tcW w:type="dxa" w:w="2016"/>
            <w:vAlign w:val="top"/>
          </w:tcPr>
          <w:p>
            <w:pPr>
              <w:spacing w:after="0"/>
            </w:pPr>
            <w:r>
              <w:rPr>
                <w:sz w:val="16"/>
              </w:rPr>
              <w:t>Contingency Planning</w:t>
            </w:r>
          </w:p>
        </w:tc>
        <w:tc>
          <w:tcPr>
            <w:tcW w:type="dxa" w:w="2016"/>
            <w:vAlign w:val="top"/>
          </w:tcPr>
          <w:p>
            <w:pPr>
              <w:spacing w:after="0"/>
            </w:pPr>
            <w:r>
              <w:rPr>
                <w:sz w:val="16"/>
              </w:rPr>
              <w:t>9</w:t>
            </w:r>
          </w:p>
        </w:tc>
        <w:tc>
          <w:tcPr>
            <w:tcW w:type="dxa" w:w="2016"/>
            <w:vAlign w:val="top"/>
          </w:tcPr>
          <w:p>
            <w:pPr>
              <w:spacing w:after="0"/>
            </w:pPr>
            <w:r>
              <w:rPr>
                <w:sz w:val="16"/>
              </w:rPr>
              <w:t>9</w:t>
            </w:r>
          </w:p>
        </w:tc>
        <w:tc>
          <w:tcPr>
            <w:tcW w:type="dxa" w:w="2016"/>
            <w:vAlign w:val="top"/>
          </w:tcPr>
          <w:p>
            <w:pPr>
              <w:spacing w:after="0"/>
            </w:pPr>
            <w:r>
              <w:rPr>
                <w:sz w:val="16"/>
              </w:rPr>
              <w:t>Substantially Addressed</w:t>
            </w:r>
          </w:p>
        </w:tc>
      </w:tr>
      <w:tr>
        <w:tc>
          <w:tcPr>
            <w:tcW w:type="dxa" w:w="2016"/>
            <w:vAlign w:val="top"/>
          </w:tcPr>
          <w:p>
            <w:pPr>
              <w:spacing w:after="0"/>
            </w:pPr>
            <w:r>
              <w:rPr>
                <w:sz w:val="16"/>
              </w:rPr>
              <w:t>IA</w:t>
            </w:r>
          </w:p>
        </w:tc>
        <w:tc>
          <w:tcPr>
            <w:tcW w:type="dxa" w:w="2016"/>
            <w:vAlign w:val="top"/>
          </w:tcPr>
          <w:p>
            <w:pPr>
              <w:spacing w:after="0"/>
            </w:pPr>
            <w:r>
              <w:rPr>
                <w:sz w:val="16"/>
              </w:rPr>
              <w:t>Identification and Authentication</w:t>
            </w:r>
          </w:p>
        </w:tc>
        <w:tc>
          <w:tcPr>
            <w:tcW w:type="dxa" w:w="2016"/>
            <w:vAlign w:val="top"/>
          </w:tcPr>
          <w:p>
            <w:pPr>
              <w:spacing w:after="0"/>
            </w:pPr>
            <w:r>
              <w:rPr>
                <w:sz w:val="16"/>
              </w:rPr>
              <w:t>12</w:t>
            </w:r>
          </w:p>
        </w:tc>
        <w:tc>
          <w:tcPr>
            <w:tcW w:type="dxa" w:w="2016"/>
            <w:vAlign w:val="top"/>
          </w:tcPr>
          <w:p>
            <w:pPr>
              <w:spacing w:after="0"/>
            </w:pPr>
            <w:r>
              <w:rPr>
                <w:sz w:val="16"/>
              </w:rPr>
              <w:t>12</w:t>
            </w:r>
          </w:p>
        </w:tc>
        <w:tc>
          <w:tcPr>
            <w:tcW w:type="dxa" w:w="2016"/>
            <w:vAlign w:val="top"/>
          </w:tcPr>
          <w:p>
            <w:pPr>
              <w:spacing w:after="0"/>
            </w:pPr>
            <w:r>
              <w:rPr>
                <w:sz w:val="16"/>
              </w:rPr>
              <w:t>Substantially Addressed</w:t>
            </w:r>
          </w:p>
        </w:tc>
      </w:tr>
      <w:tr>
        <w:tc>
          <w:tcPr>
            <w:tcW w:type="dxa" w:w="2016"/>
            <w:vAlign w:val="top"/>
          </w:tcPr>
          <w:p>
            <w:pPr>
              <w:spacing w:after="0"/>
            </w:pPr>
            <w:r>
              <w:rPr>
                <w:sz w:val="16"/>
              </w:rPr>
              <w:t>IR</w:t>
            </w:r>
          </w:p>
        </w:tc>
        <w:tc>
          <w:tcPr>
            <w:tcW w:type="dxa" w:w="2016"/>
            <w:vAlign w:val="top"/>
          </w:tcPr>
          <w:p>
            <w:pPr>
              <w:spacing w:after="0"/>
            </w:pPr>
            <w:r>
              <w:rPr>
                <w:sz w:val="16"/>
              </w:rPr>
              <w:t>Incident Response</w:t>
            </w:r>
          </w:p>
        </w:tc>
        <w:tc>
          <w:tcPr>
            <w:tcW w:type="dxa" w:w="2016"/>
            <w:vAlign w:val="top"/>
          </w:tcPr>
          <w:p>
            <w:pPr>
              <w:spacing w:after="0"/>
            </w:pPr>
            <w:r>
              <w:rPr>
                <w:sz w:val="16"/>
              </w:rPr>
              <w:t>15</w:t>
            </w:r>
          </w:p>
        </w:tc>
        <w:tc>
          <w:tcPr>
            <w:tcW w:type="dxa" w:w="2016"/>
            <w:vAlign w:val="top"/>
          </w:tcPr>
          <w:p>
            <w:pPr>
              <w:spacing w:after="0"/>
            </w:pPr>
            <w:r>
              <w:rPr>
                <w:sz w:val="16"/>
              </w:rPr>
              <w:t>15</w:t>
            </w:r>
          </w:p>
        </w:tc>
        <w:tc>
          <w:tcPr>
            <w:tcW w:type="dxa" w:w="2016"/>
            <w:vAlign w:val="top"/>
          </w:tcPr>
          <w:p>
            <w:pPr>
              <w:spacing w:after="0"/>
            </w:pPr>
            <w:r>
              <w:rPr>
                <w:sz w:val="16"/>
              </w:rPr>
              <w:t>Substantially Addressed</w:t>
            </w:r>
          </w:p>
        </w:tc>
      </w:tr>
      <w:tr>
        <w:tc>
          <w:tcPr>
            <w:tcW w:type="dxa" w:w="2016"/>
            <w:vAlign w:val="top"/>
          </w:tcPr>
          <w:p>
            <w:pPr>
              <w:spacing w:after="0"/>
            </w:pPr>
            <w:r>
              <w:rPr>
                <w:sz w:val="16"/>
              </w:rPr>
              <w:t>MA</w:t>
            </w:r>
          </w:p>
        </w:tc>
        <w:tc>
          <w:tcPr>
            <w:tcW w:type="dxa" w:w="2016"/>
            <w:vAlign w:val="top"/>
          </w:tcPr>
          <w:p>
            <w:pPr>
              <w:spacing w:after="0"/>
            </w:pPr>
            <w:r>
              <w:rPr>
                <w:sz w:val="16"/>
              </w:rPr>
              <w:t>Maintenance</w:t>
            </w:r>
          </w:p>
        </w:tc>
        <w:tc>
          <w:tcPr>
            <w:tcW w:type="dxa" w:w="2016"/>
            <w:vAlign w:val="top"/>
          </w:tcPr>
          <w:p>
            <w:pPr>
              <w:spacing w:after="0"/>
            </w:pPr>
            <w:r>
              <w:rPr>
                <w:sz w:val="16"/>
              </w:rPr>
              <w:t>0</w:t>
            </w:r>
          </w:p>
        </w:tc>
        <w:tc>
          <w:tcPr>
            <w:tcW w:type="dxa" w:w="2016"/>
            <w:vAlign w:val="top"/>
          </w:tcPr>
          <w:p>
            <w:pPr>
              <w:spacing w:after="0"/>
            </w:pPr>
            <w:r>
              <w:rPr>
                <w:sz w:val="16"/>
              </w:rPr>
              <w:t>0</w:t>
            </w:r>
          </w:p>
        </w:tc>
        <w:tc>
          <w:tcPr>
            <w:tcW w:type="dxa" w:w="2016"/>
            <w:vAlign w:val="top"/>
          </w:tcPr>
          <w:p>
            <w:pPr>
              <w:spacing w:after="0"/>
            </w:pPr>
            <w:r>
              <w:rPr>
                <w:sz w:val="16"/>
              </w:rPr>
              <w:t>Not Addressed</w:t>
            </w:r>
          </w:p>
        </w:tc>
      </w:tr>
      <w:tr>
        <w:tc>
          <w:tcPr>
            <w:tcW w:type="dxa" w:w="2016"/>
            <w:vAlign w:val="top"/>
          </w:tcPr>
          <w:p>
            <w:pPr>
              <w:spacing w:after="0"/>
            </w:pPr>
            <w:r>
              <w:rPr>
                <w:sz w:val="16"/>
              </w:rPr>
              <w:t>MP</w:t>
            </w:r>
          </w:p>
        </w:tc>
        <w:tc>
          <w:tcPr>
            <w:tcW w:type="dxa" w:w="2016"/>
            <w:vAlign w:val="top"/>
          </w:tcPr>
          <w:p>
            <w:pPr>
              <w:spacing w:after="0"/>
            </w:pPr>
            <w:r>
              <w:rPr>
                <w:sz w:val="16"/>
              </w:rPr>
              <w:t>Media Protection</w:t>
            </w:r>
          </w:p>
        </w:tc>
        <w:tc>
          <w:tcPr>
            <w:tcW w:type="dxa" w:w="2016"/>
            <w:vAlign w:val="top"/>
          </w:tcPr>
          <w:p>
            <w:pPr>
              <w:spacing w:after="0"/>
            </w:pPr>
            <w:r>
              <w:rPr>
                <w:sz w:val="16"/>
              </w:rPr>
              <w:t>3</w:t>
            </w:r>
          </w:p>
        </w:tc>
        <w:tc>
          <w:tcPr>
            <w:tcW w:type="dxa" w:w="2016"/>
            <w:vAlign w:val="top"/>
          </w:tcPr>
          <w:p>
            <w:pPr>
              <w:spacing w:after="0"/>
            </w:pPr>
            <w:r>
              <w:rPr>
                <w:sz w:val="16"/>
              </w:rPr>
              <w:t>3</w:t>
            </w:r>
          </w:p>
        </w:tc>
        <w:tc>
          <w:tcPr>
            <w:tcW w:type="dxa" w:w="2016"/>
            <w:vAlign w:val="top"/>
          </w:tcPr>
          <w:p>
            <w:pPr>
              <w:spacing w:after="0"/>
            </w:pPr>
            <w:r>
              <w:rPr>
                <w:sz w:val="16"/>
              </w:rPr>
              <w:t>Partially Addressed</w:t>
            </w:r>
          </w:p>
        </w:tc>
      </w:tr>
      <w:tr>
        <w:tc>
          <w:tcPr>
            <w:tcW w:type="dxa" w:w="2016"/>
            <w:vAlign w:val="top"/>
          </w:tcPr>
          <w:p>
            <w:pPr>
              <w:spacing w:after="0"/>
            </w:pPr>
            <w:r>
              <w:rPr>
                <w:sz w:val="16"/>
              </w:rPr>
              <w:t>PE</w:t>
            </w:r>
          </w:p>
        </w:tc>
        <w:tc>
          <w:tcPr>
            <w:tcW w:type="dxa" w:w="2016"/>
            <w:vAlign w:val="top"/>
          </w:tcPr>
          <w:p>
            <w:pPr>
              <w:spacing w:after="0"/>
            </w:pPr>
            <w:r>
              <w:rPr>
                <w:sz w:val="16"/>
              </w:rPr>
              <w:t>Physical and Environmental Protection</w:t>
            </w:r>
          </w:p>
        </w:tc>
        <w:tc>
          <w:tcPr>
            <w:tcW w:type="dxa" w:w="2016"/>
            <w:vAlign w:val="top"/>
          </w:tcPr>
          <w:p>
            <w:pPr>
              <w:spacing w:after="0"/>
            </w:pPr>
            <w:r>
              <w:rPr>
                <w:sz w:val="16"/>
              </w:rPr>
              <w:t>7</w:t>
            </w:r>
          </w:p>
        </w:tc>
        <w:tc>
          <w:tcPr>
            <w:tcW w:type="dxa" w:w="2016"/>
            <w:vAlign w:val="top"/>
          </w:tcPr>
          <w:p>
            <w:pPr>
              <w:spacing w:after="0"/>
            </w:pPr>
            <w:r>
              <w:rPr>
                <w:sz w:val="16"/>
              </w:rPr>
              <w:t>7</w:t>
            </w:r>
          </w:p>
        </w:tc>
        <w:tc>
          <w:tcPr>
            <w:tcW w:type="dxa" w:w="2016"/>
            <w:vAlign w:val="top"/>
          </w:tcPr>
          <w:p>
            <w:pPr>
              <w:spacing w:after="0"/>
            </w:pPr>
            <w:r>
              <w:rPr>
                <w:sz w:val="16"/>
              </w:rPr>
              <w:t>Substantially Addressed</w:t>
            </w:r>
          </w:p>
        </w:tc>
      </w:tr>
      <w:tr>
        <w:tc>
          <w:tcPr>
            <w:tcW w:type="dxa" w:w="2016"/>
            <w:vAlign w:val="top"/>
          </w:tcPr>
          <w:p>
            <w:pPr>
              <w:spacing w:after="0"/>
            </w:pPr>
            <w:r>
              <w:rPr>
                <w:sz w:val="16"/>
              </w:rPr>
              <w:t>PL</w:t>
            </w:r>
          </w:p>
        </w:tc>
        <w:tc>
          <w:tcPr>
            <w:tcW w:type="dxa" w:w="2016"/>
            <w:vAlign w:val="top"/>
          </w:tcPr>
          <w:p>
            <w:pPr>
              <w:spacing w:after="0"/>
            </w:pPr>
            <w:r>
              <w:rPr>
                <w:sz w:val="16"/>
              </w:rPr>
              <w:t>Planning</w:t>
            </w:r>
          </w:p>
        </w:tc>
        <w:tc>
          <w:tcPr>
            <w:tcW w:type="dxa" w:w="2016"/>
            <w:vAlign w:val="top"/>
          </w:tcPr>
          <w:p>
            <w:pPr>
              <w:spacing w:after="0"/>
            </w:pPr>
            <w:r>
              <w:rPr>
                <w:sz w:val="16"/>
              </w:rPr>
              <w:t>12</w:t>
            </w:r>
          </w:p>
        </w:tc>
        <w:tc>
          <w:tcPr>
            <w:tcW w:type="dxa" w:w="2016"/>
            <w:vAlign w:val="top"/>
          </w:tcPr>
          <w:p>
            <w:pPr>
              <w:spacing w:after="0"/>
            </w:pPr>
            <w:r>
              <w:rPr>
                <w:sz w:val="16"/>
              </w:rPr>
              <w:t>12</w:t>
            </w:r>
          </w:p>
        </w:tc>
        <w:tc>
          <w:tcPr>
            <w:tcW w:type="dxa" w:w="2016"/>
            <w:vAlign w:val="top"/>
          </w:tcPr>
          <w:p>
            <w:pPr>
              <w:spacing w:after="0"/>
            </w:pPr>
            <w:r>
              <w:rPr>
                <w:sz w:val="16"/>
              </w:rPr>
              <w:t>Substantially Addressed</w:t>
            </w:r>
          </w:p>
        </w:tc>
      </w:tr>
      <w:tr>
        <w:tc>
          <w:tcPr>
            <w:tcW w:type="dxa" w:w="2016"/>
            <w:vAlign w:val="top"/>
          </w:tcPr>
          <w:p>
            <w:pPr>
              <w:spacing w:after="0"/>
            </w:pPr>
            <w:r>
              <w:rPr>
                <w:sz w:val="16"/>
              </w:rPr>
              <w:t>PM</w:t>
            </w:r>
          </w:p>
        </w:tc>
        <w:tc>
          <w:tcPr>
            <w:tcW w:type="dxa" w:w="2016"/>
            <w:vAlign w:val="top"/>
          </w:tcPr>
          <w:p>
            <w:pPr>
              <w:spacing w:after="0"/>
            </w:pPr>
            <w:r>
              <w:rPr>
                <w:sz w:val="16"/>
              </w:rPr>
              <w:t>Program Management</w:t>
            </w:r>
          </w:p>
        </w:tc>
        <w:tc>
          <w:tcPr>
            <w:tcW w:type="dxa" w:w="2016"/>
            <w:vAlign w:val="top"/>
          </w:tcPr>
          <w:p>
            <w:pPr>
              <w:spacing w:after="0"/>
            </w:pPr>
            <w:r>
              <w:rPr>
                <w:sz w:val="16"/>
              </w:rPr>
              <w:t>12</w:t>
            </w:r>
          </w:p>
        </w:tc>
        <w:tc>
          <w:tcPr>
            <w:tcW w:type="dxa" w:w="2016"/>
            <w:vAlign w:val="top"/>
          </w:tcPr>
          <w:p>
            <w:pPr>
              <w:spacing w:after="0"/>
            </w:pPr>
            <w:r>
              <w:rPr>
                <w:sz w:val="16"/>
              </w:rPr>
              <w:t>12</w:t>
            </w:r>
          </w:p>
        </w:tc>
        <w:tc>
          <w:tcPr>
            <w:tcW w:type="dxa" w:w="2016"/>
            <w:vAlign w:val="top"/>
          </w:tcPr>
          <w:p>
            <w:pPr>
              <w:spacing w:after="0"/>
            </w:pPr>
            <w:r>
              <w:rPr>
                <w:sz w:val="16"/>
              </w:rPr>
              <w:t>Substantially Addressed</w:t>
            </w:r>
          </w:p>
        </w:tc>
      </w:tr>
      <w:tr>
        <w:tc>
          <w:tcPr>
            <w:tcW w:type="dxa" w:w="2016"/>
            <w:vAlign w:val="top"/>
          </w:tcPr>
          <w:p>
            <w:pPr>
              <w:spacing w:after="0"/>
            </w:pPr>
            <w:r>
              <w:rPr>
                <w:sz w:val="16"/>
              </w:rPr>
              <w:t>PS</w:t>
            </w:r>
          </w:p>
        </w:tc>
        <w:tc>
          <w:tcPr>
            <w:tcW w:type="dxa" w:w="2016"/>
            <w:vAlign w:val="top"/>
          </w:tcPr>
          <w:p>
            <w:pPr>
              <w:spacing w:after="0"/>
            </w:pPr>
            <w:r>
              <w:rPr>
                <w:sz w:val="16"/>
              </w:rPr>
              <w:t>Personnel Security</w:t>
            </w:r>
          </w:p>
        </w:tc>
        <w:tc>
          <w:tcPr>
            <w:tcW w:type="dxa" w:w="2016"/>
            <w:vAlign w:val="top"/>
          </w:tcPr>
          <w:p>
            <w:pPr>
              <w:spacing w:after="0"/>
            </w:pPr>
            <w:r>
              <w:rPr>
                <w:sz w:val="16"/>
              </w:rPr>
              <w:t>0</w:t>
            </w:r>
          </w:p>
        </w:tc>
        <w:tc>
          <w:tcPr>
            <w:tcW w:type="dxa" w:w="2016"/>
            <w:vAlign w:val="top"/>
          </w:tcPr>
          <w:p>
            <w:pPr>
              <w:spacing w:after="0"/>
            </w:pPr>
            <w:r>
              <w:rPr>
                <w:sz w:val="16"/>
              </w:rPr>
              <w:t>0</w:t>
            </w:r>
          </w:p>
        </w:tc>
        <w:tc>
          <w:tcPr>
            <w:tcW w:type="dxa" w:w="2016"/>
            <w:vAlign w:val="top"/>
          </w:tcPr>
          <w:p>
            <w:pPr>
              <w:spacing w:after="0"/>
            </w:pPr>
            <w:r>
              <w:rPr>
                <w:sz w:val="16"/>
              </w:rPr>
              <w:t>Not Addressed</w:t>
            </w:r>
          </w:p>
        </w:tc>
      </w:tr>
      <w:tr>
        <w:tc>
          <w:tcPr>
            <w:tcW w:type="dxa" w:w="2016"/>
            <w:vAlign w:val="top"/>
          </w:tcPr>
          <w:p>
            <w:pPr>
              <w:spacing w:after="0"/>
            </w:pPr>
            <w:r>
              <w:rPr>
                <w:sz w:val="16"/>
              </w:rPr>
              <w:t>PT</w:t>
            </w:r>
          </w:p>
        </w:tc>
        <w:tc>
          <w:tcPr>
            <w:tcW w:type="dxa" w:w="2016"/>
            <w:vAlign w:val="top"/>
          </w:tcPr>
          <w:p>
            <w:pPr>
              <w:spacing w:after="0"/>
            </w:pPr>
            <w:r>
              <w:rPr>
                <w:sz w:val="16"/>
              </w:rPr>
              <w:t>Personally Identifiable Information Processing and Transparency</w:t>
            </w:r>
          </w:p>
        </w:tc>
        <w:tc>
          <w:tcPr>
            <w:tcW w:type="dxa" w:w="2016"/>
            <w:vAlign w:val="top"/>
          </w:tcPr>
          <w:p>
            <w:pPr>
              <w:spacing w:after="0"/>
            </w:pPr>
            <w:r>
              <w:rPr>
                <w:sz w:val="16"/>
              </w:rPr>
              <w:t>6</w:t>
            </w:r>
          </w:p>
        </w:tc>
        <w:tc>
          <w:tcPr>
            <w:tcW w:type="dxa" w:w="2016"/>
            <w:vAlign w:val="top"/>
          </w:tcPr>
          <w:p>
            <w:pPr>
              <w:spacing w:after="0"/>
            </w:pPr>
            <w:r>
              <w:rPr>
                <w:sz w:val="16"/>
              </w:rPr>
              <w:t>6</w:t>
            </w:r>
          </w:p>
        </w:tc>
        <w:tc>
          <w:tcPr>
            <w:tcW w:type="dxa" w:w="2016"/>
            <w:vAlign w:val="top"/>
          </w:tcPr>
          <w:p>
            <w:pPr>
              <w:spacing w:after="0"/>
            </w:pPr>
            <w:r>
              <w:rPr>
                <w:sz w:val="16"/>
              </w:rPr>
              <w:t>Substantially Addressed</w:t>
            </w:r>
          </w:p>
        </w:tc>
      </w:tr>
      <w:tr>
        <w:tc>
          <w:tcPr>
            <w:tcW w:type="dxa" w:w="2016"/>
            <w:vAlign w:val="top"/>
          </w:tcPr>
          <w:p>
            <w:pPr>
              <w:spacing w:after="0"/>
            </w:pPr>
            <w:r>
              <w:rPr>
                <w:sz w:val="16"/>
              </w:rPr>
              <w:t>RA</w:t>
            </w:r>
          </w:p>
        </w:tc>
        <w:tc>
          <w:tcPr>
            <w:tcW w:type="dxa" w:w="2016"/>
            <w:vAlign w:val="top"/>
          </w:tcPr>
          <w:p>
            <w:pPr>
              <w:spacing w:after="0"/>
            </w:pPr>
            <w:r>
              <w:rPr>
                <w:sz w:val="16"/>
              </w:rPr>
              <w:t>Risk Assessment</w:t>
            </w:r>
          </w:p>
        </w:tc>
        <w:tc>
          <w:tcPr>
            <w:tcW w:type="dxa" w:w="2016"/>
            <w:vAlign w:val="top"/>
          </w:tcPr>
          <w:p>
            <w:pPr>
              <w:spacing w:after="0"/>
            </w:pPr>
            <w:r>
              <w:rPr>
                <w:sz w:val="16"/>
              </w:rPr>
              <w:t>27</w:t>
            </w:r>
          </w:p>
        </w:tc>
        <w:tc>
          <w:tcPr>
            <w:tcW w:type="dxa" w:w="2016"/>
            <w:vAlign w:val="top"/>
          </w:tcPr>
          <w:p>
            <w:pPr>
              <w:spacing w:after="0"/>
            </w:pPr>
            <w:r>
              <w:rPr>
                <w:sz w:val="16"/>
              </w:rPr>
              <w:t>27</w:t>
            </w:r>
          </w:p>
        </w:tc>
        <w:tc>
          <w:tcPr>
            <w:tcW w:type="dxa" w:w="2016"/>
            <w:vAlign w:val="top"/>
          </w:tcPr>
          <w:p>
            <w:pPr>
              <w:spacing w:after="0"/>
            </w:pPr>
            <w:r>
              <w:rPr>
                <w:sz w:val="16"/>
              </w:rPr>
              <w:t>Substantially Addressed</w:t>
            </w:r>
          </w:p>
        </w:tc>
      </w:tr>
      <w:tr>
        <w:tc>
          <w:tcPr>
            <w:tcW w:type="dxa" w:w="2016"/>
            <w:vAlign w:val="top"/>
          </w:tcPr>
          <w:p>
            <w:pPr>
              <w:spacing w:after="0"/>
            </w:pPr>
            <w:r>
              <w:rPr>
                <w:sz w:val="16"/>
              </w:rPr>
              <w:t>SA</w:t>
            </w:r>
          </w:p>
        </w:tc>
        <w:tc>
          <w:tcPr>
            <w:tcW w:type="dxa" w:w="2016"/>
            <w:vAlign w:val="top"/>
          </w:tcPr>
          <w:p>
            <w:pPr>
              <w:spacing w:after="0"/>
            </w:pPr>
            <w:r>
              <w:rPr>
                <w:sz w:val="16"/>
              </w:rPr>
              <w:t>System and Services Acquisition</w:t>
            </w:r>
          </w:p>
        </w:tc>
        <w:tc>
          <w:tcPr>
            <w:tcW w:type="dxa" w:w="2016"/>
            <w:vAlign w:val="top"/>
          </w:tcPr>
          <w:p>
            <w:pPr>
              <w:spacing w:after="0"/>
            </w:pPr>
            <w:r>
              <w:rPr>
                <w:sz w:val="16"/>
              </w:rPr>
              <w:t>25</w:t>
            </w:r>
          </w:p>
        </w:tc>
        <w:tc>
          <w:tcPr>
            <w:tcW w:type="dxa" w:w="2016"/>
            <w:vAlign w:val="top"/>
          </w:tcPr>
          <w:p>
            <w:pPr>
              <w:spacing w:after="0"/>
            </w:pPr>
            <w:r>
              <w:rPr>
                <w:sz w:val="16"/>
              </w:rPr>
              <w:t>25</w:t>
            </w:r>
          </w:p>
        </w:tc>
        <w:tc>
          <w:tcPr>
            <w:tcW w:type="dxa" w:w="2016"/>
            <w:vAlign w:val="top"/>
          </w:tcPr>
          <w:p>
            <w:pPr>
              <w:spacing w:after="0"/>
            </w:pPr>
            <w:r>
              <w:rPr>
                <w:sz w:val="16"/>
              </w:rPr>
              <w:t>Substantially Addressed</w:t>
            </w:r>
          </w:p>
        </w:tc>
      </w:tr>
      <w:tr>
        <w:tc>
          <w:tcPr>
            <w:tcW w:type="dxa" w:w="2016"/>
            <w:vAlign w:val="top"/>
          </w:tcPr>
          <w:p>
            <w:pPr>
              <w:spacing w:after="0"/>
            </w:pPr>
            <w:r>
              <w:rPr>
                <w:sz w:val="16"/>
              </w:rPr>
              <w:t>SC</w:t>
            </w:r>
          </w:p>
        </w:tc>
        <w:tc>
          <w:tcPr>
            <w:tcW w:type="dxa" w:w="2016"/>
            <w:vAlign w:val="top"/>
          </w:tcPr>
          <w:p>
            <w:pPr>
              <w:spacing w:after="0"/>
            </w:pPr>
            <w:r>
              <w:rPr>
                <w:sz w:val="16"/>
              </w:rPr>
              <w:t>System and Communications Protection</w:t>
            </w:r>
          </w:p>
        </w:tc>
        <w:tc>
          <w:tcPr>
            <w:tcW w:type="dxa" w:w="2016"/>
            <w:vAlign w:val="top"/>
          </w:tcPr>
          <w:p>
            <w:pPr>
              <w:spacing w:after="0"/>
            </w:pPr>
            <w:r>
              <w:rPr>
                <w:sz w:val="16"/>
              </w:rPr>
              <w:t>20</w:t>
            </w:r>
          </w:p>
        </w:tc>
        <w:tc>
          <w:tcPr>
            <w:tcW w:type="dxa" w:w="2016"/>
            <w:vAlign w:val="top"/>
          </w:tcPr>
          <w:p>
            <w:pPr>
              <w:spacing w:after="0"/>
            </w:pPr>
            <w:r>
              <w:rPr>
                <w:sz w:val="16"/>
              </w:rPr>
              <w:t>20</w:t>
            </w:r>
          </w:p>
        </w:tc>
        <w:tc>
          <w:tcPr>
            <w:tcW w:type="dxa" w:w="2016"/>
            <w:vAlign w:val="top"/>
          </w:tcPr>
          <w:p>
            <w:pPr>
              <w:spacing w:after="0"/>
            </w:pPr>
            <w:r>
              <w:rPr>
                <w:sz w:val="16"/>
              </w:rPr>
              <w:t>Substantially Addressed</w:t>
            </w:r>
          </w:p>
        </w:tc>
      </w:tr>
      <w:tr>
        <w:tc>
          <w:tcPr>
            <w:tcW w:type="dxa" w:w="2016"/>
            <w:vAlign w:val="top"/>
          </w:tcPr>
          <w:p>
            <w:pPr>
              <w:spacing w:after="0"/>
            </w:pPr>
            <w:r>
              <w:rPr>
                <w:sz w:val="16"/>
              </w:rPr>
              <w:t>SI</w:t>
            </w:r>
          </w:p>
        </w:tc>
        <w:tc>
          <w:tcPr>
            <w:tcW w:type="dxa" w:w="2016"/>
            <w:vAlign w:val="top"/>
          </w:tcPr>
          <w:p>
            <w:pPr>
              <w:spacing w:after="0"/>
            </w:pPr>
            <w:r>
              <w:rPr>
                <w:sz w:val="16"/>
              </w:rPr>
              <w:t>System and Information Integrity</w:t>
            </w:r>
          </w:p>
        </w:tc>
        <w:tc>
          <w:tcPr>
            <w:tcW w:type="dxa" w:w="2016"/>
            <w:vAlign w:val="top"/>
          </w:tcPr>
          <w:p>
            <w:pPr>
              <w:spacing w:after="0"/>
            </w:pPr>
            <w:r>
              <w:rPr>
                <w:sz w:val="16"/>
              </w:rPr>
              <w:t>43</w:t>
            </w:r>
          </w:p>
        </w:tc>
        <w:tc>
          <w:tcPr>
            <w:tcW w:type="dxa" w:w="2016"/>
            <w:vAlign w:val="top"/>
          </w:tcPr>
          <w:p>
            <w:pPr>
              <w:spacing w:after="0"/>
            </w:pPr>
            <w:r>
              <w:rPr>
                <w:sz w:val="16"/>
              </w:rPr>
              <w:t>43</w:t>
            </w:r>
          </w:p>
        </w:tc>
        <w:tc>
          <w:tcPr>
            <w:tcW w:type="dxa" w:w="2016"/>
            <w:vAlign w:val="top"/>
          </w:tcPr>
          <w:p>
            <w:pPr>
              <w:spacing w:after="0"/>
            </w:pPr>
            <w:r>
              <w:rPr>
                <w:sz w:val="16"/>
              </w:rPr>
              <w:t>Substantially Addressed</w:t>
            </w:r>
          </w:p>
        </w:tc>
      </w:tr>
      <w:tr>
        <w:tc>
          <w:tcPr>
            <w:tcW w:type="dxa" w:w="2016"/>
            <w:vAlign w:val="top"/>
          </w:tcPr>
          <w:p>
            <w:pPr>
              <w:spacing w:after="0"/>
            </w:pPr>
            <w:r>
              <w:rPr>
                <w:sz w:val="16"/>
              </w:rPr>
              <w:t>SR</w:t>
            </w:r>
          </w:p>
        </w:tc>
        <w:tc>
          <w:tcPr>
            <w:tcW w:type="dxa" w:w="2016"/>
            <w:vAlign w:val="top"/>
          </w:tcPr>
          <w:p>
            <w:pPr>
              <w:spacing w:after="0"/>
            </w:pPr>
            <w:r>
              <w:rPr>
                <w:sz w:val="16"/>
              </w:rPr>
              <w:t>Supply Chain Risk Management</w:t>
            </w:r>
          </w:p>
        </w:tc>
        <w:tc>
          <w:tcPr>
            <w:tcW w:type="dxa" w:w="2016"/>
            <w:vAlign w:val="top"/>
          </w:tcPr>
          <w:p>
            <w:pPr>
              <w:spacing w:after="0"/>
            </w:pPr>
            <w:r>
              <w:rPr>
                <w:sz w:val="16"/>
              </w:rPr>
              <w:t>17</w:t>
            </w:r>
          </w:p>
        </w:tc>
        <w:tc>
          <w:tcPr>
            <w:tcW w:type="dxa" w:w="2016"/>
            <w:vAlign w:val="top"/>
          </w:tcPr>
          <w:p>
            <w:pPr>
              <w:spacing w:after="0"/>
            </w:pPr>
            <w:r>
              <w:rPr>
                <w:sz w:val="16"/>
              </w:rPr>
              <w:t>17</w:t>
            </w:r>
          </w:p>
        </w:tc>
        <w:tc>
          <w:tcPr>
            <w:tcW w:type="dxa" w:w="2016"/>
            <w:vAlign w:val="top"/>
          </w:tcPr>
          <w:p>
            <w:pPr>
              <w:spacing w:after="0"/>
            </w:pPr>
            <w:r>
              <w:rPr>
                <w:sz w:val="16"/>
              </w:rPr>
              <w:t>Substantially Addressed</w:t>
            </w:r>
          </w:p>
        </w:tc>
      </w:tr>
    </w:tbl>
    <w:p>
      <w:pPr>
        <w:pStyle w:val="Heading1"/>
      </w:pPr>
      <w:r>
        <w:t>8. GAISSF-to-FedRAMP Mapping Register</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rPr>
          <w:tblHeader w:val="true"/>
        </w:trPr>
        <w:tc>
          <w:tcPr>
            <w:tcW w:type="dxa" w:w="1680"/>
            <w:shd w:fill="163A5F"/>
            <w:vAlign w:val="center"/>
          </w:tcPr>
          <w:p>
            <w:r>
              <w:rPr>
                <w:b/>
                <w:color w:val="FFFFFF"/>
                <w:sz w:val="13"/>
              </w:rPr>
              <w:t>GAISSF ID</w:t>
            </w:r>
          </w:p>
        </w:tc>
        <w:tc>
          <w:tcPr>
            <w:tcW w:type="dxa" w:w="1680"/>
            <w:shd w:fill="163A5F"/>
            <w:vAlign w:val="center"/>
          </w:tcPr>
          <w:p>
            <w:r>
              <w:rPr>
                <w:b/>
                <w:color w:val="FFFFFF"/>
                <w:sz w:val="13"/>
              </w:rPr>
              <w:t>GAISSF control</w:t>
            </w:r>
          </w:p>
        </w:tc>
        <w:tc>
          <w:tcPr>
            <w:tcW w:type="dxa" w:w="1680"/>
            <w:shd w:fill="163A5F"/>
            <w:vAlign w:val="center"/>
          </w:tcPr>
          <w:p>
            <w:r>
              <w:rPr>
                <w:b/>
                <w:color w:val="FFFFFF"/>
                <w:sz w:val="13"/>
              </w:rPr>
              <w:t>FedRAMP family</w:t>
            </w:r>
          </w:p>
        </w:tc>
        <w:tc>
          <w:tcPr>
            <w:tcW w:type="dxa" w:w="1680"/>
            <w:shd w:fill="163A5F"/>
            <w:vAlign w:val="center"/>
          </w:tcPr>
          <w:p>
            <w:r>
              <w:rPr>
                <w:b/>
                <w:color w:val="FFFFFF"/>
                <w:sz w:val="13"/>
              </w:rPr>
              <w:t>Relationship</w:t>
            </w:r>
          </w:p>
        </w:tc>
        <w:tc>
          <w:tcPr>
            <w:tcW w:type="dxa" w:w="1680"/>
            <w:shd w:fill="163A5F"/>
            <w:vAlign w:val="center"/>
          </w:tcPr>
          <w:p>
            <w:r>
              <w:rPr>
                <w:b/>
                <w:color w:val="FFFFFF"/>
                <w:sz w:val="13"/>
              </w:rPr>
              <w:t>Confidence</w:t>
            </w:r>
          </w:p>
        </w:tc>
        <w:tc>
          <w:tcPr>
            <w:tcW w:type="dxa" w:w="1680"/>
            <w:shd w:fill="163A5F"/>
            <w:vAlign w:val="center"/>
          </w:tcPr>
          <w:p>
            <w:r>
              <w:rPr>
                <w:b/>
                <w:color w:val="FFFFFF"/>
                <w:sz w:val="13"/>
              </w:rPr>
              <w:t>Residual gap</w:t>
            </w:r>
          </w:p>
        </w:tc>
      </w:tr>
      <w:tr>
        <w:tc>
          <w:tcPr>
            <w:tcW w:type="dxa" w:w="1680"/>
            <w:vAlign w:val="top"/>
          </w:tcPr>
          <w:p>
            <w:pPr>
              <w:spacing w:after="0"/>
            </w:pPr>
            <w:r>
              <w:rPr>
                <w:sz w:val="13"/>
              </w:rPr>
              <w:t>D1-CTL-01</w:t>
            </w:r>
          </w:p>
        </w:tc>
        <w:tc>
          <w:tcPr>
            <w:tcW w:type="dxa" w:w="1680"/>
            <w:vAlign w:val="top"/>
          </w:tcPr>
          <w:p>
            <w:pPr>
              <w:spacing w:after="0"/>
            </w:pPr>
            <w:r>
              <w:rPr>
                <w:sz w:val="13"/>
              </w:rPr>
              <w:t>Dataset Provenance &amp; Poisoning Prevention</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D1-CTL-01</w:t>
            </w:r>
          </w:p>
        </w:tc>
        <w:tc>
          <w:tcPr>
            <w:tcW w:type="dxa" w:w="1680"/>
            <w:vAlign w:val="top"/>
          </w:tcPr>
          <w:p>
            <w:pPr>
              <w:spacing w:after="0"/>
            </w:pPr>
            <w:r>
              <w:rPr>
                <w:sz w:val="13"/>
              </w:rPr>
              <w:t>Dataset Provenance &amp; Poisoning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D1-CTL-01</w:t>
            </w:r>
          </w:p>
        </w:tc>
        <w:tc>
          <w:tcPr>
            <w:tcW w:type="dxa" w:w="1680"/>
            <w:vAlign w:val="top"/>
          </w:tcPr>
          <w:p>
            <w:pPr>
              <w:spacing w:after="0"/>
            </w:pPr>
            <w:r>
              <w:rPr>
                <w:sz w:val="13"/>
              </w:rPr>
              <w:t>Dataset Provenance &amp; Poisoning Prevention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D1-CTL-01</w:t>
            </w:r>
          </w:p>
        </w:tc>
        <w:tc>
          <w:tcPr>
            <w:tcW w:type="dxa" w:w="1680"/>
            <w:vAlign w:val="top"/>
          </w:tcPr>
          <w:p>
            <w:pPr>
              <w:spacing w:after="0"/>
            </w:pPr>
            <w:r>
              <w:rPr>
                <w:sz w:val="13"/>
              </w:rPr>
              <w:t>Dataset Provenance &amp; Poisoning Prevention</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D1-CTL-02</w:t>
            </w:r>
          </w:p>
        </w:tc>
        <w:tc>
          <w:tcPr>
            <w:tcW w:type="dxa" w:w="1680"/>
            <w:vAlign w:val="top"/>
          </w:tcPr>
          <w:p>
            <w:pPr>
              <w:spacing w:after="0"/>
            </w:pPr>
            <w:r>
              <w:rPr>
                <w:sz w:val="13"/>
              </w:rPr>
              <w:t>Model Extraction Resistance</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D1-CTL-02</w:t>
            </w:r>
          </w:p>
        </w:tc>
        <w:tc>
          <w:tcPr>
            <w:tcW w:type="dxa" w:w="1680"/>
            <w:vAlign w:val="top"/>
          </w:tcPr>
          <w:p>
            <w:pPr>
              <w:spacing w:after="0"/>
            </w:pPr>
            <w:r>
              <w:rPr>
                <w:sz w:val="13"/>
              </w:rPr>
              <w:t>Model Extraction Resistance</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D1-CTL-02</w:t>
            </w:r>
          </w:p>
        </w:tc>
        <w:tc>
          <w:tcPr>
            <w:tcW w:type="dxa" w:w="1680"/>
            <w:vAlign w:val="top"/>
          </w:tcPr>
          <w:p>
            <w:pPr>
              <w:spacing w:after="0"/>
            </w:pPr>
            <w:r>
              <w:rPr>
                <w:sz w:val="13"/>
              </w:rPr>
              <w:t>Model Extraction Resistance</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D1-CTL-02</w:t>
            </w:r>
          </w:p>
        </w:tc>
        <w:tc>
          <w:tcPr>
            <w:tcW w:type="dxa" w:w="1680"/>
            <w:vAlign w:val="top"/>
          </w:tcPr>
          <w:p>
            <w:pPr>
              <w:spacing w:after="0"/>
            </w:pPr>
            <w:r>
              <w:rPr>
                <w:sz w:val="13"/>
              </w:rPr>
              <w:t>Model Extraction Resistance</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D1-CTL-03</w:t>
            </w:r>
          </w:p>
        </w:tc>
        <w:tc>
          <w:tcPr>
            <w:tcW w:type="dxa" w:w="1680"/>
            <w:vAlign w:val="top"/>
          </w:tcPr>
          <w:p>
            <w:pPr>
              <w:spacing w:after="0"/>
            </w:pPr>
            <w:r>
              <w:rPr>
                <w:sz w:val="13"/>
              </w:rPr>
              <w:t>Behavioral Drift Detection</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D1-CTL-03</w:t>
            </w:r>
          </w:p>
        </w:tc>
        <w:tc>
          <w:tcPr>
            <w:tcW w:type="dxa" w:w="1680"/>
            <w:vAlign w:val="top"/>
          </w:tcPr>
          <w:p>
            <w:pPr>
              <w:spacing w:after="0"/>
            </w:pPr>
            <w:r>
              <w:rPr>
                <w:sz w:val="13"/>
              </w:rPr>
              <w:t>Behavioral Drift Detection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D1-CTL-03</w:t>
            </w:r>
          </w:p>
        </w:tc>
        <w:tc>
          <w:tcPr>
            <w:tcW w:type="dxa" w:w="1680"/>
            <w:vAlign w:val="top"/>
          </w:tcPr>
          <w:p>
            <w:pPr>
              <w:spacing w:after="0"/>
            </w:pPr>
            <w:r>
              <w:rPr>
                <w:sz w:val="13"/>
              </w:rPr>
              <w:t>Behavioral Drift Detection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D1-CTL-03</w:t>
            </w:r>
          </w:p>
        </w:tc>
        <w:tc>
          <w:tcPr>
            <w:tcW w:type="dxa" w:w="1680"/>
            <w:vAlign w:val="top"/>
          </w:tcPr>
          <w:p>
            <w:pPr>
              <w:spacing w:after="0"/>
            </w:pPr>
            <w:r>
              <w:rPr>
                <w:sz w:val="13"/>
              </w:rPr>
              <w:t>Behavioral Drift Detection</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D1-CTL-04</w:t>
            </w:r>
          </w:p>
        </w:tc>
        <w:tc>
          <w:tcPr>
            <w:tcW w:type="dxa" w:w="1680"/>
            <w:vAlign w:val="top"/>
          </w:tcPr>
          <w:p>
            <w:pPr>
              <w:spacing w:after="0"/>
            </w:pPr>
            <w:r>
              <w:rPr>
                <w:sz w:val="13"/>
              </w:rPr>
              <w:t>Federated Learning Poisoning Prevention</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D1-CTL-04</w:t>
            </w:r>
          </w:p>
        </w:tc>
        <w:tc>
          <w:tcPr>
            <w:tcW w:type="dxa" w:w="1680"/>
            <w:vAlign w:val="top"/>
          </w:tcPr>
          <w:p>
            <w:pPr>
              <w:spacing w:after="0"/>
            </w:pPr>
            <w:r>
              <w:rPr>
                <w:sz w:val="13"/>
              </w:rPr>
              <w:t>Federated Learning Poisoning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D1-CTL-04</w:t>
            </w:r>
          </w:p>
        </w:tc>
        <w:tc>
          <w:tcPr>
            <w:tcW w:type="dxa" w:w="1680"/>
            <w:vAlign w:val="top"/>
          </w:tcPr>
          <w:p>
            <w:pPr>
              <w:spacing w:after="0"/>
            </w:pPr>
            <w:r>
              <w:rPr>
                <w:sz w:val="13"/>
              </w:rPr>
              <w:t>Federated Learning Poisoning Prevention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D1-CTL-04</w:t>
            </w:r>
          </w:p>
        </w:tc>
        <w:tc>
          <w:tcPr>
            <w:tcW w:type="dxa" w:w="1680"/>
            <w:vAlign w:val="top"/>
          </w:tcPr>
          <w:p>
            <w:pPr>
              <w:spacing w:after="0"/>
            </w:pPr>
            <w:r>
              <w:rPr>
                <w:sz w:val="13"/>
              </w:rPr>
              <w:t>Federated Learning Poisoning Prevention</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D1-CTL-05</w:t>
            </w:r>
          </w:p>
        </w:tc>
        <w:tc>
          <w:tcPr>
            <w:tcW w:type="dxa" w:w="1680"/>
            <w:vAlign w:val="top"/>
          </w:tcPr>
          <w:p>
            <w:pPr>
              <w:spacing w:after="0"/>
            </w:pPr>
            <w:r>
              <w:rPr>
                <w:sz w:val="13"/>
              </w:rPr>
              <w:t>Embedding Space Robustness</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D1-CTL-05</w:t>
            </w:r>
          </w:p>
        </w:tc>
        <w:tc>
          <w:tcPr>
            <w:tcW w:type="dxa" w:w="1680"/>
            <w:vAlign w:val="top"/>
          </w:tcPr>
          <w:p>
            <w:pPr>
              <w:spacing w:after="0"/>
            </w:pPr>
            <w:r>
              <w:rPr>
                <w:sz w:val="13"/>
              </w:rPr>
              <w:t>Embedding Space Robustness</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D1-CTL-05</w:t>
            </w:r>
          </w:p>
        </w:tc>
        <w:tc>
          <w:tcPr>
            <w:tcW w:type="dxa" w:w="1680"/>
            <w:vAlign w:val="top"/>
          </w:tcPr>
          <w:p>
            <w:pPr>
              <w:spacing w:after="0"/>
            </w:pPr>
            <w:r>
              <w:rPr>
                <w:sz w:val="13"/>
              </w:rPr>
              <w:t>Embedding Space Robustness</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D1-CTL-05</w:t>
            </w:r>
          </w:p>
        </w:tc>
        <w:tc>
          <w:tcPr>
            <w:tcW w:type="dxa" w:w="1680"/>
            <w:vAlign w:val="top"/>
          </w:tcPr>
          <w:p>
            <w:pPr>
              <w:spacing w:after="0"/>
            </w:pPr>
            <w:r>
              <w:rPr>
                <w:sz w:val="13"/>
              </w:rPr>
              <w:t>Embedding Space Robustness</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D1-CTL-06</w:t>
            </w:r>
          </w:p>
        </w:tc>
        <w:tc>
          <w:tcPr>
            <w:tcW w:type="dxa" w:w="1680"/>
            <w:vAlign w:val="top"/>
          </w:tcPr>
          <w:p>
            <w:pPr>
              <w:spacing w:after="0"/>
            </w:pPr>
            <w:r>
              <w:rPr>
                <w:sz w:val="13"/>
              </w:rPr>
              <w:t>Post-Quantum Model Signing &amp; Crypto Hardening</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D1-CTL-06</w:t>
            </w:r>
          </w:p>
        </w:tc>
        <w:tc>
          <w:tcPr>
            <w:tcW w:type="dxa" w:w="1680"/>
            <w:vAlign w:val="top"/>
          </w:tcPr>
          <w:p>
            <w:pPr>
              <w:spacing w:after="0"/>
            </w:pPr>
            <w:r>
              <w:rPr>
                <w:sz w:val="13"/>
              </w:rPr>
              <w:t>Post-Quantum Model Signing &amp; Crypto Hardening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D1-CTL-06</w:t>
            </w:r>
          </w:p>
        </w:tc>
        <w:tc>
          <w:tcPr>
            <w:tcW w:type="dxa" w:w="1680"/>
            <w:vAlign w:val="top"/>
          </w:tcPr>
          <w:p>
            <w:pPr>
              <w:spacing w:after="0"/>
            </w:pPr>
            <w:r>
              <w:rPr>
                <w:sz w:val="13"/>
              </w:rPr>
              <w:t>Post-Quantum Model Signing &amp; Crypto Hardening</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D1-CTL-06</w:t>
            </w:r>
          </w:p>
        </w:tc>
        <w:tc>
          <w:tcPr>
            <w:tcW w:type="dxa" w:w="1680"/>
            <w:vAlign w:val="top"/>
          </w:tcPr>
          <w:p>
            <w:pPr>
              <w:spacing w:after="0"/>
            </w:pPr>
            <w:r>
              <w:rPr>
                <w:sz w:val="13"/>
              </w:rPr>
              <w:t>Post-Quantum Model Signing &amp; Crypto Hardening</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D1-CTL-06</w:t>
            </w:r>
          </w:p>
        </w:tc>
        <w:tc>
          <w:tcPr>
            <w:tcW w:type="dxa" w:w="1680"/>
            <w:vAlign w:val="top"/>
          </w:tcPr>
          <w:p>
            <w:pPr>
              <w:spacing w:after="0"/>
            </w:pPr>
            <w:r>
              <w:rPr>
                <w:sz w:val="13"/>
              </w:rPr>
              <w:t>Post-Quantum Model Signing &amp; Crypto Hardening</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D1-CTL-07</w:t>
            </w:r>
          </w:p>
        </w:tc>
        <w:tc>
          <w:tcPr>
            <w:tcW w:type="dxa" w:w="1680"/>
            <w:vAlign w:val="top"/>
          </w:tcPr>
          <w:p>
            <w:pPr>
              <w:spacing w:after="0"/>
            </w:pPr>
            <w:r>
              <w:rPr>
                <w:sz w:val="13"/>
              </w:rPr>
              <w:t>Lora/Adapter Integrity Verification</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D1-CTL-07</w:t>
            </w:r>
          </w:p>
        </w:tc>
        <w:tc>
          <w:tcPr>
            <w:tcW w:type="dxa" w:w="1680"/>
            <w:vAlign w:val="top"/>
          </w:tcPr>
          <w:p>
            <w:pPr>
              <w:spacing w:after="0"/>
            </w:pPr>
            <w:r>
              <w:rPr>
                <w:sz w:val="13"/>
              </w:rPr>
              <w:t>Lora/Adapter Integrity Verification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D1-CTL-07</w:t>
            </w:r>
          </w:p>
        </w:tc>
        <w:tc>
          <w:tcPr>
            <w:tcW w:type="dxa" w:w="1680"/>
            <w:vAlign w:val="top"/>
          </w:tcPr>
          <w:p>
            <w:pPr>
              <w:spacing w:after="0"/>
            </w:pPr>
            <w:r>
              <w:rPr>
                <w:sz w:val="13"/>
              </w:rPr>
              <w:t>Lora/Adapter Integrity Verification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D1-CTL-07</w:t>
            </w:r>
          </w:p>
        </w:tc>
        <w:tc>
          <w:tcPr>
            <w:tcW w:type="dxa" w:w="1680"/>
            <w:vAlign w:val="top"/>
          </w:tcPr>
          <w:p>
            <w:pPr>
              <w:spacing w:after="0"/>
            </w:pPr>
            <w:r>
              <w:rPr>
                <w:sz w:val="13"/>
              </w:rPr>
              <w:t>Lora/Adapter Integrity Verification</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D1-CTL-08</w:t>
            </w:r>
          </w:p>
        </w:tc>
        <w:tc>
          <w:tcPr>
            <w:tcW w:type="dxa" w:w="1680"/>
            <w:vAlign w:val="top"/>
          </w:tcPr>
          <w:p>
            <w:pPr>
              <w:spacing w:after="0"/>
            </w:pPr>
            <w:r>
              <w:rPr>
                <w:sz w:val="13"/>
              </w:rPr>
              <w:t>Model Merge Attack Detection</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D1-CTL-08</w:t>
            </w:r>
          </w:p>
        </w:tc>
        <w:tc>
          <w:tcPr>
            <w:tcW w:type="dxa" w:w="1680"/>
            <w:vAlign w:val="top"/>
          </w:tcPr>
          <w:p>
            <w:pPr>
              <w:spacing w:after="0"/>
            </w:pPr>
            <w:r>
              <w:rPr>
                <w:sz w:val="13"/>
              </w:rPr>
              <w:t>Model Merge Attack Detection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D1-CTL-08</w:t>
            </w:r>
          </w:p>
        </w:tc>
        <w:tc>
          <w:tcPr>
            <w:tcW w:type="dxa" w:w="1680"/>
            <w:vAlign w:val="top"/>
          </w:tcPr>
          <w:p>
            <w:pPr>
              <w:spacing w:after="0"/>
            </w:pPr>
            <w:r>
              <w:rPr>
                <w:sz w:val="13"/>
              </w:rPr>
              <w:t>Model Merge Attack Detection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D1-CTL-08</w:t>
            </w:r>
          </w:p>
        </w:tc>
        <w:tc>
          <w:tcPr>
            <w:tcW w:type="dxa" w:w="1680"/>
            <w:vAlign w:val="top"/>
          </w:tcPr>
          <w:p>
            <w:pPr>
              <w:spacing w:after="0"/>
            </w:pPr>
            <w:r>
              <w:rPr>
                <w:sz w:val="13"/>
              </w:rPr>
              <w:t>Model Merge Attack Detection</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D1-CTL-09</w:t>
            </w:r>
          </w:p>
        </w:tc>
        <w:tc>
          <w:tcPr>
            <w:tcW w:type="dxa" w:w="1680"/>
            <w:vAlign w:val="top"/>
          </w:tcPr>
          <w:p>
            <w:pPr>
              <w:spacing w:after="0"/>
            </w:pPr>
            <w:r>
              <w:rPr>
                <w:sz w:val="13"/>
              </w:rPr>
              <w:t>Quantization Backdoor Screening</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D1-CTL-09</w:t>
            </w:r>
          </w:p>
        </w:tc>
        <w:tc>
          <w:tcPr>
            <w:tcW w:type="dxa" w:w="1680"/>
            <w:vAlign w:val="top"/>
          </w:tcPr>
          <w:p>
            <w:pPr>
              <w:spacing w:after="0"/>
            </w:pPr>
            <w:r>
              <w:rPr>
                <w:sz w:val="13"/>
              </w:rPr>
              <w:t>Quantization Backdoor Screening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D1-CTL-09</w:t>
            </w:r>
          </w:p>
        </w:tc>
        <w:tc>
          <w:tcPr>
            <w:tcW w:type="dxa" w:w="1680"/>
            <w:vAlign w:val="top"/>
          </w:tcPr>
          <w:p>
            <w:pPr>
              <w:spacing w:after="0"/>
            </w:pPr>
            <w:r>
              <w:rPr>
                <w:sz w:val="13"/>
              </w:rPr>
              <w:t>Quantization Backdoor Screening</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D1-CTL-09</w:t>
            </w:r>
          </w:p>
        </w:tc>
        <w:tc>
          <w:tcPr>
            <w:tcW w:type="dxa" w:w="1680"/>
            <w:vAlign w:val="top"/>
          </w:tcPr>
          <w:p>
            <w:pPr>
              <w:spacing w:after="0"/>
            </w:pPr>
            <w:r>
              <w:rPr>
                <w:sz w:val="13"/>
              </w:rPr>
              <w:t>Quantization Backdoor Screening</w:t>
            </w:r>
          </w:p>
        </w:tc>
        <w:tc>
          <w:tcPr>
            <w:tcW w:type="dxa" w:w="1680"/>
            <w:vAlign w:val="top"/>
          </w:tcPr>
          <w:p>
            <w:pPr>
              <w:spacing w:after="0"/>
            </w:pPr>
            <w:r>
              <w:rPr>
                <w:sz w:val="13"/>
              </w:rPr>
              <w:t>SR — Supply Chain Risk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D2-CTL-01</w:t>
            </w:r>
          </w:p>
        </w:tc>
        <w:tc>
          <w:tcPr>
            <w:tcW w:type="dxa" w:w="1680"/>
            <w:vAlign w:val="top"/>
          </w:tcPr>
          <w:p>
            <w:pPr>
              <w:spacing w:after="0"/>
            </w:pPr>
            <w:r>
              <w:rPr>
                <w:sz w:val="13"/>
              </w:rPr>
              <w:t>Direct Prompt Injection Prevention</w:t>
            </w:r>
          </w:p>
        </w:tc>
        <w:tc>
          <w:tcPr>
            <w:tcW w:type="dxa" w:w="1680"/>
            <w:vAlign w:val="top"/>
          </w:tcPr>
          <w:p>
            <w:pPr>
              <w:spacing w:after="0"/>
            </w:pPr>
            <w:r>
              <w:rPr>
                <w:sz w:val="13"/>
              </w:rPr>
              <w:t>AC — Access Control</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D2-CTL-01</w:t>
            </w:r>
          </w:p>
        </w:tc>
        <w:tc>
          <w:tcPr>
            <w:tcW w:type="dxa" w:w="1680"/>
            <w:vAlign w:val="top"/>
          </w:tcPr>
          <w:p>
            <w:pPr>
              <w:spacing w:after="0"/>
            </w:pPr>
            <w:r>
              <w:rPr>
                <w:sz w:val="13"/>
              </w:rPr>
              <w:t>Direct Prompt Injection Prevention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D2-CTL-01</w:t>
            </w:r>
          </w:p>
        </w:tc>
        <w:tc>
          <w:tcPr>
            <w:tcW w:type="dxa" w:w="1680"/>
            <w:vAlign w:val="top"/>
          </w:tcPr>
          <w:p>
            <w:pPr>
              <w:spacing w:after="0"/>
            </w:pPr>
            <w:r>
              <w:rPr>
                <w:sz w:val="13"/>
              </w:rPr>
              <w:t>Direct Prompt Injection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D2-CTL-01</w:t>
            </w:r>
          </w:p>
        </w:tc>
        <w:tc>
          <w:tcPr>
            <w:tcW w:type="dxa" w:w="1680"/>
            <w:vAlign w:val="top"/>
          </w:tcPr>
          <w:p>
            <w:pPr>
              <w:spacing w:after="0"/>
            </w:pPr>
            <w:r>
              <w:rPr>
                <w:sz w:val="13"/>
              </w:rPr>
              <w:t>Direct Prompt Injection Prevention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D2-CTL-02</w:t>
            </w:r>
          </w:p>
        </w:tc>
        <w:tc>
          <w:tcPr>
            <w:tcW w:type="dxa" w:w="1680"/>
            <w:vAlign w:val="top"/>
          </w:tcPr>
          <w:p>
            <w:pPr>
              <w:spacing w:after="0"/>
            </w:pPr>
            <w:r>
              <w:rPr>
                <w:sz w:val="13"/>
              </w:rPr>
              <w:t>Indirect Prompt Injection Prevention</w:t>
            </w:r>
          </w:p>
        </w:tc>
        <w:tc>
          <w:tcPr>
            <w:tcW w:type="dxa" w:w="1680"/>
            <w:vAlign w:val="top"/>
          </w:tcPr>
          <w:p>
            <w:pPr>
              <w:spacing w:after="0"/>
            </w:pPr>
            <w:r>
              <w:rPr>
                <w:sz w:val="13"/>
              </w:rPr>
              <w:t>AC — Access Control</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D2-CTL-02</w:t>
            </w:r>
          </w:p>
        </w:tc>
        <w:tc>
          <w:tcPr>
            <w:tcW w:type="dxa" w:w="1680"/>
            <w:vAlign w:val="top"/>
          </w:tcPr>
          <w:p>
            <w:pPr>
              <w:spacing w:after="0"/>
            </w:pPr>
            <w:r>
              <w:rPr>
                <w:sz w:val="13"/>
              </w:rPr>
              <w:t>Indirect Prompt Injection Prevention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D2-CTL-02</w:t>
            </w:r>
          </w:p>
        </w:tc>
        <w:tc>
          <w:tcPr>
            <w:tcW w:type="dxa" w:w="1680"/>
            <w:vAlign w:val="top"/>
          </w:tcPr>
          <w:p>
            <w:pPr>
              <w:spacing w:after="0"/>
            </w:pPr>
            <w:r>
              <w:rPr>
                <w:sz w:val="13"/>
              </w:rPr>
              <w:t>Indirect Prompt Injection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D2-CTL-02</w:t>
            </w:r>
          </w:p>
        </w:tc>
        <w:tc>
          <w:tcPr>
            <w:tcW w:type="dxa" w:w="1680"/>
            <w:vAlign w:val="top"/>
          </w:tcPr>
          <w:p>
            <w:pPr>
              <w:spacing w:after="0"/>
            </w:pPr>
            <w:r>
              <w:rPr>
                <w:sz w:val="13"/>
              </w:rPr>
              <w:t>Indirect Prompt Injection Prevention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D2-CTL-03</w:t>
            </w:r>
          </w:p>
        </w:tc>
        <w:tc>
          <w:tcPr>
            <w:tcW w:type="dxa" w:w="1680"/>
            <w:vAlign w:val="top"/>
          </w:tcPr>
          <w:p>
            <w:pPr>
              <w:spacing w:after="0"/>
            </w:pPr>
            <w:r>
              <w:rPr>
                <w:sz w:val="13"/>
              </w:rPr>
              <w:t>Jailbreak Resistance Testing</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D2-CTL-03</w:t>
            </w:r>
          </w:p>
        </w:tc>
        <w:tc>
          <w:tcPr>
            <w:tcW w:type="dxa" w:w="1680"/>
            <w:vAlign w:val="top"/>
          </w:tcPr>
          <w:p>
            <w:pPr>
              <w:spacing w:after="0"/>
            </w:pPr>
            <w:r>
              <w:rPr>
                <w:sz w:val="13"/>
              </w:rPr>
              <w:t>Jailbreak Resistance Testing</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D2-CTL-03</w:t>
            </w:r>
          </w:p>
        </w:tc>
        <w:tc>
          <w:tcPr>
            <w:tcW w:type="dxa" w:w="1680"/>
            <w:vAlign w:val="top"/>
          </w:tcPr>
          <w:p>
            <w:pPr>
              <w:spacing w:after="0"/>
            </w:pPr>
            <w:r>
              <w:rPr>
                <w:sz w:val="13"/>
              </w:rPr>
              <w:t>Jailbreak Resistance Testing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D2-CTL-03</w:t>
            </w:r>
          </w:p>
        </w:tc>
        <w:tc>
          <w:tcPr>
            <w:tcW w:type="dxa" w:w="1680"/>
            <w:vAlign w:val="top"/>
          </w:tcPr>
          <w:p>
            <w:pPr>
              <w:spacing w:after="0"/>
            </w:pPr>
            <w:r>
              <w:rPr>
                <w:sz w:val="13"/>
              </w:rPr>
              <w:t>Jailbreak Resistance Testing</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D2-CTL-04</w:t>
            </w:r>
          </w:p>
        </w:tc>
        <w:tc>
          <w:tcPr>
            <w:tcW w:type="dxa" w:w="1680"/>
            <w:vAlign w:val="top"/>
          </w:tcPr>
          <w:p>
            <w:pPr>
              <w:spacing w:after="0"/>
            </w:pPr>
            <w:r>
              <w:rPr>
                <w:sz w:val="13"/>
              </w:rPr>
              <w:t>Multi-Modal Injection Defense</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D2-CTL-04</w:t>
            </w:r>
          </w:p>
        </w:tc>
        <w:tc>
          <w:tcPr>
            <w:tcW w:type="dxa" w:w="1680"/>
            <w:vAlign w:val="top"/>
          </w:tcPr>
          <w:p>
            <w:pPr>
              <w:spacing w:after="0"/>
            </w:pPr>
            <w:r>
              <w:rPr>
                <w:sz w:val="13"/>
              </w:rPr>
              <w:t>Multi-Modal Injection Defense</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D2-CTL-04</w:t>
            </w:r>
          </w:p>
        </w:tc>
        <w:tc>
          <w:tcPr>
            <w:tcW w:type="dxa" w:w="1680"/>
            <w:vAlign w:val="top"/>
          </w:tcPr>
          <w:p>
            <w:pPr>
              <w:spacing w:after="0"/>
            </w:pPr>
            <w:r>
              <w:rPr>
                <w:sz w:val="13"/>
              </w:rPr>
              <w:t>Multi-Modal Injection Defense</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D2-CTL-04</w:t>
            </w:r>
          </w:p>
        </w:tc>
        <w:tc>
          <w:tcPr>
            <w:tcW w:type="dxa" w:w="1680"/>
            <w:vAlign w:val="top"/>
          </w:tcPr>
          <w:p>
            <w:pPr>
              <w:spacing w:after="0"/>
            </w:pPr>
            <w:r>
              <w:rPr>
                <w:sz w:val="13"/>
              </w:rPr>
              <w:t>Multi-Modal Injection Defense</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D2-CTL-05</w:t>
            </w:r>
          </w:p>
        </w:tc>
        <w:tc>
          <w:tcPr>
            <w:tcW w:type="dxa" w:w="1680"/>
            <w:vAlign w:val="top"/>
          </w:tcPr>
          <w:p>
            <w:pPr>
              <w:spacing w:after="0"/>
            </w:pPr>
            <w:r>
              <w:rPr>
                <w:sz w:val="13"/>
              </w:rPr>
              <w:t>Function Call/Tool Call Injection Prevention</w:t>
            </w:r>
          </w:p>
        </w:tc>
        <w:tc>
          <w:tcPr>
            <w:tcW w:type="dxa" w:w="1680"/>
            <w:vAlign w:val="top"/>
          </w:tcPr>
          <w:p>
            <w:pPr>
              <w:spacing w:after="0"/>
            </w:pPr>
            <w:r>
              <w:rPr>
                <w:sz w:val="13"/>
              </w:rPr>
              <w:t>AC — Access Control</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D2-CTL-05</w:t>
            </w:r>
          </w:p>
        </w:tc>
        <w:tc>
          <w:tcPr>
            <w:tcW w:type="dxa" w:w="1680"/>
            <w:vAlign w:val="top"/>
          </w:tcPr>
          <w:p>
            <w:pPr>
              <w:spacing w:after="0"/>
            </w:pPr>
            <w:r>
              <w:rPr>
                <w:sz w:val="13"/>
              </w:rPr>
              <w:t>Function Call/Tool Call Injection Prevention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D2-CTL-05</w:t>
            </w:r>
          </w:p>
        </w:tc>
        <w:tc>
          <w:tcPr>
            <w:tcW w:type="dxa" w:w="1680"/>
            <w:vAlign w:val="top"/>
          </w:tcPr>
          <w:p>
            <w:pPr>
              <w:spacing w:after="0"/>
            </w:pPr>
            <w:r>
              <w:rPr>
                <w:sz w:val="13"/>
              </w:rPr>
              <w:t>Function Call/Tool Call Injection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D2-CTL-05</w:t>
            </w:r>
          </w:p>
        </w:tc>
        <w:tc>
          <w:tcPr>
            <w:tcW w:type="dxa" w:w="1680"/>
            <w:vAlign w:val="top"/>
          </w:tcPr>
          <w:p>
            <w:pPr>
              <w:spacing w:after="0"/>
            </w:pPr>
            <w:r>
              <w:rPr>
                <w:sz w:val="13"/>
              </w:rPr>
              <w:t>Function Call/Tool Call Injection Prevention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D2-CTL-06</w:t>
            </w:r>
          </w:p>
        </w:tc>
        <w:tc>
          <w:tcPr>
            <w:tcW w:type="dxa" w:w="1680"/>
            <w:vAlign w:val="top"/>
          </w:tcPr>
          <w:p>
            <w:pPr>
              <w:spacing w:after="0"/>
            </w:pPr>
            <w:r>
              <w:rPr>
                <w:sz w:val="13"/>
              </w:rPr>
              <w:t>Cross-Context Hijacking Mitigation</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D2-CTL-06</w:t>
            </w:r>
          </w:p>
        </w:tc>
        <w:tc>
          <w:tcPr>
            <w:tcW w:type="dxa" w:w="1680"/>
            <w:vAlign w:val="top"/>
          </w:tcPr>
          <w:p>
            <w:pPr>
              <w:spacing w:after="0"/>
            </w:pPr>
            <w:r>
              <w:rPr>
                <w:sz w:val="13"/>
              </w:rPr>
              <w:t>Cross-Context Hijacking Mitigation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D2-CTL-06</w:t>
            </w:r>
          </w:p>
        </w:tc>
        <w:tc>
          <w:tcPr>
            <w:tcW w:type="dxa" w:w="1680"/>
            <w:vAlign w:val="top"/>
          </w:tcPr>
          <w:p>
            <w:pPr>
              <w:spacing w:after="0"/>
            </w:pPr>
            <w:r>
              <w:rPr>
                <w:sz w:val="13"/>
              </w:rPr>
              <w:t>Cross-Context Hijacking Mitigation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D2-CTL-06</w:t>
            </w:r>
          </w:p>
        </w:tc>
        <w:tc>
          <w:tcPr>
            <w:tcW w:type="dxa" w:w="1680"/>
            <w:vAlign w:val="top"/>
          </w:tcPr>
          <w:p>
            <w:pPr>
              <w:spacing w:after="0"/>
            </w:pPr>
            <w:r>
              <w:rPr>
                <w:sz w:val="13"/>
              </w:rPr>
              <w:t>Cross-Context Hijacking Mitigation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D3-CTL-01</w:t>
            </w:r>
          </w:p>
        </w:tc>
        <w:tc>
          <w:tcPr>
            <w:tcW w:type="dxa" w:w="1680"/>
            <w:vAlign w:val="top"/>
          </w:tcPr>
          <w:p>
            <w:pPr>
              <w:spacing w:after="0"/>
            </w:pPr>
            <w:r>
              <w:rPr>
                <w:sz w:val="13"/>
              </w:rPr>
              <w:t>Least Agency Enforcement</w:t>
            </w:r>
          </w:p>
        </w:tc>
        <w:tc>
          <w:tcPr>
            <w:tcW w:type="dxa" w:w="1680"/>
            <w:vAlign w:val="top"/>
          </w:tcPr>
          <w:p>
            <w:pPr>
              <w:spacing w:after="0"/>
            </w:pPr>
            <w:r>
              <w:rPr>
                <w:sz w:val="13"/>
              </w:rPr>
              <w:t>AC — Access Control</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D3-CTL-01</w:t>
            </w:r>
          </w:p>
        </w:tc>
        <w:tc>
          <w:tcPr>
            <w:tcW w:type="dxa" w:w="1680"/>
            <w:vAlign w:val="top"/>
          </w:tcPr>
          <w:p>
            <w:pPr>
              <w:spacing w:after="0"/>
            </w:pPr>
            <w:r>
              <w:rPr>
                <w:sz w:val="13"/>
              </w:rPr>
              <w:t>Least Agency Enforcement</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D3-CTL-01</w:t>
            </w:r>
          </w:p>
        </w:tc>
        <w:tc>
          <w:tcPr>
            <w:tcW w:type="dxa" w:w="1680"/>
            <w:vAlign w:val="top"/>
          </w:tcPr>
          <w:p>
            <w:pPr>
              <w:spacing w:after="0"/>
            </w:pPr>
            <w:r>
              <w:rPr>
                <w:sz w:val="13"/>
              </w:rPr>
              <w:t>Least Agency Enforcement</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D3-CTL-01</w:t>
            </w:r>
          </w:p>
        </w:tc>
        <w:tc>
          <w:tcPr>
            <w:tcW w:type="dxa" w:w="1680"/>
            <w:vAlign w:val="top"/>
          </w:tcPr>
          <w:p>
            <w:pPr>
              <w:spacing w:after="0"/>
            </w:pPr>
            <w:r>
              <w:rPr>
                <w:sz w:val="13"/>
              </w:rPr>
              <w:t>Least Agency Enforcement</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D3-CTL-01</w:t>
            </w:r>
          </w:p>
        </w:tc>
        <w:tc>
          <w:tcPr>
            <w:tcW w:type="dxa" w:w="1680"/>
            <w:vAlign w:val="top"/>
          </w:tcPr>
          <w:p>
            <w:pPr>
              <w:spacing w:after="0"/>
            </w:pPr>
            <w:r>
              <w:rPr>
                <w:sz w:val="13"/>
              </w:rPr>
              <w:t>Least Agency Enforcement</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D3-CTL-02</w:t>
            </w:r>
          </w:p>
        </w:tc>
        <w:tc>
          <w:tcPr>
            <w:tcW w:type="dxa" w:w="1680"/>
            <w:vAlign w:val="top"/>
          </w:tcPr>
          <w:p>
            <w:pPr>
              <w:spacing w:after="0"/>
            </w:pPr>
            <w:r>
              <w:rPr>
                <w:sz w:val="13"/>
              </w:rPr>
              <w:t>Inter-Agent Communication Security</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D3-CTL-02</w:t>
            </w:r>
          </w:p>
        </w:tc>
        <w:tc>
          <w:tcPr>
            <w:tcW w:type="dxa" w:w="1680"/>
            <w:vAlign w:val="top"/>
          </w:tcPr>
          <w:p>
            <w:pPr>
              <w:spacing w:after="0"/>
            </w:pPr>
            <w:r>
              <w:rPr>
                <w:sz w:val="13"/>
              </w:rPr>
              <w:t>Inter-Agent Communication Security</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D3-CTL-02</w:t>
            </w:r>
          </w:p>
        </w:tc>
        <w:tc>
          <w:tcPr>
            <w:tcW w:type="dxa" w:w="1680"/>
            <w:vAlign w:val="top"/>
          </w:tcPr>
          <w:p>
            <w:pPr>
              <w:spacing w:after="0"/>
            </w:pPr>
            <w:r>
              <w:rPr>
                <w:sz w:val="13"/>
              </w:rPr>
              <w:t>Inter-Agent Communication Security</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D3-CTL-02</w:t>
            </w:r>
          </w:p>
        </w:tc>
        <w:tc>
          <w:tcPr>
            <w:tcW w:type="dxa" w:w="1680"/>
            <w:vAlign w:val="top"/>
          </w:tcPr>
          <w:p>
            <w:pPr>
              <w:spacing w:after="0"/>
            </w:pPr>
            <w:r>
              <w:rPr>
                <w:sz w:val="13"/>
              </w:rPr>
              <w:t>Inter-Agent Communication Security</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D3-CTL-02</w:t>
            </w:r>
          </w:p>
        </w:tc>
        <w:tc>
          <w:tcPr>
            <w:tcW w:type="dxa" w:w="1680"/>
            <w:vAlign w:val="top"/>
          </w:tcPr>
          <w:p>
            <w:pPr>
              <w:spacing w:after="0"/>
            </w:pPr>
            <w:r>
              <w:rPr>
                <w:sz w:val="13"/>
              </w:rPr>
              <w:t>Inter-Agent Communication Security</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D3-CTL-03</w:t>
            </w:r>
          </w:p>
        </w:tc>
        <w:tc>
          <w:tcPr>
            <w:tcW w:type="dxa" w:w="1680"/>
            <w:vAlign w:val="top"/>
          </w:tcPr>
          <w:p>
            <w:pPr>
              <w:spacing w:after="0"/>
            </w:pPr>
            <w:r>
              <w:rPr>
                <w:sz w:val="13"/>
              </w:rPr>
              <w:t>Agentic Prompt Chaining Detection</w:t>
            </w:r>
          </w:p>
        </w:tc>
        <w:tc>
          <w:tcPr>
            <w:tcW w:type="dxa" w:w="1680"/>
            <w:vAlign w:val="top"/>
          </w:tcPr>
          <w:p>
            <w:pPr>
              <w:spacing w:after="0"/>
            </w:pPr>
            <w:r>
              <w:rPr>
                <w:sz w:val="13"/>
              </w:rPr>
              <w:t>AC — Access Control</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D3-CTL-03</w:t>
            </w:r>
          </w:p>
        </w:tc>
        <w:tc>
          <w:tcPr>
            <w:tcW w:type="dxa" w:w="1680"/>
            <w:vAlign w:val="top"/>
          </w:tcPr>
          <w:p>
            <w:pPr>
              <w:spacing w:after="0"/>
            </w:pPr>
            <w:r>
              <w:rPr>
                <w:sz w:val="13"/>
              </w:rPr>
              <w:t>Agentic Prompt Chaining Detection</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D3-CTL-03</w:t>
            </w:r>
          </w:p>
        </w:tc>
        <w:tc>
          <w:tcPr>
            <w:tcW w:type="dxa" w:w="1680"/>
            <w:vAlign w:val="top"/>
          </w:tcPr>
          <w:p>
            <w:pPr>
              <w:spacing w:after="0"/>
            </w:pPr>
            <w:r>
              <w:rPr>
                <w:sz w:val="13"/>
              </w:rPr>
              <w:t>Agentic Prompt Chaining Detection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D3-CTL-03</w:t>
            </w:r>
          </w:p>
        </w:tc>
        <w:tc>
          <w:tcPr>
            <w:tcW w:type="dxa" w:w="1680"/>
            <w:vAlign w:val="top"/>
          </w:tcPr>
          <w:p>
            <w:pPr>
              <w:spacing w:after="0"/>
            </w:pPr>
            <w:r>
              <w:rPr>
                <w:sz w:val="13"/>
              </w:rPr>
              <w:t>Agentic Prompt Chaining Detection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D3-CTL-03</w:t>
            </w:r>
          </w:p>
        </w:tc>
        <w:tc>
          <w:tcPr>
            <w:tcW w:type="dxa" w:w="1680"/>
            <w:vAlign w:val="top"/>
          </w:tcPr>
          <w:p>
            <w:pPr>
              <w:spacing w:after="0"/>
            </w:pPr>
            <w:r>
              <w:rPr>
                <w:sz w:val="13"/>
              </w:rPr>
              <w:t>Agentic Prompt Chaining Detection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D3-CTL-03</w:t>
            </w:r>
          </w:p>
        </w:tc>
        <w:tc>
          <w:tcPr>
            <w:tcW w:type="dxa" w:w="1680"/>
            <w:vAlign w:val="top"/>
          </w:tcPr>
          <w:p>
            <w:pPr>
              <w:spacing w:after="0"/>
            </w:pPr>
            <w:r>
              <w:rPr>
                <w:sz w:val="13"/>
              </w:rPr>
              <w:t>Agentic Prompt Chaining Detection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D3-CTL-04</w:t>
            </w:r>
          </w:p>
        </w:tc>
        <w:tc>
          <w:tcPr>
            <w:tcW w:type="dxa" w:w="1680"/>
            <w:vAlign w:val="top"/>
          </w:tcPr>
          <w:p>
            <w:pPr>
              <w:spacing w:after="0"/>
            </w:pPr>
            <w:r>
              <w:rPr>
                <w:sz w:val="13"/>
              </w:rPr>
              <w:t>Embodied Ai Safety Controls</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D3-CTL-04</w:t>
            </w:r>
          </w:p>
        </w:tc>
        <w:tc>
          <w:tcPr>
            <w:tcW w:type="dxa" w:w="1680"/>
            <w:vAlign w:val="top"/>
          </w:tcPr>
          <w:p>
            <w:pPr>
              <w:spacing w:after="0"/>
            </w:pPr>
            <w:r>
              <w:rPr>
                <w:sz w:val="13"/>
              </w:rPr>
              <w:t>Embodied Ai Safety Controls</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D3-CTL-04</w:t>
            </w:r>
          </w:p>
        </w:tc>
        <w:tc>
          <w:tcPr>
            <w:tcW w:type="dxa" w:w="1680"/>
            <w:vAlign w:val="top"/>
          </w:tcPr>
          <w:p>
            <w:pPr>
              <w:spacing w:after="0"/>
            </w:pPr>
            <w:r>
              <w:rPr>
                <w:sz w:val="13"/>
              </w:rPr>
              <w:t>Embodied Ai Safety Controls</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D3-CTL-04</w:t>
            </w:r>
          </w:p>
        </w:tc>
        <w:tc>
          <w:tcPr>
            <w:tcW w:type="dxa" w:w="1680"/>
            <w:vAlign w:val="top"/>
          </w:tcPr>
          <w:p>
            <w:pPr>
              <w:spacing w:after="0"/>
            </w:pPr>
            <w:r>
              <w:rPr>
                <w:sz w:val="13"/>
              </w:rPr>
              <w:t>Embodied Ai Safety Controls</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D3-CTL-04</w:t>
            </w:r>
          </w:p>
        </w:tc>
        <w:tc>
          <w:tcPr>
            <w:tcW w:type="dxa" w:w="1680"/>
            <w:vAlign w:val="top"/>
          </w:tcPr>
          <w:p>
            <w:pPr>
              <w:spacing w:after="0"/>
            </w:pPr>
            <w:r>
              <w:rPr>
                <w:sz w:val="13"/>
              </w:rPr>
              <w:t>Embodied Ai Safety Controls</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D3-CTL-05</w:t>
            </w:r>
          </w:p>
        </w:tc>
        <w:tc>
          <w:tcPr>
            <w:tcW w:type="dxa" w:w="1680"/>
            <w:vAlign w:val="top"/>
          </w:tcPr>
          <w:p>
            <w:pPr>
              <w:spacing w:after="0"/>
            </w:pPr>
            <w:r>
              <w:rPr>
                <w:sz w:val="13"/>
              </w:rPr>
              <w:t>Multi-Agent Trust Chain Attestation</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D3-CTL-05</w:t>
            </w:r>
          </w:p>
        </w:tc>
        <w:tc>
          <w:tcPr>
            <w:tcW w:type="dxa" w:w="1680"/>
            <w:vAlign w:val="top"/>
          </w:tcPr>
          <w:p>
            <w:pPr>
              <w:spacing w:after="0"/>
            </w:pPr>
            <w:r>
              <w:rPr>
                <w:sz w:val="13"/>
              </w:rPr>
              <w:t>Multi-Agent Trust Chain Attestation</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D3-CTL-05</w:t>
            </w:r>
          </w:p>
        </w:tc>
        <w:tc>
          <w:tcPr>
            <w:tcW w:type="dxa" w:w="1680"/>
            <w:vAlign w:val="top"/>
          </w:tcPr>
          <w:p>
            <w:pPr>
              <w:spacing w:after="0"/>
            </w:pPr>
            <w:r>
              <w:rPr>
                <w:sz w:val="13"/>
              </w:rPr>
              <w:t>Multi-Agent Trust Chain Attestation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D3-CTL-05</w:t>
            </w:r>
          </w:p>
        </w:tc>
        <w:tc>
          <w:tcPr>
            <w:tcW w:type="dxa" w:w="1680"/>
            <w:vAlign w:val="top"/>
          </w:tcPr>
          <w:p>
            <w:pPr>
              <w:spacing w:after="0"/>
            </w:pPr>
            <w:r>
              <w:rPr>
                <w:sz w:val="13"/>
              </w:rPr>
              <w:t>Multi-Agent Trust Chain Attestation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D3-CTL-05</w:t>
            </w:r>
          </w:p>
        </w:tc>
        <w:tc>
          <w:tcPr>
            <w:tcW w:type="dxa" w:w="1680"/>
            <w:vAlign w:val="top"/>
          </w:tcPr>
          <w:p>
            <w:pPr>
              <w:spacing w:after="0"/>
            </w:pPr>
            <w:r>
              <w:rPr>
                <w:sz w:val="13"/>
              </w:rPr>
              <w:t>Multi-Agent Trust Chain Attestation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D3-CTL-06</w:t>
            </w:r>
          </w:p>
        </w:tc>
        <w:tc>
          <w:tcPr>
            <w:tcW w:type="dxa" w:w="1680"/>
            <w:vAlign w:val="top"/>
          </w:tcPr>
          <w:p>
            <w:pPr>
              <w:spacing w:after="0"/>
            </w:pPr>
            <w:r>
              <w:rPr>
                <w:sz w:val="13"/>
              </w:rPr>
              <w:t>Persistent Memory Exfiltration Prevention</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D3-CTL-06</w:t>
            </w:r>
          </w:p>
        </w:tc>
        <w:tc>
          <w:tcPr>
            <w:tcW w:type="dxa" w:w="1680"/>
            <w:vAlign w:val="top"/>
          </w:tcPr>
          <w:p>
            <w:pPr>
              <w:spacing w:after="0"/>
            </w:pPr>
            <w:r>
              <w:rPr>
                <w:sz w:val="13"/>
              </w:rPr>
              <w:t>Persistent Memory Exfiltration Prevention</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D3-CTL-06</w:t>
            </w:r>
          </w:p>
        </w:tc>
        <w:tc>
          <w:tcPr>
            <w:tcW w:type="dxa" w:w="1680"/>
            <w:vAlign w:val="top"/>
          </w:tcPr>
          <w:p>
            <w:pPr>
              <w:spacing w:after="0"/>
            </w:pPr>
            <w:r>
              <w:rPr>
                <w:sz w:val="13"/>
              </w:rPr>
              <w:t>Persistent Memory Exfiltration Prevention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D3-CTL-06</w:t>
            </w:r>
          </w:p>
        </w:tc>
        <w:tc>
          <w:tcPr>
            <w:tcW w:type="dxa" w:w="1680"/>
            <w:vAlign w:val="top"/>
          </w:tcPr>
          <w:p>
            <w:pPr>
              <w:spacing w:after="0"/>
            </w:pPr>
            <w:r>
              <w:rPr>
                <w:sz w:val="13"/>
              </w:rPr>
              <w:t>Persistent Memory Exfiltration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D3-CTL-06</w:t>
            </w:r>
          </w:p>
        </w:tc>
        <w:tc>
          <w:tcPr>
            <w:tcW w:type="dxa" w:w="1680"/>
            <w:vAlign w:val="top"/>
          </w:tcPr>
          <w:p>
            <w:pPr>
              <w:spacing w:after="0"/>
            </w:pPr>
            <w:r>
              <w:rPr>
                <w:sz w:val="13"/>
              </w:rPr>
              <w:t>Persistent Memory Exfiltration Prevention</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D3-CTL-06</w:t>
            </w:r>
          </w:p>
        </w:tc>
        <w:tc>
          <w:tcPr>
            <w:tcW w:type="dxa" w:w="1680"/>
            <w:vAlign w:val="top"/>
          </w:tcPr>
          <w:p>
            <w:pPr>
              <w:spacing w:after="0"/>
            </w:pPr>
            <w:r>
              <w:rPr>
                <w:sz w:val="13"/>
              </w:rPr>
              <w:t>Persistent Memory Exfiltration Prevention</w:t>
            </w:r>
          </w:p>
        </w:tc>
        <w:tc>
          <w:tcPr>
            <w:tcW w:type="dxa" w:w="1680"/>
            <w:vAlign w:val="top"/>
          </w:tcPr>
          <w:p>
            <w:pPr>
              <w:spacing w:after="0"/>
            </w:pPr>
            <w:r>
              <w:rPr>
                <w:sz w:val="13"/>
              </w:rPr>
              <w:t>MP — Media Protection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D3-CTL-07</w:t>
            </w:r>
          </w:p>
        </w:tc>
        <w:tc>
          <w:tcPr>
            <w:tcW w:type="dxa" w:w="1680"/>
            <w:vAlign w:val="top"/>
          </w:tcPr>
          <w:p>
            <w:pPr>
              <w:spacing w:after="0"/>
            </w:pPr>
            <w:r>
              <w:rPr>
                <w:sz w:val="13"/>
              </w:rPr>
              <w:t>Secure Memory Lifecycle Management</w:t>
            </w:r>
          </w:p>
        </w:tc>
        <w:tc>
          <w:tcPr>
            <w:tcW w:type="dxa" w:w="1680"/>
            <w:vAlign w:val="top"/>
          </w:tcPr>
          <w:p>
            <w:pPr>
              <w:spacing w:after="0"/>
            </w:pPr>
            <w:r>
              <w:rPr>
                <w:sz w:val="13"/>
              </w:rPr>
              <w:t>AC — Access Control</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D3-CTL-07</w:t>
            </w:r>
          </w:p>
        </w:tc>
        <w:tc>
          <w:tcPr>
            <w:tcW w:type="dxa" w:w="1680"/>
            <w:vAlign w:val="top"/>
          </w:tcPr>
          <w:p>
            <w:pPr>
              <w:spacing w:after="0"/>
            </w:pPr>
            <w:r>
              <w:rPr>
                <w:sz w:val="13"/>
              </w:rPr>
              <w:t>Secure Memory Lifecycle Management</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D3-CTL-07</w:t>
            </w:r>
          </w:p>
        </w:tc>
        <w:tc>
          <w:tcPr>
            <w:tcW w:type="dxa" w:w="1680"/>
            <w:vAlign w:val="top"/>
          </w:tcPr>
          <w:p>
            <w:pPr>
              <w:spacing w:after="0"/>
            </w:pPr>
            <w:r>
              <w:rPr>
                <w:sz w:val="13"/>
              </w:rPr>
              <w:t>Secure Memory Lifecycle Management</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D3-CTL-07</w:t>
            </w:r>
          </w:p>
        </w:tc>
        <w:tc>
          <w:tcPr>
            <w:tcW w:type="dxa" w:w="1680"/>
            <w:vAlign w:val="top"/>
          </w:tcPr>
          <w:p>
            <w:pPr>
              <w:spacing w:after="0"/>
            </w:pPr>
            <w:r>
              <w:rPr>
                <w:sz w:val="13"/>
              </w:rPr>
              <w:t>Secure Memory Lifecycle Management</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D3-CTL-07</w:t>
            </w:r>
          </w:p>
        </w:tc>
        <w:tc>
          <w:tcPr>
            <w:tcW w:type="dxa" w:w="1680"/>
            <w:vAlign w:val="top"/>
          </w:tcPr>
          <w:p>
            <w:pPr>
              <w:spacing w:after="0"/>
            </w:pPr>
            <w:r>
              <w:rPr>
                <w:sz w:val="13"/>
              </w:rPr>
              <w:t>Secure Memory Lifecycle Management</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D3-CTL-07</w:t>
            </w:r>
          </w:p>
        </w:tc>
        <w:tc>
          <w:tcPr>
            <w:tcW w:type="dxa" w:w="1680"/>
            <w:vAlign w:val="top"/>
          </w:tcPr>
          <w:p>
            <w:pPr>
              <w:spacing w:after="0"/>
            </w:pPr>
            <w:r>
              <w:rPr>
                <w:sz w:val="13"/>
              </w:rPr>
              <w:t>Secure Memory Lifecycle Management</w:t>
            </w:r>
          </w:p>
        </w:tc>
        <w:tc>
          <w:tcPr>
            <w:tcW w:type="dxa" w:w="1680"/>
            <w:vAlign w:val="top"/>
          </w:tcPr>
          <w:p>
            <w:pPr>
              <w:spacing w:after="0"/>
            </w:pPr>
            <w:r>
              <w:rPr>
                <w:sz w:val="13"/>
              </w:rPr>
              <w:t>MP — Media Protection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D4-CTL-01</w:t>
            </w:r>
          </w:p>
        </w:tc>
        <w:tc>
          <w:tcPr>
            <w:tcW w:type="dxa" w:w="1680"/>
            <w:vAlign w:val="top"/>
          </w:tcPr>
          <w:p>
            <w:pPr>
              <w:spacing w:after="0"/>
            </w:pPr>
            <w:r>
              <w:rPr>
                <w:sz w:val="13"/>
              </w:rPr>
              <w:t>Ai Bill Of Materials (Ai Bom) Maintenance</w:t>
            </w:r>
          </w:p>
        </w:tc>
        <w:tc>
          <w:tcPr>
            <w:tcW w:type="dxa" w:w="1680"/>
            <w:vAlign w:val="top"/>
          </w:tcPr>
          <w:p>
            <w:pPr>
              <w:spacing w:after="0"/>
            </w:pPr>
            <w:r>
              <w:rPr>
                <w:sz w:val="13"/>
              </w:rPr>
              <w:t>SR — Supply Chain Risk Management</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D4-CTL-01</w:t>
            </w:r>
          </w:p>
        </w:tc>
        <w:tc>
          <w:tcPr>
            <w:tcW w:type="dxa" w:w="1680"/>
            <w:vAlign w:val="top"/>
          </w:tcPr>
          <w:p>
            <w:pPr>
              <w:spacing w:after="0"/>
            </w:pPr>
            <w:r>
              <w:rPr>
                <w:sz w:val="13"/>
              </w:rPr>
              <w:t>Ai Bill Of Materials (Ai Bom) Maintenance</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D4-CTL-01</w:t>
            </w:r>
          </w:p>
        </w:tc>
        <w:tc>
          <w:tcPr>
            <w:tcW w:type="dxa" w:w="1680"/>
            <w:vAlign w:val="top"/>
          </w:tcPr>
          <w:p>
            <w:pPr>
              <w:spacing w:after="0"/>
            </w:pPr>
            <w:r>
              <w:rPr>
                <w:sz w:val="13"/>
              </w:rPr>
              <w:t>Ai Bill Of Materials (Ai Bom) Maintenance</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D4-CTL-01</w:t>
            </w:r>
          </w:p>
        </w:tc>
        <w:tc>
          <w:tcPr>
            <w:tcW w:type="dxa" w:w="1680"/>
            <w:vAlign w:val="top"/>
          </w:tcPr>
          <w:p>
            <w:pPr>
              <w:spacing w:after="0"/>
            </w:pPr>
            <w:r>
              <w:rPr>
                <w:sz w:val="13"/>
              </w:rPr>
              <w:t>Ai Bill Of Materials (Ai Bom) Maintenance</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D4-CTL-02</w:t>
            </w:r>
          </w:p>
        </w:tc>
        <w:tc>
          <w:tcPr>
            <w:tcW w:type="dxa" w:w="1680"/>
            <w:vAlign w:val="top"/>
          </w:tcPr>
          <w:p>
            <w:pPr>
              <w:spacing w:after="0"/>
            </w:pPr>
            <w:r>
              <w:rPr>
                <w:sz w:val="13"/>
              </w:rPr>
              <w:t>Model File &amp; Artifact Scanning</w:t>
            </w:r>
          </w:p>
        </w:tc>
        <w:tc>
          <w:tcPr>
            <w:tcW w:type="dxa" w:w="1680"/>
            <w:vAlign w:val="top"/>
          </w:tcPr>
          <w:p>
            <w:pPr>
              <w:spacing w:after="0"/>
            </w:pPr>
            <w:r>
              <w:rPr>
                <w:sz w:val="13"/>
              </w:rPr>
              <w:t>SR — Supply Chain Risk Management</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D4-CTL-02</w:t>
            </w:r>
          </w:p>
        </w:tc>
        <w:tc>
          <w:tcPr>
            <w:tcW w:type="dxa" w:w="1680"/>
            <w:vAlign w:val="top"/>
          </w:tcPr>
          <w:p>
            <w:pPr>
              <w:spacing w:after="0"/>
            </w:pPr>
            <w:r>
              <w:rPr>
                <w:sz w:val="13"/>
              </w:rPr>
              <w:t>Model File &amp; Artifact Scanning</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D4-CTL-02</w:t>
            </w:r>
          </w:p>
        </w:tc>
        <w:tc>
          <w:tcPr>
            <w:tcW w:type="dxa" w:w="1680"/>
            <w:vAlign w:val="top"/>
          </w:tcPr>
          <w:p>
            <w:pPr>
              <w:spacing w:after="0"/>
            </w:pPr>
            <w:r>
              <w:rPr>
                <w:sz w:val="13"/>
              </w:rPr>
              <w:t>Model File &amp; Artifact Scanning</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D4-CTL-02</w:t>
            </w:r>
          </w:p>
        </w:tc>
        <w:tc>
          <w:tcPr>
            <w:tcW w:type="dxa" w:w="1680"/>
            <w:vAlign w:val="top"/>
          </w:tcPr>
          <w:p>
            <w:pPr>
              <w:spacing w:after="0"/>
            </w:pPr>
            <w:r>
              <w:rPr>
                <w:sz w:val="13"/>
              </w:rPr>
              <w:t>Model File &amp; Artifact Scanning</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D4-CTL-02</w:t>
            </w:r>
          </w:p>
        </w:tc>
        <w:tc>
          <w:tcPr>
            <w:tcW w:type="dxa" w:w="1680"/>
            <w:vAlign w:val="top"/>
          </w:tcPr>
          <w:p>
            <w:pPr>
              <w:spacing w:after="0"/>
            </w:pPr>
            <w:r>
              <w:rPr>
                <w:sz w:val="13"/>
              </w:rPr>
              <w:t>Model File &amp; Artifact Scanning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D4-CTL-03</w:t>
            </w:r>
          </w:p>
        </w:tc>
        <w:tc>
          <w:tcPr>
            <w:tcW w:type="dxa" w:w="1680"/>
            <w:vAlign w:val="top"/>
          </w:tcPr>
          <w:p>
            <w:pPr>
              <w:spacing w:after="0"/>
            </w:pPr>
            <w:r>
              <w:rPr>
                <w:sz w:val="13"/>
              </w:rPr>
              <w:t>Model Hub &amp; Registry Vetting</w:t>
            </w:r>
          </w:p>
        </w:tc>
        <w:tc>
          <w:tcPr>
            <w:tcW w:type="dxa" w:w="1680"/>
            <w:vAlign w:val="top"/>
          </w:tcPr>
          <w:p>
            <w:pPr>
              <w:spacing w:after="0"/>
            </w:pPr>
            <w:r>
              <w:rPr>
                <w:sz w:val="13"/>
              </w:rPr>
              <w:t>SR — Supply Chain Risk Management</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D4-CTL-03</w:t>
            </w:r>
          </w:p>
        </w:tc>
        <w:tc>
          <w:tcPr>
            <w:tcW w:type="dxa" w:w="1680"/>
            <w:vAlign w:val="top"/>
          </w:tcPr>
          <w:p>
            <w:pPr>
              <w:spacing w:after="0"/>
            </w:pPr>
            <w:r>
              <w:rPr>
                <w:sz w:val="13"/>
              </w:rPr>
              <w:t>Model Hub &amp; Registry Vetting</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D4-CTL-03</w:t>
            </w:r>
          </w:p>
        </w:tc>
        <w:tc>
          <w:tcPr>
            <w:tcW w:type="dxa" w:w="1680"/>
            <w:vAlign w:val="top"/>
          </w:tcPr>
          <w:p>
            <w:pPr>
              <w:spacing w:after="0"/>
            </w:pPr>
            <w:r>
              <w:rPr>
                <w:sz w:val="13"/>
              </w:rPr>
              <w:t>Model Hub &amp; Registry Vetting</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D4-CTL-03</w:t>
            </w:r>
          </w:p>
        </w:tc>
        <w:tc>
          <w:tcPr>
            <w:tcW w:type="dxa" w:w="1680"/>
            <w:vAlign w:val="top"/>
          </w:tcPr>
          <w:p>
            <w:pPr>
              <w:spacing w:after="0"/>
            </w:pPr>
            <w:r>
              <w:rPr>
                <w:sz w:val="13"/>
              </w:rPr>
              <w:t>Model Hub &amp; Registry Vetting</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D4-CTL-04</w:t>
            </w:r>
          </w:p>
        </w:tc>
        <w:tc>
          <w:tcPr>
            <w:tcW w:type="dxa" w:w="1680"/>
            <w:vAlign w:val="top"/>
          </w:tcPr>
          <w:p>
            <w:pPr>
              <w:spacing w:after="0"/>
            </w:pPr>
            <w:r>
              <w:rPr>
                <w:sz w:val="13"/>
              </w:rPr>
              <w:t>Mcp Server Behavioral Monitoring</w:t>
            </w:r>
          </w:p>
        </w:tc>
        <w:tc>
          <w:tcPr>
            <w:tcW w:type="dxa" w:w="1680"/>
            <w:vAlign w:val="top"/>
          </w:tcPr>
          <w:p>
            <w:pPr>
              <w:spacing w:after="0"/>
            </w:pPr>
            <w:r>
              <w:rPr>
                <w:sz w:val="13"/>
              </w:rPr>
              <w:t>SR — Supply Chain Risk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D4-CTL-04</w:t>
            </w:r>
          </w:p>
        </w:tc>
        <w:tc>
          <w:tcPr>
            <w:tcW w:type="dxa" w:w="1680"/>
            <w:vAlign w:val="top"/>
          </w:tcPr>
          <w:p>
            <w:pPr>
              <w:spacing w:after="0"/>
            </w:pPr>
            <w:r>
              <w:rPr>
                <w:sz w:val="13"/>
              </w:rPr>
              <w:t>Mcp Server Behavioral Monitoring</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D4-CTL-04</w:t>
            </w:r>
          </w:p>
        </w:tc>
        <w:tc>
          <w:tcPr>
            <w:tcW w:type="dxa" w:w="1680"/>
            <w:vAlign w:val="top"/>
          </w:tcPr>
          <w:p>
            <w:pPr>
              <w:spacing w:after="0"/>
            </w:pPr>
            <w:r>
              <w:rPr>
                <w:sz w:val="13"/>
              </w:rPr>
              <w:t>Mcp Server Behavioral Monitoring</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D4-CTL-04</w:t>
            </w:r>
          </w:p>
        </w:tc>
        <w:tc>
          <w:tcPr>
            <w:tcW w:type="dxa" w:w="1680"/>
            <w:vAlign w:val="top"/>
          </w:tcPr>
          <w:p>
            <w:pPr>
              <w:spacing w:after="0"/>
            </w:pPr>
            <w:r>
              <w:rPr>
                <w:sz w:val="13"/>
              </w:rPr>
              <w:t>Mcp Server Behavioral Monitoring</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D4-CTL-04</w:t>
            </w:r>
          </w:p>
        </w:tc>
        <w:tc>
          <w:tcPr>
            <w:tcW w:type="dxa" w:w="1680"/>
            <w:vAlign w:val="top"/>
          </w:tcPr>
          <w:p>
            <w:pPr>
              <w:spacing w:after="0"/>
            </w:pPr>
            <w:r>
              <w:rPr>
                <w:sz w:val="13"/>
              </w:rPr>
              <w:t>Mcp Server Behavioral Monitoring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D4-CTL-05</w:t>
            </w:r>
          </w:p>
        </w:tc>
        <w:tc>
          <w:tcPr>
            <w:tcW w:type="dxa" w:w="1680"/>
            <w:vAlign w:val="top"/>
          </w:tcPr>
          <w:p>
            <w:pPr>
              <w:spacing w:after="0"/>
            </w:pPr>
            <w:r>
              <w:rPr>
                <w:sz w:val="13"/>
              </w:rPr>
              <w:t>Third-Party Ai Api Security Assessment</w:t>
            </w:r>
          </w:p>
        </w:tc>
        <w:tc>
          <w:tcPr>
            <w:tcW w:type="dxa" w:w="1680"/>
            <w:vAlign w:val="top"/>
          </w:tcPr>
          <w:p>
            <w:pPr>
              <w:spacing w:after="0"/>
            </w:pPr>
            <w:r>
              <w:rPr>
                <w:sz w:val="13"/>
              </w:rPr>
              <w:t>SR — Supply Chain Risk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D4-CTL-05</w:t>
            </w:r>
          </w:p>
        </w:tc>
        <w:tc>
          <w:tcPr>
            <w:tcW w:type="dxa" w:w="1680"/>
            <w:vAlign w:val="top"/>
          </w:tcPr>
          <w:p>
            <w:pPr>
              <w:spacing w:after="0"/>
            </w:pPr>
            <w:r>
              <w:rPr>
                <w:sz w:val="13"/>
              </w:rPr>
              <w:t>Third-Party Ai Api Security Assessment</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D4-CTL-05</w:t>
            </w:r>
          </w:p>
        </w:tc>
        <w:tc>
          <w:tcPr>
            <w:tcW w:type="dxa" w:w="1680"/>
            <w:vAlign w:val="top"/>
          </w:tcPr>
          <w:p>
            <w:pPr>
              <w:spacing w:after="0"/>
            </w:pPr>
            <w:r>
              <w:rPr>
                <w:sz w:val="13"/>
              </w:rPr>
              <w:t>Third-Party Ai Api Security Assessment</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D4-CTL-05</w:t>
            </w:r>
          </w:p>
        </w:tc>
        <w:tc>
          <w:tcPr>
            <w:tcW w:type="dxa" w:w="1680"/>
            <w:vAlign w:val="top"/>
          </w:tcPr>
          <w:p>
            <w:pPr>
              <w:spacing w:after="0"/>
            </w:pPr>
            <w:r>
              <w:rPr>
                <w:sz w:val="13"/>
              </w:rPr>
              <w:t>Third-Party Ai Api Security Assessment</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D4-CTL-06</w:t>
            </w:r>
          </w:p>
        </w:tc>
        <w:tc>
          <w:tcPr>
            <w:tcW w:type="dxa" w:w="1680"/>
            <w:vAlign w:val="top"/>
          </w:tcPr>
          <w:p>
            <w:pPr>
              <w:spacing w:after="0"/>
            </w:pPr>
            <w:r>
              <w:rPr>
                <w:sz w:val="13"/>
              </w:rPr>
              <w:t>Shadow Ai Discovery &amp; Governance</w:t>
            </w:r>
          </w:p>
        </w:tc>
        <w:tc>
          <w:tcPr>
            <w:tcW w:type="dxa" w:w="1680"/>
            <w:vAlign w:val="top"/>
          </w:tcPr>
          <w:p>
            <w:pPr>
              <w:spacing w:after="0"/>
            </w:pPr>
            <w:r>
              <w:rPr>
                <w:sz w:val="13"/>
              </w:rPr>
              <w:t>SR — Supply Chain Risk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D4-CTL-06</w:t>
            </w:r>
          </w:p>
        </w:tc>
        <w:tc>
          <w:tcPr>
            <w:tcW w:type="dxa" w:w="1680"/>
            <w:vAlign w:val="top"/>
          </w:tcPr>
          <w:p>
            <w:pPr>
              <w:spacing w:after="0"/>
            </w:pPr>
            <w:r>
              <w:rPr>
                <w:sz w:val="13"/>
              </w:rPr>
              <w:t>Shadow Ai Discovery &amp; Governance</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D4-CTL-06</w:t>
            </w:r>
          </w:p>
        </w:tc>
        <w:tc>
          <w:tcPr>
            <w:tcW w:type="dxa" w:w="1680"/>
            <w:vAlign w:val="top"/>
          </w:tcPr>
          <w:p>
            <w:pPr>
              <w:spacing w:after="0"/>
            </w:pPr>
            <w:r>
              <w:rPr>
                <w:sz w:val="13"/>
              </w:rPr>
              <w:t>Shadow Ai Discovery &amp; Governance</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D4-CTL-06</w:t>
            </w:r>
          </w:p>
        </w:tc>
        <w:tc>
          <w:tcPr>
            <w:tcW w:type="dxa" w:w="1680"/>
            <w:vAlign w:val="top"/>
          </w:tcPr>
          <w:p>
            <w:pPr>
              <w:spacing w:after="0"/>
            </w:pPr>
            <w:r>
              <w:rPr>
                <w:sz w:val="13"/>
              </w:rPr>
              <w:t>Shadow Ai Discovery &amp; Governance</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D4-CTL-07</w:t>
            </w:r>
          </w:p>
        </w:tc>
        <w:tc>
          <w:tcPr>
            <w:tcW w:type="dxa" w:w="1680"/>
            <w:vAlign w:val="top"/>
          </w:tcPr>
          <w:p>
            <w:pPr>
              <w:spacing w:after="0"/>
            </w:pPr>
            <w:r>
              <w:rPr>
                <w:sz w:val="13"/>
              </w:rPr>
              <w:t>Ai Software Composition Analysis (Sca)</w:t>
            </w:r>
          </w:p>
        </w:tc>
        <w:tc>
          <w:tcPr>
            <w:tcW w:type="dxa" w:w="1680"/>
            <w:vAlign w:val="top"/>
          </w:tcPr>
          <w:p>
            <w:pPr>
              <w:spacing w:after="0"/>
            </w:pPr>
            <w:r>
              <w:rPr>
                <w:sz w:val="13"/>
              </w:rPr>
              <w:t>SR — Supply Chain Risk Management</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D4-CTL-07</w:t>
            </w:r>
          </w:p>
        </w:tc>
        <w:tc>
          <w:tcPr>
            <w:tcW w:type="dxa" w:w="1680"/>
            <w:vAlign w:val="top"/>
          </w:tcPr>
          <w:p>
            <w:pPr>
              <w:spacing w:after="0"/>
            </w:pPr>
            <w:r>
              <w:rPr>
                <w:sz w:val="13"/>
              </w:rPr>
              <w:t>Ai Software Composition Analysis (Sca)</w:t>
            </w:r>
          </w:p>
        </w:tc>
        <w:tc>
          <w:tcPr>
            <w:tcW w:type="dxa" w:w="1680"/>
            <w:vAlign w:val="top"/>
          </w:tcPr>
          <w:p>
            <w:pPr>
              <w:spacing w:after="0"/>
            </w:pPr>
            <w:r>
              <w:rPr>
                <w:sz w:val="13"/>
              </w:rPr>
              <w:t>SA — System and Services Acquisition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D4-CTL-07</w:t>
            </w:r>
          </w:p>
        </w:tc>
        <w:tc>
          <w:tcPr>
            <w:tcW w:type="dxa" w:w="1680"/>
            <w:vAlign w:val="top"/>
          </w:tcPr>
          <w:p>
            <w:pPr>
              <w:spacing w:after="0"/>
            </w:pPr>
            <w:r>
              <w:rPr>
                <w:sz w:val="13"/>
              </w:rPr>
              <w:t>Ai Software Composition Analysis (Sca)</w:t>
            </w:r>
          </w:p>
        </w:tc>
        <w:tc>
          <w:tcPr>
            <w:tcW w:type="dxa" w:w="1680"/>
            <w:vAlign w:val="top"/>
          </w:tcPr>
          <w:p>
            <w:pPr>
              <w:spacing w:after="0"/>
            </w:pPr>
            <w:r>
              <w:rPr>
                <w:sz w:val="13"/>
              </w:rPr>
              <w:t>RA — Risk Assessment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D4-CTL-07</w:t>
            </w:r>
          </w:p>
        </w:tc>
        <w:tc>
          <w:tcPr>
            <w:tcW w:type="dxa" w:w="1680"/>
            <w:vAlign w:val="top"/>
          </w:tcPr>
          <w:p>
            <w:pPr>
              <w:spacing w:after="0"/>
            </w:pPr>
            <w:r>
              <w:rPr>
                <w:sz w:val="13"/>
              </w:rPr>
              <w:t>Ai Software Composition Analysis (Sca)</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D5-CTL-01</w:t>
            </w:r>
          </w:p>
        </w:tc>
        <w:tc>
          <w:tcPr>
            <w:tcW w:type="dxa" w:w="1680"/>
            <w:vAlign w:val="top"/>
          </w:tcPr>
          <w:p>
            <w:pPr>
              <w:spacing w:after="0"/>
            </w:pPr>
            <w:r>
              <w:rPr>
                <w:sz w:val="13"/>
              </w:rPr>
              <w:t>Harmful Content Blocking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D5-CTL-01</w:t>
            </w:r>
          </w:p>
        </w:tc>
        <w:tc>
          <w:tcPr>
            <w:tcW w:type="dxa" w:w="1680"/>
            <w:vAlign w:val="top"/>
          </w:tcPr>
          <w:p>
            <w:pPr>
              <w:spacing w:after="0"/>
            </w:pPr>
            <w:r>
              <w:rPr>
                <w:sz w:val="13"/>
              </w:rPr>
              <w:t>Harmful Content Blocking</w:t>
            </w:r>
          </w:p>
        </w:tc>
        <w:tc>
          <w:tcPr>
            <w:tcW w:type="dxa" w:w="1680"/>
            <w:vAlign w:val="top"/>
          </w:tcPr>
          <w:p>
            <w:pPr>
              <w:spacing w:after="0"/>
            </w:pPr>
            <w:r>
              <w:rPr>
                <w:sz w:val="13"/>
              </w:rPr>
              <w:t>PT — Personally Identifiable Information Processing and Transparency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D5-CTL-01</w:t>
            </w:r>
          </w:p>
        </w:tc>
        <w:tc>
          <w:tcPr>
            <w:tcW w:type="dxa" w:w="1680"/>
            <w:vAlign w:val="top"/>
          </w:tcPr>
          <w:p>
            <w:pPr>
              <w:spacing w:after="0"/>
            </w:pPr>
            <w:r>
              <w:rPr>
                <w:sz w:val="13"/>
              </w:rPr>
              <w:t>Harmful Content Blocking</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D5-CTL-02</w:t>
            </w:r>
          </w:p>
        </w:tc>
        <w:tc>
          <w:tcPr>
            <w:tcW w:type="dxa" w:w="1680"/>
            <w:vAlign w:val="top"/>
          </w:tcPr>
          <w:p>
            <w:pPr>
              <w:spacing w:after="0"/>
            </w:pPr>
            <w:r>
              <w:rPr>
                <w:sz w:val="13"/>
              </w:rPr>
              <w:t>Pii Leakage Prevention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D5-CTL-02</w:t>
            </w:r>
          </w:p>
        </w:tc>
        <w:tc>
          <w:tcPr>
            <w:tcW w:type="dxa" w:w="1680"/>
            <w:vAlign w:val="top"/>
          </w:tcPr>
          <w:p>
            <w:pPr>
              <w:spacing w:after="0"/>
            </w:pPr>
            <w:r>
              <w:rPr>
                <w:sz w:val="13"/>
              </w:rPr>
              <w:t>Pii Leakage Prevention</w:t>
            </w:r>
          </w:p>
        </w:tc>
        <w:tc>
          <w:tcPr>
            <w:tcW w:type="dxa" w:w="1680"/>
            <w:vAlign w:val="top"/>
          </w:tcPr>
          <w:p>
            <w:pPr>
              <w:spacing w:after="0"/>
            </w:pPr>
            <w:r>
              <w:rPr>
                <w:sz w:val="13"/>
              </w:rPr>
              <w:t>PT — Personally Identifiable Information Processing and Transparency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D5-CTL-02</w:t>
            </w:r>
          </w:p>
        </w:tc>
        <w:tc>
          <w:tcPr>
            <w:tcW w:type="dxa" w:w="1680"/>
            <w:vAlign w:val="top"/>
          </w:tcPr>
          <w:p>
            <w:pPr>
              <w:spacing w:after="0"/>
            </w:pPr>
            <w:r>
              <w:rPr>
                <w:sz w:val="13"/>
              </w:rPr>
              <w:t>Pii Leakage Prevention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D5-CTL-03</w:t>
            </w:r>
          </w:p>
        </w:tc>
        <w:tc>
          <w:tcPr>
            <w:tcW w:type="dxa" w:w="1680"/>
            <w:vAlign w:val="top"/>
          </w:tcPr>
          <w:p>
            <w:pPr>
              <w:spacing w:after="0"/>
            </w:pPr>
            <w:r>
              <w:rPr>
                <w:sz w:val="13"/>
              </w:rPr>
              <w:t>Copyright Detection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D5-CTL-03</w:t>
            </w:r>
          </w:p>
        </w:tc>
        <w:tc>
          <w:tcPr>
            <w:tcW w:type="dxa" w:w="1680"/>
            <w:vAlign w:val="top"/>
          </w:tcPr>
          <w:p>
            <w:pPr>
              <w:spacing w:after="0"/>
            </w:pPr>
            <w:r>
              <w:rPr>
                <w:sz w:val="13"/>
              </w:rPr>
              <w:t>Copyright Detection</w:t>
            </w:r>
          </w:p>
        </w:tc>
        <w:tc>
          <w:tcPr>
            <w:tcW w:type="dxa" w:w="1680"/>
            <w:vAlign w:val="top"/>
          </w:tcPr>
          <w:p>
            <w:pPr>
              <w:spacing w:after="0"/>
            </w:pPr>
            <w:r>
              <w:rPr>
                <w:sz w:val="13"/>
              </w:rPr>
              <w:t>PT — Personally Identifiable Information Processing and Transparency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D5-CTL-03</w:t>
            </w:r>
          </w:p>
        </w:tc>
        <w:tc>
          <w:tcPr>
            <w:tcW w:type="dxa" w:w="1680"/>
            <w:vAlign w:val="top"/>
          </w:tcPr>
          <w:p>
            <w:pPr>
              <w:spacing w:after="0"/>
            </w:pPr>
            <w:r>
              <w:rPr>
                <w:sz w:val="13"/>
              </w:rPr>
              <w:t>Copyright Detection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D5-CTL-03</w:t>
            </w:r>
          </w:p>
        </w:tc>
        <w:tc>
          <w:tcPr>
            <w:tcW w:type="dxa" w:w="1680"/>
            <w:vAlign w:val="top"/>
          </w:tcPr>
          <w:p>
            <w:pPr>
              <w:spacing w:after="0"/>
            </w:pPr>
            <w:r>
              <w:rPr>
                <w:sz w:val="13"/>
              </w:rPr>
              <w:t>Copyright Detection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D5-CTL-04</w:t>
            </w:r>
          </w:p>
        </w:tc>
        <w:tc>
          <w:tcPr>
            <w:tcW w:type="dxa" w:w="1680"/>
            <w:vAlign w:val="top"/>
          </w:tcPr>
          <w:p>
            <w:pPr>
              <w:spacing w:after="0"/>
            </w:pPr>
            <w:r>
              <w:rPr>
                <w:sz w:val="13"/>
              </w:rPr>
              <w:t>Ai Watermarking Robustness</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D5-CTL-04</w:t>
            </w:r>
          </w:p>
        </w:tc>
        <w:tc>
          <w:tcPr>
            <w:tcW w:type="dxa" w:w="1680"/>
            <w:vAlign w:val="top"/>
          </w:tcPr>
          <w:p>
            <w:pPr>
              <w:spacing w:after="0"/>
            </w:pPr>
            <w:r>
              <w:rPr>
                <w:sz w:val="13"/>
              </w:rPr>
              <w:t>Ai Watermarking Robustness</w:t>
            </w:r>
          </w:p>
        </w:tc>
        <w:tc>
          <w:tcPr>
            <w:tcW w:type="dxa" w:w="1680"/>
            <w:vAlign w:val="top"/>
          </w:tcPr>
          <w:p>
            <w:pPr>
              <w:spacing w:after="0"/>
            </w:pPr>
            <w:r>
              <w:rPr>
                <w:sz w:val="13"/>
              </w:rPr>
              <w:t>PT — Personally Identifiable Information Processing and Transparency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D5-CTL-04</w:t>
            </w:r>
          </w:p>
        </w:tc>
        <w:tc>
          <w:tcPr>
            <w:tcW w:type="dxa" w:w="1680"/>
            <w:vAlign w:val="top"/>
          </w:tcPr>
          <w:p>
            <w:pPr>
              <w:spacing w:after="0"/>
            </w:pPr>
            <w:r>
              <w:rPr>
                <w:sz w:val="13"/>
              </w:rPr>
              <w:t>Ai Watermarking Robustness</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D5-CTL-05</w:t>
            </w:r>
          </w:p>
        </w:tc>
        <w:tc>
          <w:tcPr>
            <w:tcW w:type="dxa" w:w="1680"/>
            <w:vAlign w:val="top"/>
          </w:tcPr>
          <w:p>
            <w:pPr>
              <w:spacing w:after="0"/>
            </w:pPr>
            <w:r>
              <w:rPr>
                <w:sz w:val="13"/>
              </w:rPr>
              <w:t>Privacy-By-Design Verification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D5-CTL-05</w:t>
            </w:r>
          </w:p>
        </w:tc>
        <w:tc>
          <w:tcPr>
            <w:tcW w:type="dxa" w:w="1680"/>
            <w:vAlign w:val="top"/>
          </w:tcPr>
          <w:p>
            <w:pPr>
              <w:spacing w:after="0"/>
            </w:pPr>
            <w:r>
              <w:rPr>
                <w:sz w:val="13"/>
              </w:rPr>
              <w:t>Privacy-By-Design Verification</w:t>
            </w:r>
          </w:p>
        </w:tc>
        <w:tc>
          <w:tcPr>
            <w:tcW w:type="dxa" w:w="1680"/>
            <w:vAlign w:val="top"/>
          </w:tcPr>
          <w:p>
            <w:pPr>
              <w:spacing w:after="0"/>
            </w:pPr>
            <w:r>
              <w:rPr>
                <w:sz w:val="13"/>
              </w:rPr>
              <w:t>PT — Personally Identifiable Information Processing and Transparency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D5-CTL-05</w:t>
            </w:r>
          </w:p>
        </w:tc>
        <w:tc>
          <w:tcPr>
            <w:tcW w:type="dxa" w:w="1680"/>
            <w:vAlign w:val="top"/>
          </w:tcPr>
          <w:p>
            <w:pPr>
              <w:spacing w:after="0"/>
            </w:pPr>
            <w:r>
              <w:rPr>
                <w:sz w:val="13"/>
              </w:rPr>
              <w:t>Privacy-By-Design Verification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D5-CTL-06</w:t>
            </w:r>
          </w:p>
        </w:tc>
        <w:tc>
          <w:tcPr>
            <w:tcW w:type="dxa" w:w="1680"/>
            <w:vAlign w:val="top"/>
          </w:tcPr>
          <w:p>
            <w:pPr>
              <w:spacing w:after="0"/>
            </w:pPr>
            <w:r>
              <w:rPr>
                <w:sz w:val="13"/>
              </w:rPr>
              <w:t>Privacy-Preserving Ml Validation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D5-CTL-06</w:t>
            </w:r>
          </w:p>
        </w:tc>
        <w:tc>
          <w:tcPr>
            <w:tcW w:type="dxa" w:w="1680"/>
            <w:vAlign w:val="top"/>
          </w:tcPr>
          <w:p>
            <w:pPr>
              <w:spacing w:after="0"/>
            </w:pPr>
            <w:r>
              <w:rPr>
                <w:sz w:val="13"/>
              </w:rPr>
              <w:t>Privacy-Preserving Ml Validation</w:t>
            </w:r>
          </w:p>
        </w:tc>
        <w:tc>
          <w:tcPr>
            <w:tcW w:type="dxa" w:w="1680"/>
            <w:vAlign w:val="top"/>
          </w:tcPr>
          <w:p>
            <w:pPr>
              <w:spacing w:after="0"/>
            </w:pPr>
            <w:r>
              <w:rPr>
                <w:sz w:val="13"/>
              </w:rPr>
              <w:t>PT — Personally Identifiable Information Processing and Transparency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D5-CTL-06</w:t>
            </w:r>
          </w:p>
        </w:tc>
        <w:tc>
          <w:tcPr>
            <w:tcW w:type="dxa" w:w="1680"/>
            <w:vAlign w:val="top"/>
          </w:tcPr>
          <w:p>
            <w:pPr>
              <w:spacing w:after="0"/>
            </w:pPr>
            <w:r>
              <w:rPr>
                <w:sz w:val="13"/>
              </w:rPr>
              <w:t>Privacy-Preserving Ml Validation</w:t>
            </w:r>
          </w:p>
        </w:tc>
        <w:tc>
          <w:tcPr>
            <w:tcW w:type="dxa" w:w="1680"/>
            <w:vAlign w:val="top"/>
          </w:tcPr>
          <w:p>
            <w:pPr>
              <w:spacing w:after="0"/>
            </w:pPr>
            <w:r>
              <w:rPr>
                <w:sz w:val="13"/>
              </w:rPr>
              <w:t>SC — System and Communications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D6-CTL-01</w:t>
            </w:r>
          </w:p>
        </w:tc>
        <w:tc>
          <w:tcPr>
            <w:tcW w:type="dxa" w:w="1680"/>
            <w:vAlign w:val="top"/>
          </w:tcPr>
          <w:p>
            <w:pPr>
              <w:spacing w:after="0"/>
            </w:pPr>
            <w:r>
              <w:rPr>
                <w:sz w:val="13"/>
              </w:rPr>
              <w:t>Human-In-The-Loop For High-Risk Actions</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D6-CTL-01</w:t>
            </w:r>
          </w:p>
        </w:tc>
        <w:tc>
          <w:tcPr>
            <w:tcW w:type="dxa" w:w="1680"/>
            <w:vAlign w:val="top"/>
          </w:tcPr>
          <w:p>
            <w:pPr>
              <w:spacing w:after="0"/>
            </w:pPr>
            <w:r>
              <w:rPr>
                <w:sz w:val="13"/>
              </w:rPr>
              <w:t>Human-In-The-Loop For High-Risk Actions</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D6-CTL-01</w:t>
            </w:r>
          </w:p>
        </w:tc>
        <w:tc>
          <w:tcPr>
            <w:tcW w:type="dxa" w:w="1680"/>
            <w:vAlign w:val="top"/>
          </w:tcPr>
          <w:p>
            <w:pPr>
              <w:spacing w:after="0"/>
            </w:pPr>
            <w:r>
              <w:rPr>
                <w:sz w:val="13"/>
              </w:rPr>
              <w:t>Human-In-The-Loop For High-Risk Actions</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D6-CTL-01</w:t>
            </w:r>
          </w:p>
        </w:tc>
        <w:tc>
          <w:tcPr>
            <w:tcW w:type="dxa" w:w="1680"/>
            <w:vAlign w:val="top"/>
          </w:tcPr>
          <w:p>
            <w:pPr>
              <w:spacing w:after="0"/>
            </w:pPr>
            <w:r>
              <w:rPr>
                <w:sz w:val="13"/>
              </w:rPr>
              <w:t>Human-In-The-Loop For High-Risk Actions</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D6-CTL-02</w:t>
            </w:r>
          </w:p>
        </w:tc>
        <w:tc>
          <w:tcPr>
            <w:tcW w:type="dxa" w:w="1680"/>
            <w:vAlign w:val="top"/>
          </w:tcPr>
          <w:p>
            <w:pPr>
              <w:spacing w:after="0"/>
            </w:pPr>
            <w:r>
              <w:rPr>
                <w:sz w:val="13"/>
              </w:rPr>
              <w:t>Audit Trail Completeness</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D6-CTL-02</w:t>
            </w:r>
          </w:p>
        </w:tc>
        <w:tc>
          <w:tcPr>
            <w:tcW w:type="dxa" w:w="1680"/>
            <w:vAlign w:val="top"/>
          </w:tcPr>
          <w:p>
            <w:pPr>
              <w:spacing w:after="0"/>
            </w:pPr>
            <w:r>
              <w:rPr>
                <w:sz w:val="13"/>
              </w:rPr>
              <w:t>Audit Trail Completeness</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D6-CTL-02</w:t>
            </w:r>
          </w:p>
        </w:tc>
        <w:tc>
          <w:tcPr>
            <w:tcW w:type="dxa" w:w="1680"/>
            <w:vAlign w:val="top"/>
          </w:tcPr>
          <w:p>
            <w:pPr>
              <w:spacing w:after="0"/>
            </w:pPr>
            <w:r>
              <w:rPr>
                <w:sz w:val="13"/>
              </w:rPr>
              <w:t>Audit Trail Completeness</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D6-CTL-02</w:t>
            </w:r>
          </w:p>
        </w:tc>
        <w:tc>
          <w:tcPr>
            <w:tcW w:type="dxa" w:w="1680"/>
            <w:vAlign w:val="top"/>
          </w:tcPr>
          <w:p>
            <w:pPr>
              <w:spacing w:after="0"/>
            </w:pPr>
            <w:r>
              <w:rPr>
                <w:sz w:val="13"/>
              </w:rPr>
              <w:t>Audit Trail Completeness</w:t>
            </w:r>
          </w:p>
        </w:tc>
        <w:tc>
          <w:tcPr>
            <w:tcW w:type="dxa" w:w="1680"/>
            <w:vAlign w:val="top"/>
          </w:tcPr>
          <w:p>
            <w:pPr>
              <w:spacing w:after="0"/>
            </w:pPr>
            <w:r>
              <w:rPr>
                <w:sz w:val="13"/>
              </w:rPr>
              <w:t>AU — Audit and Accountability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D6-CTL-03</w:t>
            </w:r>
          </w:p>
        </w:tc>
        <w:tc>
          <w:tcPr>
            <w:tcW w:type="dxa" w:w="1680"/>
            <w:vAlign w:val="top"/>
          </w:tcPr>
          <w:p>
            <w:pPr>
              <w:spacing w:after="0"/>
            </w:pPr>
            <w:r>
              <w:rPr>
                <w:sz w:val="13"/>
              </w:rPr>
              <w:t>Ai Model Card Completeness</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D6-CTL-03</w:t>
            </w:r>
          </w:p>
        </w:tc>
        <w:tc>
          <w:tcPr>
            <w:tcW w:type="dxa" w:w="1680"/>
            <w:vAlign w:val="top"/>
          </w:tcPr>
          <w:p>
            <w:pPr>
              <w:spacing w:after="0"/>
            </w:pPr>
            <w:r>
              <w:rPr>
                <w:sz w:val="13"/>
              </w:rPr>
              <w:t>Ai Model Card Completeness</w:t>
            </w:r>
          </w:p>
        </w:tc>
        <w:tc>
          <w:tcPr>
            <w:tcW w:type="dxa" w:w="1680"/>
            <w:vAlign w:val="top"/>
          </w:tcPr>
          <w:p>
            <w:pPr>
              <w:spacing w:after="0"/>
            </w:pPr>
            <w:r>
              <w:rPr>
                <w:sz w:val="13"/>
              </w:rPr>
              <w:t>PL — Planning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D6-CTL-03</w:t>
            </w:r>
          </w:p>
        </w:tc>
        <w:tc>
          <w:tcPr>
            <w:tcW w:type="dxa" w:w="1680"/>
            <w:vAlign w:val="top"/>
          </w:tcPr>
          <w:p>
            <w:pPr>
              <w:spacing w:after="0"/>
            </w:pPr>
            <w:r>
              <w:rPr>
                <w:sz w:val="13"/>
              </w:rPr>
              <w:t>Ai Model Card Completeness</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D6-CTL-03</w:t>
            </w:r>
          </w:p>
        </w:tc>
        <w:tc>
          <w:tcPr>
            <w:tcW w:type="dxa" w:w="1680"/>
            <w:vAlign w:val="top"/>
          </w:tcPr>
          <w:p>
            <w:pPr>
              <w:spacing w:after="0"/>
            </w:pPr>
            <w:r>
              <w:rPr>
                <w:sz w:val="13"/>
              </w:rPr>
              <w:t>Ai Model Card Completeness</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D6-CTL-04</w:t>
            </w:r>
          </w:p>
        </w:tc>
        <w:tc>
          <w:tcPr>
            <w:tcW w:type="dxa" w:w="1680"/>
            <w:vAlign w:val="top"/>
          </w:tcPr>
          <w:p>
            <w:pPr>
              <w:spacing w:after="0"/>
            </w:pPr>
            <w:r>
              <w:rPr>
                <w:sz w:val="13"/>
              </w:rPr>
              <w:t>Ai Incident Response Readiness</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D6-CTL-04</w:t>
            </w:r>
          </w:p>
        </w:tc>
        <w:tc>
          <w:tcPr>
            <w:tcW w:type="dxa" w:w="1680"/>
            <w:vAlign w:val="top"/>
          </w:tcPr>
          <w:p>
            <w:pPr>
              <w:spacing w:after="0"/>
            </w:pPr>
            <w:r>
              <w:rPr>
                <w:sz w:val="13"/>
              </w:rPr>
              <w:t>Ai Incident Response Readiness</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D6-CTL-04</w:t>
            </w:r>
          </w:p>
        </w:tc>
        <w:tc>
          <w:tcPr>
            <w:tcW w:type="dxa" w:w="1680"/>
            <w:vAlign w:val="top"/>
          </w:tcPr>
          <w:p>
            <w:pPr>
              <w:spacing w:after="0"/>
            </w:pPr>
            <w:r>
              <w:rPr>
                <w:sz w:val="13"/>
              </w:rPr>
              <w:t>Ai Incident Response Readiness</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D6-CTL-04</w:t>
            </w:r>
          </w:p>
        </w:tc>
        <w:tc>
          <w:tcPr>
            <w:tcW w:type="dxa" w:w="1680"/>
            <w:vAlign w:val="top"/>
          </w:tcPr>
          <w:p>
            <w:pPr>
              <w:spacing w:after="0"/>
            </w:pPr>
            <w:r>
              <w:rPr>
                <w:sz w:val="13"/>
              </w:rPr>
              <w:t>Ai Incident Response Readiness</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D6-CTL-04</w:t>
            </w:r>
          </w:p>
        </w:tc>
        <w:tc>
          <w:tcPr>
            <w:tcW w:type="dxa" w:w="1680"/>
            <w:vAlign w:val="top"/>
          </w:tcPr>
          <w:p>
            <w:pPr>
              <w:spacing w:after="0"/>
            </w:pPr>
            <w:r>
              <w:rPr>
                <w:sz w:val="13"/>
              </w:rPr>
              <w:t>Ai Incident Response Readiness</w:t>
            </w:r>
          </w:p>
        </w:tc>
        <w:tc>
          <w:tcPr>
            <w:tcW w:type="dxa" w:w="1680"/>
            <w:vAlign w:val="top"/>
          </w:tcPr>
          <w:p>
            <w:pPr>
              <w:spacing w:after="0"/>
            </w:pPr>
            <w:r>
              <w:rPr>
                <w:sz w:val="13"/>
              </w:rPr>
              <w:t>IR — Incident Response</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D6-CTL-05</w:t>
            </w:r>
          </w:p>
        </w:tc>
        <w:tc>
          <w:tcPr>
            <w:tcW w:type="dxa" w:w="1680"/>
            <w:vAlign w:val="top"/>
          </w:tcPr>
          <w:p>
            <w:pPr>
              <w:spacing w:after="0"/>
            </w:pPr>
            <w:r>
              <w:rPr>
                <w:sz w:val="13"/>
              </w:rPr>
              <w:t>Model Deprecation &amp; Decommissioning</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D6-CTL-05</w:t>
            </w:r>
          </w:p>
        </w:tc>
        <w:tc>
          <w:tcPr>
            <w:tcW w:type="dxa" w:w="1680"/>
            <w:vAlign w:val="top"/>
          </w:tcPr>
          <w:p>
            <w:pPr>
              <w:spacing w:after="0"/>
            </w:pPr>
            <w:r>
              <w:rPr>
                <w:sz w:val="13"/>
              </w:rPr>
              <w:t>Model Deprecation &amp; Decommissioning</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D6-CTL-05</w:t>
            </w:r>
          </w:p>
        </w:tc>
        <w:tc>
          <w:tcPr>
            <w:tcW w:type="dxa" w:w="1680"/>
            <w:vAlign w:val="top"/>
          </w:tcPr>
          <w:p>
            <w:pPr>
              <w:spacing w:after="0"/>
            </w:pPr>
            <w:r>
              <w:rPr>
                <w:sz w:val="13"/>
              </w:rPr>
              <w:t>Model Deprecation &amp; Decommissioning</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D6-CTL-05</w:t>
            </w:r>
          </w:p>
        </w:tc>
        <w:tc>
          <w:tcPr>
            <w:tcW w:type="dxa" w:w="1680"/>
            <w:vAlign w:val="top"/>
          </w:tcPr>
          <w:p>
            <w:pPr>
              <w:spacing w:after="0"/>
            </w:pPr>
            <w:r>
              <w:rPr>
                <w:sz w:val="13"/>
              </w:rPr>
              <w:t>Model Deprecation &amp; Decommissioning</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D6-CTL-05</w:t>
            </w:r>
          </w:p>
        </w:tc>
        <w:tc>
          <w:tcPr>
            <w:tcW w:type="dxa" w:w="1680"/>
            <w:vAlign w:val="top"/>
          </w:tcPr>
          <w:p>
            <w:pPr>
              <w:spacing w:after="0"/>
            </w:pPr>
            <w:r>
              <w:rPr>
                <w:sz w:val="13"/>
              </w:rPr>
              <w:t>Model Deprecation &amp; Decommissioning</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D6-CTL-05</w:t>
            </w:r>
          </w:p>
        </w:tc>
        <w:tc>
          <w:tcPr>
            <w:tcW w:type="dxa" w:w="1680"/>
            <w:vAlign w:val="top"/>
          </w:tcPr>
          <w:p>
            <w:pPr>
              <w:spacing w:after="0"/>
            </w:pPr>
            <w:r>
              <w:rPr>
                <w:sz w:val="13"/>
              </w:rPr>
              <w:t>Model Deprecation &amp; Decommissioning</w:t>
            </w:r>
          </w:p>
        </w:tc>
        <w:tc>
          <w:tcPr>
            <w:tcW w:type="dxa" w:w="1680"/>
            <w:vAlign w:val="top"/>
          </w:tcPr>
          <w:p>
            <w:pPr>
              <w:spacing w:after="0"/>
            </w:pPr>
            <w:r>
              <w:rPr>
                <w:sz w:val="13"/>
              </w:rPr>
              <w:t>MP — Media Protection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D6-CTL-06</w:t>
            </w:r>
          </w:p>
        </w:tc>
        <w:tc>
          <w:tcPr>
            <w:tcW w:type="dxa" w:w="1680"/>
            <w:vAlign w:val="top"/>
          </w:tcPr>
          <w:p>
            <w:pPr>
              <w:spacing w:after="0"/>
            </w:pPr>
            <w:r>
              <w:rPr>
                <w:sz w:val="13"/>
              </w:rPr>
              <w:t>Third-Party Ai Vendor Governance</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D6-CTL-06</w:t>
            </w:r>
          </w:p>
        </w:tc>
        <w:tc>
          <w:tcPr>
            <w:tcW w:type="dxa" w:w="1680"/>
            <w:vAlign w:val="top"/>
          </w:tcPr>
          <w:p>
            <w:pPr>
              <w:spacing w:after="0"/>
            </w:pPr>
            <w:r>
              <w:rPr>
                <w:sz w:val="13"/>
              </w:rPr>
              <w:t>Third-Party Ai Vendor Governance</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D6-CTL-06</w:t>
            </w:r>
          </w:p>
        </w:tc>
        <w:tc>
          <w:tcPr>
            <w:tcW w:type="dxa" w:w="1680"/>
            <w:vAlign w:val="top"/>
          </w:tcPr>
          <w:p>
            <w:pPr>
              <w:spacing w:after="0"/>
            </w:pPr>
            <w:r>
              <w:rPr>
                <w:sz w:val="13"/>
              </w:rPr>
              <w:t>Third-Party Ai Vendor Governance</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D6-CTL-06</w:t>
            </w:r>
          </w:p>
        </w:tc>
        <w:tc>
          <w:tcPr>
            <w:tcW w:type="dxa" w:w="1680"/>
            <w:vAlign w:val="top"/>
          </w:tcPr>
          <w:p>
            <w:pPr>
              <w:spacing w:after="0"/>
            </w:pPr>
            <w:r>
              <w:rPr>
                <w:sz w:val="13"/>
              </w:rPr>
              <w:t>Third-Party Ai Vendor Governance</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D6-CTL-06</w:t>
            </w:r>
          </w:p>
        </w:tc>
        <w:tc>
          <w:tcPr>
            <w:tcW w:type="dxa" w:w="1680"/>
            <w:vAlign w:val="top"/>
          </w:tcPr>
          <w:p>
            <w:pPr>
              <w:spacing w:after="0"/>
            </w:pPr>
            <w:r>
              <w:rPr>
                <w:sz w:val="13"/>
              </w:rPr>
              <w:t>Third-Party Ai Vendor Governance</w:t>
            </w:r>
          </w:p>
        </w:tc>
        <w:tc>
          <w:tcPr>
            <w:tcW w:type="dxa" w:w="1680"/>
            <w:vAlign w:val="top"/>
          </w:tcPr>
          <w:p>
            <w:pPr>
              <w:spacing w:after="0"/>
            </w:pPr>
            <w:r>
              <w:rPr>
                <w:sz w:val="13"/>
              </w:rPr>
              <w:t>SR — Supply Chain Risk Management</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D6-CTL-06</w:t>
            </w:r>
          </w:p>
        </w:tc>
        <w:tc>
          <w:tcPr>
            <w:tcW w:type="dxa" w:w="1680"/>
            <w:vAlign w:val="top"/>
          </w:tcPr>
          <w:p>
            <w:pPr>
              <w:spacing w:after="0"/>
            </w:pPr>
            <w:r>
              <w:rPr>
                <w:sz w:val="13"/>
              </w:rPr>
              <w:t>Third-Party Ai Vendor Governance</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D6-CTL-07</w:t>
            </w:r>
          </w:p>
        </w:tc>
        <w:tc>
          <w:tcPr>
            <w:tcW w:type="dxa" w:w="1680"/>
            <w:vAlign w:val="top"/>
          </w:tcPr>
          <w:p>
            <w:pPr>
              <w:spacing w:after="0"/>
            </w:pPr>
            <w:r>
              <w:rPr>
                <w:sz w:val="13"/>
              </w:rPr>
              <w:t>Ai Resilience &amp; Business Continuity</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D6-CTL-07</w:t>
            </w:r>
          </w:p>
        </w:tc>
        <w:tc>
          <w:tcPr>
            <w:tcW w:type="dxa" w:w="1680"/>
            <w:vAlign w:val="top"/>
          </w:tcPr>
          <w:p>
            <w:pPr>
              <w:spacing w:after="0"/>
            </w:pPr>
            <w:r>
              <w:rPr>
                <w:sz w:val="13"/>
              </w:rPr>
              <w:t>Ai Resilience &amp; Business Continuity</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D6-CTL-07</w:t>
            </w:r>
          </w:p>
        </w:tc>
        <w:tc>
          <w:tcPr>
            <w:tcW w:type="dxa" w:w="1680"/>
            <w:vAlign w:val="top"/>
          </w:tcPr>
          <w:p>
            <w:pPr>
              <w:spacing w:after="0"/>
            </w:pPr>
            <w:r>
              <w:rPr>
                <w:sz w:val="13"/>
              </w:rPr>
              <w:t>Ai Resilience &amp; Business Continuity</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D6-CTL-07</w:t>
            </w:r>
          </w:p>
        </w:tc>
        <w:tc>
          <w:tcPr>
            <w:tcW w:type="dxa" w:w="1680"/>
            <w:vAlign w:val="top"/>
          </w:tcPr>
          <w:p>
            <w:pPr>
              <w:spacing w:after="0"/>
            </w:pPr>
            <w:r>
              <w:rPr>
                <w:sz w:val="13"/>
              </w:rPr>
              <w:t>Ai Resilience &amp; Business Continuity</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D6-CTL-07</w:t>
            </w:r>
          </w:p>
        </w:tc>
        <w:tc>
          <w:tcPr>
            <w:tcW w:type="dxa" w:w="1680"/>
            <w:vAlign w:val="top"/>
          </w:tcPr>
          <w:p>
            <w:pPr>
              <w:spacing w:after="0"/>
            </w:pPr>
            <w:r>
              <w:rPr>
                <w:sz w:val="13"/>
              </w:rPr>
              <w:t>Ai Resilience &amp; Business Continuity</w:t>
            </w:r>
          </w:p>
        </w:tc>
        <w:tc>
          <w:tcPr>
            <w:tcW w:type="dxa" w:w="1680"/>
            <w:vAlign w:val="top"/>
          </w:tcPr>
          <w:p>
            <w:pPr>
              <w:spacing w:after="0"/>
            </w:pPr>
            <w:r>
              <w:rPr>
                <w:sz w:val="13"/>
              </w:rPr>
              <w:t>CP — Contingency Planning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D6-CTL-07</w:t>
            </w:r>
          </w:p>
        </w:tc>
        <w:tc>
          <w:tcPr>
            <w:tcW w:type="dxa" w:w="1680"/>
            <w:vAlign w:val="top"/>
          </w:tcPr>
          <w:p>
            <w:pPr>
              <w:spacing w:after="0"/>
            </w:pPr>
            <w:r>
              <w:rPr>
                <w:sz w:val="13"/>
              </w:rPr>
              <w:t>Ai Resilience &amp; Business Continuity</w:t>
            </w:r>
          </w:p>
        </w:tc>
        <w:tc>
          <w:tcPr>
            <w:tcW w:type="dxa" w:w="1680"/>
            <w:vAlign w:val="top"/>
          </w:tcPr>
          <w:p>
            <w:pPr>
              <w:spacing w:after="0"/>
            </w:pPr>
            <w:r>
              <w:rPr>
                <w:sz w:val="13"/>
              </w:rPr>
              <w:t>IR — Incident Response</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D7-CTL-H01</w:t>
            </w:r>
          </w:p>
        </w:tc>
        <w:tc>
          <w:tcPr>
            <w:tcW w:type="dxa" w:w="1680"/>
            <w:vAlign w:val="top"/>
          </w:tcPr>
          <w:p>
            <w:pPr>
              <w:spacing w:after="0"/>
            </w:pPr>
            <w:r>
              <w:rPr>
                <w:sz w:val="13"/>
              </w:rPr>
              <w:t>Ai-Generated Phishing Simulation</w:t>
            </w:r>
          </w:p>
        </w:tc>
        <w:tc>
          <w:tcPr>
            <w:tcW w:type="dxa" w:w="1680"/>
            <w:vAlign w:val="top"/>
          </w:tcPr>
          <w:p>
            <w:pPr>
              <w:spacing w:after="0"/>
            </w:pPr>
            <w:r>
              <w:rPr>
                <w:sz w:val="13"/>
              </w:rPr>
              <w:t>AT — Awareness and Training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D7-CTL-H01</w:t>
            </w:r>
          </w:p>
        </w:tc>
        <w:tc>
          <w:tcPr>
            <w:tcW w:type="dxa" w:w="1680"/>
            <w:vAlign w:val="top"/>
          </w:tcPr>
          <w:p>
            <w:pPr>
              <w:spacing w:after="0"/>
            </w:pPr>
            <w:r>
              <w:rPr>
                <w:sz w:val="13"/>
              </w:rPr>
              <w:t>Ai-Generated Phishing Simulation</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D7-CTL-H01</w:t>
            </w:r>
          </w:p>
        </w:tc>
        <w:tc>
          <w:tcPr>
            <w:tcW w:type="dxa" w:w="1680"/>
            <w:vAlign w:val="top"/>
          </w:tcPr>
          <w:p>
            <w:pPr>
              <w:spacing w:after="0"/>
            </w:pPr>
            <w:r>
              <w:rPr>
                <w:sz w:val="13"/>
              </w:rPr>
              <w:t>Ai-Generated Phishing Simulation</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D7-CTL-H01</w:t>
            </w:r>
          </w:p>
        </w:tc>
        <w:tc>
          <w:tcPr>
            <w:tcW w:type="dxa" w:w="1680"/>
            <w:vAlign w:val="top"/>
          </w:tcPr>
          <w:p>
            <w:pPr>
              <w:spacing w:after="0"/>
            </w:pPr>
            <w:r>
              <w:rPr>
                <w:sz w:val="13"/>
              </w:rPr>
              <w:t>Ai-Generated Phishing Simulation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D7-CTL-H02</w:t>
            </w:r>
          </w:p>
        </w:tc>
        <w:tc>
          <w:tcPr>
            <w:tcW w:type="dxa" w:w="1680"/>
            <w:vAlign w:val="top"/>
          </w:tcPr>
          <w:p>
            <w:pPr>
              <w:spacing w:after="0"/>
            </w:pPr>
            <w:r>
              <w:rPr>
                <w:sz w:val="13"/>
              </w:rPr>
              <w:t>Deepfake Detection Training</w:t>
            </w:r>
          </w:p>
        </w:tc>
        <w:tc>
          <w:tcPr>
            <w:tcW w:type="dxa" w:w="1680"/>
            <w:vAlign w:val="top"/>
          </w:tcPr>
          <w:p>
            <w:pPr>
              <w:spacing w:after="0"/>
            </w:pPr>
            <w:r>
              <w:rPr>
                <w:sz w:val="13"/>
              </w:rPr>
              <w:t>AT — Awareness and Training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D7-CTL-H02</w:t>
            </w:r>
          </w:p>
        </w:tc>
        <w:tc>
          <w:tcPr>
            <w:tcW w:type="dxa" w:w="1680"/>
            <w:vAlign w:val="top"/>
          </w:tcPr>
          <w:p>
            <w:pPr>
              <w:spacing w:after="0"/>
            </w:pPr>
            <w:r>
              <w:rPr>
                <w:sz w:val="13"/>
              </w:rPr>
              <w:t>Deepfake Detection Training</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D7-CTL-H02</w:t>
            </w:r>
          </w:p>
        </w:tc>
        <w:tc>
          <w:tcPr>
            <w:tcW w:type="dxa" w:w="1680"/>
            <w:vAlign w:val="top"/>
          </w:tcPr>
          <w:p>
            <w:pPr>
              <w:spacing w:after="0"/>
            </w:pPr>
            <w:r>
              <w:rPr>
                <w:sz w:val="13"/>
              </w:rPr>
              <w:t>Deepfake Detection Training</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D7-CTL-H02</w:t>
            </w:r>
          </w:p>
        </w:tc>
        <w:tc>
          <w:tcPr>
            <w:tcW w:type="dxa" w:w="1680"/>
            <w:vAlign w:val="top"/>
          </w:tcPr>
          <w:p>
            <w:pPr>
              <w:spacing w:after="0"/>
            </w:pPr>
            <w:r>
              <w:rPr>
                <w:sz w:val="13"/>
              </w:rPr>
              <w:t>Deepfake Detection Training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D7-CTL-H02</w:t>
            </w:r>
          </w:p>
        </w:tc>
        <w:tc>
          <w:tcPr>
            <w:tcW w:type="dxa" w:w="1680"/>
            <w:vAlign w:val="top"/>
          </w:tcPr>
          <w:p>
            <w:pPr>
              <w:spacing w:after="0"/>
            </w:pPr>
            <w:r>
              <w:rPr>
                <w:sz w:val="13"/>
              </w:rPr>
              <w:t>Deepfake Detection Training</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D7-CTL-H03</w:t>
            </w:r>
          </w:p>
        </w:tc>
        <w:tc>
          <w:tcPr>
            <w:tcW w:type="dxa" w:w="1680"/>
            <w:vAlign w:val="top"/>
          </w:tcPr>
          <w:p>
            <w:pPr>
              <w:spacing w:after="0"/>
            </w:pPr>
            <w:r>
              <w:rPr>
                <w:sz w:val="13"/>
              </w:rPr>
              <w:t>Out-Of-Band Authentication</w:t>
            </w:r>
          </w:p>
        </w:tc>
        <w:tc>
          <w:tcPr>
            <w:tcW w:type="dxa" w:w="1680"/>
            <w:vAlign w:val="top"/>
          </w:tcPr>
          <w:p>
            <w:pPr>
              <w:spacing w:after="0"/>
            </w:pPr>
            <w:r>
              <w:rPr>
                <w:sz w:val="13"/>
              </w:rPr>
              <w:t>AT — Awareness and Training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D7-CTL-H03</w:t>
            </w:r>
          </w:p>
        </w:tc>
        <w:tc>
          <w:tcPr>
            <w:tcW w:type="dxa" w:w="1680"/>
            <w:vAlign w:val="top"/>
          </w:tcPr>
          <w:p>
            <w:pPr>
              <w:spacing w:after="0"/>
            </w:pPr>
            <w:r>
              <w:rPr>
                <w:sz w:val="13"/>
              </w:rPr>
              <w:t>Out-Of-Band Authentication</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D7-CTL-H03</w:t>
            </w:r>
          </w:p>
        </w:tc>
        <w:tc>
          <w:tcPr>
            <w:tcW w:type="dxa" w:w="1680"/>
            <w:vAlign w:val="top"/>
          </w:tcPr>
          <w:p>
            <w:pPr>
              <w:spacing w:after="0"/>
            </w:pPr>
            <w:r>
              <w:rPr>
                <w:sz w:val="13"/>
              </w:rPr>
              <w:t>Out-Of-Band Authentication</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D7-CTL-H03</w:t>
            </w:r>
          </w:p>
        </w:tc>
        <w:tc>
          <w:tcPr>
            <w:tcW w:type="dxa" w:w="1680"/>
            <w:vAlign w:val="top"/>
          </w:tcPr>
          <w:p>
            <w:pPr>
              <w:spacing w:after="0"/>
            </w:pPr>
            <w:r>
              <w:rPr>
                <w:sz w:val="13"/>
              </w:rPr>
              <w:t>Out-Of-Band Authentication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D7-CTL-H03</w:t>
            </w:r>
          </w:p>
        </w:tc>
        <w:tc>
          <w:tcPr>
            <w:tcW w:type="dxa" w:w="1680"/>
            <w:vAlign w:val="top"/>
          </w:tcPr>
          <w:p>
            <w:pPr>
              <w:spacing w:after="0"/>
            </w:pPr>
            <w:r>
              <w:rPr>
                <w:sz w:val="13"/>
              </w:rPr>
              <w:t>Out-Of-Band Authentication</w:t>
            </w:r>
          </w:p>
        </w:tc>
        <w:tc>
          <w:tcPr>
            <w:tcW w:type="dxa" w:w="1680"/>
            <w:vAlign w:val="top"/>
          </w:tcPr>
          <w:p>
            <w:pPr>
              <w:spacing w:after="0"/>
            </w:pPr>
            <w:r>
              <w:rPr>
                <w:sz w:val="13"/>
              </w:rPr>
              <w:t>AC — Access Control</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D7-CTL-H04</w:t>
            </w:r>
          </w:p>
        </w:tc>
        <w:tc>
          <w:tcPr>
            <w:tcW w:type="dxa" w:w="1680"/>
            <w:vAlign w:val="top"/>
          </w:tcPr>
          <w:p>
            <w:pPr>
              <w:spacing w:after="0"/>
            </w:pPr>
            <w:r>
              <w:rPr>
                <w:sz w:val="13"/>
              </w:rPr>
              <w:t>Ai Social Engineering Ir</w:t>
            </w:r>
          </w:p>
        </w:tc>
        <w:tc>
          <w:tcPr>
            <w:tcW w:type="dxa" w:w="1680"/>
            <w:vAlign w:val="top"/>
          </w:tcPr>
          <w:p>
            <w:pPr>
              <w:spacing w:after="0"/>
            </w:pPr>
            <w:r>
              <w:rPr>
                <w:sz w:val="13"/>
              </w:rPr>
              <w:t>AT — Awareness and Training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D7-CTL-H04</w:t>
            </w:r>
          </w:p>
        </w:tc>
        <w:tc>
          <w:tcPr>
            <w:tcW w:type="dxa" w:w="1680"/>
            <w:vAlign w:val="top"/>
          </w:tcPr>
          <w:p>
            <w:pPr>
              <w:spacing w:after="0"/>
            </w:pPr>
            <w:r>
              <w:rPr>
                <w:sz w:val="13"/>
              </w:rPr>
              <w:t>Ai Social Engineering Ir</w:t>
            </w:r>
          </w:p>
        </w:tc>
        <w:tc>
          <w:tcPr>
            <w:tcW w:type="dxa" w:w="1680"/>
            <w:vAlign w:val="top"/>
          </w:tcPr>
          <w:p>
            <w:pPr>
              <w:spacing w:after="0"/>
            </w:pPr>
            <w:r>
              <w:rPr>
                <w:sz w:val="13"/>
              </w:rPr>
              <w:t>IR — Incident Response</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D7-CTL-H04</w:t>
            </w:r>
          </w:p>
        </w:tc>
        <w:tc>
          <w:tcPr>
            <w:tcW w:type="dxa" w:w="1680"/>
            <w:vAlign w:val="top"/>
          </w:tcPr>
          <w:p>
            <w:pPr>
              <w:spacing w:after="0"/>
            </w:pPr>
            <w:r>
              <w:rPr>
                <w:sz w:val="13"/>
              </w:rPr>
              <w:t>Ai Social Engineering Ir</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D7-CTL-H04</w:t>
            </w:r>
          </w:p>
        </w:tc>
        <w:tc>
          <w:tcPr>
            <w:tcW w:type="dxa" w:w="1680"/>
            <w:vAlign w:val="top"/>
          </w:tcPr>
          <w:p>
            <w:pPr>
              <w:spacing w:after="0"/>
            </w:pPr>
            <w:r>
              <w:rPr>
                <w:sz w:val="13"/>
              </w:rPr>
              <w:t>Ai Social Engineering Ir</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D7-CTL-H05</w:t>
            </w:r>
          </w:p>
        </w:tc>
        <w:tc>
          <w:tcPr>
            <w:tcW w:type="dxa" w:w="1680"/>
            <w:vAlign w:val="top"/>
          </w:tcPr>
          <w:p>
            <w:pPr>
              <w:spacing w:after="0"/>
            </w:pPr>
            <w:r>
              <w:rPr>
                <w:sz w:val="13"/>
              </w:rPr>
              <w:t>Ai-Enhanced External Attack Defense</w:t>
            </w:r>
          </w:p>
        </w:tc>
        <w:tc>
          <w:tcPr>
            <w:tcW w:type="dxa" w:w="1680"/>
            <w:vAlign w:val="top"/>
          </w:tcPr>
          <w:p>
            <w:pPr>
              <w:spacing w:after="0"/>
            </w:pPr>
            <w:r>
              <w:rPr>
                <w:sz w:val="13"/>
              </w:rPr>
              <w:t>AT — Awareness and Training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D7-CTL-H05</w:t>
            </w:r>
          </w:p>
        </w:tc>
        <w:tc>
          <w:tcPr>
            <w:tcW w:type="dxa" w:w="1680"/>
            <w:vAlign w:val="top"/>
          </w:tcPr>
          <w:p>
            <w:pPr>
              <w:spacing w:after="0"/>
            </w:pPr>
            <w:r>
              <w:rPr>
                <w:sz w:val="13"/>
              </w:rPr>
              <w:t>Ai-Enhanced External Attack Defense</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D7-CTL-H05</w:t>
            </w:r>
          </w:p>
        </w:tc>
        <w:tc>
          <w:tcPr>
            <w:tcW w:type="dxa" w:w="1680"/>
            <w:vAlign w:val="top"/>
          </w:tcPr>
          <w:p>
            <w:pPr>
              <w:spacing w:after="0"/>
            </w:pPr>
            <w:r>
              <w:rPr>
                <w:sz w:val="13"/>
              </w:rPr>
              <w:t>Ai-Enhanced External Attack Defense</w:t>
            </w:r>
          </w:p>
        </w:tc>
        <w:tc>
          <w:tcPr>
            <w:tcW w:type="dxa" w:w="1680"/>
            <w:vAlign w:val="top"/>
          </w:tcPr>
          <w:p>
            <w:pPr>
              <w:spacing w:after="0"/>
            </w:pPr>
            <w:r>
              <w:rPr>
                <w:sz w:val="13"/>
              </w:rPr>
              <w:t>IA — Identification and Authentication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D7-CTL-H05</w:t>
            </w:r>
          </w:p>
        </w:tc>
        <w:tc>
          <w:tcPr>
            <w:tcW w:type="dxa" w:w="1680"/>
            <w:vAlign w:val="top"/>
          </w:tcPr>
          <w:p>
            <w:pPr>
              <w:spacing w:after="0"/>
            </w:pPr>
            <w:r>
              <w:rPr>
                <w:sz w:val="13"/>
              </w:rPr>
              <w:t>Ai-Enhanced External Attack Defense</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D8-CTL-01</w:t>
            </w:r>
          </w:p>
        </w:tc>
        <w:tc>
          <w:tcPr>
            <w:tcW w:type="dxa" w:w="1680"/>
            <w:vAlign w:val="top"/>
          </w:tcPr>
          <w:p>
            <w:pPr>
              <w:spacing w:after="0"/>
            </w:pPr>
            <w:r>
              <w:rPr>
                <w:sz w:val="13"/>
              </w:rPr>
              <w:t>Eu Ai Act Risk Tier Mapping</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D8-CTL-01</w:t>
            </w:r>
          </w:p>
        </w:tc>
        <w:tc>
          <w:tcPr>
            <w:tcW w:type="dxa" w:w="1680"/>
            <w:vAlign w:val="top"/>
          </w:tcPr>
          <w:p>
            <w:pPr>
              <w:spacing w:after="0"/>
            </w:pPr>
            <w:r>
              <w:rPr>
                <w:sz w:val="13"/>
              </w:rPr>
              <w:t>Eu Ai Act Risk Tier Mapping</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D8-CTL-01</w:t>
            </w:r>
          </w:p>
        </w:tc>
        <w:tc>
          <w:tcPr>
            <w:tcW w:type="dxa" w:w="1680"/>
            <w:vAlign w:val="top"/>
          </w:tcPr>
          <w:p>
            <w:pPr>
              <w:spacing w:after="0"/>
            </w:pPr>
            <w:r>
              <w:rPr>
                <w:sz w:val="13"/>
              </w:rPr>
              <w:t>Eu Ai Act Risk Tier Mapping</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D8-CTL-02</w:t>
            </w:r>
          </w:p>
        </w:tc>
        <w:tc>
          <w:tcPr>
            <w:tcW w:type="dxa" w:w="1680"/>
            <w:vAlign w:val="top"/>
          </w:tcPr>
          <w:p>
            <w:pPr>
              <w:spacing w:after="0"/>
            </w:pPr>
            <w:r>
              <w:rPr>
                <w:sz w:val="13"/>
              </w:rPr>
              <w:t>Iso 42001 Gap Analysis</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D8-CTL-02</w:t>
            </w:r>
          </w:p>
        </w:tc>
        <w:tc>
          <w:tcPr>
            <w:tcW w:type="dxa" w:w="1680"/>
            <w:vAlign w:val="top"/>
          </w:tcPr>
          <w:p>
            <w:pPr>
              <w:spacing w:after="0"/>
            </w:pPr>
            <w:r>
              <w:rPr>
                <w:sz w:val="13"/>
              </w:rPr>
              <w:t>Iso 42001 Gap Analysis</w:t>
            </w:r>
          </w:p>
        </w:tc>
        <w:tc>
          <w:tcPr>
            <w:tcW w:type="dxa" w:w="1680"/>
            <w:vAlign w:val="top"/>
          </w:tcPr>
          <w:p>
            <w:pPr>
              <w:spacing w:after="0"/>
            </w:pPr>
            <w:r>
              <w:rPr>
                <w:sz w:val="13"/>
              </w:rPr>
              <w:t>PL — Planning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D8-CTL-02</w:t>
            </w:r>
          </w:p>
        </w:tc>
        <w:tc>
          <w:tcPr>
            <w:tcW w:type="dxa" w:w="1680"/>
            <w:vAlign w:val="top"/>
          </w:tcPr>
          <w:p>
            <w:pPr>
              <w:spacing w:after="0"/>
            </w:pPr>
            <w:r>
              <w:rPr>
                <w:sz w:val="13"/>
              </w:rPr>
              <w:t>Iso 42001 Gap Analysis</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D8-CTL-03</w:t>
            </w:r>
          </w:p>
        </w:tc>
        <w:tc>
          <w:tcPr>
            <w:tcW w:type="dxa" w:w="1680"/>
            <w:vAlign w:val="top"/>
          </w:tcPr>
          <w:p>
            <w:pPr>
              <w:spacing w:after="0"/>
            </w:pPr>
            <w:r>
              <w:rPr>
                <w:sz w:val="13"/>
              </w:rPr>
              <w:t>Gpai Technical Documentation Verification</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D8-CTL-03</w:t>
            </w:r>
          </w:p>
        </w:tc>
        <w:tc>
          <w:tcPr>
            <w:tcW w:type="dxa" w:w="1680"/>
            <w:vAlign w:val="top"/>
          </w:tcPr>
          <w:p>
            <w:pPr>
              <w:spacing w:after="0"/>
            </w:pPr>
            <w:r>
              <w:rPr>
                <w:sz w:val="13"/>
              </w:rPr>
              <w:t>Gpai Technical Documentation Verification</w:t>
            </w:r>
          </w:p>
        </w:tc>
        <w:tc>
          <w:tcPr>
            <w:tcW w:type="dxa" w:w="1680"/>
            <w:vAlign w:val="top"/>
          </w:tcPr>
          <w:p>
            <w:pPr>
              <w:spacing w:after="0"/>
            </w:pPr>
            <w:r>
              <w:rPr>
                <w:sz w:val="13"/>
              </w:rPr>
              <w:t>PL — Planning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D8-CTL-03</w:t>
            </w:r>
          </w:p>
        </w:tc>
        <w:tc>
          <w:tcPr>
            <w:tcW w:type="dxa" w:w="1680"/>
            <w:vAlign w:val="top"/>
          </w:tcPr>
          <w:p>
            <w:pPr>
              <w:spacing w:after="0"/>
            </w:pPr>
            <w:r>
              <w:rPr>
                <w:sz w:val="13"/>
              </w:rPr>
              <w:t>Gpai Technical Documentation Verification</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D8-CTL-04</w:t>
            </w:r>
          </w:p>
        </w:tc>
        <w:tc>
          <w:tcPr>
            <w:tcW w:type="dxa" w:w="1680"/>
            <w:vAlign w:val="top"/>
          </w:tcPr>
          <w:p>
            <w:pPr>
              <w:spacing w:after="0"/>
            </w:pPr>
            <w:r>
              <w:rPr>
                <w:sz w:val="13"/>
              </w:rPr>
              <w:t>Dora Ict Incident Reporting (Financial Sector)</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D8-CTL-04</w:t>
            </w:r>
          </w:p>
        </w:tc>
        <w:tc>
          <w:tcPr>
            <w:tcW w:type="dxa" w:w="1680"/>
            <w:vAlign w:val="top"/>
          </w:tcPr>
          <w:p>
            <w:pPr>
              <w:spacing w:after="0"/>
            </w:pPr>
            <w:r>
              <w:rPr>
                <w:sz w:val="13"/>
              </w:rPr>
              <w:t>Dora Ict Incident Reporting (Financial Sector)</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D8-CTL-04</w:t>
            </w:r>
          </w:p>
        </w:tc>
        <w:tc>
          <w:tcPr>
            <w:tcW w:type="dxa" w:w="1680"/>
            <w:vAlign w:val="top"/>
          </w:tcPr>
          <w:p>
            <w:pPr>
              <w:spacing w:after="0"/>
            </w:pPr>
            <w:r>
              <w:rPr>
                <w:sz w:val="13"/>
              </w:rPr>
              <w:t>Dora Ict Incident Reporting (Financial Sector)</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D8-CTL-04</w:t>
            </w:r>
          </w:p>
        </w:tc>
        <w:tc>
          <w:tcPr>
            <w:tcW w:type="dxa" w:w="1680"/>
            <w:vAlign w:val="top"/>
          </w:tcPr>
          <w:p>
            <w:pPr>
              <w:spacing w:after="0"/>
            </w:pPr>
            <w:r>
              <w:rPr>
                <w:sz w:val="13"/>
              </w:rPr>
              <w:t>Dora Ict Incident Reporting (Financial Sector)</w:t>
            </w:r>
          </w:p>
        </w:tc>
        <w:tc>
          <w:tcPr>
            <w:tcW w:type="dxa" w:w="1680"/>
            <w:vAlign w:val="top"/>
          </w:tcPr>
          <w:p>
            <w:pPr>
              <w:spacing w:after="0"/>
            </w:pPr>
            <w:r>
              <w:rPr>
                <w:sz w:val="13"/>
              </w:rPr>
              <w:t>IR — Incident Response</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D8-CTL-04</w:t>
            </w:r>
          </w:p>
        </w:tc>
        <w:tc>
          <w:tcPr>
            <w:tcW w:type="dxa" w:w="1680"/>
            <w:vAlign w:val="top"/>
          </w:tcPr>
          <w:p>
            <w:pPr>
              <w:spacing w:after="0"/>
            </w:pPr>
            <w:r>
              <w:rPr>
                <w:sz w:val="13"/>
              </w:rPr>
              <w:t>Dora Ict Incident Reporting (Financial Sector)</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D8-CTL-04</w:t>
            </w:r>
          </w:p>
        </w:tc>
        <w:tc>
          <w:tcPr>
            <w:tcW w:type="dxa" w:w="1680"/>
            <w:vAlign w:val="top"/>
          </w:tcPr>
          <w:p>
            <w:pPr>
              <w:spacing w:after="0"/>
            </w:pPr>
            <w:r>
              <w:rPr>
                <w:sz w:val="13"/>
              </w:rPr>
              <w:t>Dora Ict Incident Reporting (Financial Sector)</w:t>
            </w:r>
          </w:p>
        </w:tc>
        <w:tc>
          <w:tcPr>
            <w:tcW w:type="dxa" w:w="1680"/>
            <w:vAlign w:val="top"/>
          </w:tcPr>
          <w:p>
            <w:pPr>
              <w:spacing w:after="0"/>
            </w:pPr>
            <w:r>
              <w:rPr>
                <w:sz w:val="13"/>
              </w:rPr>
              <w:t>CP — Contingency Planning</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D8-CTL-05</w:t>
            </w:r>
          </w:p>
        </w:tc>
        <w:tc>
          <w:tcPr>
            <w:tcW w:type="dxa" w:w="1680"/>
            <w:vAlign w:val="top"/>
          </w:tcPr>
          <w:p>
            <w:pPr>
              <w:spacing w:after="0"/>
            </w:pPr>
            <w:r>
              <w:rPr>
                <w:sz w:val="13"/>
              </w:rPr>
              <w:t>Nist Sp 800-218A Compliance Check</w:t>
            </w:r>
          </w:p>
        </w:tc>
        <w:tc>
          <w:tcPr>
            <w:tcW w:type="dxa" w:w="1680"/>
            <w:vAlign w:val="top"/>
          </w:tcPr>
          <w:p>
            <w:pPr>
              <w:spacing w:after="0"/>
            </w:pPr>
            <w:r>
              <w:rPr>
                <w:sz w:val="13"/>
              </w:rPr>
              <w:t>PM — Program Management</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D8-CTL-05</w:t>
            </w:r>
          </w:p>
        </w:tc>
        <w:tc>
          <w:tcPr>
            <w:tcW w:type="dxa" w:w="1680"/>
            <w:vAlign w:val="top"/>
          </w:tcPr>
          <w:p>
            <w:pPr>
              <w:spacing w:after="0"/>
            </w:pPr>
            <w:r>
              <w:rPr>
                <w:sz w:val="13"/>
              </w:rPr>
              <w:t>Nist Sp 800-218A Compliance Check</w:t>
            </w:r>
          </w:p>
        </w:tc>
        <w:tc>
          <w:tcPr>
            <w:tcW w:type="dxa" w:w="1680"/>
            <w:vAlign w:val="top"/>
          </w:tcPr>
          <w:p>
            <w:pPr>
              <w:spacing w:after="0"/>
            </w:pPr>
            <w:r>
              <w:rPr>
                <w:sz w:val="13"/>
              </w:rPr>
              <w:t>PL —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D8-CTL-05</w:t>
            </w:r>
          </w:p>
        </w:tc>
        <w:tc>
          <w:tcPr>
            <w:tcW w:type="dxa" w:w="1680"/>
            <w:vAlign w:val="top"/>
          </w:tcPr>
          <w:p>
            <w:pPr>
              <w:spacing w:after="0"/>
            </w:pPr>
            <w:r>
              <w:rPr>
                <w:sz w:val="13"/>
              </w:rPr>
              <w:t>Nist Sp 800-218A Compliance Check</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D8-CTL-05</w:t>
            </w:r>
          </w:p>
        </w:tc>
        <w:tc>
          <w:tcPr>
            <w:tcW w:type="dxa" w:w="1680"/>
            <w:vAlign w:val="top"/>
          </w:tcPr>
          <w:p>
            <w:pPr>
              <w:spacing w:after="0"/>
            </w:pPr>
            <w:r>
              <w:rPr>
                <w:sz w:val="13"/>
              </w:rPr>
              <w:t>Nist Sp 800-218A Compliance Check</w:t>
            </w:r>
          </w:p>
        </w:tc>
        <w:tc>
          <w:tcPr>
            <w:tcW w:type="dxa" w:w="1680"/>
            <w:vAlign w:val="top"/>
          </w:tcPr>
          <w:p>
            <w:pPr>
              <w:spacing w:after="0"/>
            </w:pPr>
            <w:r>
              <w:rPr>
                <w:sz w:val="13"/>
              </w:rPr>
              <w:t>SA — System and Services Acquisition</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D8-CTL-05</w:t>
            </w:r>
          </w:p>
        </w:tc>
        <w:tc>
          <w:tcPr>
            <w:tcW w:type="dxa" w:w="1680"/>
            <w:vAlign w:val="top"/>
          </w:tcPr>
          <w:p>
            <w:pPr>
              <w:spacing w:after="0"/>
            </w:pPr>
            <w:r>
              <w:rPr>
                <w:sz w:val="13"/>
              </w:rPr>
              <w:t>Nist Sp 800-218A Compliance Check</w:t>
            </w:r>
          </w:p>
        </w:tc>
        <w:tc>
          <w:tcPr>
            <w:tcW w:type="dxa" w:w="1680"/>
            <w:vAlign w:val="top"/>
          </w:tcPr>
          <w:p>
            <w:pPr>
              <w:spacing w:after="0"/>
            </w:pPr>
            <w:r>
              <w:rPr>
                <w:sz w:val="13"/>
              </w:rPr>
              <w:t>CM — Configuration Management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D8-CTL-05</w:t>
            </w:r>
          </w:p>
        </w:tc>
        <w:tc>
          <w:tcPr>
            <w:tcW w:type="dxa" w:w="1680"/>
            <w:vAlign w:val="top"/>
          </w:tcPr>
          <w:p>
            <w:pPr>
              <w:spacing w:after="0"/>
            </w:pPr>
            <w:r>
              <w:rPr>
                <w:sz w:val="13"/>
              </w:rPr>
              <w:t>Nist Sp 800-218A Compliance Check</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D9-CTL-01</w:t>
            </w:r>
          </w:p>
        </w:tc>
        <w:tc>
          <w:tcPr>
            <w:tcW w:type="dxa" w:w="1680"/>
            <w:vAlign w:val="top"/>
          </w:tcPr>
          <w:p>
            <w:pPr>
              <w:spacing w:after="0"/>
            </w:pPr>
            <w:r>
              <w:rPr>
                <w:sz w:val="13"/>
              </w:rPr>
              <w:t>Physical Harm Boundary Enforcement</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D9-CTL-01</w:t>
            </w:r>
          </w:p>
        </w:tc>
        <w:tc>
          <w:tcPr>
            <w:tcW w:type="dxa" w:w="1680"/>
            <w:vAlign w:val="top"/>
          </w:tcPr>
          <w:p>
            <w:pPr>
              <w:spacing w:after="0"/>
            </w:pPr>
            <w:r>
              <w:rPr>
                <w:sz w:val="13"/>
              </w:rPr>
              <w:t>Physical Harm Boundary Enforcement</w:t>
            </w:r>
          </w:p>
        </w:tc>
        <w:tc>
          <w:tcPr>
            <w:tcW w:type="dxa" w:w="1680"/>
            <w:vAlign w:val="top"/>
          </w:tcPr>
          <w:p>
            <w:pPr>
              <w:spacing w:after="0"/>
            </w:pPr>
            <w:r>
              <w:rPr>
                <w:sz w:val="13"/>
              </w:rPr>
              <w:t>CP — Contingency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D9-CTL-01</w:t>
            </w:r>
          </w:p>
        </w:tc>
        <w:tc>
          <w:tcPr>
            <w:tcW w:type="dxa" w:w="1680"/>
            <w:vAlign w:val="top"/>
          </w:tcPr>
          <w:p>
            <w:pPr>
              <w:spacing w:after="0"/>
            </w:pPr>
            <w:r>
              <w:rPr>
                <w:sz w:val="13"/>
              </w:rPr>
              <w:t>Physical Harm Boundary Enforcement</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D9-CTL-01</w:t>
            </w:r>
          </w:p>
        </w:tc>
        <w:tc>
          <w:tcPr>
            <w:tcW w:type="dxa" w:w="1680"/>
            <w:vAlign w:val="top"/>
          </w:tcPr>
          <w:p>
            <w:pPr>
              <w:spacing w:after="0"/>
            </w:pPr>
            <w:r>
              <w:rPr>
                <w:sz w:val="13"/>
              </w:rPr>
              <w:t>Physical Harm Boundary Enforcement</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D9-CTL-02</w:t>
            </w:r>
          </w:p>
        </w:tc>
        <w:tc>
          <w:tcPr>
            <w:tcW w:type="dxa" w:w="1680"/>
            <w:vAlign w:val="top"/>
          </w:tcPr>
          <w:p>
            <w:pPr>
              <w:spacing w:after="0"/>
            </w:pPr>
            <w:r>
              <w:rPr>
                <w:sz w:val="13"/>
              </w:rPr>
              <w:t>Safe State And Graceful Degradation</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D9-CTL-02</w:t>
            </w:r>
          </w:p>
        </w:tc>
        <w:tc>
          <w:tcPr>
            <w:tcW w:type="dxa" w:w="1680"/>
            <w:vAlign w:val="top"/>
          </w:tcPr>
          <w:p>
            <w:pPr>
              <w:spacing w:after="0"/>
            </w:pPr>
            <w:r>
              <w:rPr>
                <w:sz w:val="13"/>
              </w:rPr>
              <w:t>Safe State And Graceful Degradation</w:t>
            </w:r>
          </w:p>
        </w:tc>
        <w:tc>
          <w:tcPr>
            <w:tcW w:type="dxa" w:w="1680"/>
            <w:vAlign w:val="top"/>
          </w:tcPr>
          <w:p>
            <w:pPr>
              <w:spacing w:after="0"/>
            </w:pPr>
            <w:r>
              <w:rPr>
                <w:sz w:val="13"/>
              </w:rPr>
              <w:t>CP — Contingency Planning</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D9-CTL-02</w:t>
            </w:r>
          </w:p>
        </w:tc>
        <w:tc>
          <w:tcPr>
            <w:tcW w:type="dxa" w:w="1680"/>
            <w:vAlign w:val="top"/>
          </w:tcPr>
          <w:p>
            <w:pPr>
              <w:spacing w:after="0"/>
            </w:pPr>
            <w:r>
              <w:rPr>
                <w:sz w:val="13"/>
              </w:rPr>
              <w:t>Safe State And Graceful Degradation</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D9-CTL-02</w:t>
            </w:r>
          </w:p>
        </w:tc>
        <w:tc>
          <w:tcPr>
            <w:tcW w:type="dxa" w:w="1680"/>
            <w:vAlign w:val="top"/>
          </w:tcPr>
          <w:p>
            <w:pPr>
              <w:spacing w:after="0"/>
            </w:pPr>
            <w:r>
              <w:rPr>
                <w:sz w:val="13"/>
              </w:rPr>
              <w:t>Safe State And Graceful Degradation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D9-CTL-03</w:t>
            </w:r>
          </w:p>
        </w:tc>
        <w:tc>
          <w:tcPr>
            <w:tcW w:type="dxa" w:w="1680"/>
            <w:vAlign w:val="top"/>
          </w:tcPr>
          <w:p>
            <w:pPr>
              <w:spacing w:after="0"/>
            </w:pPr>
            <w:r>
              <w:rPr>
                <w:sz w:val="13"/>
              </w:rPr>
              <w:t>Human Override And Emergency Stop</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D9-CTL-03</w:t>
            </w:r>
          </w:p>
        </w:tc>
        <w:tc>
          <w:tcPr>
            <w:tcW w:type="dxa" w:w="1680"/>
            <w:vAlign w:val="top"/>
          </w:tcPr>
          <w:p>
            <w:pPr>
              <w:spacing w:after="0"/>
            </w:pPr>
            <w:r>
              <w:rPr>
                <w:sz w:val="13"/>
              </w:rPr>
              <w:t>Human Override And Emergency Stop</w:t>
            </w:r>
          </w:p>
        </w:tc>
        <w:tc>
          <w:tcPr>
            <w:tcW w:type="dxa" w:w="1680"/>
            <w:vAlign w:val="top"/>
          </w:tcPr>
          <w:p>
            <w:pPr>
              <w:spacing w:after="0"/>
            </w:pPr>
            <w:r>
              <w:rPr>
                <w:sz w:val="13"/>
              </w:rPr>
              <w:t>CP — Contingency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D9-CTL-03</w:t>
            </w:r>
          </w:p>
        </w:tc>
        <w:tc>
          <w:tcPr>
            <w:tcW w:type="dxa" w:w="1680"/>
            <w:vAlign w:val="top"/>
          </w:tcPr>
          <w:p>
            <w:pPr>
              <w:spacing w:after="0"/>
            </w:pPr>
            <w:r>
              <w:rPr>
                <w:sz w:val="13"/>
              </w:rPr>
              <w:t>Human Override And Emergency Stop</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D9-CTL-03</w:t>
            </w:r>
          </w:p>
        </w:tc>
        <w:tc>
          <w:tcPr>
            <w:tcW w:type="dxa" w:w="1680"/>
            <w:vAlign w:val="top"/>
          </w:tcPr>
          <w:p>
            <w:pPr>
              <w:spacing w:after="0"/>
            </w:pPr>
            <w:r>
              <w:rPr>
                <w:sz w:val="13"/>
              </w:rPr>
              <w:t>Human Override And Emergency Stop</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D9-CTL-04</w:t>
            </w:r>
          </w:p>
        </w:tc>
        <w:tc>
          <w:tcPr>
            <w:tcW w:type="dxa" w:w="1680"/>
            <w:vAlign w:val="top"/>
          </w:tcPr>
          <w:p>
            <w:pPr>
              <w:spacing w:after="0"/>
            </w:pPr>
            <w:r>
              <w:rPr>
                <w:sz w:val="13"/>
              </w:rPr>
              <w:t>Cyber-Physical Attack Detection</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D9-CTL-04</w:t>
            </w:r>
          </w:p>
        </w:tc>
        <w:tc>
          <w:tcPr>
            <w:tcW w:type="dxa" w:w="1680"/>
            <w:vAlign w:val="top"/>
          </w:tcPr>
          <w:p>
            <w:pPr>
              <w:spacing w:after="0"/>
            </w:pPr>
            <w:r>
              <w:rPr>
                <w:sz w:val="13"/>
              </w:rPr>
              <w:t>Cyber-Physical Attack Detection</w:t>
            </w:r>
          </w:p>
        </w:tc>
        <w:tc>
          <w:tcPr>
            <w:tcW w:type="dxa" w:w="1680"/>
            <w:vAlign w:val="top"/>
          </w:tcPr>
          <w:p>
            <w:pPr>
              <w:spacing w:after="0"/>
            </w:pPr>
            <w:r>
              <w:rPr>
                <w:sz w:val="13"/>
              </w:rPr>
              <w:t>CP — Contingency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D9-CTL-04</w:t>
            </w:r>
          </w:p>
        </w:tc>
        <w:tc>
          <w:tcPr>
            <w:tcW w:type="dxa" w:w="1680"/>
            <w:vAlign w:val="top"/>
          </w:tcPr>
          <w:p>
            <w:pPr>
              <w:spacing w:after="0"/>
            </w:pPr>
            <w:r>
              <w:rPr>
                <w:sz w:val="13"/>
              </w:rPr>
              <w:t>Cyber-Physical Attack Detection</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D9-CTL-04</w:t>
            </w:r>
          </w:p>
        </w:tc>
        <w:tc>
          <w:tcPr>
            <w:tcW w:type="dxa" w:w="1680"/>
            <w:vAlign w:val="top"/>
          </w:tcPr>
          <w:p>
            <w:pPr>
              <w:spacing w:after="0"/>
            </w:pPr>
            <w:r>
              <w:rPr>
                <w:sz w:val="13"/>
              </w:rPr>
              <w:t>Cyber-Physical Attack Detection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D9-CTL-04</w:t>
            </w:r>
          </w:p>
        </w:tc>
        <w:tc>
          <w:tcPr>
            <w:tcW w:type="dxa" w:w="1680"/>
            <w:vAlign w:val="top"/>
          </w:tcPr>
          <w:p>
            <w:pPr>
              <w:spacing w:after="0"/>
            </w:pPr>
            <w:r>
              <w:rPr>
                <w:sz w:val="13"/>
              </w:rPr>
              <w:t>Cyber-Physical Attack Detection</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D9-CTL-05</w:t>
            </w:r>
          </w:p>
        </w:tc>
        <w:tc>
          <w:tcPr>
            <w:tcW w:type="dxa" w:w="1680"/>
            <w:vAlign w:val="top"/>
          </w:tcPr>
          <w:p>
            <w:pPr>
              <w:spacing w:after="0"/>
            </w:pPr>
            <w:r>
              <w:rPr>
                <w:sz w:val="13"/>
              </w:rPr>
              <w:t>Physical Environment Integrity Monitoring</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D9-CTL-05</w:t>
            </w:r>
          </w:p>
        </w:tc>
        <w:tc>
          <w:tcPr>
            <w:tcW w:type="dxa" w:w="1680"/>
            <w:vAlign w:val="top"/>
          </w:tcPr>
          <w:p>
            <w:pPr>
              <w:spacing w:after="0"/>
            </w:pPr>
            <w:r>
              <w:rPr>
                <w:sz w:val="13"/>
              </w:rPr>
              <w:t>Physical Environment Integrity Monitoring</w:t>
            </w:r>
          </w:p>
        </w:tc>
        <w:tc>
          <w:tcPr>
            <w:tcW w:type="dxa" w:w="1680"/>
            <w:vAlign w:val="top"/>
          </w:tcPr>
          <w:p>
            <w:pPr>
              <w:spacing w:after="0"/>
            </w:pPr>
            <w:r>
              <w:rPr>
                <w:sz w:val="13"/>
              </w:rPr>
              <w:t>CP — Contingency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D9-CTL-05</w:t>
            </w:r>
          </w:p>
        </w:tc>
        <w:tc>
          <w:tcPr>
            <w:tcW w:type="dxa" w:w="1680"/>
            <w:vAlign w:val="top"/>
          </w:tcPr>
          <w:p>
            <w:pPr>
              <w:spacing w:after="0"/>
            </w:pPr>
            <w:r>
              <w:rPr>
                <w:sz w:val="13"/>
              </w:rPr>
              <w:t>Physical Environment Integrity Monitoring</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D9-CTL-05</w:t>
            </w:r>
          </w:p>
        </w:tc>
        <w:tc>
          <w:tcPr>
            <w:tcW w:type="dxa" w:w="1680"/>
            <w:vAlign w:val="top"/>
          </w:tcPr>
          <w:p>
            <w:pPr>
              <w:spacing w:after="0"/>
            </w:pPr>
            <w:r>
              <w:rPr>
                <w:sz w:val="13"/>
              </w:rPr>
              <w:t>Physical Environment Integrity Monitoring</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D9-CTL-05</w:t>
            </w:r>
          </w:p>
        </w:tc>
        <w:tc>
          <w:tcPr>
            <w:tcW w:type="dxa" w:w="1680"/>
            <w:vAlign w:val="top"/>
          </w:tcPr>
          <w:p>
            <w:pPr>
              <w:spacing w:after="0"/>
            </w:pPr>
            <w:r>
              <w:rPr>
                <w:sz w:val="13"/>
              </w:rPr>
              <w:t>Physical Environment Integrity Monitoring</w:t>
            </w:r>
          </w:p>
        </w:tc>
        <w:tc>
          <w:tcPr>
            <w:tcW w:type="dxa" w:w="1680"/>
            <w:vAlign w:val="top"/>
          </w:tcPr>
          <w:p>
            <w:pPr>
              <w:spacing w:after="0"/>
            </w:pPr>
            <w:r>
              <w:rPr>
                <w:sz w:val="13"/>
              </w:rPr>
              <w:t>RA — Risk Assessment</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D9-CTL-06</w:t>
            </w:r>
          </w:p>
        </w:tc>
        <w:tc>
          <w:tcPr>
            <w:tcW w:type="dxa" w:w="1680"/>
            <w:vAlign w:val="top"/>
          </w:tcPr>
          <w:p>
            <w:pPr>
              <w:spacing w:after="0"/>
            </w:pPr>
            <w:r>
              <w:rPr>
                <w:sz w:val="13"/>
              </w:rPr>
              <w:t>Actuator Command Verification</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D9-CTL-06</w:t>
            </w:r>
          </w:p>
        </w:tc>
        <w:tc>
          <w:tcPr>
            <w:tcW w:type="dxa" w:w="1680"/>
            <w:vAlign w:val="top"/>
          </w:tcPr>
          <w:p>
            <w:pPr>
              <w:spacing w:after="0"/>
            </w:pPr>
            <w:r>
              <w:rPr>
                <w:sz w:val="13"/>
              </w:rPr>
              <w:t>Actuator Command Verification</w:t>
            </w:r>
          </w:p>
        </w:tc>
        <w:tc>
          <w:tcPr>
            <w:tcW w:type="dxa" w:w="1680"/>
            <w:vAlign w:val="top"/>
          </w:tcPr>
          <w:p>
            <w:pPr>
              <w:spacing w:after="0"/>
            </w:pPr>
            <w:r>
              <w:rPr>
                <w:sz w:val="13"/>
              </w:rPr>
              <w:t>CP — Contingency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D9-CTL-06</w:t>
            </w:r>
          </w:p>
        </w:tc>
        <w:tc>
          <w:tcPr>
            <w:tcW w:type="dxa" w:w="1680"/>
            <w:vAlign w:val="top"/>
          </w:tcPr>
          <w:p>
            <w:pPr>
              <w:spacing w:after="0"/>
            </w:pPr>
            <w:r>
              <w:rPr>
                <w:sz w:val="13"/>
              </w:rPr>
              <w:t>Actuator Command Verification</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D9-CTL-06</w:t>
            </w:r>
          </w:p>
        </w:tc>
        <w:tc>
          <w:tcPr>
            <w:tcW w:type="dxa" w:w="1680"/>
            <w:vAlign w:val="top"/>
          </w:tcPr>
          <w:p>
            <w:pPr>
              <w:spacing w:after="0"/>
            </w:pPr>
            <w:r>
              <w:rPr>
                <w:sz w:val="13"/>
              </w:rPr>
              <w:t>Actuator Command Verification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D9-CTL-07</w:t>
            </w:r>
          </w:p>
        </w:tc>
        <w:tc>
          <w:tcPr>
            <w:tcW w:type="dxa" w:w="1680"/>
            <w:vAlign w:val="top"/>
          </w:tcPr>
          <w:p>
            <w:pPr>
              <w:spacing w:after="0"/>
            </w:pPr>
            <w:r>
              <w:rPr>
                <w:sz w:val="13"/>
              </w:rPr>
              <w:t>Physical Incident Evidence Preservation</w:t>
            </w:r>
          </w:p>
        </w:tc>
        <w:tc>
          <w:tcPr>
            <w:tcW w:type="dxa" w:w="1680"/>
            <w:vAlign w:val="top"/>
          </w:tcPr>
          <w:p>
            <w:pPr>
              <w:spacing w:after="0"/>
            </w:pPr>
            <w:r>
              <w:rPr>
                <w:sz w:val="13"/>
              </w:rPr>
              <w:t>PE — Physical and Environmental Protection</w:t>
            </w:r>
          </w:p>
        </w:tc>
        <w:tc>
          <w:tcPr>
            <w:tcW w:type="dxa" w:w="1680"/>
            <w:vAlign w:val="top"/>
          </w:tcPr>
          <w:p>
            <w:pPr>
              <w:spacing w:after="0"/>
            </w:pPr>
            <w:r>
              <w:rPr>
                <w:sz w:val="13"/>
              </w:rPr>
              <w:t>SP</w:t>
            </w:r>
          </w:p>
        </w:tc>
        <w:tc>
          <w:tcPr>
            <w:tcW w:type="dxa" w:w="1680"/>
            <w:vAlign w:val="top"/>
          </w:tcPr>
          <w:p>
            <w:pPr>
              <w:spacing w:after="0"/>
            </w:pPr>
            <w:r>
              <w:rPr>
                <w:sz w:val="13"/>
              </w:rPr>
              <w:t>Medium-High</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D9-CTL-07</w:t>
            </w:r>
          </w:p>
        </w:tc>
        <w:tc>
          <w:tcPr>
            <w:tcW w:type="dxa" w:w="1680"/>
            <w:vAlign w:val="top"/>
          </w:tcPr>
          <w:p>
            <w:pPr>
              <w:spacing w:after="0"/>
            </w:pPr>
            <w:r>
              <w:rPr>
                <w:sz w:val="13"/>
              </w:rPr>
              <w:t>Physical Incident Evidence Preservation</w:t>
            </w:r>
          </w:p>
        </w:tc>
        <w:tc>
          <w:tcPr>
            <w:tcW w:type="dxa" w:w="1680"/>
            <w:vAlign w:val="top"/>
          </w:tcPr>
          <w:p>
            <w:pPr>
              <w:spacing w:after="0"/>
            </w:pPr>
            <w:r>
              <w:rPr>
                <w:sz w:val="13"/>
              </w:rPr>
              <w:t>CP — Contingency Planning</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D9-CTL-07</w:t>
            </w:r>
          </w:p>
        </w:tc>
        <w:tc>
          <w:tcPr>
            <w:tcW w:type="dxa" w:w="1680"/>
            <w:vAlign w:val="top"/>
          </w:tcPr>
          <w:p>
            <w:pPr>
              <w:spacing w:after="0"/>
            </w:pPr>
            <w:r>
              <w:rPr>
                <w:sz w:val="13"/>
              </w:rPr>
              <w:t>Physical Incident Evidence Preservation</w:t>
            </w:r>
          </w:p>
        </w:tc>
        <w:tc>
          <w:tcPr>
            <w:tcW w:type="dxa" w:w="1680"/>
            <w:vAlign w:val="top"/>
          </w:tcPr>
          <w:p>
            <w:pPr>
              <w:spacing w:after="0"/>
            </w:pPr>
            <w:r>
              <w:rPr>
                <w:sz w:val="13"/>
              </w:rPr>
              <w:t>IR — Incident Response</w:t>
            </w:r>
          </w:p>
        </w:tc>
        <w:tc>
          <w:tcPr>
            <w:tcW w:type="dxa" w:w="1680"/>
            <w:vAlign w:val="top"/>
          </w:tcPr>
          <w:p>
            <w:pPr>
              <w:spacing w:after="0"/>
            </w:pPr>
            <w:r>
              <w:rPr>
                <w:sz w:val="13"/>
              </w:rPr>
              <w:t>P</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D9-CTL-07</w:t>
            </w:r>
          </w:p>
        </w:tc>
        <w:tc>
          <w:tcPr>
            <w:tcW w:type="dxa" w:w="1680"/>
            <w:vAlign w:val="top"/>
          </w:tcPr>
          <w:p>
            <w:pPr>
              <w:spacing w:after="0"/>
            </w:pPr>
            <w:r>
              <w:rPr>
                <w:sz w:val="13"/>
              </w:rPr>
              <w:t>Physical Incident Evidence Preservation</w:t>
            </w:r>
          </w:p>
        </w:tc>
        <w:tc>
          <w:tcPr>
            <w:tcW w:type="dxa" w:w="1680"/>
            <w:vAlign w:val="top"/>
          </w:tcPr>
          <w:p>
            <w:pPr>
              <w:spacing w:after="0"/>
            </w:pPr>
            <w:r>
              <w:rPr>
                <w:sz w:val="13"/>
              </w:rPr>
              <w:t>SI — System and Information Integrity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D9-CTL-07</w:t>
            </w:r>
          </w:p>
        </w:tc>
        <w:tc>
          <w:tcPr>
            <w:tcW w:type="dxa" w:w="1680"/>
            <w:vAlign w:val="top"/>
          </w:tcPr>
          <w:p>
            <w:pPr>
              <w:spacing w:after="0"/>
            </w:pPr>
            <w:r>
              <w:rPr>
                <w:sz w:val="13"/>
              </w:rPr>
              <w:t>Physical Incident Evidence Preservation</w:t>
            </w:r>
          </w:p>
        </w:tc>
        <w:tc>
          <w:tcPr>
            <w:tcW w:type="dxa" w:w="1680"/>
            <w:vAlign w:val="top"/>
          </w:tcPr>
          <w:p>
            <w:pPr>
              <w:spacing w:after="0"/>
            </w:pPr>
            <w:r>
              <w:rPr>
                <w:sz w:val="13"/>
              </w:rPr>
              <w:t>AU — Audit and Accountability</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r>
        <w:tc>
          <w:tcPr>
            <w:tcW w:type="dxa" w:w="1680"/>
            <w:vAlign w:val="top"/>
          </w:tcPr>
          <w:p>
            <w:pPr>
              <w:spacing w:after="0"/>
            </w:pPr>
            <w:r>
              <w:rPr>
                <w:sz w:val="13"/>
              </w:rPr>
              <w:t>D9-CTL-07</w:t>
            </w:r>
          </w:p>
        </w:tc>
        <w:tc>
          <w:tcPr>
            <w:tcW w:type="dxa" w:w="1680"/>
            <w:vAlign w:val="top"/>
          </w:tcPr>
          <w:p>
            <w:pPr>
              <w:spacing w:after="0"/>
            </w:pPr>
            <w:r>
              <w:rPr>
                <w:sz w:val="13"/>
              </w:rPr>
              <w:t>Physical Incident Evidence Preservation</w:t>
            </w:r>
          </w:p>
        </w:tc>
        <w:tc>
          <w:tcPr>
            <w:tcW w:type="dxa" w:w="1680"/>
            <w:vAlign w:val="top"/>
          </w:tcPr>
          <w:p>
            <w:pPr>
              <w:spacing w:after="0"/>
            </w:pPr>
            <w:r>
              <w:rPr>
                <w:sz w:val="13"/>
              </w:rPr>
              <w:t>CA — Assessment, Authorization and Monitoring</w:t>
            </w:r>
          </w:p>
        </w:tc>
        <w:tc>
          <w:tcPr>
            <w:tcW w:type="dxa" w:w="1680"/>
            <w:vAlign w:val="top"/>
          </w:tcPr>
          <w:p>
            <w:pPr>
              <w:spacing w:after="0"/>
            </w:pPr>
            <w:r>
              <w:rPr>
                <w:sz w:val="13"/>
              </w:rPr>
              <w:t>S</w:t>
            </w:r>
          </w:p>
        </w:tc>
        <w:tc>
          <w:tcPr>
            <w:tcW w:type="dxa" w:w="1680"/>
            <w:vAlign w:val="top"/>
          </w:tcPr>
          <w:p>
            <w:pPr>
              <w:spacing w:after="0"/>
            </w:pPr>
            <w:r>
              <w:rPr>
                <w:sz w:val="13"/>
              </w:rPr>
              <w:t>Medium</w:t>
            </w:r>
          </w:p>
        </w:tc>
        <w:tc>
          <w:tcPr>
            <w:tcW w:type="dxa" w:w="1680"/>
            <w:vAlign w:val="top"/>
          </w:tcPr>
          <w:p>
            <w:pPr>
              <w:spacing w:after="0"/>
            </w:pPr>
            <w:r>
              <w:rPr>
                <w:sz w:val="13"/>
              </w:rPr>
              <w:t>FedRAMP requires cloud-service-boundary-specific implementation statements, inherited/shared controls, FedRAMP-defined parameters, evidence, testing and authorization/certification records beyond this GAISSF control.</w:t>
            </w:r>
          </w:p>
        </w:tc>
      </w:tr>
    </w:tbl>
    <w:p>
      <w:pPr>
        <w:pStyle w:val="Heading1"/>
      </w:pPr>
      <w:r>
        <w:t>9. FedRAMP-to-GAISSF Reverse Coverage</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2016"/>
            <w:shd w:fill="163A5F"/>
            <w:vAlign w:val="center"/>
          </w:tcPr>
          <w:p>
            <w:r>
              <w:rPr>
                <w:b/>
                <w:color w:val="FFFFFF"/>
                <w:sz w:val="14"/>
              </w:rPr>
              <w:t>Family</w:t>
            </w:r>
          </w:p>
        </w:tc>
        <w:tc>
          <w:tcPr>
            <w:tcW w:type="dxa" w:w="2016"/>
            <w:shd w:fill="163A5F"/>
            <w:vAlign w:val="center"/>
          </w:tcPr>
          <w:p>
            <w:r>
              <w:rPr>
                <w:b/>
                <w:color w:val="FFFFFF"/>
                <w:sz w:val="14"/>
              </w:rPr>
              <w:t>Title</w:t>
            </w:r>
          </w:p>
        </w:tc>
        <w:tc>
          <w:tcPr>
            <w:tcW w:type="dxa" w:w="2016"/>
            <w:shd w:fill="163A5F"/>
            <w:vAlign w:val="center"/>
          </w:tcPr>
          <w:p>
            <w:r>
              <w:rPr>
                <w:b/>
                <w:color w:val="FFFFFF"/>
                <w:sz w:val="14"/>
              </w:rPr>
              <w:t>Mapped GAISSF controls</w:t>
            </w:r>
          </w:p>
        </w:tc>
        <w:tc>
          <w:tcPr>
            <w:tcW w:type="dxa" w:w="2016"/>
            <w:shd w:fill="163A5F"/>
            <w:vAlign w:val="center"/>
          </w:tcPr>
          <w:p>
            <w:r>
              <w:rPr>
                <w:b/>
                <w:color w:val="FFFFFF"/>
                <w:sz w:val="14"/>
              </w:rPr>
              <w:t>Coverage</w:t>
            </w:r>
          </w:p>
        </w:tc>
        <w:tc>
          <w:tcPr>
            <w:tcW w:type="dxa" w:w="2016"/>
            <w:shd w:fill="163A5F"/>
            <w:vAlign w:val="center"/>
          </w:tcPr>
          <w:p>
            <w:r>
              <w:rPr>
                <w:b/>
                <w:color w:val="FFFFFF"/>
                <w:sz w:val="14"/>
              </w:rPr>
              <w:t>Residual gap</w:t>
            </w:r>
          </w:p>
        </w:tc>
      </w:tr>
      <w:tr>
        <w:tc>
          <w:tcPr>
            <w:tcW w:type="dxa" w:w="2016"/>
            <w:vAlign w:val="top"/>
          </w:tcPr>
          <w:p>
            <w:pPr>
              <w:spacing w:after="0"/>
            </w:pPr>
            <w:r>
              <w:rPr>
                <w:sz w:val="14"/>
              </w:rPr>
              <w:t>AC</w:t>
            </w:r>
          </w:p>
        </w:tc>
        <w:tc>
          <w:tcPr>
            <w:tcW w:type="dxa" w:w="2016"/>
            <w:vAlign w:val="top"/>
          </w:tcPr>
          <w:p>
            <w:pPr>
              <w:spacing w:after="0"/>
            </w:pPr>
            <w:r>
              <w:rPr>
                <w:sz w:val="14"/>
              </w:rPr>
              <w:t>Access Control</w:t>
            </w:r>
          </w:p>
        </w:tc>
        <w:tc>
          <w:tcPr>
            <w:tcW w:type="dxa" w:w="2016"/>
            <w:vAlign w:val="top"/>
          </w:tcPr>
          <w:p>
            <w:pPr>
              <w:spacing w:after="0"/>
            </w:pPr>
            <w:r>
              <w:rPr>
                <w:sz w:val="14"/>
              </w:rPr>
              <w:t>D2-CTL-01, D2-CTL-02, D2-CTL-03, D2-CTL-04, D2-CTL-05, D2-CTL-06, D3-CTL-01, D3-CTL-02, D3-CTL-03, D3-CTL-04, D3-CTL-05, D3-CTL-06, D3-CTL-07, D7-CTL-H03</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AT</w:t>
            </w:r>
          </w:p>
        </w:tc>
        <w:tc>
          <w:tcPr>
            <w:tcW w:type="dxa" w:w="2016"/>
            <w:vAlign w:val="top"/>
          </w:tcPr>
          <w:p>
            <w:pPr>
              <w:spacing w:after="0"/>
            </w:pPr>
            <w:r>
              <w:rPr>
                <w:sz w:val="14"/>
              </w:rPr>
              <w:t>Awareness and Training</w:t>
            </w:r>
          </w:p>
        </w:tc>
        <w:tc>
          <w:tcPr>
            <w:tcW w:type="dxa" w:w="2016"/>
            <w:vAlign w:val="top"/>
          </w:tcPr>
          <w:p>
            <w:pPr>
              <w:spacing w:after="0"/>
            </w:pPr>
            <w:r>
              <w:rPr>
                <w:sz w:val="14"/>
              </w:rPr>
              <w:t>D7-CTL-H01, D7-CTL-H02, D7-CTL-H03, D7-CTL-H04, D7-CTL-H05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AU</w:t>
            </w:r>
          </w:p>
        </w:tc>
        <w:tc>
          <w:tcPr>
            <w:tcW w:type="dxa" w:w="2016"/>
            <w:vAlign w:val="top"/>
          </w:tcPr>
          <w:p>
            <w:pPr>
              <w:spacing w:after="0"/>
            </w:pPr>
            <w:r>
              <w:rPr>
                <w:sz w:val="14"/>
              </w:rPr>
              <w:t>Audit and Accountability</w:t>
            </w:r>
          </w:p>
        </w:tc>
        <w:tc>
          <w:tcPr>
            <w:tcW w:type="dxa" w:w="2016"/>
            <w:vAlign w:val="top"/>
          </w:tcPr>
          <w:p>
            <w:pPr>
              <w:spacing w:after="0"/>
            </w:pPr>
            <w:r>
              <w:rPr>
                <w:sz w:val="14"/>
              </w:rPr>
              <w:t>D6-CTL-01, D6-CTL-02, D6-CTL-03, D6-CTL-04, D6-CTL-05, D6-CTL-06, D6-CTL-07, D8-CTL-04, D9-CTL-07</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CA</w:t>
            </w:r>
          </w:p>
        </w:tc>
        <w:tc>
          <w:tcPr>
            <w:tcW w:type="dxa" w:w="2016"/>
            <w:vAlign w:val="top"/>
          </w:tcPr>
          <w:p>
            <w:pPr>
              <w:spacing w:after="0"/>
            </w:pPr>
            <w:r>
              <w:rPr>
                <w:sz w:val="14"/>
              </w:rPr>
              <w:t>Assessment, Authorization and Monitoring</w:t>
            </w:r>
          </w:p>
        </w:tc>
        <w:tc>
          <w:tcPr>
            <w:tcW w:type="dxa" w:w="2016"/>
            <w:vAlign w:val="top"/>
          </w:tcPr>
          <w:p>
            <w:pPr>
              <w:spacing w:after="0"/>
            </w:pPr>
            <w:r>
              <w:rPr>
                <w:sz w:val="14"/>
              </w:rPr>
              <w:t>D6-CTL-01, D6-CTL-02, D6-CTL-03, D6-CTL-04, D6-CTL-05, D6-CTL-06, D6-CTL-07, D8-CTL-01, D8-CTL-02, D8-CTL-03, D8-CTL-04, D8-CTL-05, D9-CTL-07</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CM</w:t>
            </w:r>
          </w:p>
        </w:tc>
        <w:tc>
          <w:tcPr>
            <w:tcW w:type="dxa" w:w="2016"/>
            <w:vAlign w:val="top"/>
          </w:tcPr>
          <w:p>
            <w:pPr>
              <w:spacing w:after="0"/>
            </w:pPr>
            <w:r>
              <w:rPr>
                <w:sz w:val="14"/>
              </w:rPr>
              <w:t>Configuration Management</w:t>
            </w:r>
          </w:p>
        </w:tc>
        <w:tc>
          <w:tcPr>
            <w:tcW w:type="dxa" w:w="2016"/>
            <w:vAlign w:val="top"/>
          </w:tcPr>
          <w:p>
            <w:pPr>
              <w:spacing w:after="0"/>
            </w:pPr>
            <w:r>
              <w:rPr>
                <w:sz w:val="14"/>
              </w:rPr>
              <w:t>D4-CTL-01, D4-CTL-02, D4-CTL-03, D4-CTL-04, D4-CTL-05, D4-CTL-06, D4-CTL-07, D6-CTL-05, D8-CTL-05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CP</w:t>
            </w:r>
          </w:p>
        </w:tc>
        <w:tc>
          <w:tcPr>
            <w:tcW w:type="dxa" w:w="2016"/>
            <w:vAlign w:val="top"/>
          </w:tcPr>
          <w:p>
            <w:pPr>
              <w:spacing w:after="0"/>
            </w:pPr>
            <w:r>
              <w:rPr>
                <w:sz w:val="14"/>
              </w:rPr>
              <w:t>Contingency Planning</w:t>
            </w:r>
          </w:p>
        </w:tc>
        <w:tc>
          <w:tcPr>
            <w:tcW w:type="dxa" w:w="2016"/>
            <w:vAlign w:val="top"/>
          </w:tcPr>
          <w:p>
            <w:pPr>
              <w:spacing w:after="0"/>
            </w:pPr>
            <w:r>
              <w:rPr>
                <w:sz w:val="14"/>
              </w:rPr>
              <w:t>D6-CTL-07, D8-CTL-04, D9-CTL-01, D9-CTL-02, D9-CTL-03, D9-CTL-04, D9-CTL-05, D9-CTL-06, D9-CTL-07</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IA</w:t>
            </w:r>
          </w:p>
        </w:tc>
        <w:tc>
          <w:tcPr>
            <w:tcW w:type="dxa" w:w="2016"/>
            <w:vAlign w:val="top"/>
          </w:tcPr>
          <w:p>
            <w:pPr>
              <w:spacing w:after="0"/>
            </w:pPr>
            <w:r>
              <w:rPr>
                <w:sz w:val="14"/>
              </w:rPr>
              <w:t>Identification and Authentication</w:t>
            </w:r>
          </w:p>
        </w:tc>
        <w:tc>
          <w:tcPr>
            <w:tcW w:type="dxa" w:w="2016"/>
            <w:vAlign w:val="top"/>
          </w:tcPr>
          <w:p>
            <w:pPr>
              <w:spacing w:after="0"/>
            </w:pPr>
            <w:r>
              <w:rPr>
                <w:sz w:val="14"/>
              </w:rPr>
              <w:t>D3-CTL-01, D3-CTL-02, D3-CTL-03, D3-CTL-04, D3-CTL-05, D3-CTL-06, D3-CTL-07, D7-CTL-H01, D7-CTL-H02, D7-CTL-H03, D7-CTL-H04, D7-CTL-H05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IR</w:t>
            </w:r>
          </w:p>
        </w:tc>
        <w:tc>
          <w:tcPr>
            <w:tcW w:type="dxa" w:w="2016"/>
            <w:vAlign w:val="top"/>
          </w:tcPr>
          <w:p>
            <w:pPr>
              <w:spacing w:after="0"/>
            </w:pPr>
            <w:r>
              <w:rPr>
                <w:sz w:val="14"/>
              </w:rPr>
              <w:t>Incident Response</w:t>
            </w:r>
          </w:p>
        </w:tc>
        <w:tc>
          <w:tcPr>
            <w:tcW w:type="dxa" w:w="2016"/>
            <w:vAlign w:val="top"/>
          </w:tcPr>
          <w:p>
            <w:pPr>
              <w:spacing w:after="0"/>
            </w:pPr>
            <w:r>
              <w:rPr>
                <w:sz w:val="14"/>
              </w:rPr>
              <w:t>D6-CTL-04, D6-CTL-07, D7-CTL-H01, D7-CTL-H02, D7-CTL-H03, D7-CTL-H04, D7-CTL-H05, D8-CTL-04, D9-CTL-01, D9-CTL-02, D9-CTL-03, D9-CTL-04, D9-CTL-05, D9-CTL-06, D9-CTL-07</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MA</w:t>
            </w:r>
          </w:p>
        </w:tc>
        <w:tc>
          <w:tcPr>
            <w:tcW w:type="dxa" w:w="2016"/>
            <w:vAlign w:val="top"/>
          </w:tcPr>
          <w:p>
            <w:pPr>
              <w:spacing w:after="0"/>
            </w:pPr>
            <w:r>
              <w:rPr>
                <w:sz w:val="14"/>
              </w:rPr>
              <w:t>Maintenance</w:t>
            </w:r>
          </w:p>
        </w:tc>
        <w:tc>
          <w:tcPr>
            <w:tcW w:type="dxa" w:w="2016"/>
            <w:vAlign w:val="top"/>
          </w:tcPr>
          <w:p>
            <w:pPr>
              <w:spacing w:after="0"/>
            </w:pPr>
            <w:r>
              <w:rPr>
                <w:sz w:val="14"/>
              </w:rPr>
            </w:r>
          </w:p>
        </w:tc>
        <w:tc>
          <w:tcPr>
            <w:tcW w:type="dxa" w:w="2016"/>
            <w:vAlign w:val="top"/>
          </w:tcPr>
          <w:p>
            <w:pPr>
              <w:spacing w:after="0"/>
            </w:pPr>
            <w:r>
              <w:rPr>
                <w:sz w:val="14"/>
              </w:rPr>
              <w:t>Not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MP</w:t>
            </w:r>
          </w:p>
        </w:tc>
        <w:tc>
          <w:tcPr>
            <w:tcW w:type="dxa" w:w="2016"/>
            <w:vAlign w:val="top"/>
          </w:tcPr>
          <w:p>
            <w:pPr>
              <w:spacing w:after="0"/>
            </w:pPr>
            <w:r>
              <w:rPr>
                <w:sz w:val="14"/>
              </w:rPr>
              <w:t>Media Protection</w:t>
            </w:r>
          </w:p>
        </w:tc>
        <w:tc>
          <w:tcPr>
            <w:tcW w:type="dxa" w:w="2016"/>
            <w:vAlign w:val="top"/>
          </w:tcPr>
          <w:p>
            <w:pPr>
              <w:spacing w:after="0"/>
            </w:pPr>
            <w:r>
              <w:rPr>
                <w:sz w:val="14"/>
              </w:rPr>
              <w:t>D3-CTL-06, D3-CTL-07, D6-CTL-05</w:t>
            </w:r>
          </w:p>
        </w:tc>
        <w:tc>
          <w:tcPr>
            <w:tcW w:type="dxa" w:w="2016"/>
            <w:vAlign w:val="top"/>
          </w:tcPr>
          <w:p>
            <w:pPr>
              <w:spacing w:after="0"/>
            </w:pPr>
            <w:r>
              <w:rPr>
                <w:sz w:val="14"/>
              </w:rPr>
              <w:t>Partially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PE</w:t>
            </w:r>
          </w:p>
        </w:tc>
        <w:tc>
          <w:tcPr>
            <w:tcW w:type="dxa" w:w="2016"/>
            <w:vAlign w:val="top"/>
          </w:tcPr>
          <w:p>
            <w:pPr>
              <w:spacing w:after="0"/>
            </w:pPr>
            <w:r>
              <w:rPr>
                <w:sz w:val="14"/>
              </w:rPr>
              <w:t>Physical and Environmental Protection</w:t>
            </w:r>
          </w:p>
        </w:tc>
        <w:tc>
          <w:tcPr>
            <w:tcW w:type="dxa" w:w="2016"/>
            <w:vAlign w:val="top"/>
          </w:tcPr>
          <w:p>
            <w:pPr>
              <w:spacing w:after="0"/>
            </w:pPr>
            <w:r>
              <w:rPr>
                <w:sz w:val="14"/>
              </w:rPr>
              <w:t>D9-CTL-01, D9-CTL-02, D9-CTL-03, D9-CTL-04, D9-CTL-05, D9-CTL-06, D9-CTL-07</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PL</w:t>
            </w:r>
          </w:p>
        </w:tc>
        <w:tc>
          <w:tcPr>
            <w:tcW w:type="dxa" w:w="2016"/>
            <w:vAlign w:val="top"/>
          </w:tcPr>
          <w:p>
            <w:pPr>
              <w:spacing w:after="0"/>
            </w:pPr>
            <w:r>
              <w:rPr>
                <w:sz w:val="14"/>
              </w:rPr>
              <w:t>Planning</w:t>
            </w:r>
          </w:p>
        </w:tc>
        <w:tc>
          <w:tcPr>
            <w:tcW w:type="dxa" w:w="2016"/>
            <w:vAlign w:val="top"/>
          </w:tcPr>
          <w:p>
            <w:pPr>
              <w:spacing w:after="0"/>
            </w:pPr>
            <w:r>
              <w:rPr>
                <w:sz w:val="14"/>
              </w:rPr>
              <w:t>D6-CTL-01, D6-CTL-02, D6-CTL-03, D6-CTL-04, D6-CTL-05, D6-CTL-06, D6-CTL-07, D8-CTL-01, D8-CTL-02, D8-CTL-03, D8-CTL-04, D8-CTL-05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PM</w:t>
            </w:r>
          </w:p>
        </w:tc>
        <w:tc>
          <w:tcPr>
            <w:tcW w:type="dxa" w:w="2016"/>
            <w:vAlign w:val="top"/>
          </w:tcPr>
          <w:p>
            <w:pPr>
              <w:spacing w:after="0"/>
            </w:pPr>
            <w:r>
              <w:rPr>
                <w:sz w:val="14"/>
              </w:rPr>
              <w:t>Program Management</w:t>
            </w:r>
          </w:p>
        </w:tc>
        <w:tc>
          <w:tcPr>
            <w:tcW w:type="dxa" w:w="2016"/>
            <w:vAlign w:val="top"/>
          </w:tcPr>
          <w:p>
            <w:pPr>
              <w:spacing w:after="0"/>
            </w:pPr>
            <w:r>
              <w:rPr>
                <w:sz w:val="14"/>
              </w:rPr>
              <w:t>D6-CTL-01, D6-CTL-02, D6-CTL-03, D6-CTL-04, D6-CTL-05, D6-CTL-06, D6-CTL-07, D8-CTL-01, D8-CTL-02, D8-CTL-03, D8-CTL-04, D8-CTL-05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PS</w:t>
            </w:r>
          </w:p>
        </w:tc>
        <w:tc>
          <w:tcPr>
            <w:tcW w:type="dxa" w:w="2016"/>
            <w:vAlign w:val="top"/>
          </w:tcPr>
          <w:p>
            <w:pPr>
              <w:spacing w:after="0"/>
            </w:pPr>
            <w:r>
              <w:rPr>
                <w:sz w:val="14"/>
              </w:rPr>
              <w:t>Personnel Security</w:t>
            </w:r>
          </w:p>
        </w:tc>
        <w:tc>
          <w:tcPr>
            <w:tcW w:type="dxa" w:w="2016"/>
            <w:vAlign w:val="top"/>
          </w:tcPr>
          <w:p>
            <w:pPr>
              <w:spacing w:after="0"/>
            </w:pPr>
            <w:r>
              <w:rPr>
                <w:sz w:val="14"/>
              </w:rPr>
            </w:r>
          </w:p>
        </w:tc>
        <w:tc>
          <w:tcPr>
            <w:tcW w:type="dxa" w:w="2016"/>
            <w:vAlign w:val="top"/>
          </w:tcPr>
          <w:p>
            <w:pPr>
              <w:spacing w:after="0"/>
            </w:pPr>
            <w:r>
              <w:rPr>
                <w:sz w:val="14"/>
              </w:rPr>
              <w:t>Not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PT</w:t>
            </w:r>
          </w:p>
        </w:tc>
        <w:tc>
          <w:tcPr>
            <w:tcW w:type="dxa" w:w="2016"/>
            <w:vAlign w:val="top"/>
          </w:tcPr>
          <w:p>
            <w:pPr>
              <w:spacing w:after="0"/>
            </w:pPr>
            <w:r>
              <w:rPr>
                <w:sz w:val="14"/>
              </w:rPr>
              <w:t>Personally Identifiable Information Processing and Transparency</w:t>
            </w:r>
          </w:p>
        </w:tc>
        <w:tc>
          <w:tcPr>
            <w:tcW w:type="dxa" w:w="2016"/>
            <w:vAlign w:val="top"/>
          </w:tcPr>
          <w:p>
            <w:pPr>
              <w:spacing w:after="0"/>
            </w:pPr>
            <w:r>
              <w:rPr>
                <w:sz w:val="14"/>
              </w:rPr>
              <w:t>D5-CTL-01, D5-CTL-02, D5-CTL-03, D5-CTL-04, D5-CTL-05, D5-CTL-06</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RA</w:t>
            </w:r>
          </w:p>
        </w:tc>
        <w:tc>
          <w:tcPr>
            <w:tcW w:type="dxa" w:w="2016"/>
            <w:vAlign w:val="top"/>
          </w:tcPr>
          <w:p>
            <w:pPr>
              <w:spacing w:after="0"/>
            </w:pPr>
            <w:r>
              <w:rPr>
                <w:sz w:val="14"/>
              </w:rPr>
              <w:t>Risk Assessment</w:t>
            </w:r>
          </w:p>
        </w:tc>
        <w:tc>
          <w:tcPr>
            <w:tcW w:type="dxa" w:w="2016"/>
            <w:vAlign w:val="top"/>
          </w:tcPr>
          <w:p>
            <w:pPr>
              <w:spacing w:after="0"/>
            </w:pPr>
            <w:r>
              <w:rPr>
                <w:sz w:val="14"/>
              </w:rPr>
              <w:t>D1-CTL-01, D1-CTL-02, D1-CTL-03, D1-CTL-04, D1-CTL-05, D1-CTL-06, D1-CTL-07, D1-CTL-08, D1-CTL-09, D2-CTL-01, D2-CTL-02, D2-CTL-03, D2-CTL-04, D2-CTL-05, D2-CTL-06, D3-CTL-03, D4-CTL-01, D4-CTL-02, D4-CTL-03, D4-CTL-04, D4-CTL-05, D4-CTL-06, D4-CTL-07, D5-CTL-03, D7-CTL-H02, D9-CTL-04, D9-CTL-05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SA</w:t>
            </w:r>
          </w:p>
        </w:tc>
        <w:tc>
          <w:tcPr>
            <w:tcW w:type="dxa" w:w="2016"/>
            <w:vAlign w:val="top"/>
          </w:tcPr>
          <w:p>
            <w:pPr>
              <w:spacing w:after="0"/>
            </w:pPr>
            <w:r>
              <w:rPr>
                <w:sz w:val="14"/>
              </w:rPr>
              <w:t>System and Services Acquisition</w:t>
            </w:r>
          </w:p>
        </w:tc>
        <w:tc>
          <w:tcPr>
            <w:tcW w:type="dxa" w:w="2016"/>
            <w:vAlign w:val="top"/>
          </w:tcPr>
          <w:p>
            <w:pPr>
              <w:spacing w:after="0"/>
            </w:pPr>
            <w:r>
              <w:rPr>
                <w:sz w:val="14"/>
              </w:rPr>
              <w:t>D1-CTL-01, D1-CTL-02, D1-CTL-03, D1-CTL-04, D1-CTL-05, D1-CTL-06, D1-CTL-07, D1-CTL-08, D1-CTL-09, D3-CTL-01, D3-CTL-02, D3-CTL-03, D3-CTL-04, D3-CTL-05, D3-CTL-06, D3-CTL-07, D4-CTL-01, D4-CTL-02, D4-CTL-03, D4-CTL-04, D4-CTL-05, D4-CTL-06, D4-CTL-07, D6-CTL-06, D8-CTL-05</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SC</w:t>
            </w:r>
          </w:p>
        </w:tc>
        <w:tc>
          <w:tcPr>
            <w:tcW w:type="dxa" w:w="2016"/>
            <w:vAlign w:val="top"/>
          </w:tcPr>
          <w:p>
            <w:pPr>
              <w:spacing w:after="0"/>
            </w:pPr>
            <w:r>
              <w:rPr>
                <w:sz w:val="14"/>
              </w:rPr>
              <w:t>System and Communications Protection</w:t>
            </w:r>
          </w:p>
        </w:tc>
        <w:tc>
          <w:tcPr>
            <w:tcW w:type="dxa" w:w="2016"/>
            <w:vAlign w:val="top"/>
          </w:tcPr>
          <w:p>
            <w:pPr>
              <w:spacing w:after="0"/>
            </w:pPr>
            <w:r>
              <w:rPr>
                <w:sz w:val="14"/>
              </w:rPr>
              <w:t>D1-CTL-06, D2-CTL-01, D2-CTL-02, D2-CTL-03, D2-CTL-04, D2-CTL-05, D2-CTL-06, D3-CTL-01, D3-CTL-02, D3-CTL-03, D3-CTL-04, D3-CTL-05, D3-CTL-06, D3-CTL-07, D5-CTL-01, D5-CTL-02, D5-CTL-03, D5-CTL-04, D5-CTL-05, D5-CTL-06</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SI</w:t>
            </w:r>
          </w:p>
        </w:tc>
        <w:tc>
          <w:tcPr>
            <w:tcW w:type="dxa" w:w="2016"/>
            <w:vAlign w:val="top"/>
          </w:tcPr>
          <w:p>
            <w:pPr>
              <w:spacing w:after="0"/>
            </w:pPr>
            <w:r>
              <w:rPr>
                <w:sz w:val="14"/>
              </w:rPr>
              <w:t>System and Information Integrity</w:t>
            </w:r>
          </w:p>
        </w:tc>
        <w:tc>
          <w:tcPr>
            <w:tcW w:type="dxa" w:w="2016"/>
            <w:vAlign w:val="top"/>
          </w:tcPr>
          <w:p>
            <w:pPr>
              <w:spacing w:after="0"/>
            </w:pPr>
            <w:r>
              <w:rPr>
                <w:sz w:val="14"/>
              </w:rPr>
              <w:t>D1-CTL-01, D1-CTL-02, D1-CTL-03, D1-CTL-04, D1-CTL-05, D1-CTL-06, D1-CTL-07, D1-CTL-08, D1-CTL-09, D2-CTL-01, D2-CTL-02, D2-CTL-03, D2-CTL-04, D2-CTL-05, D2-CTL-06, D3-CTL-01, D3-CTL-02, D3-CTL-03, D3-CTL-04, D3-CTL-05, D3-CTL-06, D3-CTL-07, D4-CTL-02, D4-CTL-04, D5-CTL-01, D5-CTL-02, D5-CTL-03, D5-CTL-04, D5-CTL-05, D5-CTL-06, D7-CTL-H01, D7-CTL-H02, D7-CTL-H03, D7-CTL-H04, D7-CTL-H05, D8-CTL-05, D9-CTL-01, D9-CTL-02, D9-CTL-03, D9-CTL-04, D9-CTL-05, D9-CTL-06, D9-CTL-07</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r>
        <w:tc>
          <w:tcPr>
            <w:tcW w:type="dxa" w:w="2016"/>
            <w:vAlign w:val="top"/>
          </w:tcPr>
          <w:p>
            <w:pPr>
              <w:spacing w:after="0"/>
            </w:pPr>
            <w:r>
              <w:rPr>
                <w:sz w:val="14"/>
              </w:rPr>
              <w:t>SR</w:t>
            </w:r>
          </w:p>
        </w:tc>
        <w:tc>
          <w:tcPr>
            <w:tcW w:type="dxa" w:w="2016"/>
            <w:vAlign w:val="top"/>
          </w:tcPr>
          <w:p>
            <w:pPr>
              <w:spacing w:after="0"/>
            </w:pPr>
            <w:r>
              <w:rPr>
                <w:sz w:val="14"/>
              </w:rPr>
              <w:t>Supply Chain Risk Management</w:t>
            </w:r>
          </w:p>
        </w:tc>
        <w:tc>
          <w:tcPr>
            <w:tcW w:type="dxa" w:w="2016"/>
            <w:vAlign w:val="top"/>
          </w:tcPr>
          <w:p>
            <w:pPr>
              <w:spacing w:after="0"/>
            </w:pPr>
            <w:r>
              <w:rPr>
                <w:sz w:val="14"/>
              </w:rPr>
              <w:t>D1-CTL-01, D1-CTL-02, D1-CTL-03, D1-CTL-04, D1-CTL-05, D1-CTL-06, D1-CTL-07, D1-CTL-08, D1-CTL-09, D4-CTL-01, D4-CTL-02, D4-CTL-03, D4-CTL-04, D4-CTL-05, D4-CTL-06, D4-CTL-07, D6-CTL-06</w:t>
            </w:r>
          </w:p>
        </w:tc>
        <w:tc>
          <w:tcPr>
            <w:tcW w:type="dxa" w:w="2016"/>
            <w:vAlign w:val="top"/>
          </w:tcPr>
          <w:p>
            <w:pPr>
              <w:spacing w:after="0"/>
            </w:pPr>
            <w:r>
              <w:rPr>
                <w:sz w:val="14"/>
              </w:rPr>
              <w:t>Substantially Addressed</w:t>
            </w:r>
          </w:p>
        </w:tc>
        <w:tc>
          <w:tcPr>
            <w:tcW w:type="dxa" w:w="2016"/>
            <w:vAlign w:val="top"/>
          </w:tcPr>
          <w:p>
            <w:pPr>
              <w:spacing w:after="0"/>
            </w:pPr>
            <w:r>
              <w:rPr>
                <w:sz w:val="14"/>
              </w:rPr>
              <w:t>Family-level mapping does not establish implementation of every Rev5 control or enhancement. A Class/impact-specific control baseline, FedRAMP parameters, shared-responsibility allocation, assessment procedures and authorization/certification evidence remain necessary.</w:t>
            </w:r>
          </w:p>
        </w:tc>
      </w:tr>
    </w:tbl>
    <w:p>
      <w:pPr>
        <w:pStyle w:val="Heading1"/>
      </w:pPr>
      <w:r>
        <w:t>10. FedRAMP Readiness Implications</w:t>
      </w:r>
    </w:p>
    <w:p>
      <w:pPr>
        <w:pStyle w:val="Heading2"/>
      </w:pPr>
      <w:r>
        <w:t>Cloud Service Offering boundary</w:t>
      </w:r>
    </w:p>
    <w:p>
      <w:r>
        <w:t>The organization must define the exact service, components, deployment model, data flows, external services and inherited controls. GAISSF does not establish this boundary.</w:t>
      </w:r>
    </w:p>
    <w:p>
      <w:pPr>
        <w:pStyle w:val="Heading2"/>
      </w:pPr>
      <w:r>
        <w:t>Certification class and pathway</w:t>
      </w:r>
    </w:p>
    <w:p>
      <w:r>
        <w:t>The provider must select the applicable current FedRAMP class and Rev5 or 20x pathway. The crosswalk does not make that selection.</w:t>
      </w:r>
    </w:p>
    <w:p>
      <w:pPr>
        <w:pStyle w:val="Heading2"/>
      </w:pPr>
      <w:r>
        <w:t>Shared responsibility</w:t>
      </w:r>
    </w:p>
    <w:p>
      <w:r>
        <w:t>Each relevant control must be allocated among the provider, federal customer, underlying infrastructure provider and other external services.</w:t>
      </w:r>
    </w:p>
    <w:p>
      <w:pPr>
        <w:pStyle w:val="Heading2"/>
      </w:pPr>
      <w:r>
        <w:t>Assessment and evidence</w:t>
      </w:r>
    </w:p>
    <w:p>
      <w:r>
        <w:t>FedRAMP requires current implementation evidence, independent verification where applicable, findings management and continuous reporting.</w:t>
      </w:r>
    </w:p>
    <w:p>
      <w:pPr>
        <w:pStyle w:val="Heading2"/>
      </w:pPr>
      <w:r>
        <w:t>Agency decision</w:t>
      </w:r>
    </w:p>
    <w:p>
      <w:r>
        <w:t>An agency authorizing official remains responsible for the agency's ATO and may require additional controls based on mission and risk.</w:t>
      </w:r>
    </w:p>
    <w:p>
      <w:pPr>
        <w:pStyle w:val="Heading1"/>
      </w:pPr>
      <w:r>
        <w:t>11. Evidence Reuse Guidance</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3360"/>
            <w:shd w:fill="163A5F"/>
            <w:vAlign w:val="center"/>
          </w:tcPr>
          <w:p>
            <w:r>
              <w:rPr>
                <w:b/>
                <w:color w:val="FFFFFF"/>
                <w:sz w:val="16"/>
              </w:rPr>
              <w:t>GAISSF evidence type</w:t>
            </w:r>
          </w:p>
        </w:tc>
        <w:tc>
          <w:tcPr>
            <w:tcW w:type="dxa" w:w="3360"/>
            <w:shd w:fill="163A5F"/>
            <w:vAlign w:val="center"/>
          </w:tcPr>
          <w:p>
            <w:r>
              <w:rPr>
                <w:b/>
                <w:color w:val="FFFFFF"/>
                <w:sz w:val="16"/>
              </w:rPr>
              <w:t>Potential FedRAMP use</w:t>
            </w:r>
          </w:p>
        </w:tc>
        <w:tc>
          <w:tcPr>
            <w:tcW w:type="dxa" w:w="3360"/>
            <w:shd w:fill="163A5F"/>
            <w:vAlign w:val="center"/>
          </w:tcPr>
          <w:p>
            <w:r>
              <w:rPr>
                <w:b/>
                <w:color w:val="FFFFFF"/>
                <w:sz w:val="16"/>
              </w:rPr>
              <w:t>Required validation</w:t>
            </w:r>
          </w:p>
        </w:tc>
      </w:tr>
      <w:tr>
        <w:tc>
          <w:tcPr>
            <w:tcW w:type="dxa" w:w="3360"/>
            <w:vAlign w:val="top"/>
          </w:tcPr>
          <w:p>
            <w:pPr>
              <w:spacing w:after="0"/>
            </w:pPr>
            <w:r>
              <w:rPr>
                <w:sz w:val="16"/>
              </w:rPr>
              <w:t>AI asset inventory and AI BOM</w:t>
            </w:r>
          </w:p>
        </w:tc>
        <w:tc>
          <w:tcPr>
            <w:tcW w:type="dxa" w:w="3360"/>
            <w:vAlign w:val="top"/>
          </w:tcPr>
          <w:p>
            <w:pPr>
              <w:spacing w:after="0"/>
            </w:pPr>
            <w:r>
              <w:rPr>
                <w:sz w:val="16"/>
              </w:rPr>
              <w:t>Support CM, PM, RA, SA and SR inventories</w:t>
            </w:r>
          </w:p>
        </w:tc>
        <w:tc>
          <w:tcPr>
            <w:tcW w:type="dxa" w:w="3360"/>
            <w:vAlign w:val="top"/>
          </w:tcPr>
          <w:p>
            <w:pPr>
              <w:spacing w:after="0"/>
            </w:pPr>
            <w:r>
              <w:rPr>
                <w:sz w:val="16"/>
              </w:rPr>
              <w:t>Confirm complete CSO boundary, ownership, currency and inherited components.</w:t>
            </w:r>
          </w:p>
        </w:tc>
      </w:tr>
      <w:tr>
        <w:tc>
          <w:tcPr>
            <w:tcW w:type="dxa" w:w="3360"/>
            <w:vAlign w:val="top"/>
          </w:tcPr>
          <w:p>
            <w:pPr>
              <w:spacing w:after="0"/>
            </w:pPr>
            <w:r>
              <w:rPr>
                <w:sz w:val="16"/>
              </w:rPr>
              <w:t>Threat models and adversarial test reports</w:t>
            </w:r>
          </w:p>
        </w:tc>
        <w:tc>
          <w:tcPr>
            <w:tcW w:type="dxa" w:w="3360"/>
            <w:vAlign w:val="top"/>
          </w:tcPr>
          <w:p>
            <w:pPr>
              <w:spacing w:after="0"/>
            </w:pPr>
            <w:r>
              <w:rPr>
                <w:sz w:val="16"/>
              </w:rPr>
              <w:t>Support RA, CA, SI and SC analysis</w:t>
            </w:r>
          </w:p>
        </w:tc>
        <w:tc>
          <w:tcPr>
            <w:tcW w:type="dxa" w:w="3360"/>
            <w:vAlign w:val="top"/>
          </w:tcPr>
          <w:p>
            <w:pPr>
              <w:spacing w:after="0"/>
            </w:pPr>
            <w:r>
              <w:rPr>
                <w:sz w:val="16"/>
              </w:rPr>
              <w:t>Align to FedRAMP control objectives, system architecture and current deployed version.</w:t>
            </w:r>
          </w:p>
        </w:tc>
      </w:tr>
      <w:tr>
        <w:tc>
          <w:tcPr>
            <w:tcW w:type="dxa" w:w="3360"/>
            <w:vAlign w:val="top"/>
          </w:tcPr>
          <w:p>
            <w:pPr>
              <w:spacing w:after="0"/>
            </w:pPr>
            <w:r>
              <w:rPr>
                <w:sz w:val="16"/>
              </w:rPr>
              <w:t>Audit logs and monitoring records</w:t>
            </w:r>
          </w:p>
        </w:tc>
        <w:tc>
          <w:tcPr>
            <w:tcW w:type="dxa" w:w="3360"/>
            <w:vAlign w:val="top"/>
          </w:tcPr>
          <w:p>
            <w:pPr>
              <w:spacing w:after="0"/>
            </w:pPr>
            <w:r>
              <w:rPr>
                <w:sz w:val="16"/>
              </w:rPr>
              <w:t>Support AU, CA, IR and SI</w:t>
            </w:r>
          </w:p>
        </w:tc>
        <w:tc>
          <w:tcPr>
            <w:tcW w:type="dxa" w:w="3360"/>
            <w:vAlign w:val="top"/>
          </w:tcPr>
          <w:p>
            <w:pPr>
              <w:spacing w:after="0"/>
            </w:pPr>
            <w:r>
              <w:rPr>
                <w:sz w:val="16"/>
              </w:rPr>
              <w:t>Validate required events, retention, protection, review cadence and incident integration.</w:t>
            </w:r>
          </w:p>
        </w:tc>
      </w:tr>
      <w:tr>
        <w:tc>
          <w:tcPr>
            <w:tcW w:type="dxa" w:w="3360"/>
            <w:vAlign w:val="top"/>
          </w:tcPr>
          <w:p>
            <w:pPr>
              <w:spacing w:after="0"/>
            </w:pPr>
            <w:r>
              <w:rPr>
                <w:sz w:val="16"/>
              </w:rPr>
              <w:t>Vendor and model-provider assessments</w:t>
            </w:r>
          </w:p>
        </w:tc>
        <w:tc>
          <w:tcPr>
            <w:tcW w:type="dxa" w:w="3360"/>
            <w:vAlign w:val="top"/>
          </w:tcPr>
          <w:p>
            <w:pPr>
              <w:spacing w:after="0"/>
            </w:pPr>
            <w:r>
              <w:rPr>
                <w:sz w:val="16"/>
              </w:rPr>
              <w:t>Support SA and SR</w:t>
            </w:r>
          </w:p>
        </w:tc>
        <w:tc>
          <w:tcPr>
            <w:tcW w:type="dxa" w:w="3360"/>
            <w:vAlign w:val="top"/>
          </w:tcPr>
          <w:p>
            <w:pPr>
              <w:spacing w:after="0"/>
            </w:pPr>
            <w:r>
              <w:rPr>
                <w:sz w:val="16"/>
              </w:rPr>
              <w:t>Document contracts, service dependencies, flow-down requirements and ongoing monitoring.</w:t>
            </w:r>
          </w:p>
        </w:tc>
      </w:tr>
      <w:tr>
        <w:tc>
          <w:tcPr>
            <w:tcW w:type="dxa" w:w="3360"/>
            <w:vAlign w:val="top"/>
          </w:tcPr>
          <w:p>
            <w:pPr>
              <w:spacing w:after="0"/>
            </w:pPr>
            <w:r>
              <w:rPr>
                <w:sz w:val="16"/>
              </w:rPr>
              <w:t>Incident response and continuity records</w:t>
            </w:r>
          </w:p>
        </w:tc>
        <w:tc>
          <w:tcPr>
            <w:tcW w:type="dxa" w:w="3360"/>
            <w:vAlign w:val="top"/>
          </w:tcPr>
          <w:p>
            <w:pPr>
              <w:spacing w:after="0"/>
            </w:pPr>
            <w:r>
              <w:rPr>
                <w:sz w:val="16"/>
              </w:rPr>
              <w:t>Support IR and CP</w:t>
            </w:r>
          </w:p>
        </w:tc>
        <w:tc>
          <w:tcPr>
            <w:tcW w:type="dxa" w:w="3360"/>
            <w:vAlign w:val="top"/>
          </w:tcPr>
          <w:p>
            <w:pPr>
              <w:spacing w:after="0"/>
            </w:pPr>
            <w:r>
              <w:rPr>
                <w:sz w:val="16"/>
              </w:rPr>
              <w:t>Integrate agency/FedRAMP reporting, exercises, recovery objectives and lessons learned.</w:t>
            </w:r>
          </w:p>
        </w:tc>
      </w:tr>
      <w:tr>
        <w:tc>
          <w:tcPr>
            <w:tcW w:type="dxa" w:w="3360"/>
            <w:vAlign w:val="top"/>
          </w:tcPr>
          <w:p>
            <w:pPr>
              <w:spacing w:after="0"/>
            </w:pPr>
            <w:r>
              <w:rPr>
                <w:sz w:val="16"/>
              </w:rPr>
              <w:t>Privacy and PII controls</w:t>
            </w:r>
          </w:p>
        </w:tc>
        <w:tc>
          <w:tcPr>
            <w:tcW w:type="dxa" w:w="3360"/>
            <w:vAlign w:val="top"/>
          </w:tcPr>
          <w:p>
            <w:pPr>
              <w:spacing w:after="0"/>
            </w:pPr>
            <w:r>
              <w:rPr>
                <w:sz w:val="16"/>
              </w:rPr>
              <w:t>Support PT and SC</w:t>
            </w:r>
          </w:p>
        </w:tc>
        <w:tc>
          <w:tcPr>
            <w:tcW w:type="dxa" w:w="3360"/>
            <w:vAlign w:val="top"/>
          </w:tcPr>
          <w:p>
            <w:pPr>
              <w:spacing w:after="0"/>
            </w:pPr>
            <w:r>
              <w:rPr>
                <w:sz w:val="16"/>
              </w:rPr>
              <w:t>Complete federal privacy analysis, authority, notices, minimization and records.</w:t>
            </w:r>
          </w:p>
        </w:tc>
      </w:tr>
    </w:tbl>
    <w:p>
      <w:pPr>
        <w:pStyle w:val="Heading1"/>
      </w:pPr>
      <w:r>
        <w:t>12. Limitations</w:t>
      </w:r>
    </w:p>
    <w:p>
      <w:pPr>
        <w:pStyle w:val="ListBullet"/>
      </w:pPr>
      <w:r>
        <w:t>This is an interpretive control-family crosswalk, not a control-by-control FedRAMP gap assessment.</w:t>
      </w:r>
    </w:p>
    <w:p>
      <w:pPr>
        <w:pStyle w:val="ListBullet"/>
      </w:pPr>
      <w:r>
        <w:t>FedRAMP requirements are cloud-service-offering-specific and depend on certification class, pathway, agency use, architecture and information impact.</w:t>
      </w:r>
    </w:p>
    <w:p>
      <w:pPr>
        <w:pStyle w:val="ListBullet"/>
      </w:pPr>
      <w:r>
        <w:t>A mapped GAISSF control may support several FedRAMP controls but does not satisfy their complete statements, parameters or assessment objectives.</w:t>
      </w:r>
    </w:p>
    <w:p>
      <w:pPr>
        <w:pStyle w:val="ListBullet"/>
      </w:pPr>
      <w:r>
        <w:t>Current FedRAMP rules are evolving rapidly; this mapping must be revalidated after program or baseline changes.</w:t>
      </w:r>
    </w:p>
    <w:p>
      <w:pPr>
        <w:pStyle w:val="ListBullet"/>
      </w:pPr>
      <w:r>
        <w:t>The mapping does not address classified information or agency-specific requirements outside the FedRAMP package.</w:t>
      </w:r>
    </w:p>
    <w:p>
      <w:pPr>
        <w:pStyle w:val="Heading1"/>
      </w:pPr>
      <w:r>
        <w:t>13. Notably Absent</w:t>
      </w:r>
    </w:p>
    <w:p>
      <w:pPr>
        <w:pStyle w:val="ListBullet"/>
      </w:pPr>
      <w:r>
        <w:t>No FedRAMP Certification, authorization or agency ATO is created by this mapping.</w:t>
      </w:r>
    </w:p>
    <w:p>
      <w:pPr>
        <w:pStyle w:val="ListBullet"/>
      </w:pPr>
      <w:r>
        <w:t>No individual FedRAMP control is deemed implemented solely because a GAISSF control maps to its family.</w:t>
      </w:r>
    </w:p>
    <w:p>
      <w:pPr>
        <w:pStyle w:val="ListBullet"/>
      </w:pPr>
      <w:r>
        <w:t>No FedRAMP-recognized independent assessment has been performed.</w:t>
      </w:r>
    </w:p>
    <w:p>
      <w:pPr>
        <w:pStyle w:val="ListBullet"/>
      </w:pPr>
      <w:r>
        <w:t>No cloud-service boundary, data-impact class, inherited-control model or agency use case is established.</w:t>
      </w:r>
    </w:p>
    <w:p>
      <w:pPr>
        <w:pStyle w:val="ListBullet"/>
      </w:pPr>
      <w:r>
        <w:t>No SSP, SAP, SAR, POA&amp;M, Security Decision Record or continuous-monitoring package is completed.</w:t>
      </w:r>
    </w:p>
    <w:p>
      <w:pPr>
        <w:pStyle w:val="ListBullet"/>
      </w:pPr>
      <w:r>
        <w:t>No endorsement, acceptance or recognition by GSA, FedRAMP, OMB, NIST or any federal agency is implied.</w:t>
      </w:r>
    </w:p>
    <w:p>
      <w:pPr>
        <w:pStyle w:val="Heading1"/>
      </w:pPr>
      <w:r>
        <w:t>14. Conclusion</w:t>
      </w:r>
    </w:p>
    <w:p>
      <w:r>
        <w:t>GAISSF provides material AI-security capabilities across all FedRAMP/NIST control families, particularly risk assessment, system integrity, system acquisition, communications protection, supply-chain risk, incident response and governance. The relationship is complementary rather than substitutive. Formal FedRAMP readiness requires a complete, class-specific and pathway-specific assessment against the controlling FedRAMP rules.</w:t>
      </w:r>
    </w:p>
    <w:p>
      <w:pPr>
        <w:pStyle w:val="Heading1"/>
      </w:pPr>
      <w:r>
        <w:t>Annex A — Official Source Links</w:t>
      </w:r>
    </w:p>
    <w:p>
      <w:r>
        <w:t>https://www.fedramp.gov/2026/</w:t>
      </w:r>
    </w:p>
    <w:p>
      <w:r>
        <w:t>https://www.fedramp.gov/20x/</w:t>
      </w:r>
    </w:p>
    <w:p>
      <w:r>
        <w:t>https://www.fedramp.gov/docs/authority/</w:t>
      </w:r>
    </w:p>
    <w:p>
      <w:r>
        <w:t>https://www.fedramp.gov/docs/authority/m-24-15/process/</w:t>
      </w:r>
    </w:p>
    <w:p>
      <w:r>
        <w:t>https://csrc.nist.gov/pubs/sp/800/53/r5/upd1/final</w:t>
      </w:r>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470"/>
        <w:sz w:val="16"/>
      </w:rPr>
      <w:t>© 2026 ODA3 Pvt Ltd | Publication Candidate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5A6470"/>
        <w:sz w:val="16"/>
      </w:rPr>
      <w:t>ODA3 Institute | CRO-036 GAISSF–FedRAMP Mapping | Version 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63A5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63A5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63A5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63A5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