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63A5F"/>
          <w:sz w:val="30"/>
        </w:rPr>
        <w:t>ODA3 Institute</w:t>
      </w:r>
    </w:p>
    <w:p>
      <w:pPr>
        <w:jc w:val="center"/>
      </w:pPr>
      <w:r>
        <w:rPr>
          <w:b/>
          <w:sz w:val="44"/>
        </w:rPr>
        <w:t>GAISSF® v1.0</w:t>
      </w:r>
    </w:p>
    <w:p>
      <w:pPr>
        <w:jc w:val="center"/>
      </w:pPr>
      <w:r>
        <w:rPr>
          <w:b/>
          <w:color w:val="163A5F"/>
          <w:sz w:val="56"/>
        </w:rPr>
        <w:t>FedRAMP Mapping</w:t>
      </w:r>
    </w:p>
    <w:p>
      <w:pPr>
        <w:jc w:val="center"/>
      </w:pPr>
      <w:r>
        <w:rPr>
          <w:i/>
          <w:sz w:val="24"/>
        </w:rPr>
        <w:t>Website and Executive Summary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  <w:shd w:fill="DCE6F1"/>
          </w:tcPr>
          <w:p>
            <w:r>
              <w:rPr>
                <w:b/>
              </w:rPr>
              <w:t>Document ID</w:t>
            </w:r>
          </w:p>
        </w:tc>
        <w:tc>
          <w:tcPr>
            <w:tcW w:type="dxa" w:w="5040"/>
          </w:tcPr>
          <w:p>
            <w:r>
              <w:t>CRO-036</w:t>
            </w:r>
          </w:p>
        </w:tc>
      </w:tr>
      <w:tr>
        <w:tc>
          <w:tcPr>
            <w:tcW w:type="dxa" w:w="5040"/>
            <w:shd w:fill="DCE6F1"/>
          </w:tcPr>
          <w:p>
            <w:r>
              <w:rPr>
                <w:b/>
              </w:rPr>
              <w:t>Version</w:t>
            </w:r>
          </w:p>
        </w:tc>
        <w:tc>
          <w:tcPr>
            <w:tcW w:type="dxa" w:w="5040"/>
          </w:tcPr>
          <w:p>
            <w:r>
              <w:t>1.0</w:t>
            </w:r>
          </w:p>
        </w:tc>
      </w:tr>
      <w:tr>
        <w:tc>
          <w:tcPr>
            <w:tcW w:type="dxa" w:w="5040"/>
            <w:shd w:fill="DCE6F1"/>
          </w:tcPr>
          <w:p>
            <w:r>
              <w:rPr>
                <w:b/>
              </w:rPr>
              <w:t>Status</w:t>
            </w:r>
          </w:p>
        </w:tc>
        <w:tc>
          <w:tcPr>
            <w:tcW w:type="dxa" w:w="5040"/>
          </w:tcPr>
          <w:p>
            <w:r>
              <w:t>Publication Candidate</w:t>
            </w:r>
          </w:p>
        </w:tc>
      </w:tr>
      <w:tr>
        <w:tc>
          <w:tcPr>
            <w:tcW w:type="dxa" w:w="5040"/>
            <w:shd w:fill="DCE6F1"/>
          </w:tcPr>
          <w:p>
            <w:r>
              <w:rPr>
                <w:b/>
              </w:rPr>
              <w:t>Classification</w:t>
            </w:r>
          </w:p>
        </w:tc>
        <w:tc>
          <w:tcPr>
            <w:tcW w:type="dxa" w:w="5040"/>
          </w:tcPr>
          <w:p>
            <w:r>
              <w:t>Crosswalk — Informative</w:t>
            </w:r>
          </w:p>
        </w:tc>
      </w:tr>
      <w:tr>
        <w:tc>
          <w:tcPr>
            <w:tcW w:type="dxa" w:w="5040"/>
            <w:shd w:fill="DCE6F1"/>
          </w:tcPr>
          <w:p>
            <w:r>
              <w:rPr>
                <w:b/>
              </w:rPr>
              <w:t>Publisher</w:t>
            </w:r>
          </w:p>
        </w:tc>
        <w:tc>
          <w:tcPr>
            <w:tcW w:type="dxa" w:w="5040"/>
          </w:tcPr>
          <w:p>
            <w:r>
              <w:t>ODA3 Institute</w:t>
            </w:r>
          </w:p>
        </w:tc>
      </w:tr>
      <w:tr>
        <w:tc>
          <w:tcPr>
            <w:tcW w:type="dxa" w:w="5040"/>
            <w:shd w:fill="DCE6F1"/>
          </w:tcPr>
          <w:p>
            <w:r>
              <w:rPr>
                <w:b/>
              </w:rPr>
              <w:t>Publication date</w:t>
            </w:r>
          </w:p>
        </w:tc>
        <w:tc>
          <w:tcPr>
            <w:tcW w:type="dxa" w:w="5040"/>
          </w:tcPr>
          <w:p>
            <w:r>
              <w:t>29 June 2026</w:t>
            </w:r>
          </w:p>
        </w:tc>
      </w:tr>
    </w:tbl>
    <w:p/>
    <w:p>
      <w:pPr>
        <w:jc w:val="center"/>
      </w:pPr>
      <w:r>
        <w:rPr>
          <w:b/>
          <w:color w:val="991B1B"/>
        </w:rPr>
        <w:t>This document does not create FedRAMP Certification, a Marketplace listing, or an agency Authorization to Operate.</w:t>
      </w:r>
    </w:p>
    <w:p>
      <w:r>
        <w:br w:type="page"/>
      </w:r>
    </w:p>
    <w:p>
      <w:pPr>
        <w:pStyle w:val="Heading1"/>
      </w:pPr>
      <w:r>
        <w:t>GAISSF–FedRAMP Mapping</w:t>
      </w:r>
    </w:p>
    <w:p>
      <w:r>
        <w:t>CRO-036 provides a source-bounded mapping between GAISSF v1.0 and the control-family architecture used by the current FedRAMP Rev5 model. It helps federal-cloud stakeholders identify where GAISSF AI-security controls can support security planning, evidence reuse and detailed readiness work.</w:t>
      </w:r>
    </w:p>
    <w:p>
      <w:pPr>
        <w:pStyle w:val="Heading2"/>
      </w:pPr>
      <w:r>
        <w:t>What the package contains</w:t>
      </w:r>
    </w:p>
    <w:p>
      <w:pPr>
        <w:pStyle w:val="ListBullet"/>
      </w:pPr>
      <w:r>
        <w:t>All 59 GAISSF v1.0 controls.</w:t>
      </w:r>
    </w:p>
    <w:p>
      <w:pPr>
        <w:pStyle w:val="ListBullet"/>
      </w:pPr>
      <w:r>
        <w:t>All 20 NIST SP 800-53 Revision 5 control families.</w:t>
      </w:r>
    </w:p>
    <w:p>
      <w:pPr>
        <w:pStyle w:val="ListBullet"/>
      </w:pPr>
      <w:r>
        <w:t>258 documented control-to-family relationships.</w:t>
      </w:r>
    </w:p>
    <w:p>
      <w:pPr>
        <w:pStyle w:val="ListBullet"/>
      </w:pPr>
      <w:r>
        <w:t>Reverse family coverage, residual gaps and evidence-reuse guidance.</w:t>
      </w:r>
    </w:p>
    <w:p>
      <w:pPr>
        <w:pStyle w:val="ListBullet"/>
      </w:pPr>
      <w:r>
        <w:t>DOCX, XLSX, Markdown and JSON publication formats.</w:t>
      </w:r>
    </w:p>
    <w:p>
      <w:pPr>
        <w:pStyle w:val="Heading2"/>
      </w:pPr>
      <w:r>
        <w:t>Current baseline</w:t>
      </w:r>
    </w:p>
    <w:p>
      <w:r>
        <w:t>The mapping is verified against the FedRAMP Consolidated Rules for 2026, launched 24 June 2026. It records the current Rev5/Class D path and the separate FedRAMP 20x Classes A–C pathway.</w:t>
      </w:r>
    </w:p>
    <w:p>
      <w:pPr>
        <w:pStyle w:val="Heading2"/>
      </w:pPr>
      <w:r>
        <w:t>What it does not establish</w:t>
      </w:r>
    </w:p>
    <w:p>
      <w:pPr>
        <w:pStyle w:val="ListBullet"/>
      </w:pPr>
      <w:r>
        <w:t>No FedRAMP Certification, authorization or agency ATO is created by this mapping.</w:t>
      </w:r>
    </w:p>
    <w:p>
      <w:pPr>
        <w:pStyle w:val="ListBullet"/>
      </w:pPr>
      <w:r>
        <w:t>No individual FedRAMP control is deemed implemented solely because a GAISSF control maps to its family.</w:t>
      </w:r>
    </w:p>
    <w:p>
      <w:pPr>
        <w:pStyle w:val="ListBullet"/>
      </w:pPr>
      <w:r>
        <w:t>No FedRAMP-recognized independent assessment has been performed.</w:t>
      </w:r>
    </w:p>
    <w:p>
      <w:pPr>
        <w:pStyle w:val="ListBullet"/>
      </w:pPr>
      <w:r>
        <w:t>No cloud-service boundary, data-impact class, inherited-control model or agency use case is established.</w:t>
      </w:r>
    </w:p>
    <w:p>
      <w:pPr>
        <w:pStyle w:val="ListBullet"/>
      </w:pPr>
      <w:r>
        <w:t>No SSP, SAP, SAR, POA&amp;M, Security Decision Record or continuous-monitoring package is completed.</w:t>
      </w:r>
    </w:p>
    <w:p>
      <w:pPr>
        <w:pStyle w:val="ListBullet"/>
      </w:pPr>
      <w:r>
        <w:t>No endorsement, acceptance or recognition by GSA, FedRAMP, OMB, NIST or any federal agency is implied.</w:t>
      </w:r>
    </w:p>
    <w:p>
      <w:pPr>
        <w:pStyle w:val="Heading2"/>
      </w:pPr>
      <w:r>
        <w:t>Recommended use</w:t>
      </w:r>
    </w:p>
    <w:p>
      <w:r>
        <w:t>Use CRO-036 for preliminary gap analysis and evidence planning before engaging in a class-specific, pathway-specific FedRAMP readiness and assessment process.</w:t>
      </w:r>
    </w:p>
    <w:p>
      <w:r>
        <w:t>© 2026 ODA3 Pvt Ltd. Published by ODA3 Institute.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A6470"/>
        <w:sz w:val="16"/>
      </w:rPr>
      <w:t>© 2026 ODA3 Pvt Ltd | Publication Candidate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5A6470"/>
        <w:sz w:val="16"/>
      </w:rPr>
      <w:t>ODA3 Institute | CRO-036 Website Summary | Version 1.0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63A5F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63A5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63A5F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63A5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