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36"/>
        </w:rPr>
        <w:t>GAISSF® v1.0</w:t>
      </w:r>
    </w:p>
    <w:p>
      <w:pPr>
        <w:jc w:val="center"/>
      </w:pPr>
      <w:r>
        <w:rPr>
          <w:b/>
          <w:color w:val="17365D"/>
          <w:sz w:val="36"/>
        </w:rPr>
        <w:t>ISO/IEC 23894 MAPPING - EXECUTIVE BRIEF</w:t>
      </w:r>
    </w:p>
    <w:p>
      <w:pPr>
        <w:jc w:val="center"/>
      </w:pPr>
      <w:r>
        <w:rPr>
          <w:i/>
        </w:rPr>
        <w:t>Risk alignment, evidence reuse and assurance implications</w:t>
      </w:r>
    </w:p>
    <w:p>
      <w:pPr>
        <w:jc w:val="center"/>
      </w:pPr>
      <w:r>
        <w:rPr>
          <w:b/>
        </w:rPr>
        <w:t>Version 1.2 | Final Source-Bounded Publication</w:t>
      </w:r>
    </w:p>
    <w:p>
      <w:pPr>
        <w:pStyle w:val="Heading1"/>
      </w:pPr>
      <w:r>
        <w:t>Methodology Note</w:t>
      </w:r>
    </w:p>
    <w:p>
      <w:r>
        <w:t>This brief summarizes the coordinated CRO-021 Technical Report. ISO/IEC 23894:2023 document identity and structure were confirmed from official metadata and an authorized preview. Detailed mappings are analytical and require revalidation when licensed full text becomes available. ISO/IEC 23894 is guidance, not a certifiable requirements standard.</w:t>
      </w:r>
    </w:p>
    <w:p>
      <w:pPr>
        <w:pStyle w:val="Heading1"/>
      </w:pPr>
      <w:r>
        <w:t>Executive Decision</w:t>
      </w:r>
    </w:p>
    <w:p>
      <w:r>
        <w:t>Adopt ISO/IEC 23894-aligned risk documentation as the common governance layer, but do not substitute it for GAISSF technical validation. Risk records explain why a treatment was selected; GAISSF VTS evidence demonstrates whether the treatment operates effectively.</w:t>
      </w:r>
    </w:p>
    <w:p>
      <w:pPr>
        <w:pStyle w:val="Heading1"/>
      </w:pPr>
      <w:r>
        <w:t>Decision Boundaries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7365D"/>
          </w:tcPr>
          <w:p>
            <w:r/>
            <w:r>
              <w:rPr>
                <w:b/>
                <w:color w:val="FFFFFF"/>
                <w:sz w:val="16"/>
              </w:rPr>
              <w:t>Permitted use</w:t>
            </w:r>
          </w:p>
        </w:tc>
        <w:tc>
          <w:tcPr>
            <w:tcW w:type="dxa" w:w="5040"/>
            <w:shd w:fill="17365D"/>
          </w:tcPr>
          <w:p>
            <w:r/>
            <w:r>
              <w:rPr>
                <w:b/>
                <w:color w:val="FFFFFF"/>
                <w:sz w:val="16"/>
              </w:rPr>
              <w:t>Not supported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16"/>
              </w:rPr>
              <w:t>Risk alignment, treatment traceability, evidence reuse planning and gap analysis</w:t>
            </w:r>
          </w:p>
        </w:tc>
        <w:tc>
          <w:tcPr>
            <w:tcW w:type="dxa" w:w="5040"/>
          </w:tcPr>
          <w:p>
            <w:r/>
            <w:r>
              <w:rPr>
                <w:sz w:val="16"/>
              </w:rPr>
              <w:t>Claims of ISO certification, GAISSF equivalence or automatic audit acceptance</w:t>
            </w:r>
          </w:p>
        </w:tc>
      </w:tr>
      <w:tr>
        <w:tc>
          <w:tcPr>
            <w:tcW w:type="dxa" w:w="5040"/>
            <w:shd w:fill="EEF4F8"/>
          </w:tcPr>
          <w:p>
            <w:r/>
            <w:r>
              <w:rPr>
                <w:sz w:val="16"/>
              </w:rPr>
              <w:t>Reuse of qualified risk registers, approvals, consultation and monitoring records</w:t>
            </w:r>
          </w:p>
        </w:tc>
        <w:tc>
          <w:tcPr>
            <w:tcW w:type="dxa" w:w="5040"/>
            <w:shd w:fill="EEF4F8"/>
          </w:tcPr>
          <w:p>
            <w:r/>
            <w:r>
              <w:rPr>
                <w:sz w:val="16"/>
              </w:rPr>
              <w:t>Replacing runtime, agentic, privacy or physical-AI testing with policy documents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16"/>
              </w:rPr>
              <w:t>Source-bounded clause and lifecycle mapping</w:t>
            </w:r>
          </w:p>
        </w:tc>
        <w:tc>
          <w:tcPr>
            <w:tcW w:type="dxa" w:w="5040"/>
          </w:tcPr>
          <w:p>
            <w:r/>
            <w:r>
              <w:rPr>
                <w:sz w:val="16"/>
              </w:rPr>
              <w:t>Claiming full-text verification without the licensed ISO standard</w:t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color w:val="17365D"/>
          <w:sz w:val="36"/>
        </w:rPr>
        <w:t>1. Evidence Reuse and Assurance Boundary</w:t>
      </w:r>
    </w:p>
    <w:p>
      <w:pPr>
        <w:pStyle w:val="Heading1"/>
      </w:pPr>
      <w:r>
        <w:t>Evidence that can be reused</w:t>
      </w:r>
    </w:p>
    <w:p>
      <w:pPr>
        <w:pStyle w:val="ListBullet"/>
      </w:pPr>
      <w:r>
        <w:t>AI risk policy, scope, context and risk criteria.</w:t>
      </w:r>
    </w:p>
    <w:p>
      <w:pPr>
        <w:pStyle w:val="ListBullet"/>
      </w:pPr>
      <w:r>
        <w:t>Risk registers, scenario analysis, treatment plans and residual-risk approvals.</w:t>
      </w:r>
    </w:p>
    <w:p>
      <w:pPr>
        <w:pStyle w:val="ListBullet"/>
      </w:pPr>
      <w:r>
        <w:t>Roles, consultation records, monitoring results and management reporting.</w:t>
      </w:r>
    </w:p>
    <w:p>
      <w:pPr>
        <w:pStyle w:val="ListBullet"/>
      </w:pPr>
      <w:r>
        <w:t>Lifecycle and change-review records that remain current and within the same assessment boundary.</w:t>
      </w:r>
    </w:p>
    <w:p>
      <w:pPr>
        <w:pStyle w:val="Heading1"/>
      </w:pPr>
      <w:r>
        <w:t>Evidence that still requires GAISSF validation</w:t>
      </w:r>
    </w:p>
    <w:p>
      <w:pPr>
        <w:pStyle w:val="ListBullet"/>
      </w:pPr>
      <w:r>
        <w:t>Runtime adversarial, prompt-injection, jailbreak and tool-abuse testing.</w:t>
      </w:r>
    </w:p>
    <w:p>
      <w:pPr>
        <w:pStyle w:val="ListBullet"/>
      </w:pPr>
      <w:r>
        <w:t>Model-integrity, provenance, drift, extraction and cryptographic testing.</w:t>
      </w:r>
    </w:p>
    <w:p>
      <w:pPr>
        <w:pStyle w:val="ListBullet"/>
      </w:pPr>
      <w:r>
        <w:t>Agent authority, memory, inter-agent trust and exfiltration safeguards.</w:t>
      </w:r>
    </w:p>
    <w:p>
      <w:pPr>
        <w:pStyle w:val="ListBullet"/>
      </w:pPr>
      <w:r>
        <w:t>Content-safety, privacy, supply-chain and regulatory evidence checks.</w:t>
      </w:r>
    </w:p>
    <w:p>
      <w:pPr>
        <w:pStyle w:val="ListBullet"/>
      </w:pPr>
      <w:r>
        <w:t>Physical-AI HIL or certified-simulator tests and signed evidence.</w:t>
      </w:r>
    </w:p>
    <w:p>
      <w:pPr>
        <w:pStyle w:val="Heading1"/>
      </w:pPr>
      <w:r>
        <w:t>Acceptance test for reused evidence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7365D"/>
          </w:tcPr>
          <w:p>
            <w:r/>
            <w:r>
              <w:rPr>
                <w:b/>
                <w:color w:val="FFFFFF"/>
                <w:sz w:val="16"/>
              </w:rPr>
              <w:t>Question</w:t>
            </w:r>
          </w:p>
        </w:tc>
        <w:tc>
          <w:tcPr>
            <w:tcW w:type="dxa" w:w="5040"/>
            <w:shd w:fill="17365D"/>
          </w:tcPr>
          <w:p>
            <w:r/>
            <w:r>
              <w:rPr>
                <w:b/>
                <w:color w:val="FFFFFF"/>
                <w:sz w:val="16"/>
              </w:rPr>
              <w:t>Required answer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16"/>
              </w:rPr>
              <w:t>Same scope?</w:t>
            </w:r>
          </w:p>
        </w:tc>
        <w:tc>
          <w:tcPr>
            <w:tcW w:type="dxa" w:w="5040"/>
          </w:tcPr>
          <w:p>
            <w:r/>
            <w:r>
              <w:rPr>
                <w:sz w:val="16"/>
              </w:rPr>
              <w:t>System, model, data, environment, supplier and intended use are materially equivalent.</w:t>
            </w:r>
          </w:p>
        </w:tc>
      </w:tr>
      <w:tr>
        <w:tc>
          <w:tcPr>
            <w:tcW w:type="dxa" w:w="5040"/>
            <w:shd w:fill="EEF4F8"/>
          </w:tcPr>
          <w:p>
            <w:r/>
            <w:r>
              <w:rPr>
                <w:sz w:val="16"/>
              </w:rPr>
              <w:t>Authentic and intact?</w:t>
            </w:r>
          </w:p>
        </w:tc>
        <w:tc>
          <w:tcPr>
            <w:tcW w:type="dxa" w:w="5040"/>
            <w:shd w:fill="EEF4F8"/>
          </w:tcPr>
          <w:p>
            <w:r/>
            <w:r>
              <w:rPr>
                <w:sz w:val="16"/>
              </w:rPr>
              <w:t>Source, owner, date, integrity and chain of custody are verifiable.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16"/>
              </w:rPr>
              <w:t>Current?</w:t>
            </w:r>
          </w:p>
        </w:tc>
        <w:tc>
          <w:tcPr>
            <w:tcW w:type="dxa" w:w="5040"/>
          </w:tcPr>
          <w:p>
            <w:r/>
            <w:r>
              <w:rPr>
                <w:sz w:val="16"/>
              </w:rPr>
              <w:t>Evidence remains within its review period and no trigger has invalidated it.</w:t>
            </w:r>
          </w:p>
        </w:tc>
      </w:tr>
      <w:tr>
        <w:tc>
          <w:tcPr>
            <w:tcW w:type="dxa" w:w="5040"/>
            <w:shd w:fill="EEF4F8"/>
          </w:tcPr>
          <w:p>
            <w:r/>
            <w:r>
              <w:rPr>
                <w:sz w:val="16"/>
              </w:rPr>
              <w:t>Sufficient?</w:t>
            </w:r>
          </w:p>
        </w:tc>
        <w:tc>
          <w:tcPr>
            <w:tcW w:type="dxa" w:w="5040"/>
            <w:shd w:fill="EEF4F8"/>
          </w:tcPr>
          <w:p>
            <w:r/>
            <w:r>
              <w:rPr>
                <w:sz w:val="16"/>
              </w:rPr>
              <w:t>Evidence demonstrates the claimed process or outcome, with limitations recorded.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16"/>
              </w:rPr>
              <w:t>Effective?</w:t>
            </w:r>
          </w:p>
        </w:tc>
        <w:tc>
          <w:tcPr>
            <w:tcW w:type="dxa" w:w="5040"/>
          </w:tcPr>
          <w:p>
            <w:r/>
            <w:r>
              <w:rPr>
                <w:sz w:val="16"/>
              </w:rPr>
              <w:t>Where operating effectiveness is claimed, VTS or equivalent independent evidence exists.</w:t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color w:val="17365D"/>
          <w:sz w:val="36"/>
        </w:rPr>
        <w:t>2. Coverage and Lifecycle Implications</w:t>
      </w:r>
    </w:p>
    <w:p>
      <w:r>
        <w:t>The mapping covers all 59 GAISSF controls. Governance and regulatory controls align most strongly with ISO/IEC 23894 risk processes; technical runtime, agentic and physical controls retain the largest validation gap.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17365D"/>
          </w:tcPr>
          <w:p>
            <w:r/>
            <w:r>
              <w:rPr>
                <w:b/>
                <w:color w:val="FFFFFF"/>
                <w:sz w:val="15"/>
              </w:rPr>
              <w:t>Domain</w:t>
            </w:r>
          </w:p>
        </w:tc>
        <w:tc>
          <w:tcPr>
            <w:tcW w:type="dxa" w:w="3360"/>
            <w:shd w:fill="17365D"/>
          </w:tcPr>
          <w:p>
            <w:r/>
            <w:r>
              <w:rPr>
                <w:b/>
                <w:color w:val="FFFFFF"/>
                <w:sz w:val="15"/>
              </w:rPr>
              <w:t>Primary lifecycle relevance</w:t>
            </w:r>
          </w:p>
        </w:tc>
        <w:tc>
          <w:tcPr>
            <w:tcW w:type="dxa" w:w="3360"/>
            <w:shd w:fill="17365D"/>
          </w:tcPr>
          <w:p>
            <w:r/>
            <w:r>
              <w:rPr>
                <w:b/>
                <w:color w:val="FFFFFF"/>
                <w:sz w:val="15"/>
              </w:rPr>
              <w:t>Executive implication</w:t>
            </w:r>
          </w:p>
        </w:tc>
      </w:tr>
      <w:tr>
        <w:tc>
          <w:tcPr>
            <w:tcW w:type="dxa" w:w="3360"/>
          </w:tcPr>
          <w:p>
            <w:r/>
            <w:r>
              <w:rPr>
                <w:sz w:val="15"/>
              </w:rPr>
              <w:t>D1</w:t>
            </w:r>
          </w:p>
        </w:tc>
        <w:tc>
          <w:tcPr>
            <w:tcW w:type="dxa" w:w="3360"/>
          </w:tcPr>
          <w:p>
            <w:r/>
            <w:r>
              <w:rPr>
                <w:sz w:val="15"/>
              </w:rPr>
              <w:t>Data, training, validation, monitoring</w:t>
            </w:r>
          </w:p>
        </w:tc>
        <w:tc>
          <w:tcPr>
            <w:tcW w:type="dxa" w:w="3360"/>
          </w:tcPr>
          <w:p>
            <w:r/>
            <w:r>
              <w:rPr>
                <w:sz w:val="15"/>
              </w:rPr>
              <w:t>Risk records support treatment; VTS proves model integrity.</w:t>
            </w:r>
          </w:p>
        </w:tc>
      </w:tr>
      <w:tr>
        <w:tc>
          <w:tcPr>
            <w:tcW w:type="dxa" w:w="3360"/>
            <w:shd w:fill="EEF4F8"/>
          </w:tcPr>
          <w:p>
            <w:r/>
            <w:r>
              <w:rPr>
                <w:sz w:val="15"/>
              </w:rPr>
              <w:t>D2</w:t>
            </w:r>
          </w:p>
        </w:tc>
        <w:tc>
          <w:tcPr>
            <w:tcW w:type="dxa" w:w="3360"/>
            <w:shd w:fill="EEF4F8"/>
          </w:tcPr>
          <w:p>
            <w:r/>
            <w:r>
              <w:rPr>
                <w:sz w:val="15"/>
              </w:rPr>
              <w:t>Validation, deployment, operation</w:t>
            </w:r>
          </w:p>
        </w:tc>
        <w:tc>
          <w:tcPr>
            <w:tcW w:type="dxa" w:w="3360"/>
            <w:shd w:fill="EEF4F8"/>
          </w:tcPr>
          <w:p>
            <w:r/>
            <w:r>
              <w:rPr>
                <w:sz w:val="15"/>
              </w:rPr>
              <w:t>Re-test after prompt, tool, model or interface change.</w:t>
            </w:r>
          </w:p>
        </w:tc>
      </w:tr>
      <w:tr>
        <w:tc>
          <w:tcPr>
            <w:tcW w:type="dxa" w:w="3360"/>
          </w:tcPr>
          <w:p>
            <w:r/>
            <w:r>
              <w:rPr>
                <w:sz w:val="15"/>
              </w:rPr>
              <w:t>D3</w:t>
            </w:r>
          </w:p>
        </w:tc>
        <w:tc>
          <w:tcPr>
            <w:tcW w:type="dxa" w:w="3360"/>
          </w:tcPr>
          <w:p>
            <w:r/>
            <w:r>
              <w:rPr>
                <w:sz w:val="15"/>
              </w:rPr>
              <w:t>Design, integration, operation, retirement</w:t>
            </w:r>
          </w:p>
        </w:tc>
        <w:tc>
          <w:tcPr>
            <w:tcW w:type="dxa" w:w="3360"/>
          </w:tcPr>
          <w:p>
            <w:r/>
            <w:r>
              <w:rPr>
                <w:sz w:val="15"/>
              </w:rPr>
              <w:t>Authority and memory boundaries require technical evidence.</w:t>
            </w:r>
          </w:p>
        </w:tc>
      </w:tr>
      <w:tr>
        <w:tc>
          <w:tcPr>
            <w:tcW w:type="dxa" w:w="3360"/>
            <w:shd w:fill="EEF4F8"/>
          </w:tcPr>
          <w:p>
            <w:r/>
            <w:r>
              <w:rPr>
                <w:sz w:val="15"/>
              </w:rPr>
              <w:t>D4</w:t>
            </w:r>
          </w:p>
        </w:tc>
        <w:tc>
          <w:tcPr>
            <w:tcW w:type="dxa" w:w="3360"/>
            <w:shd w:fill="EEF4F8"/>
          </w:tcPr>
          <w:p>
            <w:r/>
            <w:r>
              <w:rPr>
                <w:sz w:val="15"/>
              </w:rPr>
              <w:t>Acquisition, integration, supplier monitoring</w:t>
            </w:r>
          </w:p>
        </w:tc>
        <w:tc>
          <w:tcPr>
            <w:tcW w:type="dxa" w:w="3360"/>
            <w:shd w:fill="EEF4F8"/>
          </w:tcPr>
          <w:p>
            <w:r/>
            <w:r>
              <w:rPr>
                <w:sz w:val="15"/>
              </w:rPr>
              <w:t>Supplier evidence is version- and context-dependent.</w:t>
            </w:r>
          </w:p>
        </w:tc>
      </w:tr>
      <w:tr>
        <w:tc>
          <w:tcPr>
            <w:tcW w:type="dxa" w:w="3360"/>
          </w:tcPr>
          <w:p>
            <w:r/>
            <w:r>
              <w:rPr>
                <w:sz w:val="15"/>
              </w:rPr>
              <w:t>D5</w:t>
            </w:r>
          </w:p>
        </w:tc>
        <w:tc>
          <w:tcPr>
            <w:tcW w:type="dxa" w:w="3360"/>
          </w:tcPr>
          <w:p>
            <w:r/>
            <w:r>
              <w:rPr>
                <w:sz w:val="15"/>
              </w:rPr>
              <w:t>Data, design, validation, user interaction</w:t>
            </w:r>
          </w:p>
        </w:tc>
        <w:tc>
          <w:tcPr>
            <w:tcW w:type="dxa" w:w="3360"/>
          </w:tcPr>
          <w:p>
            <w:r/>
            <w:r>
              <w:rPr>
                <w:sz w:val="15"/>
              </w:rPr>
              <w:t>Evaluation datasets and policy assumptions must be controlled.</w:t>
            </w:r>
          </w:p>
        </w:tc>
      </w:tr>
      <w:tr>
        <w:tc>
          <w:tcPr>
            <w:tcW w:type="dxa" w:w="3360"/>
            <w:shd w:fill="EEF4F8"/>
          </w:tcPr>
          <w:p>
            <w:r/>
            <w:r>
              <w:rPr>
                <w:sz w:val="15"/>
              </w:rPr>
              <w:t>D6</w:t>
            </w:r>
          </w:p>
        </w:tc>
        <w:tc>
          <w:tcPr>
            <w:tcW w:type="dxa" w:w="3360"/>
            <w:shd w:fill="EEF4F8"/>
          </w:tcPr>
          <w:p>
            <w:r/>
            <w:r>
              <w:rPr>
                <w:sz w:val="15"/>
              </w:rPr>
              <w:t>All stages</w:t>
            </w:r>
          </w:p>
        </w:tc>
        <w:tc>
          <w:tcPr>
            <w:tcW w:type="dxa" w:w="3360"/>
            <w:shd w:fill="EEF4F8"/>
          </w:tcPr>
          <w:p>
            <w:r/>
            <w:r>
              <w:rPr>
                <w:sz w:val="15"/>
              </w:rPr>
              <w:t>Strong governance alignment; operating effectiveness remains testable.</w:t>
            </w:r>
          </w:p>
        </w:tc>
      </w:tr>
      <w:tr>
        <w:tc>
          <w:tcPr>
            <w:tcW w:type="dxa" w:w="3360"/>
          </w:tcPr>
          <w:p>
            <w:r/>
            <w:r>
              <w:rPr>
                <w:sz w:val="15"/>
              </w:rPr>
              <w:t>D7</w:t>
            </w:r>
          </w:p>
        </w:tc>
        <w:tc>
          <w:tcPr>
            <w:tcW w:type="dxa" w:w="3360"/>
          </w:tcPr>
          <w:p>
            <w:r/>
            <w:r>
              <w:rPr>
                <w:sz w:val="15"/>
              </w:rPr>
              <w:t>Impact assessment, deployment, incident response</w:t>
            </w:r>
          </w:p>
        </w:tc>
        <w:tc>
          <w:tcPr>
            <w:tcW w:type="dxa" w:w="3360"/>
          </w:tcPr>
          <w:p>
            <w:r/>
            <w:r>
              <w:rPr>
                <w:sz w:val="15"/>
              </w:rPr>
              <w:t>Stakeholder and threat assumptions require periodic refresh.</w:t>
            </w:r>
          </w:p>
        </w:tc>
      </w:tr>
      <w:tr>
        <w:tc>
          <w:tcPr>
            <w:tcW w:type="dxa" w:w="3360"/>
            <w:shd w:fill="EEF4F8"/>
          </w:tcPr>
          <w:p>
            <w:r/>
            <w:r>
              <w:rPr>
                <w:sz w:val="15"/>
              </w:rPr>
              <w:t>D8</w:t>
            </w:r>
          </w:p>
        </w:tc>
        <w:tc>
          <w:tcPr>
            <w:tcW w:type="dxa" w:w="3360"/>
            <w:shd w:fill="EEF4F8"/>
          </w:tcPr>
          <w:p>
            <w:r/>
            <w:r>
              <w:rPr>
                <w:sz w:val="15"/>
              </w:rPr>
              <w:t>All stages</w:t>
            </w:r>
          </w:p>
        </w:tc>
        <w:tc>
          <w:tcPr>
            <w:tcW w:type="dxa" w:w="3360"/>
            <w:shd w:fill="EEF4F8"/>
          </w:tcPr>
          <w:p>
            <w:r/>
            <w:r>
              <w:rPr>
                <w:sz w:val="15"/>
              </w:rPr>
              <w:t>Legal and regulatory evidence requires annual/event-driven review.</w:t>
            </w:r>
          </w:p>
        </w:tc>
      </w:tr>
      <w:tr>
        <w:tc>
          <w:tcPr>
            <w:tcW w:type="dxa" w:w="3360"/>
          </w:tcPr>
          <w:p>
            <w:r/>
            <w:r>
              <w:rPr>
                <w:sz w:val="15"/>
              </w:rPr>
              <w:t>D9</w:t>
            </w:r>
          </w:p>
        </w:tc>
        <w:tc>
          <w:tcPr>
            <w:tcW w:type="dxa" w:w="3360"/>
          </w:tcPr>
          <w:p>
            <w:r/>
            <w:r>
              <w:rPr>
                <w:sz w:val="15"/>
              </w:rPr>
              <w:t>Physical integration, HIL validation, operation</w:t>
            </w:r>
          </w:p>
        </w:tc>
        <w:tc>
          <w:tcPr>
            <w:tcW w:type="dxa" w:w="3360"/>
          </w:tcPr>
          <w:p>
            <w:r/>
            <w:r>
              <w:rPr>
                <w:sz w:val="15"/>
              </w:rPr>
              <w:t>Mock CI output is not physical certification evidence.</w:t>
            </w:r>
          </w:p>
        </w:tc>
      </w:tr>
    </w:tbl>
    <w:p>
      <w:pPr>
        <w:pStyle w:val="Heading1"/>
      </w:pPr>
      <w:r>
        <w:t>Notably absent from risk guidance alone</w:t>
      </w:r>
    </w:p>
    <w:p>
      <w:pPr>
        <w:pStyle w:val="ListBullet"/>
      </w:pPr>
      <w:r>
        <w:t>Attack corpora and technical thresholds.</w:t>
      </w:r>
    </w:p>
    <w:p>
      <w:pPr>
        <w:pStyle w:val="ListBullet"/>
      </w:pPr>
      <w:r>
        <w:t>Agent memory isolation and least-agency enforcement.</w:t>
      </w:r>
    </w:p>
    <w:p>
      <w:pPr>
        <w:pStyle w:val="ListBullet"/>
      </w:pPr>
      <w:r>
        <w:t>Content, privacy and watermark robustness criteria.</w:t>
      </w:r>
    </w:p>
    <w:p>
      <w:pPr>
        <w:pStyle w:val="ListBullet"/>
      </w:pPr>
      <w:r>
        <w:t>Actuator interlocks, safe-state timing and emergency-stop latency.</w:t>
      </w:r>
    </w:p>
    <w:p>
      <w:pPr>
        <w:pStyle w:val="ListBullet"/>
      </w:pPr>
      <w:r>
        <w:t>Universal acceptable-risk, fairness, safety or legal-compliance thresholds.</w:t>
      </w:r>
    </w:p>
    <w:p>
      <w:r>
        <w:br w:type="page"/>
      </w:r>
    </w:p>
    <w:p>
      <w:pPr>
        <w:jc w:val="center"/>
      </w:pPr>
      <w:r>
        <w:rPr>
          <w:b/>
          <w:color w:val="17365D"/>
          <w:sz w:val="36"/>
        </w:rPr>
        <w:t>3. Financial and Governance Framing</w:t>
      </w:r>
    </w:p>
    <w:p>
      <w:pPr>
        <w:pStyle w:val="Heading1"/>
      </w:pPr>
      <w:r>
        <w:t>Evidence-Reuse Economics</w:t>
      </w:r>
    </w:p>
    <w:p>
      <w:r>
        <w:t>Use a transparent planning formula rather than a generic savings claim:</w:t>
      </w:r>
    </w:p>
    <w:p>
      <w:r>
        <w:rPr>
          <w:b/>
        </w:rPr>
        <w:t xml:space="preserve">Estimated Audit Efficiency Gain = </w:t>
      </w:r>
      <w:r>
        <w:t>(hours of redundant risk documentation avoided × blended hourly rate) - incremental GAISSF VTS execution cost.</w:t>
      </w:r>
    </w:p>
    <w:p>
      <w:r>
        <w:t>Illustrative planning example only: 80 avoided hours × $120/hour - $4,000 VTS execution = $5,600 estimated net efficiency gain. Confidence range: ±15%. Actual results depend on evidence quality, scope overlap, assessor acceptance, automation and test complexity.</w:t>
      </w:r>
    </w:p>
    <w:p>
      <w:pPr>
        <w:pStyle w:val="Heading1"/>
      </w:pPr>
      <w:r>
        <w:t>Governance controls</w:t>
      </w:r>
    </w:p>
    <w:p>
      <w:pPr>
        <w:pStyle w:val="ListBullet"/>
      </w:pPr>
      <w:r>
        <w:t>Approve reuse only after scope, authenticity, currency, completeness and effectiveness checks.</w:t>
      </w:r>
    </w:p>
    <w:p>
      <w:pPr>
        <w:pStyle w:val="ListBullet"/>
      </w:pPr>
      <w:r>
        <w:t>Maintain one risk-to-control-to-VTS traceability chain.</w:t>
      </w:r>
    </w:p>
    <w:p>
      <w:pPr>
        <w:pStyle w:val="ListBullet"/>
      </w:pPr>
      <w:r>
        <w:t>Assign owners for treatment, residual-risk approval and revalidation.</w:t>
      </w:r>
    </w:p>
    <w:p>
      <w:pPr>
        <w:pStyle w:val="ListBullet"/>
      </w:pPr>
      <w:r>
        <w:t>Treat demo or mock HIL output as engineering evidence only.</w:t>
      </w:r>
    </w:p>
    <w:p>
      <w:pPr>
        <w:pStyle w:val="ListBullet"/>
      </w:pPr>
      <w:r>
        <w:t>Record expiry dates and trigger-based review conditions for reused evidence.</w:t>
      </w:r>
    </w:p>
    <w:p>
      <w:pPr>
        <w:pStyle w:val="Heading1"/>
      </w:pPr>
      <w:r>
        <w:t>Incident response maturity</w:t>
      </w:r>
    </w:p>
    <w:p>
      <w:r>
        <w:t>D6-CTL-04 retains its normative tabletop/readiness validation. More mature organizations may add an automated playbook profile for detection, containment, rollback, evidence capture and escalation. This is supplementary assurance and does not create a new GAISSF control.</w:t>
      </w:r>
    </w:p>
    <w:p>
      <w:r>
        <w:br w:type="page"/>
      </w:r>
    </w:p>
    <w:p>
      <w:pPr>
        <w:jc w:val="center"/>
      </w:pPr>
      <w:r>
        <w:rPr>
          <w:b/>
          <w:color w:val="17365D"/>
          <w:sz w:val="36"/>
        </w:rPr>
        <w:t>4. Risks, Review Triggers and Recommended Action</w:t>
      </w:r>
    </w:p>
    <w:p>
      <w:pPr>
        <w:pStyle w:val="Heading1"/>
      </w:pPr>
      <w:r>
        <w:t>Primary limitations</w:t>
      </w:r>
    </w:p>
    <w:p>
      <w:pPr>
        <w:pStyle w:val="ListBullet"/>
      </w:pPr>
      <w:r>
        <w:t>The mapping is not full-text verified against a licensed ISO/IEC 23894 copy.</w:t>
      </w:r>
    </w:p>
    <w:p>
      <w:pPr>
        <w:pStyle w:val="ListBullet"/>
      </w:pPr>
      <w:r>
        <w:t>Alignment does not establish certification, conformity, legal compliance or technical effectiveness.</w:t>
      </w:r>
    </w:p>
    <w:p>
      <w:pPr>
        <w:pStyle w:val="ListBullet"/>
      </w:pPr>
      <w:r>
        <w:t>ISO risk guidance does not define GAISSF pass criteria or universal acceptable-risk thresholds.</w:t>
      </w:r>
    </w:p>
    <w:p>
      <w:pPr>
        <w:pStyle w:val="ListBullet"/>
      </w:pPr>
      <w:r>
        <w:t>System, threat, regulatory or source changes can invalidate earlier evidence-reuse decisions.</w:t>
      </w:r>
    </w:p>
    <w:p>
      <w:pPr>
        <w:pStyle w:val="Heading1"/>
      </w:pPr>
      <w:r>
        <w:t>Mandatory review triggers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7365D"/>
          </w:tcPr>
          <w:p>
            <w:r/>
            <w:r>
              <w:rPr>
                <w:b/>
                <w:color w:val="FFFFFF"/>
                <w:sz w:val="16"/>
              </w:rPr>
              <w:t>Trigger</w:t>
            </w:r>
          </w:p>
        </w:tc>
        <w:tc>
          <w:tcPr>
            <w:tcW w:type="dxa" w:w="5040"/>
            <w:shd w:fill="17365D"/>
          </w:tcPr>
          <w:p>
            <w:r/>
            <w:r>
              <w:rPr>
                <w:b/>
                <w:color w:val="FFFFFF"/>
                <w:sz w:val="16"/>
              </w:rPr>
              <w:t>Examples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16"/>
              </w:rPr>
              <w:t>Annual</w:t>
            </w:r>
          </w:p>
        </w:tc>
        <w:tc>
          <w:tcPr>
            <w:tcW w:type="dxa" w:w="5040"/>
          </w:tcPr>
          <w:p>
            <w:r/>
            <w:r>
              <w:rPr>
                <w:sz w:val="16"/>
              </w:rPr>
              <w:t>Scheduled source, scope, evidence and residual-risk review.</w:t>
            </w:r>
          </w:p>
        </w:tc>
      </w:tr>
      <w:tr>
        <w:tc>
          <w:tcPr>
            <w:tcW w:type="dxa" w:w="5040"/>
            <w:shd w:fill="EEF4F8"/>
          </w:tcPr>
          <w:p>
            <w:r/>
            <w:r>
              <w:rPr>
                <w:sz w:val="16"/>
              </w:rPr>
              <w:t>System change</w:t>
            </w:r>
          </w:p>
        </w:tc>
        <w:tc>
          <w:tcPr>
            <w:tcW w:type="dxa" w:w="5040"/>
            <w:shd w:fill="EEF4F8"/>
          </w:tcPr>
          <w:p>
            <w:r/>
            <w:r>
              <w:rPr>
                <w:sz w:val="16"/>
              </w:rPr>
              <w:t>New model, fine-tuning, tool, agent authority, supplier, hardware or environment.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16"/>
              </w:rPr>
              <w:t>Threat change</w:t>
            </w:r>
          </w:p>
        </w:tc>
        <w:tc>
          <w:tcPr>
            <w:tcW w:type="dxa" w:w="5040"/>
          </w:tcPr>
          <w:p>
            <w:r/>
            <w:r>
              <w:rPr>
                <w:sz w:val="16"/>
              </w:rPr>
              <w:t>New vulnerability, attack technique, harm scenario or near miss.</w:t>
            </w:r>
          </w:p>
        </w:tc>
      </w:tr>
      <w:tr>
        <w:tc>
          <w:tcPr>
            <w:tcW w:type="dxa" w:w="5040"/>
            <w:shd w:fill="EEF4F8"/>
          </w:tcPr>
          <w:p>
            <w:r/>
            <w:r>
              <w:rPr>
                <w:sz w:val="16"/>
              </w:rPr>
              <w:t>Regulatory change</w:t>
            </w:r>
          </w:p>
        </w:tc>
        <w:tc>
          <w:tcPr>
            <w:tcW w:type="dxa" w:w="5040"/>
            <w:shd w:fill="EEF4F8"/>
          </w:tcPr>
          <w:p>
            <w:r/>
            <w:r>
              <w:rPr>
                <w:sz w:val="16"/>
              </w:rPr>
              <w:t>New law, guidance, enforcement position, jurisdiction or sector.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sz w:val="16"/>
              </w:rPr>
              <w:t>Source change</w:t>
            </w:r>
          </w:p>
        </w:tc>
        <w:tc>
          <w:tcPr>
            <w:tcW w:type="dxa" w:w="5040"/>
          </w:tcPr>
          <w:p>
            <w:r/>
            <w:r>
              <w:rPr>
                <w:sz w:val="16"/>
              </w:rPr>
              <w:t>Revision to ISO/IEC 23894, GAISSF, schema or VTS.</w:t>
            </w:r>
          </w:p>
        </w:tc>
      </w:tr>
      <w:tr>
        <w:tc>
          <w:tcPr>
            <w:tcW w:type="dxa" w:w="5040"/>
            <w:shd w:fill="EEF4F8"/>
          </w:tcPr>
          <w:p>
            <w:r/>
            <w:r>
              <w:rPr>
                <w:sz w:val="16"/>
              </w:rPr>
              <w:t>Failure</w:t>
            </w:r>
          </w:p>
        </w:tc>
        <w:tc>
          <w:tcPr>
            <w:tcW w:type="dxa" w:w="5040"/>
            <w:shd w:fill="EEF4F8"/>
          </w:tcPr>
          <w:p>
            <w:r/>
            <w:r>
              <w:rPr>
                <w:sz w:val="16"/>
              </w:rPr>
              <w:t>Incident, audit finding, exercise failure or VTS failure.</w:t>
            </w:r>
          </w:p>
        </w:tc>
      </w:tr>
    </w:tbl>
    <w:p>
      <w:pPr>
        <w:pStyle w:val="Heading1"/>
      </w:pPr>
      <w:r>
        <w:t>Recommended operating action</w:t>
      </w:r>
    </w:p>
    <w:p>
      <w:r>
        <w:t>Use CRO-021 as the common risk-alignment and evidence-reuse layer. Require GAISSF VTS or equivalent independent verification before claiming that a technical control is operating effectively. Revalidate annually, after material changes and when a licensed ISO/IEC 23894 text becomes available.</w:t>
      </w:r>
    </w:p>
    <w:sectPr w:rsidR="00FC693F" w:rsidRPr="0006063C" w:rsidSect="00034616">
      <w:footerReference w:type="default" r:id="rId9"/>
      <w:pgSz w:w="12240" w:h="15840"/>
      <w:pgMar w:top="1008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5A5A"/>
        <w:sz w:val="14"/>
      </w:rPr>
      <w:t>GAISSF-CRO-021 | Executive Brief v1.2 | © 2026 ODA3 Pvt Ltd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