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rPr>
        <w:br/>
        <w:t>ODA3 Institute</w:t>
      </w:r>
    </w:p>
    <w:p>
      <w:pPr>
        <w:pStyle w:val="Title"/>
        <w:jc w:val="center"/>
      </w:pPr>
      <w:r>
        <w:t>GAISSF–NIST AI RMF Mapping</w:t>
      </w:r>
    </w:p>
    <w:p>
      <w:pPr>
        <w:jc w:val="center"/>
      </w:pPr>
      <w:r>
        <w:rPr>
          <w:b/>
          <w:color w:val="1F6B75"/>
          <w:sz w:val="32"/>
        </w:rPr>
        <w:t>CRO-022  |  Version 1.0</w:t>
      </w:r>
    </w:p>
    <w:p>
      <w:pPr>
        <w:jc w:val="center"/>
      </w:pPr>
      <w:r>
        <w:t>Crosswalk and Evidence-Reuse Guide</w:t>
      </w:r>
    </w:p>
    <w:p>
      <w:pPr>
        <w:jc w:val="center"/>
      </w:pPr>
      <w:r>
        <w:t>Publication Candidate</w:t>
      </w:r>
    </w:p>
    <w:p>
      <w:pPr>
        <w:jc w:val="center"/>
      </w:pPr>
      <w:r>
        <w:t>Baseline verified 29 June 2026</w:t>
      </w:r>
    </w:p>
    <w:p>
      <w:pPr>
        <w:jc w:val="center"/>
      </w:pPr>
      <w:r>
        <w:br/>
        <w:t>© 2026 ODA3 Pvt Ltd. Published by ODA3 Institute.</w:t>
      </w:r>
    </w:p>
    <w:p>
      <w:pPr>
        <w:jc w:val="center"/>
      </w:pPr>
      <w:r>
        <w:t>NIST names, publication identifiers, and marks are used solely for identification. No endorsement, affiliation, certification credit, or recognition is implied.</w:t>
      </w:r>
    </w:p>
    <w:p>
      <w:r>
        <w:br w:type="page"/>
      </w:r>
    </w:p>
    <w:p>
      <w:pPr>
        <w:pStyle w:val="Heading1"/>
      </w:pPr>
      <w:r>
        <w:t>Document Control</w:t>
      </w:r>
    </w:p>
    <w:tbl>
      <w:tblPr>
        <w:tblStyle w:val="TableGrid"/>
        <w:tblW w:type="auto" w:w="0"/>
        <w:jc w:val="center"/>
        <w:tblLook w:firstColumn="1" w:firstRow="1" w:lastColumn="0" w:lastRow="0" w:noHBand="0" w:noVBand="1" w:val="04A0"/>
      </w:tblPr>
      <w:tblGrid>
        <w:gridCol w:w="5112"/>
        <w:gridCol w:w="5112"/>
      </w:tblGrid>
      <w:tr>
        <w:tc>
          <w:tcPr>
            <w:tcW w:type="dxa" w:w="5112"/>
            <w:shd w:fill="163A5F"/>
            <w:vAlign w:val="center"/>
          </w:tcPr>
          <w:p>
            <w:r/>
            <w:r>
              <w:rPr>
                <w:b/>
                <w:color w:val="FFFFFF"/>
                <w:sz w:val="15"/>
              </w:rPr>
              <w:t>Field</w:t>
            </w:r>
          </w:p>
        </w:tc>
        <w:tc>
          <w:tcPr>
            <w:tcW w:type="dxa" w:w="5112"/>
            <w:shd w:fill="163A5F"/>
            <w:vAlign w:val="center"/>
          </w:tcPr>
          <w:p>
            <w:r/>
            <w:r>
              <w:rPr>
                <w:b/>
                <w:color w:val="FFFFFF"/>
                <w:sz w:val="15"/>
              </w:rPr>
              <w:t>Controlled value</w:t>
            </w:r>
          </w:p>
        </w:tc>
      </w:tr>
      <w:tr>
        <w:tc>
          <w:tcPr>
            <w:tcW w:type="dxa" w:w="5112"/>
            <w:vAlign w:val="center"/>
          </w:tcPr>
          <w:p>
            <w:r/>
            <w:r>
              <w:rPr>
                <w:b w:val="0"/>
                <w:sz w:val="14"/>
              </w:rPr>
              <w:t>Document ID</w:t>
            </w:r>
          </w:p>
        </w:tc>
        <w:tc>
          <w:tcPr>
            <w:tcW w:type="dxa" w:w="5112"/>
            <w:vAlign w:val="center"/>
          </w:tcPr>
          <w:p>
            <w:r/>
            <w:r>
              <w:rPr>
                <w:b w:val="0"/>
                <w:sz w:val="14"/>
              </w:rPr>
              <w:t>CRO-022</w:t>
            </w:r>
          </w:p>
        </w:tc>
      </w:tr>
      <w:tr>
        <w:tc>
          <w:tcPr>
            <w:tcW w:type="dxa" w:w="5112"/>
            <w:vAlign w:val="center"/>
            <w:shd w:fill="F5F7F9"/>
          </w:tcPr>
          <w:p>
            <w:r/>
            <w:r>
              <w:rPr>
                <w:b w:val="0"/>
                <w:sz w:val="14"/>
              </w:rPr>
              <w:t>Title</w:t>
            </w:r>
          </w:p>
        </w:tc>
        <w:tc>
          <w:tcPr>
            <w:tcW w:type="dxa" w:w="5112"/>
            <w:vAlign w:val="center"/>
            <w:shd w:fill="F5F7F9"/>
          </w:tcPr>
          <w:p>
            <w:r/>
            <w:r>
              <w:rPr>
                <w:b w:val="0"/>
                <w:sz w:val="14"/>
              </w:rPr>
              <w:t>GAISSF–NIST AI Risk Management Framework Mapping</w:t>
            </w:r>
          </w:p>
        </w:tc>
      </w:tr>
      <w:tr>
        <w:tc>
          <w:tcPr>
            <w:tcW w:type="dxa" w:w="5112"/>
            <w:vAlign w:val="center"/>
          </w:tcPr>
          <w:p>
            <w:r/>
            <w:r>
              <w:rPr>
                <w:b w:val="0"/>
                <w:sz w:val="14"/>
              </w:rPr>
              <w:t>Version</w:t>
            </w:r>
          </w:p>
        </w:tc>
        <w:tc>
          <w:tcPr>
            <w:tcW w:type="dxa" w:w="5112"/>
            <w:vAlign w:val="center"/>
          </w:tcPr>
          <w:p>
            <w:r/>
            <w:r>
              <w:rPr>
                <w:b w:val="0"/>
                <w:sz w:val="14"/>
              </w:rPr>
              <w:t>1.0</w:t>
            </w:r>
          </w:p>
        </w:tc>
      </w:tr>
      <w:tr>
        <w:tc>
          <w:tcPr>
            <w:tcW w:type="dxa" w:w="5112"/>
            <w:vAlign w:val="center"/>
            <w:shd w:fill="F5F7F9"/>
          </w:tcPr>
          <w:p>
            <w:r/>
            <w:r>
              <w:rPr>
                <w:b w:val="0"/>
                <w:sz w:val="14"/>
              </w:rPr>
              <w:t>Status</w:t>
            </w:r>
          </w:p>
        </w:tc>
        <w:tc>
          <w:tcPr>
            <w:tcW w:type="dxa" w:w="5112"/>
            <w:vAlign w:val="center"/>
            <w:shd w:fill="F5F7F9"/>
          </w:tcPr>
          <w:p>
            <w:r/>
            <w:r>
              <w:rPr>
                <w:b w:val="0"/>
                <w:sz w:val="14"/>
              </w:rPr>
              <w:t>Publication Candidate</w:t>
            </w:r>
          </w:p>
        </w:tc>
      </w:tr>
      <w:tr>
        <w:tc>
          <w:tcPr>
            <w:tcW w:type="dxa" w:w="5112"/>
            <w:vAlign w:val="center"/>
          </w:tcPr>
          <w:p>
            <w:r/>
            <w:r>
              <w:rPr>
                <w:b w:val="0"/>
                <w:sz w:val="14"/>
              </w:rPr>
              <w:t>Classification</w:t>
            </w:r>
          </w:p>
        </w:tc>
        <w:tc>
          <w:tcPr>
            <w:tcW w:type="dxa" w:w="5112"/>
            <w:vAlign w:val="center"/>
          </w:tcPr>
          <w:p>
            <w:r/>
            <w:r>
              <w:rPr>
                <w:b w:val="0"/>
                <w:sz w:val="14"/>
              </w:rPr>
              <w:t>Crosswalk — informative</w:t>
            </w:r>
          </w:p>
        </w:tc>
      </w:tr>
      <w:tr>
        <w:tc>
          <w:tcPr>
            <w:tcW w:type="dxa" w:w="5112"/>
            <w:vAlign w:val="center"/>
            <w:shd w:fill="F5F7F9"/>
          </w:tcPr>
          <w:p>
            <w:r/>
            <w:r>
              <w:rPr>
                <w:b w:val="0"/>
                <w:sz w:val="14"/>
              </w:rPr>
              <w:t>Publisher</w:t>
            </w:r>
          </w:p>
        </w:tc>
        <w:tc>
          <w:tcPr>
            <w:tcW w:type="dxa" w:w="5112"/>
            <w:vAlign w:val="center"/>
            <w:shd w:fill="F5F7F9"/>
          </w:tcPr>
          <w:p>
            <w:r/>
            <w:r>
              <w:rPr>
                <w:b w:val="0"/>
                <w:sz w:val="14"/>
              </w:rPr>
              <w:t>ODA3 Institute</w:t>
            </w:r>
          </w:p>
        </w:tc>
      </w:tr>
      <w:tr>
        <w:tc>
          <w:tcPr>
            <w:tcW w:type="dxa" w:w="5112"/>
            <w:vAlign w:val="center"/>
          </w:tcPr>
          <w:p>
            <w:r/>
            <w:r>
              <w:rPr>
                <w:b w:val="0"/>
                <w:sz w:val="14"/>
              </w:rPr>
              <w:t>Legal entity</w:t>
            </w:r>
          </w:p>
        </w:tc>
        <w:tc>
          <w:tcPr>
            <w:tcW w:type="dxa" w:w="5112"/>
            <w:vAlign w:val="center"/>
          </w:tcPr>
          <w:p>
            <w:r/>
            <w:r>
              <w:rPr>
                <w:b w:val="0"/>
                <w:sz w:val="14"/>
              </w:rPr>
              <w:t>ODA3 Pvt Ltd</w:t>
            </w:r>
          </w:p>
        </w:tc>
      </w:tr>
      <w:tr>
        <w:tc>
          <w:tcPr>
            <w:tcW w:type="dxa" w:w="5112"/>
            <w:vAlign w:val="center"/>
            <w:shd w:fill="F5F7F9"/>
          </w:tcPr>
          <w:p>
            <w:r/>
            <w:r>
              <w:rPr>
                <w:b w:val="0"/>
                <w:sz w:val="14"/>
              </w:rPr>
              <w:t>GAISSF baseline</w:t>
            </w:r>
          </w:p>
        </w:tc>
        <w:tc>
          <w:tcPr>
            <w:tcW w:type="dxa" w:w="5112"/>
            <w:vAlign w:val="center"/>
            <w:shd w:fill="F5F7F9"/>
          </w:tcPr>
          <w:p>
            <w:r/>
            <w:r>
              <w:rPr>
                <w:b w:val="0"/>
                <w:sz w:val="14"/>
              </w:rPr>
              <w:t>GAISSF v1.0, 59 controls across D1–D9</w:t>
            </w:r>
          </w:p>
        </w:tc>
      </w:tr>
      <w:tr>
        <w:tc>
          <w:tcPr>
            <w:tcW w:type="dxa" w:w="5112"/>
            <w:vAlign w:val="center"/>
          </w:tcPr>
          <w:p>
            <w:r/>
            <w:r>
              <w:rPr>
                <w:b w:val="0"/>
                <w:sz w:val="14"/>
              </w:rPr>
              <w:t>NIST baseline</w:t>
            </w:r>
          </w:p>
        </w:tc>
        <w:tc>
          <w:tcPr>
            <w:tcW w:type="dxa" w:w="5112"/>
            <w:vAlign w:val="center"/>
          </w:tcPr>
          <w:p>
            <w:r/>
            <w:r>
              <w:rPr>
                <w:b w:val="0"/>
                <w:sz w:val="14"/>
              </w:rPr>
              <w:t>NIST AI 100-1, AI RMF 1.0, January 2023</w:t>
            </w:r>
          </w:p>
        </w:tc>
      </w:tr>
      <w:tr>
        <w:tc>
          <w:tcPr>
            <w:tcW w:type="dxa" w:w="5112"/>
            <w:vAlign w:val="center"/>
            <w:shd w:fill="F5F7F9"/>
          </w:tcPr>
          <w:p>
            <w:r/>
            <w:r>
              <w:rPr>
                <w:b w:val="0"/>
                <w:sz w:val="14"/>
              </w:rPr>
              <w:t>Verification date</w:t>
            </w:r>
          </w:p>
        </w:tc>
        <w:tc>
          <w:tcPr>
            <w:tcW w:type="dxa" w:w="5112"/>
            <w:vAlign w:val="center"/>
            <w:shd w:fill="F5F7F9"/>
          </w:tcPr>
          <w:p>
            <w:r/>
            <w:r>
              <w:rPr>
                <w:b w:val="0"/>
                <w:sz w:val="14"/>
              </w:rPr>
              <w:t>29 June 2026</w:t>
            </w:r>
          </w:p>
        </w:tc>
      </w:tr>
      <w:tr>
        <w:tc>
          <w:tcPr>
            <w:tcW w:type="dxa" w:w="5112"/>
            <w:vAlign w:val="center"/>
          </w:tcPr>
          <w:p>
            <w:r/>
            <w:r>
              <w:rPr>
                <w:b w:val="0"/>
                <w:sz w:val="14"/>
              </w:rPr>
              <w:t>Distribution</w:t>
            </w:r>
          </w:p>
        </w:tc>
        <w:tc>
          <w:tcPr>
            <w:tcW w:type="dxa" w:w="5112"/>
            <w:vAlign w:val="center"/>
          </w:tcPr>
          <w:p>
            <w:r/>
            <w:r>
              <w:rPr>
                <w:b w:val="0"/>
                <w:sz w:val="14"/>
              </w:rPr>
              <w:t>Public — Website/GitHub</w:t>
            </w:r>
          </w:p>
        </w:tc>
      </w:tr>
      <w:tr>
        <w:tc>
          <w:tcPr>
            <w:tcW w:type="dxa" w:w="5112"/>
            <w:vAlign w:val="center"/>
            <w:shd w:fill="F5F7F9"/>
          </w:tcPr>
          <w:p>
            <w:r/>
            <w:r>
              <w:rPr>
                <w:b w:val="0"/>
                <w:sz w:val="14"/>
              </w:rPr>
              <w:t>Review trigger</w:t>
            </w:r>
          </w:p>
        </w:tc>
        <w:tc>
          <w:tcPr>
            <w:tcW w:type="dxa" w:w="5112"/>
            <w:vAlign w:val="center"/>
            <w:shd w:fill="F5F7F9"/>
          </w:tcPr>
          <w:p>
            <w:r/>
            <w:r>
              <w:rPr>
                <w:b w:val="0"/>
                <w:sz w:val="14"/>
              </w:rPr>
              <w:t>Revision of GAISSF, AI RMF, or material mapping evidence</w:t>
            </w:r>
          </w:p>
        </w:tc>
      </w:tr>
    </w:tbl>
    <w:p>
      <w:pPr>
        <w:pStyle w:val="Heading1"/>
      </w:pPr>
      <w:r>
        <w:t>Executive Summary</w:t>
      </w:r>
    </w:p>
    <w:p>
      <w:r>
        <w:t>CRO-022 provides a bidirectional, outcome-based mapping between the 59 GAISSF v1.0 controls and the 72 NIST AI RMF 1.0 Core subcategories. It supports implementation planning, gap analysis, evidence reuse, profile development, and internal assurance. It does not establish NIST certification, NIST endorsement, regulatory compliance, or automatic satisfaction of NIST outcomes.</w:t>
      </w:r>
    </w:p>
    <w:p>
      <w:r>
        <w:t>Reverse coverage distribution: Indirectly Supported: 5, Not Addressed: 35, Substantially Addressed: 24, Partially Addressed: 8. These counts measure mapping coverage only; they are not a compliance score.</w:t>
      </w:r>
    </w:p>
    <w:p>
      <w:pPr>
        <w:pStyle w:val="Heading2"/>
      </w:pPr>
      <w:r>
        <w:t>Notably Absent</w:t>
      </w:r>
    </w:p>
    <w:p>
      <w:pPr>
        <w:pStyle w:val="ListBullet"/>
      </w:pPr>
      <w:r>
        <w:t>No NIST certification scheme is created by AI RMF 1.0.</w:t>
      </w:r>
    </w:p>
    <w:p>
      <w:pPr>
        <w:pStyle w:val="ListBullet"/>
      </w:pPr>
      <w:r>
        <w:t>No NIST endorsement or approval of GAISSF was identified.</w:t>
      </w:r>
    </w:p>
    <w:p>
      <w:pPr>
        <w:pStyle w:val="ListBullet"/>
      </w:pPr>
      <w:r>
        <w:t>No automatic legal or regulatory safe harbour is established.</w:t>
      </w:r>
    </w:p>
    <w:p>
      <w:pPr>
        <w:pStyle w:val="ListBullet"/>
      </w:pPr>
      <w:r>
        <w:t>No evidence was identified that GAISSF and NIST AI RMF are fully equivalent.</w:t>
      </w:r>
    </w:p>
    <w:p>
      <w:pPr>
        <w:pStyle w:val="ListBullet"/>
      </w:pPr>
      <w:r>
        <w:t>No universal risk-tolerance threshold is prescribed by AI RMF 1.0.</w:t>
      </w:r>
    </w:p>
    <w:p>
      <w:pPr>
        <w:pStyle w:val="ListBullet"/>
      </w:pPr>
      <w:r>
        <w:t>No mapping result proves operating effectiveness.</w:t>
      </w:r>
    </w:p>
    <w:p>
      <w:pPr>
        <w:pStyle w:val="Heading1"/>
      </w:pPr>
      <w:r>
        <w:t>1. Purpose and Intended Use</w:t>
      </w:r>
    </w:p>
    <w:p>
      <w:r>
        <w:t>This crosswalk enables practitioners to relate GAISSF controls to NIST AI RMF outcomes, identify supplementary work, reuse verified evidence, and document Current and Target Profile decisions. It is an interpretive mapping, not a substitution mechanism.</w:t>
      </w:r>
    </w:p>
    <w:p>
      <w:pPr>
        <w:pStyle w:val="Heading1"/>
      </w:pPr>
      <w:r>
        <w:t>2. Scope and Source Baseline</w:t>
      </w:r>
    </w:p>
    <w:p>
      <w:r>
        <w:t>In scope: GAISSF-NOR-001 and GAISSF-NOR-004 corrected final publication editions, version 1.0, dated 29 June 2026; and NIST AI 100-1, Artificial Intelligence Risk Management Framework (AI RMF 1.0), January 2023. The NIST AI RMF Playbook and NIST AI 600-1 are supplementary and are not merged into the Core mapping. Future revisions require revalidation.</w:t>
      </w:r>
    </w:p>
    <w:tbl>
      <w:tblPr>
        <w:tblStyle w:val="TableGrid"/>
        <w:tblW w:type="auto" w:w="0"/>
        <w:jc w:val="center"/>
        <w:tblLook w:firstColumn="1" w:firstRow="1" w:lastColumn="0" w:lastRow="0" w:noHBand="0" w:noVBand="1" w:val="04A0"/>
      </w:tblPr>
      <w:tblGrid>
        <w:gridCol w:w="3408"/>
        <w:gridCol w:w="3408"/>
        <w:gridCol w:w="3408"/>
      </w:tblGrid>
      <w:tr>
        <w:tc>
          <w:tcPr>
            <w:tcW w:type="dxa" w:w="3408"/>
            <w:shd w:fill="163A5F"/>
            <w:vAlign w:val="center"/>
          </w:tcPr>
          <w:p>
            <w:r/>
            <w:r>
              <w:rPr>
                <w:b/>
                <w:color w:val="FFFFFF"/>
                <w:sz w:val="15"/>
              </w:rPr>
              <w:t>Source</w:t>
            </w:r>
          </w:p>
        </w:tc>
        <w:tc>
          <w:tcPr>
            <w:tcW w:type="dxa" w:w="3408"/>
            <w:shd w:fill="163A5F"/>
            <w:vAlign w:val="center"/>
          </w:tcPr>
          <w:p>
            <w:r/>
            <w:r>
              <w:rPr>
                <w:b/>
                <w:color w:val="FFFFFF"/>
                <w:sz w:val="15"/>
              </w:rPr>
              <w:t>Status</w:t>
            </w:r>
          </w:p>
        </w:tc>
        <w:tc>
          <w:tcPr>
            <w:tcW w:type="dxa" w:w="3408"/>
            <w:shd w:fill="163A5F"/>
            <w:vAlign w:val="center"/>
          </w:tcPr>
          <w:p>
            <w:r/>
            <w:r>
              <w:rPr>
                <w:b/>
                <w:color w:val="FFFFFF"/>
                <w:sz w:val="15"/>
              </w:rPr>
              <w:t>Role</w:t>
            </w:r>
          </w:p>
        </w:tc>
      </w:tr>
      <w:tr>
        <w:tc>
          <w:tcPr>
            <w:tcW w:type="dxa" w:w="3408"/>
            <w:vAlign w:val="center"/>
          </w:tcPr>
          <w:p>
            <w:r/>
            <w:r>
              <w:rPr>
                <w:b w:val="0"/>
                <w:sz w:val="14"/>
              </w:rPr>
              <w:t>GAISSF-NOR-001 v1.0</w:t>
            </w:r>
          </w:p>
        </w:tc>
        <w:tc>
          <w:tcPr>
            <w:tcW w:type="dxa" w:w="3408"/>
            <w:vAlign w:val="center"/>
          </w:tcPr>
          <w:p>
            <w:r/>
            <w:r>
              <w:rPr>
                <w:b w:val="0"/>
                <w:sz w:val="14"/>
              </w:rPr>
              <w:t>Normative</w:t>
            </w:r>
          </w:p>
        </w:tc>
        <w:tc>
          <w:tcPr>
            <w:tcW w:type="dxa" w:w="3408"/>
            <w:vAlign w:val="center"/>
          </w:tcPr>
          <w:p>
            <w:r/>
            <w:r>
              <w:rPr>
                <w:b w:val="0"/>
                <w:sz w:val="14"/>
              </w:rPr>
              <w:t>Framework architecture and conformance baseline</w:t>
            </w:r>
          </w:p>
        </w:tc>
      </w:tr>
      <w:tr>
        <w:tc>
          <w:tcPr>
            <w:tcW w:type="dxa" w:w="3408"/>
            <w:vAlign w:val="center"/>
            <w:shd w:fill="F5F7F9"/>
          </w:tcPr>
          <w:p>
            <w:r/>
            <w:r>
              <w:rPr>
                <w:b w:val="0"/>
                <w:sz w:val="14"/>
              </w:rPr>
              <w:t>GAISSF-NOR-004 v1.0</w:t>
            </w:r>
          </w:p>
        </w:tc>
        <w:tc>
          <w:tcPr>
            <w:tcW w:type="dxa" w:w="3408"/>
            <w:vAlign w:val="center"/>
            <w:shd w:fill="F5F7F9"/>
          </w:tcPr>
          <w:p>
            <w:r/>
            <w:r>
              <w:rPr>
                <w:b w:val="0"/>
                <w:sz w:val="14"/>
              </w:rPr>
              <w:t>Normative</w:t>
            </w:r>
          </w:p>
        </w:tc>
        <w:tc>
          <w:tcPr>
            <w:tcW w:type="dxa" w:w="3408"/>
            <w:vAlign w:val="center"/>
            <w:shd w:fill="F5F7F9"/>
          </w:tcPr>
          <w:p>
            <w:r/>
            <w:r>
              <w:rPr>
                <w:b w:val="0"/>
                <w:sz w:val="14"/>
              </w:rPr>
              <w:t>Authoritative 59-control catalogue</w:t>
            </w:r>
          </w:p>
        </w:tc>
      </w:tr>
      <w:tr>
        <w:tc>
          <w:tcPr>
            <w:tcW w:type="dxa" w:w="3408"/>
            <w:vAlign w:val="center"/>
          </w:tcPr>
          <w:p>
            <w:r/>
            <w:r>
              <w:rPr>
                <w:b w:val="0"/>
                <w:sz w:val="14"/>
              </w:rPr>
              <w:t>NIST AI 100-1</w:t>
            </w:r>
          </w:p>
        </w:tc>
        <w:tc>
          <w:tcPr>
            <w:tcW w:type="dxa" w:w="3408"/>
            <w:vAlign w:val="center"/>
          </w:tcPr>
          <w:p>
            <w:r/>
            <w:r>
              <w:rPr>
                <w:b w:val="0"/>
                <w:sz w:val="14"/>
              </w:rPr>
              <w:t>Voluntary framework</w:t>
            </w:r>
          </w:p>
        </w:tc>
        <w:tc>
          <w:tcPr>
            <w:tcW w:type="dxa" w:w="3408"/>
            <w:vAlign w:val="center"/>
          </w:tcPr>
          <w:p>
            <w:r/>
            <w:r>
              <w:rPr>
                <w:b w:val="0"/>
                <w:sz w:val="14"/>
              </w:rPr>
              <w:t>Primary NIST Core mapping target</w:t>
            </w:r>
          </w:p>
        </w:tc>
      </w:tr>
      <w:tr>
        <w:tc>
          <w:tcPr>
            <w:tcW w:type="dxa" w:w="3408"/>
            <w:vAlign w:val="center"/>
            <w:shd w:fill="F5F7F9"/>
          </w:tcPr>
          <w:p>
            <w:r/>
            <w:r>
              <w:rPr>
                <w:b w:val="0"/>
                <w:sz w:val="14"/>
              </w:rPr>
              <w:t>NIST AI RMF Playbook</w:t>
            </w:r>
          </w:p>
        </w:tc>
        <w:tc>
          <w:tcPr>
            <w:tcW w:type="dxa" w:w="3408"/>
            <w:vAlign w:val="center"/>
            <w:shd w:fill="F5F7F9"/>
          </w:tcPr>
          <w:p>
            <w:r/>
            <w:r>
              <w:rPr>
                <w:b w:val="0"/>
                <w:sz w:val="14"/>
              </w:rPr>
              <w:t>Informative</w:t>
            </w:r>
          </w:p>
        </w:tc>
        <w:tc>
          <w:tcPr>
            <w:tcW w:type="dxa" w:w="3408"/>
            <w:vAlign w:val="center"/>
            <w:shd w:fill="F5F7F9"/>
          </w:tcPr>
          <w:p>
            <w:r/>
            <w:r>
              <w:rPr>
                <w:b w:val="0"/>
                <w:sz w:val="14"/>
              </w:rPr>
              <w:t>Optional implementation guidance</w:t>
            </w:r>
          </w:p>
        </w:tc>
      </w:tr>
      <w:tr>
        <w:tc>
          <w:tcPr>
            <w:tcW w:type="dxa" w:w="3408"/>
            <w:vAlign w:val="center"/>
          </w:tcPr>
          <w:p>
            <w:r/>
            <w:r>
              <w:rPr>
                <w:b w:val="0"/>
                <w:sz w:val="14"/>
              </w:rPr>
              <w:t>NIST AI 600-1</w:t>
            </w:r>
          </w:p>
        </w:tc>
        <w:tc>
          <w:tcPr>
            <w:tcW w:type="dxa" w:w="3408"/>
            <w:vAlign w:val="center"/>
          </w:tcPr>
          <w:p>
            <w:r/>
            <w:r>
              <w:rPr>
                <w:b w:val="0"/>
                <w:sz w:val="14"/>
              </w:rPr>
              <w:t>Supplementary profile</w:t>
            </w:r>
          </w:p>
        </w:tc>
        <w:tc>
          <w:tcPr>
            <w:tcW w:type="dxa" w:w="3408"/>
            <w:vAlign w:val="center"/>
          </w:tcPr>
          <w:p>
            <w:r/>
            <w:r>
              <w:rPr>
                <w:b w:val="0"/>
                <w:sz w:val="14"/>
              </w:rPr>
              <w:t>Separate GenAI analysis only</w:t>
            </w:r>
          </w:p>
        </w:tc>
      </w:tr>
    </w:tbl>
    <w:p>
      <w:pPr>
        <w:pStyle w:val="Heading1"/>
      </w:pPr>
      <w:r>
        <w:t>3. Mapping Methodology</w:t>
      </w:r>
    </w:p>
    <w:p>
      <w:r>
        <w:t>Mappings were evaluated at GAISSF control and NIST subcategory level. Relationship strength, reverse coverage status, and confidence are separate fields. Similar terminology alone was not treated as sufficient evidence. One-to-many and composite mappings are retained where an outcome depends on several controls.</w:t>
      </w:r>
    </w:p>
    <w:tbl>
      <w:tblPr>
        <w:tblStyle w:val="TableGrid"/>
        <w:tblW w:type="auto" w:w="0"/>
        <w:jc w:val="center"/>
        <w:tblLook w:firstColumn="1" w:firstRow="1" w:lastColumn="0" w:lastRow="0" w:noHBand="0" w:noVBand="1" w:val="04A0"/>
      </w:tblPr>
      <w:tblGrid>
        <w:gridCol w:w="5112"/>
        <w:gridCol w:w="5112"/>
      </w:tblGrid>
      <w:tr>
        <w:tc>
          <w:tcPr>
            <w:tcW w:type="dxa" w:w="5112"/>
            <w:shd w:fill="163A5F"/>
            <w:vAlign w:val="center"/>
          </w:tcPr>
          <w:p>
            <w:r/>
            <w:r>
              <w:rPr>
                <w:b/>
                <w:color w:val="FFFFFF"/>
                <w:sz w:val="15"/>
              </w:rPr>
              <w:t>Code</w:t>
            </w:r>
          </w:p>
        </w:tc>
        <w:tc>
          <w:tcPr>
            <w:tcW w:type="dxa" w:w="5112"/>
            <w:shd w:fill="163A5F"/>
            <w:vAlign w:val="center"/>
          </w:tcPr>
          <w:p>
            <w:r/>
            <w:r>
              <w:rPr>
                <w:b/>
                <w:color w:val="FFFFFF"/>
                <w:sz w:val="15"/>
              </w:rPr>
              <w:t>Meaning</w:t>
            </w:r>
          </w:p>
        </w:tc>
      </w:tr>
      <w:tr>
        <w:tc>
          <w:tcPr>
            <w:tcW w:type="dxa" w:w="5112"/>
            <w:vAlign w:val="center"/>
          </w:tcPr>
          <w:p>
            <w:r/>
            <w:r>
              <w:rPr>
                <w:b w:val="0"/>
                <w:sz w:val="14"/>
              </w:rPr>
              <w:t>E</w:t>
            </w:r>
          </w:p>
        </w:tc>
        <w:tc>
          <w:tcPr>
            <w:tcW w:type="dxa" w:w="5112"/>
            <w:vAlign w:val="center"/>
          </w:tcPr>
          <w:p>
            <w:r/>
            <w:r>
              <w:rPr>
                <w:b w:val="0"/>
                <w:sz w:val="14"/>
              </w:rPr>
              <w:t>Equivalent or near-equivalent; used only with exceptional evidence</w:t>
            </w:r>
          </w:p>
        </w:tc>
      </w:tr>
      <w:tr>
        <w:tc>
          <w:tcPr>
            <w:tcW w:type="dxa" w:w="5112"/>
            <w:vAlign w:val="center"/>
            <w:shd w:fill="F5F7F9"/>
          </w:tcPr>
          <w:p>
            <w:r/>
            <w:r>
              <w:rPr>
                <w:b w:val="0"/>
                <w:sz w:val="14"/>
              </w:rPr>
              <w:t>SP</w:t>
            </w:r>
          </w:p>
        </w:tc>
        <w:tc>
          <w:tcPr>
            <w:tcW w:type="dxa" w:w="5112"/>
            <w:vAlign w:val="center"/>
            <w:shd w:fill="F5F7F9"/>
          </w:tcPr>
          <w:p>
            <w:r/>
            <w:r>
              <w:rPr>
                <w:b w:val="0"/>
                <w:sz w:val="14"/>
              </w:rPr>
              <w:t>Strong partial</w:t>
            </w:r>
          </w:p>
        </w:tc>
      </w:tr>
      <w:tr>
        <w:tc>
          <w:tcPr>
            <w:tcW w:type="dxa" w:w="5112"/>
            <w:vAlign w:val="center"/>
          </w:tcPr>
          <w:p>
            <w:r/>
            <w:r>
              <w:rPr>
                <w:b w:val="0"/>
                <w:sz w:val="14"/>
              </w:rPr>
              <w:t>P</w:t>
            </w:r>
          </w:p>
        </w:tc>
        <w:tc>
          <w:tcPr>
            <w:tcW w:type="dxa" w:w="5112"/>
            <w:vAlign w:val="center"/>
          </w:tcPr>
          <w:p>
            <w:r/>
            <w:r>
              <w:rPr>
                <w:b w:val="0"/>
                <w:sz w:val="14"/>
              </w:rPr>
              <w:t>Partial</w:t>
            </w:r>
          </w:p>
        </w:tc>
      </w:tr>
      <w:tr>
        <w:tc>
          <w:tcPr>
            <w:tcW w:type="dxa" w:w="5112"/>
            <w:vAlign w:val="center"/>
            <w:shd w:fill="F5F7F9"/>
          </w:tcPr>
          <w:p>
            <w:r/>
            <w:r>
              <w:rPr>
                <w:b w:val="0"/>
                <w:sz w:val="14"/>
              </w:rPr>
              <w:t>S</w:t>
            </w:r>
          </w:p>
        </w:tc>
        <w:tc>
          <w:tcPr>
            <w:tcW w:type="dxa" w:w="5112"/>
            <w:vAlign w:val="center"/>
            <w:shd w:fill="F5F7F9"/>
          </w:tcPr>
          <w:p>
            <w:r/>
            <w:r>
              <w:rPr>
                <w:b w:val="0"/>
                <w:sz w:val="14"/>
              </w:rPr>
              <w:t>Supporting</w:t>
            </w:r>
          </w:p>
        </w:tc>
      </w:tr>
      <w:tr>
        <w:tc>
          <w:tcPr>
            <w:tcW w:type="dxa" w:w="5112"/>
            <w:vAlign w:val="center"/>
          </w:tcPr>
          <w:p>
            <w:r/>
            <w:r>
              <w:rPr>
                <w:b w:val="0"/>
                <w:sz w:val="14"/>
              </w:rPr>
              <w:t>C</w:t>
            </w:r>
          </w:p>
        </w:tc>
        <w:tc>
          <w:tcPr>
            <w:tcW w:type="dxa" w:w="5112"/>
            <w:vAlign w:val="center"/>
          </w:tcPr>
          <w:p>
            <w:r/>
            <w:r>
              <w:rPr>
                <w:b w:val="0"/>
                <w:sz w:val="14"/>
              </w:rPr>
              <w:t>Contextual</w:t>
            </w:r>
          </w:p>
        </w:tc>
      </w:tr>
      <w:tr>
        <w:tc>
          <w:tcPr>
            <w:tcW w:type="dxa" w:w="5112"/>
            <w:vAlign w:val="center"/>
            <w:shd w:fill="F5F7F9"/>
          </w:tcPr>
          <w:p>
            <w:r/>
            <w:r>
              <w:rPr>
                <w:b w:val="0"/>
                <w:sz w:val="14"/>
              </w:rPr>
              <w:t>N</w:t>
            </w:r>
          </w:p>
        </w:tc>
        <w:tc>
          <w:tcPr>
            <w:tcW w:type="dxa" w:w="5112"/>
            <w:vAlign w:val="center"/>
            <w:shd w:fill="F5F7F9"/>
          </w:tcPr>
          <w:p>
            <w:r/>
            <w:r>
              <w:rPr>
                <w:b w:val="0"/>
                <w:sz w:val="14"/>
              </w:rPr>
              <w:t>No material mapping</w:t>
            </w:r>
          </w:p>
        </w:tc>
      </w:tr>
      <w:tr>
        <w:tc>
          <w:tcPr>
            <w:tcW w:type="dxa" w:w="5112"/>
            <w:vAlign w:val="center"/>
          </w:tcPr>
          <w:p>
            <w:r/>
            <w:r>
              <w:rPr>
                <w:b w:val="0"/>
                <w:sz w:val="14"/>
              </w:rPr>
              <w:t>O</w:t>
            </w:r>
          </w:p>
        </w:tc>
        <w:tc>
          <w:tcPr>
            <w:tcW w:type="dxa" w:w="5112"/>
            <w:vAlign w:val="center"/>
          </w:tcPr>
          <w:p>
            <w:r/>
            <w:r>
              <w:rPr>
                <w:b w:val="0"/>
                <w:sz w:val="14"/>
              </w:rPr>
              <w:t>Outside scope</w:t>
            </w:r>
          </w:p>
        </w:tc>
      </w:tr>
      <w:tr>
        <w:tc>
          <w:tcPr>
            <w:tcW w:type="dxa" w:w="5112"/>
            <w:vAlign w:val="center"/>
            <w:shd w:fill="F5F7F9"/>
          </w:tcPr>
          <w:p>
            <w:r/>
            <w:r>
              <w:rPr>
                <w:b w:val="0"/>
                <w:sz w:val="14"/>
              </w:rPr>
              <w:t>U</w:t>
            </w:r>
          </w:p>
        </w:tc>
        <w:tc>
          <w:tcPr>
            <w:tcW w:type="dxa" w:w="5112"/>
            <w:vAlign w:val="center"/>
            <w:shd w:fill="F5F7F9"/>
          </w:tcPr>
          <w:p>
            <w:r/>
            <w:r>
              <w:rPr>
                <w:b w:val="0"/>
                <w:sz w:val="14"/>
              </w:rPr>
              <w:t>Unable to determine</w:t>
            </w:r>
          </w:p>
        </w:tc>
      </w:tr>
    </w:tbl>
    <w:tbl>
      <w:tblPr>
        <w:tblStyle w:val="TableGrid"/>
        <w:tblW w:type="auto" w:w="0"/>
        <w:jc w:val="center"/>
        <w:tblLook w:firstColumn="1" w:firstRow="1" w:lastColumn="0" w:lastRow="0" w:noHBand="0" w:noVBand="1" w:val="04A0"/>
      </w:tblPr>
      <w:tblGrid>
        <w:gridCol w:w="5112"/>
        <w:gridCol w:w="5112"/>
      </w:tblGrid>
      <w:tr>
        <w:tc>
          <w:tcPr>
            <w:tcW w:type="dxa" w:w="5112"/>
            <w:shd w:fill="163A5F"/>
            <w:vAlign w:val="center"/>
          </w:tcPr>
          <w:p>
            <w:r/>
            <w:r>
              <w:rPr>
                <w:b/>
                <w:color w:val="FFFFFF"/>
                <w:sz w:val="15"/>
              </w:rPr>
              <w:t>Confidence</w:t>
            </w:r>
          </w:p>
        </w:tc>
        <w:tc>
          <w:tcPr>
            <w:tcW w:type="dxa" w:w="5112"/>
            <w:shd w:fill="163A5F"/>
            <w:vAlign w:val="center"/>
          </w:tcPr>
          <w:p>
            <w:r/>
            <w:r>
              <w:rPr>
                <w:b/>
                <w:color w:val="FFFFFF"/>
                <w:sz w:val="15"/>
              </w:rPr>
              <w:t>Rule</w:t>
            </w:r>
          </w:p>
        </w:tc>
      </w:tr>
      <w:tr>
        <w:tc>
          <w:tcPr>
            <w:tcW w:type="dxa" w:w="5112"/>
            <w:vAlign w:val="center"/>
          </w:tcPr>
          <w:p>
            <w:r/>
            <w:r>
              <w:rPr>
                <w:b w:val="0"/>
                <w:sz w:val="14"/>
              </w:rPr>
              <w:t>High</w:t>
            </w:r>
          </w:p>
        </w:tc>
        <w:tc>
          <w:tcPr>
            <w:tcW w:type="dxa" w:w="5112"/>
            <w:vAlign w:val="center"/>
          </w:tcPr>
          <w:p>
            <w:r/>
            <w:r>
              <w:rPr>
                <w:b w:val="0"/>
                <w:sz w:val="14"/>
              </w:rPr>
              <w:t>Clear, specific support in both primary sources</w:t>
            </w:r>
          </w:p>
        </w:tc>
      </w:tr>
      <w:tr>
        <w:tc>
          <w:tcPr>
            <w:tcW w:type="dxa" w:w="5112"/>
            <w:vAlign w:val="center"/>
            <w:shd w:fill="F5F7F9"/>
          </w:tcPr>
          <w:p>
            <w:r/>
            <w:r>
              <w:rPr>
                <w:b w:val="0"/>
                <w:sz w:val="14"/>
              </w:rPr>
              <w:t>Medium-High</w:t>
            </w:r>
          </w:p>
        </w:tc>
        <w:tc>
          <w:tcPr>
            <w:tcW w:type="dxa" w:w="5112"/>
            <w:vAlign w:val="center"/>
            <w:shd w:fill="F5F7F9"/>
          </w:tcPr>
          <w:p>
            <w:r/>
            <w:r>
              <w:rPr>
                <w:b w:val="0"/>
                <w:sz w:val="14"/>
              </w:rPr>
              <w:t>Strong support with modest interpretation</w:t>
            </w:r>
          </w:p>
        </w:tc>
      </w:tr>
      <w:tr>
        <w:tc>
          <w:tcPr>
            <w:tcW w:type="dxa" w:w="5112"/>
            <w:vAlign w:val="center"/>
          </w:tcPr>
          <w:p>
            <w:r/>
            <w:r>
              <w:rPr>
                <w:b w:val="0"/>
                <w:sz w:val="14"/>
              </w:rPr>
              <w:t>Medium</w:t>
            </w:r>
          </w:p>
        </w:tc>
        <w:tc>
          <w:tcPr>
            <w:tcW w:type="dxa" w:w="5112"/>
            <w:vAlign w:val="center"/>
          </w:tcPr>
          <w:p>
            <w:r/>
            <w:r>
              <w:rPr>
                <w:b w:val="0"/>
                <w:sz w:val="14"/>
              </w:rPr>
              <w:t>Reasonable but context-dependent</w:t>
            </w:r>
          </w:p>
        </w:tc>
      </w:tr>
      <w:tr>
        <w:tc>
          <w:tcPr>
            <w:tcW w:type="dxa" w:w="5112"/>
            <w:vAlign w:val="center"/>
            <w:shd w:fill="F5F7F9"/>
          </w:tcPr>
          <w:p>
            <w:r/>
            <w:r>
              <w:rPr>
                <w:b w:val="0"/>
                <w:sz w:val="14"/>
              </w:rPr>
              <w:t>Low</w:t>
            </w:r>
          </w:p>
        </w:tc>
        <w:tc>
          <w:tcPr>
            <w:tcW w:type="dxa" w:w="5112"/>
            <w:vAlign w:val="center"/>
            <w:shd w:fill="F5F7F9"/>
          </w:tcPr>
          <w:p>
            <w:r/>
            <w:r>
              <w:rPr>
                <w:b w:val="0"/>
                <w:sz w:val="14"/>
              </w:rPr>
              <w:t>Tentative, indirect, or ambiguous</w:t>
            </w:r>
          </w:p>
        </w:tc>
      </w:tr>
      <w:tr>
        <w:tc>
          <w:tcPr>
            <w:tcW w:type="dxa" w:w="5112"/>
            <w:vAlign w:val="center"/>
          </w:tcPr>
          <w:p>
            <w:r/>
            <w:r>
              <w:rPr>
                <w:b w:val="0"/>
                <w:sz w:val="14"/>
              </w:rPr>
              <w:t>Not Rated</w:t>
            </w:r>
          </w:p>
        </w:tc>
        <w:tc>
          <w:tcPr>
            <w:tcW w:type="dxa" w:w="5112"/>
            <w:vAlign w:val="center"/>
          </w:tcPr>
          <w:p>
            <w:r/>
            <w:r>
              <w:rPr>
                <w:b w:val="0"/>
                <w:sz w:val="14"/>
              </w:rPr>
              <w:t>No mapping, outside scope, or indeterminate</w:t>
            </w:r>
          </w:p>
        </w:tc>
      </w:tr>
    </w:tbl>
    <w:p>
      <w:pPr>
        <w:pStyle w:val="Heading1"/>
      </w:pPr>
      <w:r>
        <w:t>4. Function-Level Findings</w:t>
      </w:r>
    </w:p>
    <w:p>
      <w:pPr>
        <w:pStyle w:val="Heading2"/>
      </w:pPr>
      <w:r>
        <w:t>GOVERN</w:t>
      </w:r>
    </w:p>
    <w:p>
      <w:r>
        <w:t>19 NIST subcategories assessed. Coverage distribution: Indirectly Supported 3, Not Addressed 5, Substantially Addressed 11.</w:t>
      </w:r>
    </w:p>
    <w:p>
      <w:r>
        <w:t>GAISSF provides substantial support through governance, accountability, inventory, supplier, incident, and lifecycle controls. Context-specific legal, workforce, and organizational culture outcomes may require supplementary implementation.</w:t>
      </w:r>
    </w:p>
    <w:p>
      <w:pPr>
        <w:pStyle w:val="Heading2"/>
      </w:pPr>
      <w:r>
        <w:t>MAP</w:t>
      </w:r>
    </w:p>
    <w:p>
      <w:r>
        <w:t>18 NIST subcategories assessed. Coverage distribution: Partially Addressed 3, Not Addressed 9, Substantially Addressed 4, Indirectly Supported 2.</w:t>
      </w:r>
    </w:p>
    <w:p>
      <w:r>
        <w:t>GAISSF supports context, threat, dependency, human-oversight, and impact analysis. Broader social, mission, benefit, cost, and affected-community mapping may extend beyond security-focused controls.</w:t>
      </w:r>
    </w:p>
    <w:p>
      <w:pPr>
        <w:pStyle w:val="Heading2"/>
      </w:pPr>
      <w:r>
        <w:t>MEASURE</w:t>
      </w:r>
    </w:p>
    <w:p>
      <w:r>
        <w:t>22 NIST subcategories assessed. Coverage distribution: Partially Addressed 4, Not Addressed 14, Substantially Addressed 4.</w:t>
      </w:r>
    </w:p>
    <w:p>
      <w:r>
        <w:t>GAISSF is comparatively detailed for adversarial testing, monitoring, drift, output integrity, safety, privacy, and assurance evidence. NIST-specific metric selection, independent TEVV, and contextual trustworthiness evaluation remain necessary.</w:t>
      </w:r>
    </w:p>
    <w:p>
      <w:pPr>
        <w:pStyle w:val="Heading2"/>
      </w:pPr>
      <w:r>
        <w:t>MANAGE</w:t>
      </w:r>
    </w:p>
    <w:p>
      <w:r>
        <w:t>13 NIST subcategories assessed. Coverage distribution: Not Addressed 7, Partially Addressed 1, Substantially Addressed 5.</w:t>
      </w:r>
    </w:p>
    <w:p>
      <w:r>
        <w:t>GAISSF strongly supports treatment, incident response, third-party risk, monitoring, and continuous improvement. Organizations must still determine priorities, resources, acceptance decisions, and residual-risk communication in context.</w:t>
      </w:r>
    </w:p>
    <w:p>
      <w:pPr>
        <w:pStyle w:val="Heading1"/>
      </w:pPr>
      <w:r>
        <w:t>5. Trustworthiness and Security Analysis</w:t>
      </w:r>
    </w:p>
    <w:p>
      <w:r>
        <w:t>GAISSF controls materially support valid and reliable, safe, secure and resilient, accountable and transparent, explainable and interpretable, privacy-enhanced, and fair-with-harmful-bias-managed outcomes. The mapping does not treat these characteristics as independent checkboxes; trade-offs and context remain necessary. GAISSF adds operational detail for adversarial robustness, prompt injection, model extraction, autonomous agents, supply-chain security, runtime monitoring, and incident response.</w:t>
      </w:r>
    </w:p>
    <w:p>
      <w:pPr>
        <w:pStyle w:val="Heading1"/>
      </w:pPr>
      <w:r>
        <w:t>6. Evidence Reuse Guidance</w:t>
      </w:r>
    </w:p>
    <w:tbl>
      <w:tblPr>
        <w:tblStyle w:val="TableGrid"/>
        <w:tblW w:type="auto" w:w="0"/>
        <w:jc w:val="center"/>
        <w:tblLook w:firstColumn="1" w:firstRow="1" w:lastColumn="0" w:lastRow="0" w:noHBand="0" w:noVBand="1" w:val="04A0"/>
      </w:tblPr>
      <w:tblGrid>
        <w:gridCol w:w="3408"/>
        <w:gridCol w:w="3408"/>
        <w:gridCol w:w="3408"/>
      </w:tblGrid>
      <w:tr>
        <w:tc>
          <w:tcPr>
            <w:tcW w:type="dxa" w:w="3408"/>
            <w:shd w:fill="163A5F"/>
            <w:vAlign w:val="center"/>
          </w:tcPr>
          <w:p>
            <w:r/>
            <w:r>
              <w:rPr>
                <w:b/>
                <w:color w:val="FFFFFF"/>
                <w:sz w:val="15"/>
              </w:rPr>
              <w:t>Evidence family</w:t>
            </w:r>
          </w:p>
        </w:tc>
        <w:tc>
          <w:tcPr>
            <w:tcW w:type="dxa" w:w="3408"/>
            <w:shd w:fill="163A5F"/>
            <w:vAlign w:val="center"/>
          </w:tcPr>
          <w:p>
            <w:r/>
            <w:r>
              <w:rPr>
                <w:b/>
                <w:color w:val="FFFFFF"/>
                <w:sz w:val="15"/>
              </w:rPr>
              <w:t>Potential reuse</w:t>
            </w:r>
          </w:p>
        </w:tc>
        <w:tc>
          <w:tcPr>
            <w:tcW w:type="dxa" w:w="3408"/>
            <w:shd w:fill="163A5F"/>
            <w:vAlign w:val="center"/>
          </w:tcPr>
          <w:p>
            <w:r/>
            <w:r>
              <w:rPr>
                <w:b/>
                <w:color w:val="FFFFFF"/>
                <w:sz w:val="15"/>
              </w:rPr>
              <w:t>Supplementary NIST context</w:t>
            </w:r>
          </w:p>
        </w:tc>
      </w:tr>
      <w:tr>
        <w:tc>
          <w:tcPr>
            <w:tcW w:type="dxa" w:w="3408"/>
            <w:vAlign w:val="center"/>
          </w:tcPr>
          <w:p>
            <w:r/>
            <w:r>
              <w:rPr>
                <w:b w:val="0"/>
                <w:sz w:val="14"/>
              </w:rPr>
              <w:t>AI inventory and scope records</w:t>
            </w:r>
          </w:p>
        </w:tc>
        <w:tc>
          <w:tcPr>
            <w:tcW w:type="dxa" w:w="3408"/>
            <w:vAlign w:val="center"/>
          </w:tcPr>
          <w:p>
            <w:r/>
            <w:r>
              <w:rPr>
                <w:b w:val="0"/>
                <w:sz w:val="14"/>
              </w:rPr>
              <w:t>GOVERN inventory, ownership, lifecycle</w:t>
            </w:r>
          </w:p>
        </w:tc>
        <w:tc>
          <w:tcPr>
            <w:tcW w:type="dxa" w:w="3408"/>
            <w:vAlign w:val="center"/>
          </w:tcPr>
          <w:p>
            <w:r/>
            <w:r>
              <w:rPr>
                <w:b w:val="0"/>
                <w:sz w:val="14"/>
              </w:rPr>
              <w:t>Mission, risk tolerance, and affected-party context</w:t>
            </w:r>
          </w:p>
        </w:tc>
      </w:tr>
      <w:tr>
        <w:tc>
          <w:tcPr>
            <w:tcW w:type="dxa" w:w="3408"/>
            <w:vAlign w:val="center"/>
            <w:shd w:fill="F5F7F9"/>
          </w:tcPr>
          <w:p>
            <w:r/>
            <w:r>
              <w:rPr>
                <w:b w:val="0"/>
                <w:sz w:val="14"/>
              </w:rPr>
              <w:t>Risk and impact assessments</w:t>
            </w:r>
          </w:p>
        </w:tc>
        <w:tc>
          <w:tcPr>
            <w:tcW w:type="dxa" w:w="3408"/>
            <w:vAlign w:val="center"/>
            <w:shd w:fill="F5F7F9"/>
          </w:tcPr>
          <w:p>
            <w:r/>
            <w:r>
              <w:rPr>
                <w:b w:val="0"/>
                <w:sz w:val="14"/>
              </w:rPr>
              <w:t>MAP and MANAGE decisions</w:t>
            </w:r>
          </w:p>
        </w:tc>
        <w:tc>
          <w:tcPr>
            <w:tcW w:type="dxa" w:w="3408"/>
            <w:vAlign w:val="center"/>
            <w:shd w:fill="F5F7F9"/>
          </w:tcPr>
          <w:p>
            <w:r/>
            <w:r>
              <w:rPr>
                <w:b w:val="0"/>
                <w:sz w:val="14"/>
              </w:rPr>
              <w:t>Benefits, non-monetary costs, likelihood and magnitude</w:t>
            </w:r>
          </w:p>
        </w:tc>
      </w:tr>
      <w:tr>
        <w:tc>
          <w:tcPr>
            <w:tcW w:type="dxa" w:w="3408"/>
            <w:vAlign w:val="center"/>
          </w:tcPr>
          <w:p>
            <w:r/>
            <w:r>
              <w:rPr>
                <w:b w:val="0"/>
                <w:sz w:val="14"/>
              </w:rPr>
              <w:t>Threat models and security tests</w:t>
            </w:r>
          </w:p>
        </w:tc>
        <w:tc>
          <w:tcPr>
            <w:tcW w:type="dxa" w:w="3408"/>
            <w:vAlign w:val="center"/>
          </w:tcPr>
          <w:p>
            <w:r/>
            <w:r>
              <w:rPr>
                <w:b w:val="0"/>
                <w:sz w:val="14"/>
              </w:rPr>
              <w:t>MEASURE security/resilience</w:t>
            </w:r>
          </w:p>
        </w:tc>
        <w:tc>
          <w:tcPr>
            <w:tcW w:type="dxa" w:w="3408"/>
            <w:vAlign w:val="center"/>
          </w:tcPr>
          <w:p>
            <w:r/>
            <w:r>
              <w:rPr>
                <w:b w:val="0"/>
                <w:sz w:val="14"/>
              </w:rPr>
              <w:t>Metric appropriateness and independent review</w:t>
            </w:r>
          </w:p>
        </w:tc>
      </w:tr>
      <w:tr>
        <w:tc>
          <w:tcPr>
            <w:tcW w:type="dxa" w:w="3408"/>
            <w:vAlign w:val="center"/>
            <w:shd w:fill="F5F7F9"/>
          </w:tcPr>
          <w:p>
            <w:r/>
            <w:r>
              <w:rPr>
                <w:b w:val="0"/>
                <w:sz w:val="14"/>
              </w:rPr>
              <w:t>Model/data documentation</w:t>
            </w:r>
          </w:p>
        </w:tc>
        <w:tc>
          <w:tcPr>
            <w:tcW w:type="dxa" w:w="3408"/>
            <w:vAlign w:val="center"/>
            <w:shd w:fill="F5F7F9"/>
          </w:tcPr>
          <w:p>
            <w:r/>
            <w:r>
              <w:rPr>
                <w:b w:val="0"/>
                <w:sz w:val="14"/>
              </w:rPr>
              <w:t>MAP knowledge limits; MEASURE transparency</w:t>
            </w:r>
          </w:p>
        </w:tc>
        <w:tc>
          <w:tcPr>
            <w:tcW w:type="dxa" w:w="3408"/>
            <w:vAlign w:val="center"/>
            <w:shd w:fill="F5F7F9"/>
          </w:tcPr>
          <w:p>
            <w:r/>
            <w:r>
              <w:rPr>
                <w:b w:val="0"/>
                <w:sz w:val="14"/>
              </w:rPr>
              <w:t>Use-context limitations and affected-party communication</w:t>
            </w:r>
          </w:p>
        </w:tc>
      </w:tr>
      <w:tr>
        <w:tc>
          <w:tcPr>
            <w:tcW w:type="dxa" w:w="3408"/>
            <w:vAlign w:val="center"/>
          </w:tcPr>
          <w:p>
            <w:r/>
            <w:r>
              <w:rPr>
                <w:b w:val="0"/>
                <w:sz w:val="14"/>
              </w:rPr>
              <w:t>Monitoring and incident records</w:t>
            </w:r>
          </w:p>
        </w:tc>
        <w:tc>
          <w:tcPr>
            <w:tcW w:type="dxa" w:w="3408"/>
            <w:vAlign w:val="center"/>
          </w:tcPr>
          <w:p>
            <w:r/>
            <w:r>
              <w:rPr>
                <w:b w:val="0"/>
                <w:sz w:val="14"/>
              </w:rPr>
              <w:t>MEASURE/MANAGE tracking and response</w:t>
            </w:r>
          </w:p>
        </w:tc>
        <w:tc>
          <w:tcPr>
            <w:tcW w:type="dxa" w:w="3408"/>
            <w:vAlign w:val="center"/>
          </w:tcPr>
          <w:p>
            <w:r/>
            <w:r>
              <w:rPr>
                <w:b w:val="0"/>
                <w:sz w:val="14"/>
              </w:rPr>
              <w:t>Risk prioritization, residual risk, and stakeholder reporting</w:t>
            </w:r>
          </w:p>
        </w:tc>
      </w:tr>
      <w:tr>
        <w:tc>
          <w:tcPr>
            <w:tcW w:type="dxa" w:w="3408"/>
            <w:vAlign w:val="center"/>
            <w:shd w:fill="F5F7F9"/>
          </w:tcPr>
          <w:p>
            <w:r/>
            <w:r>
              <w:rPr>
                <w:b w:val="0"/>
                <w:sz w:val="14"/>
              </w:rPr>
              <w:t>Supplier assessments and AI BOMs</w:t>
            </w:r>
          </w:p>
        </w:tc>
        <w:tc>
          <w:tcPr>
            <w:tcW w:type="dxa" w:w="3408"/>
            <w:vAlign w:val="center"/>
            <w:shd w:fill="F5F7F9"/>
          </w:tcPr>
          <w:p>
            <w:r/>
            <w:r>
              <w:rPr>
                <w:b w:val="0"/>
                <w:sz w:val="14"/>
              </w:rPr>
              <w:t>GOVERN/MAP/MANAGE third-party outcomes</w:t>
            </w:r>
          </w:p>
        </w:tc>
        <w:tc>
          <w:tcPr>
            <w:tcW w:type="dxa" w:w="3408"/>
            <w:vAlign w:val="center"/>
            <w:shd w:fill="F5F7F9"/>
          </w:tcPr>
          <w:p>
            <w:r/>
            <w:r>
              <w:rPr>
                <w:b w:val="0"/>
                <w:sz w:val="14"/>
              </w:rPr>
              <w:t>Contractual responsibilities and downstream use context</w:t>
            </w:r>
          </w:p>
        </w:tc>
      </w:tr>
    </w:tbl>
    <w:p>
      <w:pPr>
        <w:pStyle w:val="Heading1"/>
      </w:pPr>
      <w:r>
        <w:t>7. Limitations</w:t>
      </w:r>
    </w:p>
    <w:p>
      <w:pPr>
        <w:pStyle w:val="ListBullet"/>
      </w:pPr>
      <w:r>
        <w:t>The AI RMF is voluntary, rights-preserving, non-sector-specific, and use-case agnostic.</w:t>
      </w:r>
    </w:p>
    <w:p>
      <w:pPr>
        <w:pStyle w:val="ListBullet"/>
      </w:pPr>
      <w:r>
        <w:t>Mapping is interpretive and does not prove control implementation or effectiveness.</w:t>
      </w:r>
    </w:p>
    <w:p>
      <w:pPr>
        <w:pStyle w:val="ListBullet"/>
      </w:pPr>
      <w:r>
        <w:t>GAISSF conformance does not automatically demonstrate every NIST AI RMF outcome.</w:t>
      </w:r>
    </w:p>
    <w:p>
      <w:pPr>
        <w:pStyle w:val="ListBullet"/>
      </w:pPr>
      <w:r>
        <w:t>NIST Profiles are contextual; Current and Target Profiles require organizational decisions.</w:t>
      </w:r>
    </w:p>
    <w:p>
      <w:pPr>
        <w:pStyle w:val="ListBullet"/>
      </w:pPr>
      <w:r>
        <w:t>The mapping must be revalidated when either baseline changes.</w:t>
      </w:r>
    </w:p>
    <w:p>
      <w:pPr>
        <w:pStyle w:val="ListBullet"/>
      </w:pPr>
      <w:r>
        <w:t>The Playbook is supplementary guidance, not a set of additional mandatory requirements.</w:t>
      </w:r>
    </w:p>
    <w:p>
      <w:pPr>
        <w:pStyle w:val="Heading1"/>
      </w:pPr>
      <w:r>
        <w:t>8. Conclusions</w:t>
      </w:r>
    </w:p>
    <w:p>
      <w:r>
        <w:t>GAISSF v1.0 supplies a substantial operational and evidence-oriented foundation for many NIST AI RMF outcomes, particularly security, resilience, monitoring, third-party risk, incident response, and lifecycle assurance. Material differences remain in abstraction, organizational context, social impact framing, risk tolerance, benefit/cost analysis, and profile-specific implementation. CRO-022 should therefore be used for planning and traceability—not as a declaration of NIST compliance or equivalence.</w:t>
      </w:r>
    </w:p>
    <w:p>
      <w:pPr>
        <w:sectPr>
          <w:headerReference w:type="default" r:id="rId9"/>
          <w:footerReference w:type="default" r:id="rId10"/>
          <w:pgSz w:w="12240" w:h="15840"/>
          <w:pgMar w:top="936" w:right="1008" w:bottom="936" w:left="1008" w:header="720" w:footer="720" w:gutter="0"/>
          <w:cols w:space="720"/>
          <w:docGrid w:linePitch="360"/>
        </w:sectPr>
      </w:pPr>
    </w:p>
    <w:p>
      <w:pPr>
        <w:pStyle w:val="Heading1"/>
      </w:pPr>
      <w:r>
        <w:t>Annex A — GAISSF-to-NIST Mapping Register</w:t>
      </w:r>
    </w:p>
    <w:tbl>
      <w:tblPr>
        <w:tblStyle w:val="TableGrid"/>
        <w:tblW w:type="auto" w:w="0"/>
        <w:jc w:val="center"/>
        <w:tblLook w:firstColumn="1" w:firstRow="1" w:lastColumn="0" w:lastRow="0" w:noHBand="0" w:noVBand="1" w:val="04A0"/>
      </w:tblPr>
      <w:tblGrid>
        <w:gridCol w:w="1818"/>
        <w:gridCol w:w="1818"/>
        <w:gridCol w:w="1818"/>
        <w:gridCol w:w="1818"/>
        <w:gridCol w:w="1818"/>
        <w:gridCol w:w="1818"/>
        <w:gridCol w:w="1818"/>
        <w:gridCol w:w="1818"/>
      </w:tblGrid>
      <w:tr>
        <w:tc>
          <w:tcPr>
            <w:tcW w:type="dxa" w:w="1818"/>
            <w:shd w:fill="163A5F"/>
            <w:vAlign w:val="center"/>
          </w:tcPr>
          <w:p>
            <w:r/>
            <w:r>
              <w:rPr>
                <w:b/>
                <w:color w:val="FFFFFF"/>
                <w:sz w:val="15"/>
              </w:rPr>
              <w:t>Record</w:t>
            </w:r>
          </w:p>
        </w:tc>
        <w:tc>
          <w:tcPr>
            <w:tcW w:type="dxa" w:w="1818"/>
            <w:shd w:fill="163A5F"/>
            <w:vAlign w:val="center"/>
          </w:tcPr>
          <w:p>
            <w:r/>
            <w:r>
              <w:rPr>
                <w:b/>
                <w:color w:val="FFFFFF"/>
                <w:sz w:val="15"/>
              </w:rPr>
              <w:t>GAISSF control</w:t>
            </w:r>
          </w:p>
        </w:tc>
        <w:tc>
          <w:tcPr>
            <w:tcW w:type="dxa" w:w="1818"/>
            <w:shd w:fill="163A5F"/>
            <w:vAlign w:val="center"/>
          </w:tcPr>
          <w:p>
            <w:r/>
            <w:r>
              <w:rPr>
                <w:b/>
                <w:color w:val="FFFFFF"/>
                <w:sz w:val="15"/>
              </w:rPr>
              <w:t>Title</w:t>
            </w:r>
          </w:p>
        </w:tc>
        <w:tc>
          <w:tcPr>
            <w:tcW w:type="dxa" w:w="1818"/>
            <w:shd w:fill="163A5F"/>
            <w:vAlign w:val="center"/>
          </w:tcPr>
          <w:p>
            <w:r/>
            <w:r>
              <w:rPr>
                <w:b/>
                <w:color w:val="FFFFFF"/>
                <w:sz w:val="15"/>
              </w:rPr>
              <w:t>NIST subcategory</w:t>
            </w:r>
          </w:p>
        </w:tc>
        <w:tc>
          <w:tcPr>
            <w:tcW w:type="dxa" w:w="1818"/>
            <w:shd w:fill="163A5F"/>
            <w:vAlign w:val="center"/>
          </w:tcPr>
          <w:p>
            <w:r/>
            <w:r>
              <w:rPr>
                <w:b/>
                <w:color w:val="FFFFFF"/>
                <w:sz w:val="15"/>
              </w:rPr>
              <w:t>Rel.</w:t>
            </w:r>
          </w:p>
        </w:tc>
        <w:tc>
          <w:tcPr>
            <w:tcW w:type="dxa" w:w="1818"/>
            <w:shd w:fill="163A5F"/>
            <w:vAlign w:val="center"/>
          </w:tcPr>
          <w:p>
            <w:r/>
            <w:r>
              <w:rPr>
                <w:b/>
                <w:color w:val="FFFFFF"/>
                <w:sz w:val="15"/>
              </w:rPr>
              <w:t>Confidence</w:t>
            </w:r>
          </w:p>
        </w:tc>
        <w:tc>
          <w:tcPr>
            <w:tcW w:type="dxa" w:w="1818"/>
            <w:shd w:fill="163A5F"/>
            <w:vAlign w:val="center"/>
          </w:tcPr>
          <w:p>
            <w:r/>
            <w:r>
              <w:rPr>
                <w:b/>
                <w:color w:val="FFFFFF"/>
                <w:sz w:val="15"/>
              </w:rPr>
              <w:t>Rationale</w:t>
            </w:r>
          </w:p>
        </w:tc>
        <w:tc>
          <w:tcPr>
            <w:tcW w:type="dxa" w:w="1818"/>
            <w:shd w:fill="163A5F"/>
            <w:vAlign w:val="center"/>
          </w:tcPr>
          <w:p>
            <w:r/>
            <w:r>
              <w:rPr>
                <w:b/>
                <w:color w:val="FFFFFF"/>
                <w:sz w:val="15"/>
              </w:rPr>
              <w:t>Residual gap</w:t>
            </w:r>
          </w:p>
        </w:tc>
      </w:tr>
      <w:tr>
        <w:tc>
          <w:tcPr>
            <w:tcW w:type="dxa" w:w="1818"/>
            <w:vAlign w:val="center"/>
          </w:tcPr>
          <w:p>
            <w:r/>
            <w:r>
              <w:rPr>
                <w:b w:val="0"/>
                <w:sz w:val="12"/>
              </w:rPr>
              <w:t>CRO022-M-001</w:t>
            </w:r>
          </w:p>
        </w:tc>
        <w:tc>
          <w:tcPr>
            <w:tcW w:type="dxa" w:w="1818"/>
            <w:vAlign w:val="center"/>
          </w:tcPr>
          <w:p>
            <w:r/>
            <w:r>
              <w:rPr>
                <w:b w:val="0"/>
                <w:sz w:val="12"/>
              </w:rPr>
              <w:t>D1-CTL-01</w:t>
            </w:r>
          </w:p>
        </w:tc>
        <w:tc>
          <w:tcPr>
            <w:tcW w:type="dxa" w:w="1818"/>
            <w:vAlign w:val="center"/>
          </w:tcPr>
          <w:p>
            <w:r/>
            <w:r>
              <w:rPr>
                <w:b w:val="0"/>
                <w:sz w:val="12"/>
              </w:rPr>
              <w:t>Dataset Provenance &amp; Poisoning Prevention</w:t>
            </w:r>
          </w:p>
        </w:tc>
        <w:tc>
          <w:tcPr>
            <w:tcW w:type="dxa" w:w="1818"/>
            <w:vAlign w:val="center"/>
          </w:tcPr>
          <w:p>
            <w:r/>
            <w:r>
              <w:rPr>
                <w:b w:val="0"/>
                <w:sz w:val="12"/>
              </w:rPr>
              <w:t>MEASURE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D1-CTL-01 addresses dataset provenance &amp; poisoning prevention through Hash verification + source allowlist + poisoning detection..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CRO022-M-002</w:t>
            </w:r>
          </w:p>
        </w:tc>
        <w:tc>
          <w:tcPr>
            <w:tcW w:type="dxa" w:w="1818"/>
            <w:vAlign w:val="center"/>
            <w:shd w:fill="F5F7F9"/>
          </w:tcPr>
          <w:p>
            <w:r/>
            <w:r>
              <w:rPr>
                <w:b w:val="0"/>
                <w:sz w:val="12"/>
              </w:rPr>
              <w:t>D1-CTL-01</w:t>
            </w:r>
          </w:p>
        </w:tc>
        <w:tc>
          <w:tcPr>
            <w:tcW w:type="dxa" w:w="1818"/>
            <w:vAlign w:val="center"/>
            <w:shd w:fill="F5F7F9"/>
          </w:tcPr>
          <w:p>
            <w:r/>
            <w:r>
              <w:rPr>
                <w:b w:val="0"/>
                <w:sz w:val="12"/>
              </w:rPr>
              <w:t>Dataset Provenance &amp; Poisoning Prevention</w:t>
            </w:r>
          </w:p>
        </w:tc>
        <w:tc>
          <w:tcPr>
            <w:tcW w:type="dxa" w:w="1818"/>
            <w:vAlign w:val="center"/>
            <w:shd w:fill="F5F7F9"/>
          </w:tcPr>
          <w:p>
            <w:r/>
            <w:r>
              <w:rPr>
                <w:b w:val="0"/>
                <w:sz w:val="12"/>
              </w:rPr>
              <w:t>GOVERN 6.2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D1-CTL-01 addresses dataset provenance &amp; poisoning prevention through Hash verification + source allowlist + poisoning detection..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CRO022-M-003</w:t>
            </w:r>
          </w:p>
        </w:tc>
        <w:tc>
          <w:tcPr>
            <w:tcW w:type="dxa" w:w="1818"/>
            <w:vAlign w:val="center"/>
          </w:tcPr>
          <w:p>
            <w:r/>
            <w:r>
              <w:rPr>
                <w:b w:val="0"/>
                <w:sz w:val="12"/>
              </w:rPr>
              <w:t>D1-CTL-01</w:t>
            </w:r>
          </w:p>
        </w:tc>
        <w:tc>
          <w:tcPr>
            <w:tcW w:type="dxa" w:w="1818"/>
            <w:vAlign w:val="center"/>
          </w:tcPr>
          <w:p>
            <w:r/>
            <w:r>
              <w:rPr>
                <w:b w:val="0"/>
                <w:sz w:val="12"/>
              </w:rPr>
              <w:t>Dataset Provenance &amp; Poisoning Prevention</w:t>
            </w:r>
          </w:p>
        </w:tc>
        <w:tc>
          <w:tcPr>
            <w:tcW w:type="dxa" w:w="1818"/>
            <w:vAlign w:val="center"/>
          </w:tcPr>
          <w:p>
            <w:r/>
            <w:r>
              <w:rPr>
                <w:b w:val="0"/>
                <w:sz w:val="12"/>
              </w:rPr>
              <w:t>MANAGE 2.4</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D1-CTL-01 addresses dataset provenance &amp; poisoning prevention through Hash verification + source allowlist + poisoning detection.. This supports the NIST outcome concerning mechanisms are in place and applied, and respon- sibilities are assigned and understood, to supersede, disengage, or deactivate ai systems that demonstrate performance or outcomes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CRO022-M-004</w:t>
            </w:r>
          </w:p>
        </w:tc>
        <w:tc>
          <w:tcPr>
            <w:tcW w:type="dxa" w:w="1818"/>
            <w:vAlign w:val="center"/>
            <w:shd w:fill="F5F7F9"/>
          </w:tcPr>
          <w:p>
            <w:r/>
            <w:r>
              <w:rPr>
                <w:b w:val="0"/>
                <w:sz w:val="12"/>
              </w:rPr>
              <w:t>D1-CTL-02</w:t>
            </w:r>
          </w:p>
        </w:tc>
        <w:tc>
          <w:tcPr>
            <w:tcW w:type="dxa" w:w="1818"/>
            <w:vAlign w:val="center"/>
            <w:shd w:fill="F5F7F9"/>
          </w:tcPr>
          <w:p>
            <w:r/>
            <w:r>
              <w:rPr>
                <w:b w:val="0"/>
                <w:sz w:val="12"/>
              </w:rPr>
              <w:t>Model Extraction Resistance</w:t>
            </w:r>
          </w:p>
        </w:tc>
        <w:tc>
          <w:tcPr>
            <w:tcW w:type="dxa" w:w="1818"/>
            <w:vAlign w:val="center"/>
            <w:shd w:fill="F5F7F9"/>
          </w:tcPr>
          <w:p>
            <w:r/>
            <w:r>
              <w:rPr>
                <w:b w:val="0"/>
                <w:sz w:val="12"/>
              </w:rPr>
              <w:t>MAP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D1-CTL-02 addresses model extraction resistance through Rate limiting + diversity detection + extraction monitoring..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CRO022-M-005</w:t>
            </w:r>
          </w:p>
        </w:tc>
        <w:tc>
          <w:tcPr>
            <w:tcW w:type="dxa" w:w="1818"/>
            <w:vAlign w:val="center"/>
          </w:tcPr>
          <w:p>
            <w:r/>
            <w:r>
              <w:rPr>
                <w:b w:val="0"/>
                <w:sz w:val="12"/>
              </w:rPr>
              <w:t>D1-CTL-02</w:t>
            </w:r>
          </w:p>
        </w:tc>
        <w:tc>
          <w:tcPr>
            <w:tcW w:type="dxa" w:w="1818"/>
            <w:vAlign w:val="center"/>
          </w:tcPr>
          <w:p>
            <w:r/>
            <w:r>
              <w:rPr>
                <w:b w:val="0"/>
                <w:sz w:val="12"/>
              </w:rPr>
              <w:t>Model Extraction Resistance</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D1-CTL-02 addresses model extraction resistance through Rate limiting + diversity detection + extraction monitoring..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CRO022-M-006</w:t>
            </w:r>
          </w:p>
        </w:tc>
        <w:tc>
          <w:tcPr>
            <w:tcW w:type="dxa" w:w="1818"/>
            <w:vAlign w:val="center"/>
            <w:shd w:fill="F5F7F9"/>
          </w:tcPr>
          <w:p>
            <w:r/>
            <w:r>
              <w:rPr>
                <w:b w:val="0"/>
                <w:sz w:val="12"/>
              </w:rPr>
              <w:t>D1-CTL-02</w:t>
            </w:r>
          </w:p>
        </w:tc>
        <w:tc>
          <w:tcPr>
            <w:tcW w:type="dxa" w:w="1818"/>
            <w:vAlign w:val="center"/>
            <w:shd w:fill="F5F7F9"/>
          </w:tcPr>
          <w:p>
            <w:r/>
            <w:r>
              <w:rPr>
                <w:b w:val="0"/>
                <w:sz w:val="12"/>
              </w:rPr>
              <w:t>Model Extraction Resistance</w:t>
            </w:r>
          </w:p>
        </w:tc>
        <w:tc>
          <w:tcPr>
            <w:tcW w:type="dxa" w:w="1818"/>
            <w:vAlign w:val="center"/>
            <w:shd w:fill="F5F7F9"/>
          </w:tcPr>
          <w:p>
            <w:r/>
            <w:r>
              <w:rPr>
                <w:b w:val="0"/>
                <w:sz w:val="12"/>
              </w:rPr>
              <w:t>MANAGE 3.2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D1-CTL-02 addresses model extraction resistance through Rate limiting + diversity detection + extraction monitoring.. This supports the NIST outcome concerning pre-trained models which are used for develop- ment are monitored as part of ai system regular monitoring and maintenance. categories subcategories continued on next page nist ai 1.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CRO022-M-007</w:t>
            </w:r>
          </w:p>
        </w:tc>
        <w:tc>
          <w:tcPr>
            <w:tcW w:type="dxa" w:w="1818"/>
            <w:vAlign w:val="center"/>
          </w:tcPr>
          <w:p>
            <w:r/>
            <w:r>
              <w:rPr>
                <w:b w:val="0"/>
                <w:sz w:val="12"/>
              </w:rPr>
              <w:t>D1-CTL-03</w:t>
            </w:r>
          </w:p>
        </w:tc>
        <w:tc>
          <w:tcPr>
            <w:tcW w:type="dxa" w:w="1818"/>
            <w:vAlign w:val="center"/>
          </w:tcPr>
          <w:p>
            <w:r/>
            <w:r>
              <w:rPr>
                <w:b w:val="0"/>
                <w:sz w:val="12"/>
              </w:rPr>
              <w:t>Behavioral Drift Detection</w:t>
            </w:r>
          </w:p>
        </w:tc>
        <w:tc>
          <w:tcPr>
            <w:tcW w:type="dxa" w:w="1818"/>
            <w:vAlign w:val="center"/>
          </w:tcPr>
          <w:p>
            <w:r/>
            <w:r>
              <w:rPr>
                <w:b w:val="0"/>
                <w:sz w:val="12"/>
              </w:rPr>
              <w:t>MANAGE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D1-CTL-03 addresses behavioral drift detection through Baseline profiling + KL divergence monitoring + accuracy tracking..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CRO022-M-008</w:t>
            </w:r>
          </w:p>
        </w:tc>
        <w:tc>
          <w:tcPr>
            <w:tcW w:type="dxa" w:w="1818"/>
            <w:vAlign w:val="center"/>
            <w:shd w:fill="F5F7F9"/>
          </w:tcPr>
          <w:p>
            <w:r/>
            <w:r>
              <w:rPr>
                <w:b w:val="0"/>
                <w:sz w:val="12"/>
              </w:rPr>
              <w:t>D1-CTL-03</w:t>
            </w:r>
          </w:p>
        </w:tc>
        <w:tc>
          <w:tcPr>
            <w:tcW w:type="dxa" w:w="1818"/>
            <w:vAlign w:val="center"/>
            <w:shd w:fill="F5F7F9"/>
          </w:tcPr>
          <w:p>
            <w:r/>
            <w:r>
              <w:rPr>
                <w:b w:val="0"/>
                <w:sz w:val="12"/>
              </w:rPr>
              <w:t>Behavioral Drift Detection</w:t>
            </w:r>
          </w:p>
        </w:tc>
        <w:tc>
          <w:tcPr>
            <w:tcW w:type="dxa" w:w="1818"/>
            <w:vAlign w:val="center"/>
            <w:shd w:fill="F5F7F9"/>
          </w:tcPr>
          <w:p>
            <w:r/>
            <w:r>
              <w:rPr>
                <w:b w:val="0"/>
                <w:sz w:val="12"/>
              </w:rPr>
              <w:t>MANAGE 3.2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D1-CTL-03 addresses behavioral drift detection through Baseline profiling + KL divergence monitoring + accuracy tracking.. This supports the NIST outcome concerning pre-trained models which are used for develop- ment are monitored as part of ai system regular monitoring and maintenance. categories subcategories continued on next page nist ai 1.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CRO022-M-009</w:t>
            </w:r>
          </w:p>
        </w:tc>
        <w:tc>
          <w:tcPr>
            <w:tcW w:type="dxa" w:w="1818"/>
            <w:vAlign w:val="center"/>
          </w:tcPr>
          <w:p>
            <w:r/>
            <w:r>
              <w:rPr>
                <w:b w:val="0"/>
                <w:sz w:val="12"/>
              </w:rPr>
              <w:t>D1-CTL-03</w:t>
            </w:r>
          </w:p>
        </w:tc>
        <w:tc>
          <w:tcPr>
            <w:tcW w:type="dxa" w:w="1818"/>
            <w:vAlign w:val="center"/>
          </w:tcPr>
          <w:p>
            <w:r/>
            <w:r>
              <w:rPr>
                <w:b w:val="0"/>
                <w:sz w:val="12"/>
              </w:rPr>
              <w:t>Behavioral Drift Detection</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D1-CTL-03 addresses behavioral drift detection through Baseline profiling + KL divergence monitoring + accuracy tracking..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CRO022-M-010</w:t>
            </w:r>
          </w:p>
        </w:tc>
        <w:tc>
          <w:tcPr>
            <w:tcW w:type="dxa" w:w="1818"/>
            <w:vAlign w:val="center"/>
            <w:shd w:fill="F5F7F9"/>
          </w:tcPr>
          <w:p>
            <w:r/>
            <w:r>
              <w:rPr>
                <w:b w:val="0"/>
                <w:sz w:val="12"/>
              </w:rPr>
              <w:t>D1-CTL-04</w:t>
            </w:r>
          </w:p>
        </w:tc>
        <w:tc>
          <w:tcPr>
            <w:tcW w:type="dxa" w:w="1818"/>
            <w:vAlign w:val="center"/>
            <w:shd w:fill="F5F7F9"/>
          </w:tcPr>
          <w:p>
            <w:r/>
            <w:r>
              <w:rPr>
                <w:b w:val="0"/>
                <w:sz w:val="12"/>
              </w:rPr>
              <w:t>Federated Learning Poisoning Prevention</w:t>
            </w:r>
          </w:p>
        </w:tc>
        <w:tc>
          <w:tcPr>
            <w:tcW w:type="dxa" w:w="1818"/>
            <w:vAlign w:val="center"/>
            <w:shd w:fill="F5F7F9"/>
          </w:tcPr>
          <w:p>
            <w:r/>
            <w:r>
              <w:rPr>
                <w:b w:val="0"/>
                <w:sz w:val="12"/>
              </w:rPr>
              <w:t>MEASURE 2.1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D1-CTL-04 addresses federated learning poisoning prevention through Gradient anomaly detection + robust aggregation.. This supports the NIST outcome concerning test sets, metrics, and details about the tools used during tevv are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CRO022-M-011</w:t>
            </w:r>
          </w:p>
        </w:tc>
        <w:tc>
          <w:tcPr>
            <w:tcW w:type="dxa" w:w="1818"/>
            <w:vAlign w:val="center"/>
          </w:tcPr>
          <w:p>
            <w:r/>
            <w:r>
              <w:rPr>
                <w:b w:val="0"/>
                <w:sz w:val="12"/>
              </w:rPr>
              <w:t>D1-CTL-04</w:t>
            </w:r>
          </w:p>
        </w:tc>
        <w:tc>
          <w:tcPr>
            <w:tcW w:type="dxa" w:w="1818"/>
            <w:vAlign w:val="center"/>
          </w:tcPr>
          <w:p>
            <w:r/>
            <w:r>
              <w:rPr>
                <w:b w:val="0"/>
                <w:sz w:val="12"/>
              </w:rPr>
              <w:t>Federated Learning Poisoning Prevention</w:t>
            </w:r>
          </w:p>
        </w:tc>
        <w:tc>
          <w:tcPr>
            <w:tcW w:type="dxa" w:w="1818"/>
            <w:vAlign w:val="center"/>
          </w:tcPr>
          <w:p>
            <w:r/>
            <w:r>
              <w:rPr>
                <w:b w:val="0"/>
                <w:sz w:val="12"/>
              </w:rPr>
              <w:t>MEASURE 2.7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D1-CTL-04 addresses federated learning poisoning prevention through Gradient anomaly detection + robust aggregation..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CRO022-M-012</w:t>
            </w:r>
          </w:p>
        </w:tc>
        <w:tc>
          <w:tcPr>
            <w:tcW w:type="dxa" w:w="1818"/>
            <w:vAlign w:val="center"/>
            <w:shd w:fill="F5F7F9"/>
          </w:tcPr>
          <w:p>
            <w:r/>
            <w:r>
              <w:rPr>
                <w:b w:val="0"/>
                <w:sz w:val="12"/>
              </w:rPr>
              <w:t>D1-CTL-04</w:t>
            </w:r>
          </w:p>
        </w:tc>
        <w:tc>
          <w:tcPr>
            <w:tcW w:type="dxa" w:w="1818"/>
            <w:vAlign w:val="center"/>
            <w:shd w:fill="F5F7F9"/>
          </w:tcPr>
          <w:p>
            <w:r/>
            <w:r>
              <w:rPr>
                <w:b w:val="0"/>
                <w:sz w:val="12"/>
              </w:rPr>
              <w:t>Federated Learning Poisoning Prevention</w:t>
            </w:r>
          </w:p>
        </w:tc>
        <w:tc>
          <w:tcPr>
            <w:tcW w:type="dxa" w:w="1818"/>
            <w:vAlign w:val="center"/>
            <w:shd w:fill="F5F7F9"/>
          </w:tcPr>
          <w:p>
            <w:r/>
            <w:r>
              <w:rPr>
                <w:b w:val="0"/>
                <w:sz w:val="12"/>
              </w:rPr>
              <w:t>MEASURE 4.3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D1-CTL-04 addresses federated learning poisoning prevention through Gradient anomaly detection + robust aggregation..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CRO022-M-013</w:t>
            </w:r>
          </w:p>
        </w:tc>
        <w:tc>
          <w:tcPr>
            <w:tcW w:type="dxa" w:w="1818"/>
            <w:vAlign w:val="center"/>
          </w:tcPr>
          <w:p>
            <w:r/>
            <w:r>
              <w:rPr>
                <w:b w:val="0"/>
                <w:sz w:val="12"/>
              </w:rPr>
              <w:t>D1-CTL-05</w:t>
            </w:r>
          </w:p>
        </w:tc>
        <w:tc>
          <w:tcPr>
            <w:tcW w:type="dxa" w:w="1818"/>
            <w:vAlign w:val="center"/>
          </w:tcPr>
          <w:p>
            <w:r/>
            <w:r>
              <w:rPr>
                <w:b w:val="0"/>
                <w:sz w:val="12"/>
              </w:rPr>
              <w:t>Embedding Space Robustness</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D1-CTL-05 addresses embedding space robustness through Adversarial training + certified robustness measurement..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CRO022-M-014</w:t>
            </w:r>
          </w:p>
        </w:tc>
        <w:tc>
          <w:tcPr>
            <w:tcW w:type="dxa" w:w="1818"/>
            <w:vAlign w:val="center"/>
            <w:shd w:fill="F5F7F9"/>
          </w:tcPr>
          <w:p>
            <w:r/>
            <w:r>
              <w:rPr>
                <w:b w:val="0"/>
                <w:sz w:val="12"/>
              </w:rPr>
              <w:t>D1-CTL-05</w:t>
            </w:r>
          </w:p>
        </w:tc>
        <w:tc>
          <w:tcPr>
            <w:tcW w:type="dxa" w:w="1818"/>
            <w:vAlign w:val="center"/>
            <w:shd w:fill="F5F7F9"/>
          </w:tcPr>
          <w:p>
            <w:r/>
            <w:r>
              <w:rPr>
                <w:b w:val="0"/>
                <w:sz w:val="12"/>
              </w:rPr>
              <w:t>Embedding Space Robustness</w:t>
            </w:r>
          </w:p>
        </w:tc>
        <w:tc>
          <w:tcPr>
            <w:tcW w:type="dxa" w:w="1818"/>
            <w:vAlign w:val="center"/>
            <w:shd w:fill="F5F7F9"/>
          </w:tcPr>
          <w:p>
            <w:r/>
            <w:r>
              <w:rPr>
                <w:b w:val="0"/>
                <w:sz w:val="12"/>
              </w:rPr>
              <w:t>MAP 5.1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D1-CTL-05 addresses embedding space robustness through Adversarial training + certified robustness measurement.. This supports the NIST outcome concerning likelihood and magnitude of each identified impact (both potentially beneficial and harmful) based on expected use, past uses of ai systems in similar contexts, public incident re-.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CRO022-M-015</w:t>
            </w:r>
          </w:p>
        </w:tc>
        <w:tc>
          <w:tcPr>
            <w:tcW w:type="dxa" w:w="1818"/>
            <w:vAlign w:val="center"/>
          </w:tcPr>
          <w:p>
            <w:r/>
            <w:r>
              <w:rPr>
                <w:b w:val="0"/>
                <w:sz w:val="12"/>
              </w:rPr>
              <w:t>D1-CTL-05</w:t>
            </w:r>
          </w:p>
        </w:tc>
        <w:tc>
          <w:tcPr>
            <w:tcW w:type="dxa" w:w="1818"/>
            <w:vAlign w:val="center"/>
          </w:tcPr>
          <w:p>
            <w:r/>
            <w:r>
              <w:rPr>
                <w:b w:val="0"/>
                <w:sz w:val="12"/>
              </w:rPr>
              <w:t>Embedding Space Robustness</w:t>
            </w:r>
          </w:p>
        </w:tc>
        <w:tc>
          <w:tcPr>
            <w:tcW w:type="dxa" w:w="1818"/>
            <w:vAlign w:val="center"/>
          </w:tcPr>
          <w:p>
            <w:r/>
            <w:r>
              <w:rPr>
                <w:b w:val="0"/>
                <w:sz w:val="12"/>
              </w:rPr>
              <w:t>GOVERN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D1-CTL-05 addresses embedding space robustness through Adversarial training + certified robustness measurement..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CRO022-M-016</w:t>
            </w:r>
          </w:p>
        </w:tc>
        <w:tc>
          <w:tcPr>
            <w:tcW w:type="dxa" w:w="1818"/>
            <w:vAlign w:val="center"/>
            <w:shd w:fill="F5F7F9"/>
          </w:tcPr>
          <w:p>
            <w:r/>
            <w:r>
              <w:rPr>
                <w:b w:val="0"/>
                <w:sz w:val="12"/>
              </w:rPr>
              <w:t>D1-CTL-06</w:t>
            </w:r>
          </w:p>
        </w:tc>
        <w:tc>
          <w:tcPr>
            <w:tcW w:type="dxa" w:w="1818"/>
            <w:vAlign w:val="center"/>
            <w:shd w:fill="F5F7F9"/>
          </w:tcPr>
          <w:p>
            <w:r/>
            <w:r>
              <w:rPr>
                <w:b w:val="0"/>
                <w:sz w:val="12"/>
              </w:rPr>
              <w:t>Post-Quantum Model Signing &amp; Crypto Hardening</w:t>
            </w:r>
          </w:p>
        </w:tc>
        <w:tc>
          <w:tcPr>
            <w:tcW w:type="dxa" w:w="1818"/>
            <w:vAlign w:val="center"/>
            <w:shd w:fill="F5F7F9"/>
          </w:tcPr>
          <w:p>
            <w:r/>
            <w:r>
              <w:rPr>
                <w:b w:val="0"/>
                <w:sz w:val="12"/>
              </w:rPr>
              <w:t>MEASURE 2.1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D1-CTL-06 addresses post-quantum model signing &amp; crypto hardening through PQC signing (ML-DSA/SLH-DSA) + PQC key exchange (ML-KEM).. This supports the NIST outcome concerning test sets, metrics, and details about the tools used during tevv are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CRO022-M-017</w:t>
            </w:r>
          </w:p>
        </w:tc>
        <w:tc>
          <w:tcPr>
            <w:tcW w:type="dxa" w:w="1818"/>
            <w:vAlign w:val="center"/>
          </w:tcPr>
          <w:p>
            <w:r/>
            <w:r>
              <w:rPr>
                <w:b w:val="0"/>
                <w:sz w:val="12"/>
              </w:rPr>
              <w:t>D1-CTL-06</w:t>
            </w:r>
          </w:p>
        </w:tc>
        <w:tc>
          <w:tcPr>
            <w:tcW w:type="dxa" w:w="1818"/>
            <w:vAlign w:val="center"/>
          </w:tcPr>
          <w:p>
            <w:r/>
            <w:r>
              <w:rPr>
                <w:b w:val="0"/>
                <w:sz w:val="12"/>
              </w:rPr>
              <w:t>Post-Quantum Model Signing &amp; Crypto Hardening</w:t>
            </w:r>
          </w:p>
        </w:tc>
        <w:tc>
          <w:tcPr>
            <w:tcW w:type="dxa" w:w="1818"/>
            <w:vAlign w:val="center"/>
          </w:tcPr>
          <w:p>
            <w:r/>
            <w:r>
              <w:rPr>
                <w:b w:val="0"/>
                <w:sz w:val="12"/>
              </w:rPr>
              <w:t>MEASURE 2.7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D1-CTL-06 addresses post-quantum model signing &amp; crypto hardening through PQC signing (ML-DSA/SLH-DSA) + PQC key exchange (ML-KEM)..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CRO022-M-018</w:t>
            </w:r>
          </w:p>
        </w:tc>
        <w:tc>
          <w:tcPr>
            <w:tcW w:type="dxa" w:w="1818"/>
            <w:vAlign w:val="center"/>
            <w:shd w:fill="F5F7F9"/>
          </w:tcPr>
          <w:p>
            <w:r/>
            <w:r>
              <w:rPr>
                <w:b w:val="0"/>
                <w:sz w:val="12"/>
              </w:rPr>
              <w:t>D1-CTL-06</w:t>
            </w:r>
          </w:p>
        </w:tc>
        <w:tc>
          <w:tcPr>
            <w:tcW w:type="dxa" w:w="1818"/>
            <w:vAlign w:val="center"/>
            <w:shd w:fill="F5F7F9"/>
          </w:tcPr>
          <w:p>
            <w:r/>
            <w:r>
              <w:rPr>
                <w:b w:val="0"/>
                <w:sz w:val="12"/>
              </w:rPr>
              <w:t>Post-Quantum Model Signing &amp; Crypto Hardening</w:t>
            </w:r>
          </w:p>
        </w:tc>
        <w:tc>
          <w:tcPr>
            <w:tcW w:type="dxa" w:w="1818"/>
            <w:vAlign w:val="center"/>
            <w:shd w:fill="F5F7F9"/>
          </w:tcPr>
          <w:p>
            <w:r/>
            <w:r>
              <w:rPr>
                <w:b w:val="0"/>
                <w:sz w:val="12"/>
              </w:rPr>
              <w:t>MEASURE 4.3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D1-CTL-06 addresses post-quantum model signing &amp; crypto hardening through PQC signing (ML-DSA/SLH-DSA) + PQC key exchange (ML-KEM)..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CRO022-M-019</w:t>
            </w:r>
          </w:p>
        </w:tc>
        <w:tc>
          <w:tcPr>
            <w:tcW w:type="dxa" w:w="1818"/>
            <w:vAlign w:val="center"/>
          </w:tcPr>
          <w:p>
            <w:r/>
            <w:r>
              <w:rPr>
                <w:b w:val="0"/>
                <w:sz w:val="12"/>
              </w:rPr>
              <w:t>D1-CTL-07</w:t>
            </w:r>
          </w:p>
        </w:tc>
        <w:tc>
          <w:tcPr>
            <w:tcW w:type="dxa" w:w="1818"/>
            <w:vAlign w:val="center"/>
          </w:tcPr>
          <w:p>
            <w:r/>
            <w:r>
              <w:rPr>
                <w:b w:val="0"/>
                <w:sz w:val="12"/>
              </w:rPr>
              <w:t>Lora/Adapter Integrity Verification</w:t>
            </w:r>
          </w:p>
        </w:tc>
        <w:tc>
          <w:tcPr>
            <w:tcW w:type="dxa" w:w="1818"/>
            <w:vAlign w:val="center"/>
          </w:tcPr>
          <w:p>
            <w:r/>
            <w:r>
              <w:rPr>
                <w:b w:val="0"/>
                <w:sz w:val="12"/>
              </w:rPr>
              <w:t>MEASURE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D1-CTL-07 addresses lora/adapter integrity verification through Adapter scanning + provenance verification + registry allowlist..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CRO022-M-020</w:t>
            </w:r>
          </w:p>
        </w:tc>
        <w:tc>
          <w:tcPr>
            <w:tcW w:type="dxa" w:w="1818"/>
            <w:vAlign w:val="center"/>
            <w:shd w:fill="F5F7F9"/>
          </w:tcPr>
          <w:p>
            <w:r/>
            <w:r>
              <w:rPr>
                <w:b w:val="0"/>
                <w:sz w:val="12"/>
              </w:rPr>
              <w:t>D1-CTL-07</w:t>
            </w:r>
          </w:p>
        </w:tc>
        <w:tc>
          <w:tcPr>
            <w:tcW w:type="dxa" w:w="1818"/>
            <w:vAlign w:val="center"/>
            <w:shd w:fill="F5F7F9"/>
          </w:tcPr>
          <w:p>
            <w:r/>
            <w:r>
              <w:rPr>
                <w:b w:val="0"/>
                <w:sz w:val="12"/>
              </w:rPr>
              <w:t>Lora/Adapter Integrity Verification</w:t>
            </w:r>
          </w:p>
        </w:tc>
        <w:tc>
          <w:tcPr>
            <w:tcW w:type="dxa" w:w="1818"/>
            <w:vAlign w:val="center"/>
            <w:shd w:fill="F5F7F9"/>
          </w:tcPr>
          <w:p>
            <w:r/>
            <w:r>
              <w:rPr>
                <w:b w:val="0"/>
                <w:sz w:val="12"/>
              </w:rPr>
              <w:t>MANAGE 2.4</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D1-CTL-07 addresses lora/adapter integrity verification through Adapter scanning + provenance verification + registry allowlist.. This supports the NIST outcome concerning mechanisms are in place and applied, and respon- sibilities are assigned and understood, to supersede, disengage, or deactivate ai systems that demonstrate performance or outcomes .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CRO022-M-021</w:t>
            </w:r>
          </w:p>
        </w:tc>
        <w:tc>
          <w:tcPr>
            <w:tcW w:type="dxa" w:w="1818"/>
            <w:vAlign w:val="center"/>
          </w:tcPr>
          <w:p>
            <w:r/>
            <w:r>
              <w:rPr>
                <w:b w:val="0"/>
                <w:sz w:val="12"/>
              </w:rPr>
              <w:t>D1-CTL-07</w:t>
            </w:r>
          </w:p>
        </w:tc>
        <w:tc>
          <w:tcPr>
            <w:tcW w:type="dxa" w:w="1818"/>
            <w:vAlign w:val="center"/>
          </w:tcPr>
          <w:p>
            <w:r/>
            <w:r>
              <w:rPr>
                <w:b w:val="0"/>
                <w:sz w:val="12"/>
              </w:rPr>
              <w:t>Lora/Adapter Integrity Verification</w:t>
            </w:r>
          </w:p>
        </w:tc>
        <w:tc>
          <w:tcPr>
            <w:tcW w:type="dxa" w:w="1818"/>
            <w:vAlign w:val="center"/>
          </w:tcPr>
          <w:p>
            <w:r/>
            <w:r>
              <w:rPr>
                <w:b w:val="0"/>
                <w:sz w:val="12"/>
              </w:rPr>
              <w:t>MANAGE 3.1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D1-CTL-07 addresses lora/adapter integrity verification through Adapter scanning + provenance verification + registry allowlist.. This supports the NIST outcome concerning ai risks and benefits from third-party resources are regularly monitored, and risk controls are applied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CRO022-M-022</w:t>
            </w:r>
          </w:p>
        </w:tc>
        <w:tc>
          <w:tcPr>
            <w:tcW w:type="dxa" w:w="1818"/>
            <w:vAlign w:val="center"/>
            <w:shd w:fill="F5F7F9"/>
          </w:tcPr>
          <w:p>
            <w:r/>
            <w:r>
              <w:rPr>
                <w:b w:val="0"/>
                <w:sz w:val="12"/>
              </w:rPr>
              <w:t>D1-CTL-08</w:t>
            </w:r>
          </w:p>
        </w:tc>
        <w:tc>
          <w:tcPr>
            <w:tcW w:type="dxa" w:w="1818"/>
            <w:vAlign w:val="center"/>
            <w:shd w:fill="F5F7F9"/>
          </w:tcPr>
          <w:p>
            <w:r/>
            <w:r>
              <w:rPr>
                <w:b w:val="0"/>
                <w:sz w:val="12"/>
              </w:rPr>
              <w:t>Model Merge Attack Detection</w:t>
            </w:r>
          </w:p>
        </w:tc>
        <w:tc>
          <w:tcPr>
            <w:tcW w:type="dxa" w:w="1818"/>
            <w:vAlign w:val="center"/>
            <w:shd w:fill="F5F7F9"/>
          </w:tcPr>
          <w:p>
            <w:r/>
            <w:r>
              <w:rPr>
                <w:b w:val="0"/>
                <w:sz w:val="12"/>
              </w:rPr>
              <w:t>MEASURE 2.6</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D1-CTL-08 addresses model merge attack detection through Pre-registration behavioural evaluation + regression testing..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CRO022-M-023</w:t>
            </w:r>
          </w:p>
        </w:tc>
        <w:tc>
          <w:tcPr>
            <w:tcW w:type="dxa" w:w="1818"/>
            <w:vAlign w:val="center"/>
          </w:tcPr>
          <w:p>
            <w:r/>
            <w:r>
              <w:rPr>
                <w:b w:val="0"/>
                <w:sz w:val="12"/>
              </w:rPr>
              <w:t>D1-CTL-08</w:t>
            </w:r>
          </w:p>
        </w:tc>
        <w:tc>
          <w:tcPr>
            <w:tcW w:type="dxa" w:w="1818"/>
            <w:vAlign w:val="center"/>
          </w:tcPr>
          <w:p>
            <w:r/>
            <w:r>
              <w:rPr>
                <w:b w:val="0"/>
                <w:sz w:val="12"/>
              </w:rPr>
              <w:t>Model Merge Attack Detection</w:t>
            </w:r>
          </w:p>
        </w:tc>
        <w:tc>
          <w:tcPr>
            <w:tcW w:type="dxa" w:w="1818"/>
            <w:vAlign w:val="center"/>
          </w:tcPr>
          <w:p>
            <w:r/>
            <w:r>
              <w:rPr>
                <w:b w:val="0"/>
                <w:sz w:val="12"/>
              </w:rPr>
              <w:t>MEASURE 2.1</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D1-CTL-08 addresses model merge attack detection through Pre-registration behavioural evaluation + regression testing.. This supports the NIST outcome concerning test sets, metrics, and details about the tools used during tevv are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CRO022-M-024</w:t>
            </w:r>
          </w:p>
        </w:tc>
        <w:tc>
          <w:tcPr>
            <w:tcW w:type="dxa" w:w="1818"/>
            <w:vAlign w:val="center"/>
            <w:shd w:fill="F5F7F9"/>
          </w:tcPr>
          <w:p>
            <w:r/>
            <w:r>
              <w:rPr>
                <w:b w:val="0"/>
                <w:sz w:val="12"/>
              </w:rPr>
              <w:t>D1-CTL-08</w:t>
            </w:r>
          </w:p>
        </w:tc>
        <w:tc>
          <w:tcPr>
            <w:tcW w:type="dxa" w:w="1818"/>
            <w:vAlign w:val="center"/>
            <w:shd w:fill="F5F7F9"/>
          </w:tcPr>
          <w:p>
            <w:r/>
            <w:r>
              <w:rPr>
                <w:b w:val="0"/>
                <w:sz w:val="12"/>
              </w:rPr>
              <w:t>Model Merge Attack Detection</w:t>
            </w:r>
          </w:p>
        </w:tc>
        <w:tc>
          <w:tcPr>
            <w:tcW w:type="dxa" w:w="1818"/>
            <w:vAlign w:val="center"/>
            <w:shd w:fill="F5F7F9"/>
          </w:tcPr>
          <w:p>
            <w:r/>
            <w:r>
              <w:rPr>
                <w:b w:val="0"/>
                <w:sz w:val="12"/>
              </w:rPr>
              <w:t>MEASURE 2.7</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D1-CTL-08 addresses model merge attack detection through Pre-registration behavioural evaluation + regression testing..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CRO022-M-025</w:t>
            </w:r>
          </w:p>
        </w:tc>
        <w:tc>
          <w:tcPr>
            <w:tcW w:type="dxa" w:w="1818"/>
            <w:vAlign w:val="center"/>
          </w:tcPr>
          <w:p>
            <w:r/>
            <w:r>
              <w:rPr>
                <w:b w:val="0"/>
                <w:sz w:val="12"/>
              </w:rPr>
              <w:t>D1-CTL-09</w:t>
            </w:r>
          </w:p>
        </w:tc>
        <w:tc>
          <w:tcPr>
            <w:tcW w:type="dxa" w:w="1818"/>
            <w:vAlign w:val="center"/>
          </w:tcPr>
          <w:p>
            <w:r/>
            <w:r>
              <w:rPr>
                <w:b w:val="0"/>
                <w:sz w:val="12"/>
              </w:rPr>
              <w:t>Quantization Backdoor Screening</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D1-CTL-09 addresses quantization backdoor screening through Cross-precision behavioural comparison + delta threshold monitoring..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CRO022-M-026</w:t>
            </w:r>
          </w:p>
        </w:tc>
        <w:tc>
          <w:tcPr>
            <w:tcW w:type="dxa" w:w="1818"/>
            <w:vAlign w:val="center"/>
            <w:shd w:fill="F5F7F9"/>
          </w:tcPr>
          <w:p>
            <w:r/>
            <w:r>
              <w:rPr>
                <w:b w:val="0"/>
                <w:sz w:val="12"/>
              </w:rPr>
              <w:t>D1-CTL-09</w:t>
            </w:r>
          </w:p>
        </w:tc>
        <w:tc>
          <w:tcPr>
            <w:tcW w:type="dxa" w:w="1818"/>
            <w:vAlign w:val="center"/>
            <w:shd w:fill="F5F7F9"/>
          </w:tcPr>
          <w:p>
            <w:r/>
            <w:r>
              <w:rPr>
                <w:b w:val="0"/>
                <w:sz w:val="12"/>
              </w:rPr>
              <w:t>Quantization Backdoor Screening</w:t>
            </w:r>
          </w:p>
        </w:tc>
        <w:tc>
          <w:tcPr>
            <w:tcW w:type="dxa" w:w="1818"/>
            <w:vAlign w:val="center"/>
            <w:shd w:fill="F5F7F9"/>
          </w:tcPr>
          <w:p>
            <w:r/>
            <w:r>
              <w:rPr>
                <w:b w:val="0"/>
                <w:sz w:val="12"/>
              </w:rPr>
              <w:t>MAP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D1-CTL-09 addresses quantization backdoor screening through Cross-precision behavioural comparison + delta threshold monitoring..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CRO022-M-027</w:t>
            </w:r>
          </w:p>
        </w:tc>
        <w:tc>
          <w:tcPr>
            <w:tcW w:type="dxa" w:w="1818"/>
            <w:vAlign w:val="center"/>
          </w:tcPr>
          <w:p>
            <w:r/>
            <w:r>
              <w:rPr>
                <w:b w:val="0"/>
                <w:sz w:val="12"/>
              </w:rPr>
              <w:t>D1-CTL-09</w:t>
            </w:r>
          </w:p>
        </w:tc>
        <w:tc>
          <w:tcPr>
            <w:tcW w:type="dxa" w:w="1818"/>
            <w:vAlign w:val="center"/>
          </w:tcPr>
          <w:p>
            <w:r/>
            <w:r>
              <w:rPr>
                <w:b w:val="0"/>
                <w:sz w:val="12"/>
              </w:rPr>
              <w:t>Quantization Backdoor Screening</w:t>
            </w:r>
          </w:p>
        </w:tc>
        <w:tc>
          <w:tcPr>
            <w:tcW w:type="dxa" w:w="1818"/>
            <w:vAlign w:val="center"/>
          </w:tcPr>
          <w:p>
            <w:r/>
            <w:r>
              <w:rPr>
                <w:b w:val="0"/>
                <w:sz w:val="12"/>
              </w:rPr>
              <w:t>MANAGE 4.1</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D1-CTL-09 addresses quantization backdoor screening through Cross-precision behavioural comparison + delta threshold monitoring..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CRO022-M-028</w:t>
            </w:r>
          </w:p>
        </w:tc>
        <w:tc>
          <w:tcPr>
            <w:tcW w:type="dxa" w:w="1818"/>
            <w:vAlign w:val="center"/>
            <w:shd w:fill="F5F7F9"/>
          </w:tcPr>
          <w:p>
            <w:r/>
            <w:r>
              <w:rPr>
                <w:b w:val="0"/>
                <w:sz w:val="12"/>
              </w:rPr>
              <w:t>D2-CTL-01</w:t>
            </w:r>
          </w:p>
        </w:tc>
        <w:tc>
          <w:tcPr>
            <w:tcW w:type="dxa" w:w="1818"/>
            <w:vAlign w:val="center"/>
            <w:shd w:fill="F5F7F9"/>
          </w:tcPr>
          <w:p>
            <w:r/>
            <w:r>
              <w:rPr>
                <w:b w:val="0"/>
                <w:sz w:val="12"/>
              </w:rPr>
              <w:t>Direct Prompt Injection Prevention</w:t>
            </w:r>
          </w:p>
        </w:tc>
        <w:tc>
          <w:tcPr>
            <w:tcW w:type="dxa" w:w="1818"/>
            <w:vAlign w:val="center"/>
            <w:shd w:fill="F5F7F9"/>
          </w:tcPr>
          <w:p>
            <w:r/>
            <w:r>
              <w:rPr>
                <w:b w:val="0"/>
                <w:sz w:val="12"/>
              </w:rPr>
              <w:t>GOVERN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D2-CTL-01 addresses direct prompt injection prevention through Input validation + adversarial pattern matching + system prompt isolation + guardrail sidecar.. This supports the NIST outcome concerning organizational practices are in place to enable ai testing, identification of incidents, and information sharing. govern 5: processes are in place for robust engagement with releva.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CRO022-M-029</w:t>
            </w:r>
          </w:p>
        </w:tc>
        <w:tc>
          <w:tcPr>
            <w:tcW w:type="dxa" w:w="1818"/>
            <w:vAlign w:val="center"/>
          </w:tcPr>
          <w:p>
            <w:r/>
            <w:r>
              <w:rPr>
                <w:b w:val="0"/>
                <w:sz w:val="12"/>
              </w:rPr>
              <w:t>D2-CTL-01</w:t>
            </w:r>
          </w:p>
        </w:tc>
        <w:tc>
          <w:tcPr>
            <w:tcW w:type="dxa" w:w="1818"/>
            <w:vAlign w:val="center"/>
          </w:tcPr>
          <w:p>
            <w:r/>
            <w:r>
              <w:rPr>
                <w:b w:val="0"/>
                <w:sz w:val="12"/>
              </w:rPr>
              <w:t>Direct Prompt Injection Prevention</w:t>
            </w:r>
          </w:p>
        </w:tc>
        <w:tc>
          <w:tcPr>
            <w:tcW w:type="dxa" w:w="1818"/>
            <w:vAlign w:val="center"/>
          </w:tcPr>
          <w:p>
            <w:r/>
            <w:r>
              <w:rPr>
                <w:b w:val="0"/>
                <w:sz w:val="12"/>
              </w:rPr>
              <w:t>MEASURE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D2-CTL-01 addresses direct prompt injection prevention through Input validation + adversarial pattern matching + system prompt isolation + guardrail sidecar..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CRO022-M-030</w:t>
            </w:r>
          </w:p>
        </w:tc>
        <w:tc>
          <w:tcPr>
            <w:tcW w:type="dxa" w:w="1818"/>
            <w:vAlign w:val="center"/>
            <w:shd w:fill="F5F7F9"/>
          </w:tcPr>
          <w:p>
            <w:r/>
            <w:r>
              <w:rPr>
                <w:b w:val="0"/>
                <w:sz w:val="12"/>
              </w:rPr>
              <w:t>D2-CTL-01</w:t>
            </w:r>
          </w:p>
        </w:tc>
        <w:tc>
          <w:tcPr>
            <w:tcW w:type="dxa" w:w="1818"/>
            <w:vAlign w:val="center"/>
            <w:shd w:fill="F5F7F9"/>
          </w:tcPr>
          <w:p>
            <w:r/>
            <w:r>
              <w:rPr>
                <w:b w:val="0"/>
                <w:sz w:val="12"/>
              </w:rPr>
              <w:t>Direct Prompt Injection Prevention</w:t>
            </w:r>
          </w:p>
        </w:tc>
        <w:tc>
          <w:tcPr>
            <w:tcW w:type="dxa" w:w="1818"/>
            <w:vAlign w:val="center"/>
            <w:shd w:fill="F5F7F9"/>
          </w:tcPr>
          <w:p>
            <w:r/>
            <w:r>
              <w:rPr>
                <w:b w:val="0"/>
                <w:sz w:val="12"/>
              </w:rPr>
              <w:t>MEASURE 2.7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D2-CTL-01 addresses direct prompt injection prevention through Input validation + adversarial pattern matching + system prompt isolation + guardrail sidecar..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CRO022-M-031</w:t>
            </w:r>
          </w:p>
        </w:tc>
        <w:tc>
          <w:tcPr>
            <w:tcW w:type="dxa" w:w="1818"/>
            <w:vAlign w:val="center"/>
          </w:tcPr>
          <w:p>
            <w:r/>
            <w:r>
              <w:rPr>
                <w:b w:val="0"/>
                <w:sz w:val="12"/>
              </w:rPr>
              <w:t>D2-CTL-02</w:t>
            </w:r>
          </w:p>
        </w:tc>
        <w:tc>
          <w:tcPr>
            <w:tcW w:type="dxa" w:w="1818"/>
            <w:vAlign w:val="center"/>
          </w:tcPr>
          <w:p>
            <w:r/>
            <w:r>
              <w:rPr>
                <w:b w:val="0"/>
                <w:sz w:val="12"/>
              </w:rPr>
              <w:t>Indirect Prompt Injection Prevention</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D2-CTL-02 addresses indirect prompt injection prevention through Contextual separation + source allowlisting + output validation + RAG sanitization pipeline..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CRO022-M-032</w:t>
            </w:r>
          </w:p>
        </w:tc>
        <w:tc>
          <w:tcPr>
            <w:tcW w:type="dxa" w:w="1818"/>
            <w:vAlign w:val="center"/>
            <w:shd w:fill="F5F7F9"/>
          </w:tcPr>
          <w:p>
            <w:r/>
            <w:r>
              <w:rPr>
                <w:b w:val="0"/>
                <w:sz w:val="12"/>
              </w:rPr>
              <w:t>D2-CTL-02</w:t>
            </w:r>
          </w:p>
        </w:tc>
        <w:tc>
          <w:tcPr>
            <w:tcW w:type="dxa" w:w="1818"/>
            <w:vAlign w:val="center"/>
            <w:shd w:fill="F5F7F9"/>
          </w:tcPr>
          <w:p>
            <w:r/>
            <w:r>
              <w:rPr>
                <w:b w:val="0"/>
                <w:sz w:val="12"/>
              </w:rPr>
              <w:t>Indirect Prompt Injection Prevention</w:t>
            </w:r>
          </w:p>
        </w:tc>
        <w:tc>
          <w:tcPr>
            <w:tcW w:type="dxa" w:w="1818"/>
            <w:vAlign w:val="center"/>
            <w:shd w:fill="F5F7F9"/>
          </w:tcPr>
          <w:p>
            <w:r/>
            <w:r>
              <w:rPr>
                <w:b w:val="0"/>
                <w:sz w:val="12"/>
              </w:rPr>
              <w:t>MEASURE 2.7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D2-CTL-02 addresses indirect prompt injection prevention through Contextual separation + source allowlisting + output validation + RAG sanitization pipeline..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CRO022-M-033</w:t>
            </w:r>
          </w:p>
        </w:tc>
        <w:tc>
          <w:tcPr>
            <w:tcW w:type="dxa" w:w="1818"/>
            <w:vAlign w:val="center"/>
          </w:tcPr>
          <w:p>
            <w:r/>
            <w:r>
              <w:rPr>
                <w:b w:val="0"/>
                <w:sz w:val="12"/>
              </w:rPr>
              <w:t>D2-CTL-02</w:t>
            </w:r>
          </w:p>
        </w:tc>
        <w:tc>
          <w:tcPr>
            <w:tcW w:type="dxa" w:w="1818"/>
            <w:vAlign w:val="center"/>
          </w:tcPr>
          <w:p>
            <w:r/>
            <w:r>
              <w:rPr>
                <w:b w:val="0"/>
                <w:sz w:val="12"/>
              </w:rPr>
              <w:t>Indirect Prompt Injection Prevention</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D2-CTL-02 addresses indirect prompt injection prevention through Contextual separation + source allowlisting + output validation + RAG sanitization pipeline..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CRO022-M-034</w:t>
            </w:r>
          </w:p>
        </w:tc>
        <w:tc>
          <w:tcPr>
            <w:tcW w:type="dxa" w:w="1818"/>
            <w:vAlign w:val="center"/>
            <w:shd w:fill="F5F7F9"/>
          </w:tcPr>
          <w:p>
            <w:r/>
            <w:r>
              <w:rPr>
                <w:b w:val="0"/>
                <w:sz w:val="12"/>
              </w:rPr>
              <w:t>D2-CTL-03</w:t>
            </w:r>
          </w:p>
        </w:tc>
        <w:tc>
          <w:tcPr>
            <w:tcW w:type="dxa" w:w="1818"/>
            <w:vAlign w:val="center"/>
            <w:shd w:fill="F5F7F9"/>
          </w:tcPr>
          <w:p>
            <w:r/>
            <w:r>
              <w:rPr>
                <w:b w:val="0"/>
                <w:sz w:val="12"/>
              </w:rPr>
              <w:t>Jailbreak Resistance Testing</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D2-CTL-03 addresses jailbreak resistance testing through Quarterly red-team prompt library + adversarial training + automated refusal monitoring..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CRO022-M-035</w:t>
            </w:r>
          </w:p>
        </w:tc>
        <w:tc>
          <w:tcPr>
            <w:tcW w:type="dxa" w:w="1818"/>
            <w:vAlign w:val="center"/>
          </w:tcPr>
          <w:p>
            <w:r/>
            <w:r>
              <w:rPr>
                <w:b w:val="0"/>
                <w:sz w:val="12"/>
              </w:rPr>
              <w:t>D2-CTL-03</w:t>
            </w:r>
          </w:p>
        </w:tc>
        <w:tc>
          <w:tcPr>
            <w:tcW w:type="dxa" w:w="1818"/>
            <w:vAlign w:val="center"/>
          </w:tcPr>
          <w:p>
            <w:r/>
            <w:r>
              <w:rPr>
                <w:b w:val="0"/>
                <w:sz w:val="12"/>
              </w:rPr>
              <w:t>Jailbreak Resistance Testing</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D2-CTL-03 addresses jailbreak resistance testing through Quarterly red-team prompt library + adversarial training + automated refusal monitoring..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CRO022-M-036</w:t>
            </w:r>
          </w:p>
        </w:tc>
        <w:tc>
          <w:tcPr>
            <w:tcW w:type="dxa" w:w="1818"/>
            <w:vAlign w:val="center"/>
            <w:shd w:fill="F5F7F9"/>
          </w:tcPr>
          <w:p>
            <w:r/>
            <w:r>
              <w:rPr>
                <w:b w:val="0"/>
                <w:sz w:val="12"/>
              </w:rPr>
              <w:t>D2-CTL-03</w:t>
            </w:r>
          </w:p>
        </w:tc>
        <w:tc>
          <w:tcPr>
            <w:tcW w:type="dxa" w:w="1818"/>
            <w:vAlign w:val="center"/>
            <w:shd w:fill="F5F7F9"/>
          </w:tcPr>
          <w:p>
            <w:r/>
            <w:r>
              <w:rPr>
                <w:b w:val="0"/>
                <w:sz w:val="12"/>
              </w:rPr>
              <w:t>Jailbreak Resistance Testing</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D2-CTL-03 addresses jailbreak resistance testing through Quarterly red-team prompt library + adversarial training + automated refusal monitoring..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CRO022-M-037</w:t>
            </w:r>
          </w:p>
        </w:tc>
        <w:tc>
          <w:tcPr>
            <w:tcW w:type="dxa" w:w="1818"/>
            <w:vAlign w:val="center"/>
          </w:tcPr>
          <w:p>
            <w:r/>
            <w:r>
              <w:rPr>
                <w:b w:val="0"/>
                <w:sz w:val="12"/>
              </w:rPr>
              <w:t>D2-CTL-04</w:t>
            </w:r>
          </w:p>
        </w:tc>
        <w:tc>
          <w:tcPr>
            <w:tcW w:type="dxa" w:w="1818"/>
            <w:vAlign w:val="center"/>
          </w:tcPr>
          <w:p>
            <w:r/>
            <w:r>
              <w:rPr>
                <w:b w:val="0"/>
                <w:sz w:val="12"/>
              </w:rPr>
              <w:t>Multi-Modal Injection Defense</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D2-CTL-04 addresses multi-modal injection defense through Multi-modal content scanning + steganography detection + modality-specific guardrails..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CRO022-M-038</w:t>
            </w:r>
          </w:p>
        </w:tc>
        <w:tc>
          <w:tcPr>
            <w:tcW w:type="dxa" w:w="1818"/>
            <w:vAlign w:val="center"/>
            <w:shd w:fill="F5F7F9"/>
          </w:tcPr>
          <w:p>
            <w:r/>
            <w:r>
              <w:rPr>
                <w:b w:val="0"/>
                <w:sz w:val="12"/>
              </w:rPr>
              <w:t>D2-CTL-04</w:t>
            </w:r>
          </w:p>
        </w:tc>
        <w:tc>
          <w:tcPr>
            <w:tcW w:type="dxa" w:w="1818"/>
            <w:vAlign w:val="center"/>
            <w:shd w:fill="F5F7F9"/>
          </w:tcPr>
          <w:p>
            <w:r/>
            <w:r>
              <w:rPr>
                <w:b w:val="0"/>
                <w:sz w:val="12"/>
              </w:rPr>
              <w:t>Multi-Modal Injection Defense</w:t>
            </w:r>
          </w:p>
        </w:tc>
        <w:tc>
          <w:tcPr>
            <w:tcW w:type="dxa" w:w="1818"/>
            <w:vAlign w:val="center"/>
            <w:shd w:fill="F5F7F9"/>
          </w:tcPr>
          <w:p>
            <w:r/>
            <w:r>
              <w:rPr>
                <w:b w:val="0"/>
                <w:sz w:val="12"/>
              </w:rPr>
              <w:t>MEASURE 2.7</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D2-CTL-04 addresses multi-modal injection defense through Multi-modal content scanning + steganography detection + modality-specific guardrails..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CRO022-M-039</w:t>
            </w:r>
          </w:p>
        </w:tc>
        <w:tc>
          <w:tcPr>
            <w:tcW w:type="dxa" w:w="1818"/>
            <w:vAlign w:val="center"/>
          </w:tcPr>
          <w:p>
            <w:r/>
            <w:r>
              <w:rPr>
                <w:b w:val="0"/>
                <w:sz w:val="12"/>
              </w:rPr>
              <w:t>D2-CTL-04</w:t>
            </w:r>
          </w:p>
        </w:tc>
        <w:tc>
          <w:tcPr>
            <w:tcW w:type="dxa" w:w="1818"/>
            <w:vAlign w:val="center"/>
          </w:tcPr>
          <w:p>
            <w:r/>
            <w:r>
              <w:rPr>
                <w:b w:val="0"/>
                <w:sz w:val="12"/>
              </w:rPr>
              <w:t>Multi-Modal Injection Defense</w:t>
            </w:r>
          </w:p>
        </w:tc>
        <w:tc>
          <w:tcPr>
            <w:tcW w:type="dxa" w:w="1818"/>
            <w:vAlign w:val="center"/>
          </w:tcPr>
          <w:p>
            <w:r/>
            <w:r>
              <w:rPr>
                <w:b w:val="0"/>
                <w:sz w:val="12"/>
              </w:rPr>
              <w:t>MEASURE 1.2</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D2-CTL-04 addresses multi-modal injection defense through Multi-modal content scanning + steganography detection + modality-specific guardrails.. This supports the NIST outcome concerning appropriateness of ai metrics and effectiveness of existing controls are regularly assessed and updated, including reports of errors and potential impacts on affected communities.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CRO022-M-040</w:t>
            </w:r>
          </w:p>
        </w:tc>
        <w:tc>
          <w:tcPr>
            <w:tcW w:type="dxa" w:w="1818"/>
            <w:vAlign w:val="center"/>
            <w:shd w:fill="F5F7F9"/>
          </w:tcPr>
          <w:p>
            <w:r/>
            <w:r>
              <w:rPr>
                <w:b w:val="0"/>
                <w:sz w:val="12"/>
              </w:rPr>
              <w:t>D2-CTL-05</w:t>
            </w:r>
          </w:p>
        </w:tc>
        <w:tc>
          <w:tcPr>
            <w:tcW w:type="dxa" w:w="1818"/>
            <w:vAlign w:val="center"/>
            <w:shd w:fill="F5F7F9"/>
          </w:tcPr>
          <w:p>
            <w:r/>
            <w:r>
              <w:rPr>
                <w:b w:val="0"/>
                <w:sz w:val="12"/>
              </w:rPr>
              <w:t>Function Call/Tool Call Injection Prevention</w:t>
            </w:r>
          </w:p>
        </w:tc>
        <w:tc>
          <w:tcPr>
            <w:tcW w:type="dxa" w:w="1818"/>
            <w:vAlign w:val="center"/>
            <w:shd w:fill="F5F7F9"/>
          </w:tcPr>
          <w:p>
            <w:r/>
            <w:r>
              <w:rPr>
                <w:b w:val="0"/>
                <w:sz w:val="12"/>
              </w:rPr>
              <w:t>MEASURE 2.7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D2-CTL-05 addresses function call/tool call injection prevention through Parameter schema validation + allowlist enforcement + sandboxed execution..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CRO022-M-041</w:t>
            </w:r>
          </w:p>
        </w:tc>
        <w:tc>
          <w:tcPr>
            <w:tcW w:type="dxa" w:w="1818"/>
            <w:vAlign w:val="center"/>
          </w:tcPr>
          <w:p>
            <w:r/>
            <w:r>
              <w:rPr>
                <w:b w:val="0"/>
                <w:sz w:val="12"/>
              </w:rPr>
              <w:t>D2-CTL-05</w:t>
            </w:r>
          </w:p>
        </w:tc>
        <w:tc>
          <w:tcPr>
            <w:tcW w:type="dxa" w:w="1818"/>
            <w:vAlign w:val="center"/>
          </w:tcPr>
          <w:p>
            <w:r/>
            <w:r>
              <w:rPr>
                <w:b w:val="0"/>
                <w:sz w:val="12"/>
              </w:rPr>
              <w:t>Function Call/Tool Call Injection Prevention</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D2-CTL-05 addresses function call/tool call injection prevention through Parameter schema validation + allowlist enforcement + sandboxed execution..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CRO022-M-042</w:t>
            </w:r>
          </w:p>
        </w:tc>
        <w:tc>
          <w:tcPr>
            <w:tcW w:type="dxa" w:w="1818"/>
            <w:vAlign w:val="center"/>
            <w:shd w:fill="F5F7F9"/>
          </w:tcPr>
          <w:p>
            <w:r/>
            <w:r>
              <w:rPr>
                <w:b w:val="0"/>
                <w:sz w:val="12"/>
              </w:rPr>
              <w:t>D2-CTL-05</w:t>
            </w:r>
          </w:p>
        </w:tc>
        <w:tc>
          <w:tcPr>
            <w:tcW w:type="dxa" w:w="1818"/>
            <w:vAlign w:val="center"/>
            <w:shd w:fill="F5F7F9"/>
          </w:tcPr>
          <w:p>
            <w:r/>
            <w:r>
              <w:rPr>
                <w:b w:val="0"/>
                <w:sz w:val="12"/>
              </w:rPr>
              <w:t>Function Call/Tool Call Injection Prevention</w:t>
            </w:r>
          </w:p>
        </w:tc>
        <w:tc>
          <w:tcPr>
            <w:tcW w:type="dxa" w:w="1818"/>
            <w:vAlign w:val="center"/>
            <w:shd w:fill="F5F7F9"/>
          </w:tcPr>
          <w:p>
            <w:r/>
            <w:r>
              <w:rPr>
                <w:b w:val="0"/>
                <w:sz w:val="12"/>
              </w:rPr>
              <w:t>MEASURE 1.1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D2-CTL-05 addresses function call/tool call injection prevention through Parameter schema validation + allowlist enforcement + sandboxed execution.. This supports the NIST outcome concerning approaches and metrics for measurement of ai risks enumerated during the map function are selected for imple- mentation starting with the most significant ai risks. the risks or tr.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CRO022-M-043</w:t>
            </w:r>
          </w:p>
        </w:tc>
        <w:tc>
          <w:tcPr>
            <w:tcW w:type="dxa" w:w="1818"/>
            <w:vAlign w:val="center"/>
          </w:tcPr>
          <w:p>
            <w:r/>
            <w:r>
              <w:rPr>
                <w:b w:val="0"/>
                <w:sz w:val="12"/>
              </w:rPr>
              <w:t>D2-CTL-06</w:t>
            </w:r>
          </w:p>
        </w:tc>
        <w:tc>
          <w:tcPr>
            <w:tcW w:type="dxa" w:w="1818"/>
            <w:vAlign w:val="center"/>
          </w:tcPr>
          <w:p>
            <w:r/>
            <w:r>
              <w:rPr>
                <w:b w:val="0"/>
                <w:sz w:val="12"/>
              </w:rPr>
              <w:t>Cross-Context Hijacking Mitigation</w:t>
            </w:r>
          </w:p>
        </w:tc>
        <w:tc>
          <w:tcPr>
            <w:tcW w:type="dxa" w:w="1818"/>
            <w:vAlign w:val="center"/>
          </w:tcPr>
          <w:p>
            <w:r/>
            <w:r>
              <w:rPr>
                <w:b w:val="0"/>
                <w:sz w:val="12"/>
              </w:rPr>
              <w:t>MEASURE 2.7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D2-CTL-06 addresses cross-context hijacking mitigation through Context window segmentation + prompt anchoring + attention boundary enforcement..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CRO022-M-044</w:t>
            </w:r>
          </w:p>
        </w:tc>
        <w:tc>
          <w:tcPr>
            <w:tcW w:type="dxa" w:w="1818"/>
            <w:vAlign w:val="center"/>
            <w:shd w:fill="F5F7F9"/>
          </w:tcPr>
          <w:p>
            <w:r/>
            <w:r>
              <w:rPr>
                <w:b w:val="0"/>
                <w:sz w:val="12"/>
              </w:rPr>
              <w:t>D2-CTL-06</w:t>
            </w:r>
          </w:p>
        </w:tc>
        <w:tc>
          <w:tcPr>
            <w:tcW w:type="dxa" w:w="1818"/>
            <w:vAlign w:val="center"/>
            <w:shd w:fill="F5F7F9"/>
          </w:tcPr>
          <w:p>
            <w:r/>
            <w:r>
              <w:rPr>
                <w:b w:val="0"/>
                <w:sz w:val="12"/>
              </w:rPr>
              <w:t>Cross-Context Hijacking Mitigation</w:t>
            </w:r>
          </w:p>
        </w:tc>
        <w:tc>
          <w:tcPr>
            <w:tcW w:type="dxa" w:w="1818"/>
            <w:vAlign w:val="center"/>
            <w:shd w:fill="F5F7F9"/>
          </w:tcPr>
          <w:p>
            <w:r/>
            <w:r>
              <w:rPr>
                <w:b w:val="0"/>
                <w:sz w:val="12"/>
              </w:rPr>
              <w:t>MEASURE 2.1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D2-CTL-06 addresses cross-context hijacking mitigation through Context window segmentation + prompt anchoring + attention boundary enforcement.. This supports the NIST outcome concerning test sets, metrics, and details about the tools used during tevv are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CRO022-M-045</w:t>
            </w:r>
          </w:p>
        </w:tc>
        <w:tc>
          <w:tcPr>
            <w:tcW w:type="dxa" w:w="1818"/>
            <w:vAlign w:val="center"/>
          </w:tcPr>
          <w:p>
            <w:r/>
            <w:r>
              <w:rPr>
                <w:b w:val="0"/>
                <w:sz w:val="12"/>
              </w:rPr>
              <w:t>D2-CTL-06</w:t>
            </w:r>
          </w:p>
        </w:tc>
        <w:tc>
          <w:tcPr>
            <w:tcW w:type="dxa" w:w="1818"/>
            <w:vAlign w:val="center"/>
          </w:tcPr>
          <w:p>
            <w:r/>
            <w:r>
              <w:rPr>
                <w:b w:val="0"/>
                <w:sz w:val="12"/>
              </w:rPr>
              <w:t>Cross-Context Hijacking Mitigation</w:t>
            </w:r>
          </w:p>
        </w:tc>
        <w:tc>
          <w:tcPr>
            <w:tcW w:type="dxa" w:w="1818"/>
            <w:vAlign w:val="center"/>
          </w:tcPr>
          <w:p>
            <w:r/>
            <w:r>
              <w:rPr>
                <w:b w:val="0"/>
                <w:sz w:val="12"/>
              </w:rPr>
              <w:t>GOVERN 4.3</w:t>
            </w:r>
          </w:p>
        </w:tc>
        <w:tc>
          <w:tcPr>
            <w:tcW w:type="dxa" w:w="1818"/>
            <w:vAlign w:val="center"/>
          </w:tcPr>
          <w:p>
            <w:r/>
            <w:r>
              <w:rPr>
                <w:b w:val="0"/>
                <w:sz w:val="12"/>
              </w:rPr>
              <w:t>S</w:t>
            </w:r>
          </w:p>
        </w:tc>
        <w:tc>
          <w:tcPr>
            <w:tcW w:type="dxa" w:w="1818"/>
            <w:vAlign w:val="center"/>
          </w:tcPr>
          <w:p>
            <w:r/>
            <w:r>
              <w:rPr>
                <w:b w:val="0"/>
                <w:sz w:val="12"/>
              </w:rPr>
              <w:t>Medium</w:t>
            </w:r>
          </w:p>
        </w:tc>
        <w:tc>
          <w:tcPr>
            <w:tcW w:type="dxa" w:w="1818"/>
            <w:vAlign w:val="center"/>
          </w:tcPr>
          <w:p>
            <w:r/>
            <w:r>
              <w:rPr>
                <w:b w:val="0"/>
                <w:sz w:val="12"/>
              </w:rPr>
              <w:t>GAISSF D2-CTL-06 addresses cross-context hijacking mitigation through Context window segmentation + prompt anchoring + attention boundary enforcement.. This supports the NIST outcome concerning organizational practices are in place to enable ai testing, identification of incidents, and information sharing. govern 5: processes are in place for robust engagement with releva.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CRO022-M-046</w:t>
            </w:r>
          </w:p>
        </w:tc>
        <w:tc>
          <w:tcPr>
            <w:tcW w:type="dxa" w:w="1818"/>
            <w:vAlign w:val="center"/>
            <w:shd w:fill="F5F7F9"/>
          </w:tcPr>
          <w:p>
            <w:r/>
            <w:r>
              <w:rPr>
                <w:b w:val="0"/>
                <w:sz w:val="12"/>
              </w:rPr>
              <w:t>D3-CTL-01</w:t>
            </w:r>
          </w:p>
        </w:tc>
        <w:tc>
          <w:tcPr>
            <w:tcW w:type="dxa" w:w="1818"/>
            <w:vAlign w:val="center"/>
            <w:shd w:fill="F5F7F9"/>
          </w:tcPr>
          <w:p>
            <w:r/>
            <w:r>
              <w:rPr>
                <w:b w:val="0"/>
                <w:sz w:val="12"/>
              </w:rPr>
              <w:t>Least Agency Enforcement</w:t>
            </w:r>
          </w:p>
        </w:tc>
        <w:tc>
          <w:tcPr>
            <w:tcW w:type="dxa" w:w="1818"/>
            <w:vAlign w:val="center"/>
            <w:shd w:fill="F5F7F9"/>
          </w:tcPr>
          <w:p>
            <w:r/>
            <w:r>
              <w:rPr>
                <w:b w:val="0"/>
                <w:sz w:val="12"/>
              </w:rPr>
              <w:t>MAP 3.5</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D3-CTL-01 addresses least agency enforcement through Role-based tool scoping + policy-as-code + dynamic permission revocation.. This supports the NIST outcome concerning processes for human oversight are defined, assessed, and documented in accordance with organizational policies from the govern function. map 4: risks and benefits are mapped for al.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CRO022-M-047</w:t>
            </w:r>
          </w:p>
        </w:tc>
        <w:tc>
          <w:tcPr>
            <w:tcW w:type="dxa" w:w="1818"/>
            <w:vAlign w:val="center"/>
          </w:tcPr>
          <w:p>
            <w:r/>
            <w:r>
              <w:rPr>
                <w:b w:val="0"/>
                <w:sz w:val="12"/>
              </w:rPr>
              <w:t>D3-CTL-01</w:t>
            </w:r>
          </w:p>
        </w:tc>
        <w:tc>
          <w:tcPr>
            <w:tcW w:type="dxa" w:w="1818"/>
            <w:vAlign w:val="center"/>
          </w:tcPr>
          <w:p>
            <w:r/>
            <w:r>
              <w:rPr>
                <w:b w:val="0"/>
                <w:sz w:val="12"/>
              </w:rPr>
              <w:t>Least Agency Enforcement</w:t>
            </w:r>
          </w:p>
        </w:tc>
        <w:tc>
          <w:tcPr>
            <w:tcW w:type="dxa" w:w="1818"/>
            <w:vAlign w:val="center"/>
          </w:tcPr>
          <w:p>
            <w:r/>
            <w:r>
              <w:rPr>
                <w:b w:val="0"/>
                <w:sz w:val="12"/>
              </w:rPr>
              <w:t>MEASURE 2.9</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D3-CTL-01 addresses least agency enforcement through Role-based tool scoping + policy-as-code + dynamic permission revocation.. This supports the NIST outcome concerning the ai model is explained, validated, and docu- mented, and ai system output is interpreted within its context – as identified in the map function – to inform responsible use and g.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CRO022-M-048</w:t>
            </w:r>
          </w:p>
        </w:tc>
        <w:tc>
          <w:tcPr>
            <w:tcW w:type="dxa" w:w="1818"/>
            <w:vAlign w:val="center"/>
            <w:shd w:fill="F5F7F9"/>
          </w:tcPr>
          <w:p>
            <w:r/>
            <w:r>
              <w:rPr>
                <w:b w:val="0"/>
                <w:sz w:val="12"/>
              </w:rPr>
              <w:t>D3-CTL-01</w:t>
            </w:r>
          </w:p>
        </w:tc>
        <w:tc>
          <w:tcPr>
            <w:tcW w:type="dxa" w:w="1818"/>
            <w:vAlign w:val="center"/>
            <w:shd w:fill="F5F7F9"/>
          </w:tcPr>
          <w:p>
            <w:r/>
            <w:r>
              <w:rPr>
                <w:b w:val="0"/>
                <w:sz w:val="12"/>
              </w:rPr>
              <w:t>Least Agency Enforcement</w:t>
            </w:r>
          </w:p>
        </w:tc>
        <w:tc>
          <w:tcPr>
            <w:tcW w:type="dxa" w:w="1818"/>
            <w:vAlign w:val="center"/>
            <w:shd w:fill="F5F7F9"/>
          </w:tcPr>
          <w:p>
            <w:r/>
            <w:r>
              <w:rPr>
                <w:b w:val="0"/>
                <w:sz w:val="12"/>
              </w:rPr>
              <w:t>MEASURE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D3-CTL-01 addresses least agency enforcement through Role-based tool scoping + policy-as-code + dynamic permission revocation..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CRO022-M-049</w:t>
            </w:r>
          </w:p>
        </w:tc>
        <w:tc>
          <w:tcPr>
            <w:tcW w:type="dxa" w:w="1818"/>
            <w:vAlign w:val="center"/>
          </w:tcPr>
          <w:p>
            <w:r/>
            <w:r>
              <w:rPr>
                <w:b w:val="0"/>
                <w:sz w:val="12"/>
              </w:rPr>
              <w:t>D3-CTL-02</w:t>
            </w:r>
          </w:p>
        </w:tc>
        <w:tc>
          <w:tcPr>
            <w:tcW w:type="dxa" w:w="1818"/>
            <w:vAlign w:val="center"/>
          </w:tcPr>
          <w:p>
            <w:r/>
            <w:r>
              <w:rPr>
                <w:b w:val="0"/>
                <w:sz w:val="12"/>
              </w:rPr>
              <w:t>Inter-Agent Communication Security</w:t>
            </w:r>
          </w:p>
        </w:tc>
        <w:tc>
          <w:tcPr>
            <w:tcW w:type="dxa" w:w="1818"/>
            <w:vAlign w:val="center"/>
          </w:tcPr>
          <w:p>
            <w:r/>
            <w:r>
              <w:rPr>
                <w:b w:val="0"/>
                <w:sz w:val="12"/>
              </w:rPr>
              <w:t>MAP 2.3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D3-CTL-02 addresses inter-agent communication security through mTLS for agent mesh + message signing + payload validation.. This supports the NIST outcome concerning scientific integrity and tevv considerations are iden- tified and documented, including those related to experimental design, data collection and selection (e.g., availability, rep.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CRO022-M-050</w:t>
            </w:r>
          </w:p>
        </w:tc>
        <w:tc>
          <w:tcPr>
            <w:tcW w:type="dxa" w:w="1818"/>
            <w:vAlign w:val="center"/>
            <w:shd w:fill="F5F7F9"/>
          </w:tcPr>
          <w:p>
            <w:r/>
            <w:r>
              <w:rPr>
                <w:b w:val="0"/>
                <w:sz w:val="12"/>
              </w:rPr>
              <w:t>D3-CTL-02</w:t>
            </w:r>
          </w:p>
        </w:tc>
        <w:tc>
          <w:tcPr>
            <w:tcW w:type="dxa" w:w="1818"/>
            <w:vAlign w:val="center"/>
            <w:shd w:fill="F5F7F9"/>
          </w:tcPr>
          <w:p>
            <w:r/>
            <w:r>
              <w:rPr>
                <w:b w:val="0"/>
                <w:sz w:val="12"/>
              </w:rPr>
              <w:t>Inter-Agent Communication Security</w:t>
            </w:r>
          </w:p>
        </w:tc>
        <w:tc>
          <w:tcPr>
            <w:tcW w:type="dxa" w:w="1818"/>
            <w:vAlign w:val="center"/>
            <w:shd w:fill="F5F7F9"/>
          </w:tcPr>
          <w:p>
            <w:r/>
            <w:r>
              <w:rPr>
                <w:b w:val="0"/>
                <w:sz w:val="12"/>
              </w:rPr>
              <w:t>MEASURE 1.3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D3-CTL-02 addresses inter-agent communication security through mTLS for agent mesh + message signing + payload validation.. This supports the NIST outcome concerning internal experts who did not serve as front-line developers for the system and/or independent assessors are in- volved in regular assessments and updates. domain experts, users, ai.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CRO022-M-051</w:t>
            </w:r>
          </w:p>
        </w:tc>
        <w:tc>
          <w:tcPr>
            <w:tcW w:type="dxa" w:w="1818"/>
            <w:vAlign w:val="center"/>
          </w:tcPr>
          <w:p>
            <w:r/>
            <w:r>
              <w:rPr>
                <w:b w:val="0"/>
                <w:sz w:val="12"/>
              </w:rPr>
              <w:t>D3-CTL-02</w:t>
            </w:r>
          </w:p>
        </w:tc>
        <w:tc>
          <w:tcPr>
            <w:tcW w:type="dxa" w:w="1818"/>
            <w:vAlign w:val="center"/>
          </w:tcPr>
          <w:p>
            <w:r/>
            <w:r>
              <w:rPr>
                <w:b w:val="0"/>
                <w:sz w:val="12"/>
              </w:rPr>
              <w:t>Inter-Agent Communication Security</w:t>
            </w:r>
          </w:p>
        </w:tc>
        <w:tc>
          <w:tcPr>
            <w:tcW w:type="dxa" w:w="1818"/>
            <w:vAlign w:val="center"/>
          </w:tcPr>
          <w:p>
            <w:r/>
            <w:r>
              <w:rPr>
                <w:b w:val="0"/>
                <w:sz w:val="12"/>
              </w:rPr>
              <w:t>MEASURE 2.7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D3-CTL-02 addresses inter-agent communication security through mTLS for agent mesh + message signing + payload validation..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CRO022-M-052</w:t>
            </w:r>
          </w:p>
        </w:tc>
        <w:tc>
          <w:tcPr>
            <w:tcW w:type="dxa" w:w="1818"/>
            <w:vAlign w:val="center"/>
            <w:shd w:fill="F5F7F9"/>
          </w:tcPr>
          <w:p>
            <w:r/>
            <w:r>
              <w:rPr>
                <w:b w:val="0"/>
                <w:sz w:val="12"/>
              </w:rPr>
              <w:t>D3-CTL-03</w:t>
            </w:r>
          </w:p>
        </w:tc>
        <w:tc>
          <w:tcPr>
            <w:tcW w:type="dxa" w:w="1818"/>
            <w:vAlign w:val="center"/>
            <w:shd w:fill="F5F7F9"/>
          </w:tcPr>
          <w:p>
            <w:r/>
            <w:r>
              <w:rPr>
                <w:b w:val="0"/>
                <w:sz w:val="12"/>
              </w:rPr>
              <w:t>Agentic Prompt Chaining Detection</w:t>
            </w:r>
          </w:p>
        </w:tc>
        <w:tc>
          <w:tcPr>
            <w:tcW w:type="dxa" w:w="1818"/>
            <w:vAlign w:val="center"/>
            <w:shd w:fill="F5F7F9"/>
          </w:tcPr>
          <w:p>
            <w:r/>
            <w:r>
              <w:rPr>
                <w:b w:val="0"/>
                <w:sz w:val="12"/>
              </w:rPr>
              <w:t>MEASURE 2.7</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D3-CTL-03 addresses agentic prompt chaining detection through Cross-session behavioural correlation + chain pattern detection + anomaly scoring..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CRO022-M-053</w:t>
            </w:r>
          </w:p>
        </w:tc>
        <w:tc>
          <w:tcPr>
            <w:tcW w:type="dxa" w:w="1818"/>
            <w:vAlign w:val="center"/>
          </w:tcPr>
          <w:p>
            <w:r/>
            <w:r>
              <w:rPr>
                <w:b w:val="0"/>
                <w:sz w:val="12"/>
              </w:rPr>
              <w:t>D3-CTL-03</w:t>
            </w:r>
          </w:p>
        </w:tc>
        <w:tc>
          <w:tcPr>
            <w:tcW w:type="dxa" w:w="1818"/>
            <w:vAlign w:val="center"/>
          </w:tcPr>
          <w:p>
            <w:r/>
            <w:r>
              <w:rPr>
                <w:b w:val="0"/>
                <w:sz w:val="12"/>
              </w:rPr>
              <w:t>Agentic Prompt Chaining Detection</w:t>
            </w:r>
          </w:p>
        </w:tc>
        <w:tc>
          <w:tcPr>
            <w:tcW w:type="dxa" w:w="1818"/>
            <w:vAlign w:val="center"/>
          </w:tcPr>
          <w:p>
            <w:r/>
            <w:r>
              <w:rPr>
                <w:b w:val="0"/>
                <w:sz w:val="12"/>
              </w:rPr>
              <w:t>MAP 1.1</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D3-CTL-03 addresses agentic prompt chaining detection through Cross-session behavioural correlation + chain pattern detection + anomaly scoring.. This supports the NIST outcome concerning intended purposes, potentially beneficial uses, context- specific laws, norms and expectations, and prospective settings in which the ai system will be deployed are understood and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CRO022-M-054</w:t>
            </w:r>
          </w:p>
        </w:tc>
        <w:tc>
          <w:tcPr>
            <w:tcW w:type="dxa" w:w="1818"/>
            <w:vAlign w:val="center"/>
            <w:shd w:fill="F5F7F9"/>
          </w:tcPr>
          <w:p>
            <w:r/>
            <w:r>
              <w:rPr>
                <w:b w:val="0"/>
                <w:sz w:val="12"/>
              </w:rPr>
              <w:t>D3-CTL-03</w:t>
            </w:r>
          </w:p>
        </w:tc>
        <w:tc>
          <w:tcPr>
            <w:tcW w:type="dxa" w:w="1818"/>
            <w:vAlign w:val="center"/>
            <w:shd w:fill="F5F7F9"/>
          </w:tcPr>
          <w:p>
            <w:r/>
            <w:r>
              <w:rPr>
                <w:b w:val="0"/>
                <w:sz w:val="12"/>
              </w:rPr>
              <w:t>Agentic Prompt Chaining Detection</w:t>
            </w:r>
          </w:p>
        </w:tc>
        <w:tc>
          <w:tcPr>
            <w:tcW w:type="dxa" w:w="1818"/>
            <w:vAlign w:val="center"/>
            <w:shd w:fill="F5F7F9"/>
          </w:tcPr>
          <w:p>
            <w:r/>
            <w:r>
              <w:rPr>
                <w:b w:val="0"/>
                <w:sz w:val="12"/>
              </w:rPr>
              <w:t>MAP 1.6</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D3-CTL-03 addresses agentic prompt chaining detection through Cross-session behavioural correlation + chain pattern detection + anomaly scoring.. This supports the NIST outcome concerning system requirements (e.g., “the system shall respect the privacy of its users”) are elicited from and understood by rel- evant ai actors. design decisions take socio-technical impl.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CRO022-M-055</w:t>
            </w:r>
          </w:p>
        </w:tc>
        <w:tc>
          <w:tcPr>
            <w:tcW w:type="dxa" w:w="1818"/>
            <w:vAlign w:val="center"/>
          </w:tcPr>
          <w:p>
            <w:r/>
            <w:r>
              <w:rPr>
                <w:b w:val="0"/>
                <w:sz w:val="12"/>
              </w:rPr>
              <w:t>D3-CTL-04</w:t>
            </w:r>
          </w:p>
        </w:tc>
        <w:tc>
          <w:tcPr>
            <w:tcW w:type="dxa" w:w="1818"/>
            <w:vAlign w:val="center"/>
          </w:tcPr>
          <w:p>
            <w:r/>
            <w:r>
              <w:rPr>
                <w:b w:val="0"/>
                <w:sz w:val="12"/>
              </w:rPr>
              <w:t>Embodied Ai Safety Controls</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D3-CTL-04 addresses embodied ai safety controls through Sensor integrity verification + safety interlocks + fail-safe state enforcement..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CRO022-M-056</w:t>
            </w:r>
          </w:p>
        </w:tc>
        <w:tc>
          <w:tcPr>
            <w:tcW w:type="dxa" w:w="1818"/>
            <w:vAlign w:val="center"/>
            <w:shd w:fill="F5F7F9"/>
          </w:tcPr>
          <w:p>
            <w:r/>
            <w:r>
              <w:rPr>
                <w:b w:val="0"/>
                <w:sz w:val="12"/>
              </w:rPr>
              <w:t>D3-CTL-04</w:t>
            </w:r>
          </w:p>
        </w:tc>
        <w:tc>
          <w:tcPr>
            <w:tcW w:type="dxa" w:w="1818"/>
            <w:vAlign w:val="center"/>
            <w:shd w:fill="F5F7F9"/>
          </w:tcPr>
          <w:p>
            <w:r/>
            <w:r>
              <w:rPr>
                <w:b w:val="0"/>
                <w:sz w:val="12"/>
              </w:rPr>
              <w:t>Embodied Ai Safety Controls</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D3-CTL-04 addresses embodied ai safety controls through Sensor integrity verification + safety interlocks + fail-safe state enforcement..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CRO022-M-057</w:t>
            </w:r>
          </w:p>
        </w:tc>
        <w:tc>
          <w:tcPr>
            <w:tcW w:type="dxa" w:w="1818"/>
            <w:vAlign w:val="center"/>
          </w:tcPr>
          <w:p>
            <w:r/>
            <w:r>
              <w:rPr>
                <w:b w:val="0"/>
                <w:sz w:val="12"/>
              </w:rPr>
              <w:t>D3-CTL-04</w:t>
            </w:r>
          </w:p>
        </w:tc>
        <w:tc>
          <w:tcPr>
            <w:tcW w:type="dxa" w:w="1818"/>
            <w:vAlign w:val="center"/>
          </w:tcPr>
          <w:p>
            <w:r/>
            <w:r>
              <w:rPr>
                <w:b w:val="0"/>
                <w:sz w:val="12"/>
              </w:rPr>
              <w:t>Embodied Ai Safety Controls</w:t>
            </w:r>
          </w:p>
        </w:tc>
        <w:tc>
          <w:tcPr>
            <w:tcW w:type="dxa" w:w="1818"/>
            <w:vAlign w:val="center"/>
          </w:tcPr>
          <w:p>
            <w:r/>
            <w:r>
              <w:rPr>
                <w:b w:val="0"/>
                <w:sz w:val="12"/>
              </w:rPr>
              <w:t>MAP 2.3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D3-CTL-04 addresses embodied ai safety controls through Sensor integrity verification + safety interlocks + fail-safe state enforcement.. This supports the NIST outcome concerning scientific integrity and tevv considerations are iden- tified and documented, including those related to experimental design, data collection and selection (e.g., availability, rep.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CRO022-M-058</w:t>
            </w:r>
          </w:p>
        </w:tc>
        <w:tc>
          <w:tcPr>
            <w:tcW w:type="dxa" w:w="1818"/>
            <w:vAlign w:val="center"/>
            <w:shd w:fill="F5F7F9"/>
          </w:tcPr>
          <w:p>
            <w:r/>
            <w:r>
              <w:rPr>
                <w:b w:val="0"/>
                <w:sz w:val="12"/>
              </w:rPr>
              <w:t>D3-CTL-05</w:t>
            </w:r>
          </w:p>
        </w:tc>
        <w:tc>
          <w:tcPr>
            <w:tcW w:type="dxa" w:w="1818"/>
            <w:vAlign w:val="center"/>
            <w:shd w:fill="F5F7F9"/>
          </w:tcPr>
          <w:p>
            <w:r/>
            <w:r>
              <w:rPr>
                <w:b w:val="0"/>
                <w:sz w:val="12"/>
              </w:rPr>
              <w:t>Multi-Agent Trust Chain Attestation</w:t>
            </w:r>
          </w:p>
        </w:tc>
        <w:tc>
          <w:tcPr>
            <w:tcW w:type="dxa" w:w="1818"/>
            <w:vAlign w:val="center"/>
            <w:shd w:fill="F5F7F9"/>
          </w:tcPr>
          <w:p>
            <w:r/>
            <w:r>
              <w:rPr>
                <w:b w:val="0"/>
                <w:sz w:val="12"/>
              </w:rPr>
              <w:t>MEASURE 2.7</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D3-CTL-05 addresses multi-agent trust chain attestation through SPIFFE/SPIRE workload identity + short-lived certificates + continuous attestation..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CRO022-M-059</w:t>
            </w:r>
          </w:p>
        </w:tc>
        <w:tc>
          <w:tcPr>
            <w:tcW w:type="dxa" w:w="1818"/>
            <w:vAlign w:val="center"/>
          </w:tcPr>
          <w:p>
            <w:r/>
            <w:r>
              <w:rPr>
                <w:b w:val="0"/>
                <w:sz w:val="12"/>
              </w:rPr>
              <w:t>D3-CTL-05</w:t>
            </w:r>
          </w:p>
        </w:tc>
        <w:tc>
          <w:tcPr>
            <w:tcW w:type="dxa" w:w="1818"/>
            <w:vAlign w:val="center"/>
          </w:tcPr>
          <w:p>
            <w:r/>
            <w:r>
              <w:rPr>
                <w:b w:val="0"/>
                <w:sz w:val="12"/>
              </w:rPr>
              <w:t>Multi-Agent Trust Chain Attestation</w:t>
            </w:r>
          </w:p>
        </w:tc>
        <w:tc>
          <w:tcPr>
            <w:tcW w:type="dxa" w:w="1818"/>
            <w:vAlign w:val="center"/>
          </w:tcPr>
          <w:p>
            <w:r/>
            <w:r>
              <w:rPr>
                <w:b w:val="0"/>
                <w:sz w:val="12"/>
              </w:rPr>
              <w:t>MAP 1.1</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D3-CTL-05 addresses multi-agent trust chain attestation through SPIFFE/SPIRE workload identity + short-lived certificates + continuous attestation.. This supports the NIST outcome concerning intended purposes, potentially beneficial uses, context- specific laws, norms and expectations, and prospective settings in which the ai system will be deployed are understood and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CRO022-M-060</w:t>
            </w:r>
          </w:p>
        </w:tc>
        <w:tc>
          <w:tcPr>
            <w:tcW w:type="dxa" w:w="1818"/>
            <w:vAlign w:val="center"/>
            <w:shd w:fill="F5F7F9"/>
          </w:tcPr>
          <w:p>
            <w:r/>
            <w:r>
              <w:rPr>
                <w:b w:val="0"/>
                <w:sz w:val="12"/>
              </w:rPr>
              <w:t>D3-CTL-05</w:t>
            </w:r>
          </w:p>
        </w:tc>
        <w:tc>
          <w:tcPr>
            <w:tcW w:type="dxa" w:w="1818"/>
            <w:vAlign w:val="center"/>
            <w:shd w:fill="F5F7F9"/>
          </w:tcPr>
          <w:p>
            <w:r/>
            <w:r>
              <w:rPr>
                <w:b w:val="0"/>
                <w:sz w:val="12"/>
              </w:rPr>
              <w:t>Multi-Agent Trust Chain Attestation</w:t>
            </w:r>
          </w:p>
        </w:tc>
        <w:tc>
          <w:tcPr>
            <w:tcW w:type="dxa" w:w="1818"/>
            <w:vAlign w:val="center"/>
            <w:shd w:fill="F5F7F9"/>
          </w:tcPr>
          <w:p>
            <w:r/>
            <w:r>
              <w:rPr>
                <w:b w:val="0"/>
                <w:sz w:val="12"/>
              </w:rPr>
              <w:t>MAP 1.6</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D3-CTL-05 addresses multi-agent trust chain attestation through SPIFFE/SPIRE workload identity + short-lived certificates + continuous attestation.. This supports the NIST outcome concerning system requirements (e.g., “the system shall respect the privacy of its users”) are elicited from and understood by rel- evant ai actors. design decisions take socio-technical impl.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CRO022-M-061</w:t>
            </w:r>
          </w:p>
        </w:tc>
        <w:tc>
          <w:tcPr>
            <w:tcW w:type="dxa" w:w="1818"/>
            <w:vAlign w:val="center"/>
          </w:tcPr>
          <w:p>
            <w:r/>
            <w:r>
              <w:rPr>
                <w:b w:val="0"/>
                <w:sz w:val="12"/>
              </w:rPr>
              <w:t>D3-CTL-06</w:t>
            </w:r>
          </w:p>
        </w:tc>
        <w:tc>
          <w:tcPr>
            <w:tcW w:type="dxa" w:w="1818"/>
            <w:vAlign w:val="center"/>
          </w:tcPr>
          <w:p>
            <w:r/>
            <w:r>
              <w:rPr>
                <w:b w:val="0"/>
                <w:sz w:val="12"/>
              </w:rPr>
              <w:t>Persistent Memory Exfiltration Prevention</w:t>
            </w:r>
          </w:p>
        </w:tc>
        <w:tc>
          <w:tcPr>
            <w:tcW w:type="dxa" w:w="1818"/>
            <w:vAlign w:val="center"/>
          </w:tcPr>
          <w:p>
            <w:r/>
            <w:r>
              <w:rPr>
                <w:b w:val="0"/>
                <w:sz w:val="12"/>
              </w:rPr>
              <w:t>MEASURE 2.7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D3-CTL-06 addresses persistent memory exfiltration prevention through User-scoped memory isolation + encryption at rest + query-level access controls..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CRO022-M-062</w:t>
            </w:r>
          </w:p>
        </w:tc>
        <w:tc>
          <w:tcPr>
            <w:tcW w:type="dxa" w:w="1818"/>
            <w:vAlign w:val="center"/>
            <w:shd w:fill="F5F7F9"/>
          </w:tcPr>
          <w:p>
            <w:r/>
            <w:r>
              <w:rPr>
                <w:b w:val="0"/>
                <w:sz w:val="12"/>
              </w:rPr>
              <w:t>D3-CTL-06</w:t>
            </w:r>
          </w:p>
        </w:tc>
        <w:tc>
          <w:tcPr>
            <w:tcW w:type="dxa" w:w="1818"/>
            <w:vAlign w:val="center"/>
            <w:shd w:fill="F5F7F9"/>
          </w:tcPr>
          <w:p>
            <w:r/>
            <w:r>
              <w:rPr>
                <w:b w:val="0"/>
                <w:sz w:val="12"/>
              </w:rPr>
              <w:t>Persistent Memory Exfiltration Prevention</w:t>
            </w:r>
          </w:p>
        </w:tc>
        <w:tc>
          <w:tcPr>
            <w:tcW w:type="dxa" w:w="1818"/>
            <w:vAlign w:val="center"/>
            <w:shd w:fill="F5F7F9"/>
          </w:tcPr>
          <w:p>
            <w:r/>
            <w:r>
              <w:rPr>
                <w:b w:val="0"/>
                <w:sz w:val="12"/>
              </w:rPr>
              <w:t>MAP 1.1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D3-CTL-06 addresses persistent memory exfiltration prevention through User-scoped memory isolation + encryption at rest + query-level access controls.. This supports the NIST outcome concerning intended purposes, potentially beneficial uses, context- specific laws, norms and expectations, and prospective settings in which the ai system will be deployed are understood and .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CRO022-M-063</w:t>
            </w:r>
          </w:p>
        </w:tc>
        <w:tc>
          <w:tcPr>
            <w:tcW w:type="dxa" w:w="1818"/>
            <w:vAlign w:val="center"/>
          </w:tcPr>
          <w:p>
            <w:r/>
            <w:r>
              <w:rPr>
                <w:b w:val="0"/>
                <w:sz w:val="12"/>
              </w:rPr>
              <w:t>D3-CTL-06</w:t>
            </w:r>
          </w:p>
        </w:tc>
        <w:tc>
          <w:tcPr>
            <w:tcW w:type="dxa" w:w="1818"/>
            <w:vAlign w:val="center"/>
          </w:tcPr>
          <w:p>
            <w:r/>
            <w:r>
              <w:rPr>
                <w:b w:val="0"/>
                <w:sz w:val="12"/>
              </w:rPr>
              <w:t>Persistent Memory Exfiltration Prevention</w:t>
            </w:r>
          </w:p>
        </w:tc>
        <w:tc>
          <w:tcPr>
            <w:tcW w:type="dxa" w:w="1818"/>
            <w:vAlign w:val="center"/>
          </w:tcPr>
          <w:p>
            <w:r/>
            <w:r>
              <w:rPr>
                <w:b w:val="0"/>
                <w:sz w:val="12"/>
              </w:rPr>
              <w:t>MAP 1.6</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D3-CTL-06 addresses persistent memory exfiltration prevention through User-scoped memory isolation + encryption at rest + query-level access controls.. This supports the NIST outcome concerning system requirements (e.g., “the system shall respect the privacy of its users”) are elicited from and understood by rel- evant ai actors. design decisions take socio-technical impl.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CRO022-M-064</w:t>
            </w:r>
          </w:p>
        </w:tc>
        <w:tc>
          <w:tcPr>
            <w:tcW w:type="dxa" w:w="1818"/>
            <w:vAlign w:val="center"/>
            <w:shd w:fill="F5F7F9"/>
          </w:tcPr>
          <w:p>
            <w:r/>
            <w:r>
              <w:rPr>
                <w:b w:val="0"/>
                <w:sz w:val="12"/>
              </w:rPr>
              <w:t>D3-CTL-07</w:t>
            </w:r>
          </w:p>
        </w:tc>
        <w:tc>
          <w:tcPr>
            <w:tcW w:type="dxa" w:w="1818"/>
            <w:vAlign w:val="center"/>
            <w:shd w:fill="F5F7F9"/>
          </w:tcPr>
          <w:p>
            <w:r/>
            <w:r>
              <w:rPr>
                <w:b w:val="0"/>
                <w:sz w:val="12"/>
              </w:rPr>
              <w:t>Secure Memory Lifecycle Management</w:t>
            </w:r>
          </w:p>
        </w:tc>
        <w:tc>
          <w:tcPr>
            <w:tcW w:type="dxa" w:w="1818"/>
            <w:vAlign w:val="center"/>
            <w:shd w:fill="F5F7F9"/>
          </w:tcPr>
          <w:p>
            <w:r/>
            <w:r>
              <w:rPr>
                <w:b w:val="0"/>
                <w:sz w:val="12"/>
              </w:rPr>
              <w:t>MAP 3.5</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D3-CTL-07 addresses secure memory lifecycle management through Cryptographic deletion + lifecycle policy enforcement + retention auditing.. This supports the NIST outcome concerning processes for human oversight are defined, assessed, and documented in accordance with organizational policies from the govern function. map 4: risks and benefits are mapped for al.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CRO022-M-065</w:t>
            </w:r>
          </w:p>
        </w:tc>
        <w:tc>
          <w:tcPr>
            <w:tcW w:type="dxa" w:w="1818"/>
            <w:vAlign w:val="center"/>
          </w:tcPr>
          <w:p>
            <w:r/>
            <w:r>
              <w:rPr>
                <w:b w:val="0"/>
                <w:sz w:val="12"/>
              </w:rPr>
              <w:t>D3-CTL-07</w:t>
            </w:r>
          </w:p>
        </w:tc>
        <w:tc>
          <w:tcPr>
            <w:tcW w:type="dxa" w:w="1818"/>
            <w:vAlign w:val="center"/>
          </w:tcPr>
          <w:p>
            <w:r/>
            <w:r>
              <w:rPr>
                <w:b w:val="0"/>
                <w:sz w:val="12"/>
              </w:rPr>
              <w:t>Secure Memory Lifecycle Management</w:t>
            </w:r>
          </w:p>
        </w:tc>
        <w:tc>
          <w:tcPr>
            <w:tcW w:type="dxa" w:w="1818"/>
            <w:vAlign w:val="center"/>
          </w:tcPr>
          <w:p>
            <w:r/>
            <w:r>
              <w:rPr>
                <w:b w:val="0"/>
                <w:sz w:val="12"/>
              </w:rPr>
              <w:t>MEASURE 2.9</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D3-CTL-07 addresses secure memory lifecycle management through Cryptographic deletion + lifecycle policy enforcement + retention auditing.. This supports the NIST outcome concerning the ai model is explained, validated, and docu- mented, and ai system output is interpreted within its context – as identified in the map function – to inform responsible use and g.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CRO022-M-066</w:t>
            </w:r>
          </w:p>
        </w:tc>
        <w:tc>
          <w:tcPr>
            <w:tcW w:type="dxa" w:w="1818"/>
            <w:vAlign w:val="center"/>
            <w:shd w:fill="F5F7F9"/>
          </w:tcPr>
          <w:p>
            <w:r/>
            <w:r>
              <w:rPr>
                <w:b w:val="0"/>
                <w:sz w:val="12"/>
              </w:rPr>
              <w:t>D3-CTL-07</w:t>
            </w:r>
          </w:p>
        </w:tc>
        <w:tc>
          <w:tcPr>
            <w:tcW w:type="dxa" w:w="1818"/>
            <w:vAlign w:val="center"/>
            <w:shd w:fill="F5F7F9"/>
          </w:tcPr>
          <w:p>
            <w:r/>
            <w:r>
              <w:rPr>
                <w:b w:val="0"/>
                <w:sz w:val="12"/>
              </w:rPr>
              <w:t>Secure Memory Lifecycle Management</w:t>
            </w:r>
          </w:p>
        </w:tc>
        <w:tc>
          <w:tcPr>
            <w:tcW w:type="dxa" w:w="1818"/>
            <w:vAlign w:val="center"/>
            <w:shd w:fill="F5F7F9"/>
          </w:tcPr>
          <w:p>
            <w:r/>
            <w:r>
              <w:rPr>
                <w:b w:val="0"/>
                <w:sz w:val="12"/>
              </w:rPr>
              <w:t>GOVERN 2.3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D3-CTL-07 addresses secure memory lifecycle management through Cryptographic deletion + lifecycle policy enforcement + retention auditing.. This supports the NIST outcome concerning executive leadership of the organization takes re- sponsibility for decisions about risks associated with ai system development and deployment. govern 3: workforce diversity, equit.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CRO022-M-067</w:t>
            </w:r>
          </w:p>
        </w:tc>
        <w:tc>
          <w:tcPr>
            <w:tcW w:type="dxa" w:w="1818"/>
            <w:vAlign w:val="center"/>
          </w:tcPr>
          <w:p>
            <w:r/>
            <w:r>
              <w:rPr>
                <w:b w:val="0"/>
                <w:sz w:val="12"/>
              </w:rPr>
              <w:t>D4-CTL-01</w:t>
            </w:r>
          </w:p>
        </w:tc>
        <w:tc>
          <w:tcPr>
            <w:tcW w:type="dxa" w:w="1818"/>
            <w:vAlign w:val="center"/>
          </w:tcPr>
          <w:p>
            <w:r/>
            <w:r>
              <w:rPr>
                <w:b w:val="0"/>
                <w:sz w:val="12"/>
              </w:rPr>
              <w:t>Ai Bill Of Materials (Ai Bom) Maintenance</w:t>
            </w:r>
          </w:p>
        </w:tc>
        <w:tc>
          <w:tcPr>
            <w:tcW w:type="dxa" w:w="1818"/>
            <w:vAlign w:val="center"/>
          </w:tcPr>
          <w:p>
            <w:r/>
            <w:r>
              <w:rPr>
                <w:b w:val="0"/>
                <w:sz w:val="12"/>
              </w:rPr>
              <w:t>GOVERN 6.2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D4-CTL-01 addresses ai bill of materials (ai bom) maintenance through Automated BOM generation + version tracking + registry synchronization..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CRO022-M-068</w:t>
            </w:r>
          </w:p>
        </w:tc>
        <w:tc>
          <w:tcPr>
            <w:tcW w:type="dxa" w:w="1818"/>
            <w:vAlign w:val="center"/>
            <w:shd w:fill="F5F7F9"/>
          </w:tcPr>
          <w:p>
            <w:r/>
            <w:r>
              <w:rPr>
                <w:b w:val="0"/>
                <w:sz w:val="12"/>
              </w:rPr>
              <w:t>D4-CTL-01</w:t>
            </w:r>
          </w:p>
        </w:tc>
        <w:tc>
          <w:tcPr>
            <w:tcW w:type="dxa" w:w="1818"/>
            <w:vAlign w:val="center"/>
            <w:shd w:fill="F5F7F9"/>
          </w:tcPr>
          <w:p>
            <w:r/>
            <w:r>
              <w:rPr>
                <w:b w:val="0"/>
                <w:sz w:val="12"/>
              </w:rPr>
              <w:t>Ai Bill Of Materials (Ai Bom) Maintenance</w:t>
            </w:r>
          </w:p>
        </w:tc>
        <w:tc>
          <w:tcPr>
            <w:tcW w:type="dxa" w:w="1818"/>
            <w:vAlign w:val="center"/>
            <w:shd w:fill="F5F7F9"/>
          </w:tcPr>
          <w:p>
            <w:r/>
            <w:r>
              <w:rPr>
                <w:b w:val="0"/>
                <w:sz w:val="12"/>
              </w:rPr>
              <w:t>MEASURE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D4-CTL-01 addresses ai bill of materials (ai bom) maintenance through Automated BOM generation + version tracking + registry synchronization..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CRO022-M-069</w:t>
            </w:r>
          </w:p>
        </w:tc>
        <w:tc>
          <w:tcPr>
            <w:tcW w:type="dxa" w:w="1818"/>
            <w:vAlign w:val="center"/>
          </w:tcPr>
          <w:p>
            <w:r/>
            <w:r>
              <w:rPr>
                <w:b w:val="0"/>
                <w:sz w:val="12"/>
              </w:rPr>
              <w:t>D4-CTL-01</w:t>
            </w:r>
          </w:p>
        </w:tc>
        <w:tc>
          <w:tcPr>
            <w:tcW w:type="dxa" w:w="1818"/>
            <w:vAlign w:val="center"/>
          </w:tcPr>
          <w:p>
            <w:r/>
            <w:r>
              <w:rPr>
                <w:b w:val="0"/>
                <w:sz w:val="12"/>
              </w:rPr>
              <w:t>Ai Bill Of Materials (Ai Bom) Maintenance</w:t>
            </w:r>
          </w:p>
        </w:tc>
        <w:tc>
          <w:tcPr>
            <w:tcW w:type="dxa" w:w="1818"/>
            <w:vAlign w:val="center"/>
          </w:tcPr>
          <w:p>
            <w:r/>
            <w:r>
              <w:rPr>
                <w:b w:val="0"/>
                <w:sz w:val="12"/>
              </w:rPr>
              <w:t>GOVERN 1.6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D4-CTL-01 addresses ai bill of materials (ai bom) maintenance through Automated BOM generation + version tracking + registry synchronization.. This supports the NIST outcome concerning mechanisms are in place to inventory ai systems and are resourced according to organizational risk priorities.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CRO022-M-070</w:t>
            </w:r>
          </w:p>
        </w:tc>
        <w:tc>
          <w:tcPr>
            <w:tcW w:type="dxa" w:w="1818"/>
            <w:vAlign w:val="center"/>
            <w:shd w:fill="F5F7F9"/>
          </w:tcPr>
          <w:p>
            <w:r/>
            <w:r>
              <w:rPr>
                <w:b w:val="0"/>
                <w:sz w:val="12"/>
              </w:rPr>
              <w:t>D4-CTL-02</w:t>
            </w:r>
          </w:p>
        </w:tc>
        <w:tc>
          <w:tcPr>
            <w:tcW w:type="dxa" w:w="1818"/>
            <w:vAlign w:val="center"/>
            <w:shd w:fill="F5F7F9"/>
          </w:tcPr>
          <w:p>
            <w:r/>
            <w:r>
              <w:rPr>
                <w:b w:val="0"/>
                <w:sz w:val="12"/>
              </w:rPr>
              <w:t>Model File &amp; Artifact Scanning</w:t>
            </w:r>
          </w:p>
        </w:tc>
        <w:tc>
          <w:tcPr>
            <w:tcW w:type="dxa" w:w="1818"/>
            <w:vAlign w:val="center"/>
            <w:shd w:fill="F5F7F9"/>
          </w:tcPr>
          <w:p>
            <w:r/>
            <w:r>
              <w:rPr>
                <w:b w:val="0"/>
                <w:sz w:val="12"/>
              </w:rPr>
              <w:t>GOVERN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D4-CTL-02 addresses model file &amp; artifact scanning through Static analysis + deserialization sandboxing + signature verification..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CRO022-M-071</w:t>
            </w:r>
          </w:p>
        </w:tc>
        <w:tc>
          <w:tcPr>
            <w:tcW w:type="dxa" w:w="1818"/>
            <w:vAlign w:val="center"/>
          </w:tcPr>
          <w:p>
            <w:r/>
            <w:r>
              <w:rPr>
                <w:b w:val="0"/>
                <w:sz w:val="12"/>
              </w:rPr>
              <w:t>D4-CTL-02</w:t>
            </w:r>
          </w:p>
        </w:tc>
        <w:tc>
          <w:tcPr>
            <w:tcW w:type="dxa" w:w="1818"/>
            <w:vAlign w:val="center"/>
          </w:tcPr>
          <w:p>
            <w:r/>
            <w:r>
              <w:rPr>
                <w:b w:val="0"/>
                <w:sz w:val="12"/>
              </w:rPr>
              <w:t>Model File &amp; Artifact Scanning</w:t>
            </w:r>
          </w:p>
        </w:tc>
        <w:tc>
          <w:tcPr>
            <w:tcW w:type="dxa" w:w="1818"/>
            <w:vAlign w:val="center"/>
          </w:tcPr>
          <w:p>
            <w:r/>
            <w:r>
              <w:rPr>
                <w:b w:val="0"/>
                <w:sz w:val="12"/>
              </w:rPr>
              <w:t>GOVERN 6.1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D4-CTL-02 addresses model file &amp; artifact scanning through Static analysis + deserialization sandboxing + signature verification.. This supports the NIST outcome concerning policies and procedures are in place that address ai risks associated with third-party entities, including risks of in- fringement of a third-party’s intellectual property or other.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CRO022-M-072</w:t>
            </w:r>
          </w:p>
        </w:tc>
        <w:tc>
          <w:tcPr>
            <w:tcW w:type="dxa" w:w="1818"/>
            <w:vAlign w:val="center"/>
            <w:shd w:fill="F5F7F9"/>
          </w:tcPr>
          <w:p>
            <w:r/>
            <w:r>
              <w:rPr>
                <w:b w:val="0"/>
                <w:sz w:val="12"/>
              </w:rPr>
              <w:t>D4-CTL-02</w:t>
            </w:r>
          </w:p>
        </w:tc>
        <w:tc>
          <w:tcPr>
            <w:tcW w:type="dxa" w:w="1818"/>
            <w:vAlign w:val="center"/>
            <w:shd w:fill="F5F7F9"/>
          </w:tcPr>
          <w:p>
            <w:r/>
            <w:r>
              <w:rPr>
                <w:b w:val="0"/>
                <w:sz w:val="12"/>
              </w:rPr>
              <w:t>Model File &amp; Artifact Scanning</w:t>
            </w:r>
          </w:p>
        </w:tc>
        <w:tc>
          <w:tcPr>
            <w:tcW w:type="dxa" w:w="1818"/>
            <w:vAlign w:val="center"/>
            <w:shd w:fill="F5F7F9"/>
          </w:tcPr>
          <w:p>
            <w:r/>
            <w:r>
              <w:rPr>
                <w:b w:val="0"/>
                <w:sz w:val="12"/>
              </w:rPr>
              <w:t>GOVERN 6.2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D4-CTL-02 addresses model file &amp; artifact scanning through Static analysis + deserialization sandboxing + signature verification..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CRO022-M-073</w:t>
            </w:r>
          </w:p>
        </w:tc>
        <w:tc>
          <w:tcPr>
            <w:tcW w:type="dxa" w:w="1818"/>
            <w:vAlign w:val="center"/>
          </w:tcPr>
          <w:p>
            <w:r/>
            <w:r>
              <w:rPr>
                <w:b w:val="0"/>
                <w:sz w:val="12"/>
              </w:rPr>
              <w:t>D4-CTL-03</w:t>
            </w:r>
          </w:p>
        </w:tc>
        <w:tc>
          <w:tcPr>
            <w:tcW w:type="dxa" w:w="1818"/>
            <w:vAlign w:val="center"/>
          </w:tcPr>
          <w:p>
            <w:r/>
            <w:r>
              <w:rPr>
                <w:b w:val="0"/>
                <w:sz w:val="12"/>
              </w:rPr>
              <w:t>Model Hub &amp; Registry Vetting</w:t>
            </w:r>
          </w:p>
        </w:tc>
        <w:tc>
          <w:tcPr>
            <w:tcW w:type="dxa" w:w="1818"/>
            <w:vAlign w:val="center"/>
          </w:tcPr>
          <w:p>
            <w:r/>
            <w:r>
              <w:rPr>
                <w:b w:val="0"/>
                <w:sz w:val="12"/>
              </w:rPr>
              <w:t>GOVERN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D4-CTL-03 addresses model hub &amp; registry vetting through Provenance verification + license compliance + security scorecard..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CRO022-M-074</w:t>
            </w:r>
          </w:p>
        </w:tc>
        <w:tc>
          <w:tcPr>
            <w:tcW w:type="dxa" w:w="1818"/>
            <w:vAlign w:val="center"/>
            <w:shd w:fill="F5F7F9"/>
          </w:tcPr>
          <w:p>
            <w:r/>
            <w:r>
              <w:rPr>
                <w:b w:val="0"/>
                <w:sz w:val="12"/>
              </w:rPr>
              <w:t>D4-CTL-03</w:t>
            </w:r>
          </w:p>
        </w:tc>
        <w:tc>
          <w:tcPr>
            <w:tcW w:type="dxa" w:w="1818"/>
            <w:vAlign w:val="center"/>
            <w:shd w:fill="F5F7F9"/>
          </w:tcPr>
          <w:p>
            <w:r/>
            <w:r>
              <w:rPr>
                <w:b w:val="0"/>
                <w:sz w:val="12"/>
              </w:rPr>
              <w:t>Model Hub &amp; Registry Vetting</w:t>
            </w:r>
          </w:p>
        </w:tc>
        <w:tc>
          <w:tcPr>
            <w:tcW w:type="dxa" w:w="1818"/>
            <w:vAlign w:val="center"/>
            <w:shd w:fill="F5F7F9"/>
          </w:tcPr>
          <w:p>
            <w:r/>
            <w:r>
              <w:rPr>
                <w:b w:val="0"/>
                <w:sz w:val="12"/>
              </w:rPr>
              <w:t>GOVERN 6.1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D4-CTL-03 addresses model hub &amp; registry vetting through Provenance verification + license compliance + security scorecard.. This supports the NIST outcome concerning policies and procedures are in place that address ai risks associated with third-party entities, including risks of in- fringement of a third-party’s intellectual property or other.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CRO022-M-075</w:t>
            </w:r>
          </w:p>
        </w:tc>
        <w:tc>
          <w:tcPr>
            <w:tcW w:type="dxa" w:w="1818"/>
            <w:vAlign w:val="center"/>
          </w:tcPr>
          <w:p>
            <w:r/>
            <w:r>
              <w:rPr>
                <w:b w:val="0"/>
                <w:sz w:val="12"/>
              </w:rPr>
              <w:t>D4-CTL-03</w:t>
            </w:r>
          </w:p>
        </w:tc>
        <w:tc>
          <w:tcPr>
            <w:tcW w:type="dxa" w:w="1818"/>
            <w:vAlign w:val="center"/>
          </w:tcPr>
          <w:p>
            <w:r/>
            <w:r>
              <w:rPr>
                <w:b w:val="0"/>
                <w:sz w:val="12"/>
              </w:rPr>
              <w:t>Model Hub &amp; Registry Vetting</w:t>
            </w:r>
          </w:p>
        </w:tc>
        <w:tc>
          <w:tcPr>
            <w:tcW w:type="dxa" w:w="1818"/>
            <w:vAlign w:val="center"/>
          </w:tcPr>
          <w:p>
            <w:r/>
            <w:r>
              <w:rPr>
                <w:b w:val="0"/>
                <w:sz w:val="12"/>
              </w:rPr>
              <w:t>GOVERN 6.2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D4-CTL-03 addresses model hub &amp; registry vetting through Provenance verification + license compliance + security scorecard..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CRO022-M-076</w:t>
            </w:r>
          </w:p>
        </w:tc>
        <w:tc>
          <w:tcPr>
            <w:tcW w:type="dxa" w:w="1818"/>
            <w:vAlign w:val="center"/>
            <w:shd w:fill="F5F7F9"/>
          </w:tcPr>
          <w:p>
            <w:r/>
            <w:r>
              <w:rPr>
                <w:b w:val="0"/>
                <w:sz w:val="12"/>
              </w:rPr>
              <w:t>D4-CTL-04</w:t>
            </w:r>
          </w:p>
        </w:tc>
        <w:tc>
          <w:tcPr>
            <w:tcW w:type="dxa" w:w="1818"/>
            <w:vAlign w:val="center"/>
            <w:shd w:fill="F5F7F9"/>
          </w:tcPr>
          <w:p>
            <w:r/>
            <w:r>
              <w:rPr>
                <w:b w:val="0"/>
                <w:sz w:val="12"/>
              </w:rPr>
              <w:t>Mcp Server Behavioral Monitoring</w:t>
            </w:r>
          </w:p>
        </w:tc>
        <w:tc>
          <w:tcPr>
            <w:tcW w:type="dxa" w:w="1818"/>
            <w:vAlign w:val="center"/>
            <w:shd w:fill="F5F7F9"/>
          </w:tcPr>
          <w:p>
            <w:r/>
            <w:r>
              <w:rPr>
                <w:b w:val="0"/>
                <w:sz w:val="12"/>
              </w:rPr>
              <w:t>MANAGE 3.1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D4-CTL-04 addresses mcp server behavioral monitoring through Tool-call logging + anomaly detection + access control enforcement.. This supports the NIST outcome concerning ai risks and benefits from third-party resources are regularly monitored, and risk controls are applied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CRO022-M-077</w:t>
            </w:r>
          </w:p>
        </w:tc>
        <w:tc>
          <w:tcPr>
            <w:tcW w:type="dxa" w:w="1818"/>
            <w:vAlign w:val="center"/>
          </w:tcPr>
          <w:p>
            <w:r/>
            <w:r>
              <w:rPr>
                <w:b w:val="0"/>
                <w:sz w:val="12"/>
              </w:rPr>
              <w:t>D4-CTL-04</w:t>
            </w:r>
          </w:p>
        </w:tc>
        <w:tc>
          <w:tcPr>
            <w:tcW w:type="dxa" w:w="1818"/>
            <w:vAlign w:val="center"/>
          </w:tcPr>
          <w:p>
            <w:r/>
            <w:r>
              <w:rPr>
                <w:b w:val="0"/>
                <w:sz w:val="12"/>
              </w:rPr>
              <w:t>Mcp Server Behavioral Monitoring</w:t>
            </w:r>
          </w:p>
        </w:tc>
        <w:tc>
          <w:tcPr>
            <w:tcW w:type="dxa" w:w="1818"/>
            <w:vAlign w:val="center"/>
          </w:tcPr>
          <w:p>
            <w:r/>
            <w:r>
              <w:rPr>
                <w:b w:val="0"/>
                <w:sz w:val="12"/>
              </w:rPr>
              <w:t>GOVERN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D4-CTL-04 addresses mcp server behavioral monitoring through Tool-call logging + anomaly detection + access control enforcement..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CRO022-M-078</w:t>
            </w:r>
          </w:p>
        </w:tc>
        <w:tc>
          <w:tcPr>
            <w:tcW w:type="dxa" w:w="1818"/>
            <w:vAlign w:val="center"/>
            <w:shd w:fill="F5F7F9"/>
          </w:tcPr>
          <w:p>
            <w:r/>
            <w:r>
              <w:rPr>
                <w:b w:val="0"/>
                <w:sz w:val="12"/>
              </w:rPr>
              <w:t>D4-CTL-04</w:t>
            </w:r>
          </w:p>
        </w:tc>
        <w:tc>
          <w:tcPr>
            <w:tcW w:type="dxa" w:w="1818"/>
            <w:vAlign w:val="center"/>
            <w:shd w:fill="F5F7F9"/>
          </w:tcPr>
          <w:p>
            <w:r/>
            <w:r>
              <w:rPr>
                <w:b w:val="0"/>
                <w:sz w:val="12"/>
              </w:rPr>
              <w:t>Mcp Server Behavioral Monitoring</w:t>
            </w:r>
          </w:p>
        </w:tc>
        <w:tc>
          <w:tcPr>
            <w:tcW w:type="dxa" w:w="1818"/>
            <w:vAlign w:val="center"/>
            <w:shd w:fill="F5F7F9"/>
          </w:tcPr>
          <w:p>
            <w:r/>
            <w:r>
              <w:rPr>
                <w:b w:val="0"/>
                <w:sz w:val="12"/>
              </w:rPr>
              <w:t>GOVERN 6.2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D4-CTL-04 addresses mcp server behavioral monitoring through Tool-call logging + anomaly detection + access control enforcement..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CRO022-M-079</w:t>
            </w:r>
          </w:p>
        </w:tc>
        <w:tc>
          <w:tcPr>
            <w:tcW w:type="dxa" w:w="1818"/>
            <w:vAlign w:val="center"/>
          </w:tcPr>
          <w:p>
            <w:r/>
            <w:r>
              <w:rPr>
                <w:b w:val="0"/>
                <w:sz w:val="12"/>
              </w:rPr>
              <w:t>D4-CTL-05</w:t>
            </w:r>
          </w:p>
        </w:tc>
        <w:tc>
          <w:tcPr>
            <w:tcW w:type="dxa" w:w="1818"/>
            <w:vAlign w:val="center"/>
          </w:tcPr>
          <w:p>
            <w:r/>
            <w:r>
              <w:rPr>
                <w:b w:val="0"/>
                <w:sz w:val="12"/>
              </w:rPr>
              <w:t>Third-Party Ai Api Security Assessment</w:t>
            </w:r>
          </w:p>
        </w:tc>
        <w:tc>
          <w:tcPr>
            <w:tcW w:type="dxa" w:w="1818"/>
            <w:vAlign w:val="center"/>
          </w:tcPr>
          <w:p>
            <w:r/>
            <w:r>
              <w:rPr>
                <w:b w:val="0"/>
                <w:sz w:val="12"/>
              </w:rPr>
              <w:t>MAP 1.6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D4-CTL-05 addresses third-party ai api security assessment through Contractual security requirements + penetration testing + data flow mapping.. This supports the NIST outcome concerning system requirements (e.g., “the system shall respect the privacy of its users”) are elicited from and understood by rel- evant ai actors. design decisions take socio-technical impl.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CRO022-M-080</w:t>
            </w:r>
          </w:p>
        </w:tc>
        <w:tc>
          <w:tcPr>
            <w:tcW w:type="dxa" w:w="1818"/>
            <w:vAlign w:val="center"/>
            <w:shd w:fill="F5F7F9"/>
          </w:tcPr>
          <w:p>
            <w:r/>
            <w:r>
              <w:rPr>
                <w:b w:val="0"/>
                <w:sz w:val="12"/>
              </w:rPr>
              <w:t>D4-CTL-05</w:t>
            </w:r>
          </w:p>
        </w:tc>
        <w:tc>
          <w:tcPr>
            <w:tcW w:type="dxa" w:w="1818"/>
            <w:vAlign w:val="center"/>
            <w:shd w:fill="F5F7F9"/>
          </w:tcPr>
          <w:p>
            <w:r/>
            <w:r>
              <w:rPr>
                <w:b w:val="0"/>
                <w:sz w:val="12"/>
              </w:rPr>
              <w:t>Third-Party Ai Api Security Assessment</w:t>
            </w:r>
          </w:p>
        </w:tc>
        <w:tc>
          <w:tcPr>
            <w:tcW w:type="dxa" w:w="1818"/>
            <w:vAlign w:val="center"/>
            <w:shd w:fill="F5F7F9"/>
          </w:tcPr>
          <w:p>
            <w:r/>
            <w:r>
              <w:rPr>
                <w:b w:val="0"/>
                <w:sz w:val="12"/>
              </w:rPr>
              <w:t>MAP 4.1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D4-CTL-05 addresses third-party ai api security assessment through Contractual security requirements + penetration testing + data flow mapping.. This supports the NIST outcome concerning approaches for mapping ai technology and legal risks of its components – including the use of third-party data or soft- ware – are in place, followed, and documented, as are risks .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CRO022-M-081</w:t>
            </w:r>
          </w:p>
        </w:tc>
        <w:tc>
          <w:tcPr>
            <w:tcW w:type="dxa" w:w="1818"/>
            <w:vAlign w:val="center"/>
          </w:tcPr>
          <w:p>
            <w:r/>
            <w:r>
              <w:rPr>
                <w:b w:val="0"/>
                <w:sz w:val="12"/>
              </w:rPr>
              <w:t>D4-CTL-05</w:t>
            </w:r>
          </w:p>
        </w:tc>
        <w:tc>
          <w:tcPr>
            <w:tcW w:type="dxa" w:w="1818"/>
            <w:vAlign w:val="center"/>
          </w:tcPr>
          <w:p>
            <w:r/>
            <w:r>
              <w:rPr>
                <w:b w:val="0"/>
                <w:sz w:val="12"/>
              </w:rPr>
              <w:t>Third-Party Ai Api Security Assessment</w:t>
            </w:r>
          </w:p>
        </w:tc>
        <w:tc>
          <w:tcPr>
            <w:tcW w:type="dxa" w:w="1818"/>
            <w:vAlign w:val="center"/>
          </w:tcPr>
          <w:p>
            <w:r/>
            <w:r>
              <w:rPr>
                <w:b w:val="0"/>
                <w:sz w:val="12"/>
              </w:rPr>
              <w:t>GOVERN 5.2</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D4-CTL-05 addresses third-party ai api security assessment through Contractual security requirements + penetration testing + data flow mapping..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CRO022-M-082</w:t>
            </w:r>
          </w:p>
        </w:tc>
        <w:tc>
          <w:tcPr>
            <w:tcW w:type="dxa" w:w="1818"/>
            <w:vAlign w:val="center"/>
            <w:shd w:fill="F5F7F9"/>
          </w:tcPr>
          <w:p>
            <w:r/>
            <w:r>
              <w:rPr>
                <w:b w:val="0"/>
                <w:sz w:val="12"/>
              </w:rPr>
              <w:t>D4-CTL-06</w:t>
            </w:r>
          </w:p>
        </w:tc>
        <w:tc>
          <w:tcPr>
            <w:tcW w:type="dxa" w:w="1818"/>
            <w:vAlign w:val="center"/>
            <w:shd w:fill="F5F7F9"/>
          </w:tcPr>
          <w:p>
            <w:r/>
            <w:r>
              <w:rPr>
                <w:b w:val="0"/>
                <w:sz w:val="12"/>
              </w:rPr>
              <w:t>Shadow Ai Discovery &amp; Governance</w:t>
            </w:r>
          </w:p>
        </w:tc>
        <w:tc>
          <w:tcPr>
            <w:tcW w:type="dxa" w:w="1818"/>
            <w:vAlign w:val="center"/>
            <w:shd w:fill="F5F7F9"/>
          </w:tcPr>
          <w:p>
            <w:r/>
            <w:r>
              <w:rPr>
                <w:b w:val="0"/>
                <w:sz w:val="12"/>
              </w:rPr>
              <w:t>GOVERN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D4-CTL-06 addresses shadow ai discovery &amp; governance through Network traffic analysis + SaaS discovery + policy enforcement..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CRO022-M-083</w:t>
            </w:r>
          </w:p>
        </w:tc>
        <w:tc>
          <w:tcPr>
            <w:tcW w:type="dxa" w:w="1818"/>
            <w:vAlign w:val="center"/>
          </w:tcPr>
          <w:p>
            <w:r/>
            <w:r>
              <w:rPr>
                <w:b w:val="0"/>
                <w:sz w:val="12"/>
              </w:rPr>
              <w:t>D4-CTL-06</w:t>
            </w:r>
          </w:p>
        </w:tc>
        <w:tc>
          <w:tcPr>
            <w:tcW w:type="dxa" w:w="1818"/>
            <w:vAlign w:val="center"/>
          </w:tcPr>
          <w:p>
            <w:r/>
            <w:r>
              <w:rPr>
                <w:b w:val="0"/>
                <w:sz w:val="12"/>
              </w:rPr>
              <w:t>Shadow Ai Discovery &amp; Governance</w:t>
            </w:r>
          </w:p>
        </w:tc>
        <w:tc>
          <w:tcPr>
            <w:tcW w:type="dxa" w:w="1818"/>
            <w:vAlign w:val="center"/>
          </w:tcPr>
          <w:p>
            <w:r/>
            <w:r>
              <w:rPr>
                <w:b w:val="0"/>
                <w:sz w:val="12"/>
              </w:rPr>
              <w:t>MAP 3.5</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D4-CTL-06 addresses shadow ai discovery &amp; governance through Network traffic analysis + SaaS discovery + policy enforcement.. This supports the NIST outcome concerning processes for human oversight are defined, assessed, and documented in accordance with organizational policies from the govern function. map 4: risks and benefits are mapped for al.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CRO022-M-084</w:t>
            </w:r>
          </w:p>
        </w:tc>
        <w:tc>
          <w:tcPr>
            <w:tcW w:type="dxa" w:w="1818"/>
            <w:vAlign w:val="center"/>
            <w:shd w:fill="F5F7F9"/>
          </w:tcPr>
          <w:p>
            <w:r/>
            <w:r>
              <w:rPr>
                <w:b w:val="0"/>
                <w:sz w:val="12"/>
              </w:rPr>
              <w:t>D4-CTL-06</w:t>
            </w:r>
          </w:p>
        </w:tc>
        <w:tc>
          <w:tcPr>
            <w:tcW w:type="dxa" w:w="1818"/>
            <w:vAlign w:val="center"/>
            <w:shd w:fill="F5F7F9"/>
          </w:tcPr>
          <w:p>
            <w:r/>
            <w:r>
              <w:rPr>
                <w:b w:val="0"/>
                <w:sz w:val="12"/>
              </w:rPr>
              <w:t>Shadow Ai Discovery &amp; Governance</w:t>
            </w:r>
          </w:p>
        </w:tc>
        <w:tc>
          <w:tcPr>
            <w:tcW w:type="dxa" w:w="1818"/>
            <w:vAlign w:val="center"/>
            <w:shd w:fill="F5F7F9"/>
          </w:tcPr>
          <w:p>
            <w:r/>
            <w:r>
              <w:rPr>
                <w:b w:val="0"/>
                <w:sz w:val="12"/>
              </w:rPr>
              <w:t>MEASURE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D4-CTL-06 addresses shadow ai discovery &amp; governance through Network traffic analysis + SaaS discovery + policy enforcement..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CRO022-M-085</w:t>
            </w:r>
          </w:p>
        </w:tc>
        <w:tc>
          <w:tcPr>
            <w:tcW w:type="dxa" w:w="1818"/>
            <w:vAlign w:val="center"/>
          </w:tcPr>
          <w:p>
            <w:r/>
            <w:r>
              <w:rPr>
                <w:b w:val="0"/>
                <w:sz w:val="12"/>
              </w:rPr>
              <w:t>D4-CTL-07</w:t>
            </w:r>
          </w:p>
        </w:tc>
        <w:tc>
          <w:tcPr>
            <w:tcW w:type="dxa" w:w="1818"/>
            <w:vAlign w:val="center"/>
          </w:tcPr>
          <w:p>
            <w:r/>
            <w:r>
              <w:rPr>
                <w:b w:val="0"/>
                <w:sz w:val="12"/>
              </w:rPr>
              <w:t>Ai Software Composition Analysis (Sca)</w:t>
            </w:r>
          </w:p>
        </w:tc>
        <w:tc>
          <w:tcPr>
            <w:tcW w:type="dxa" w:w="1818"/>
            <w:vAlign w:val="center"/>
          </w:tcPr>
          <w:p>
            <w:r/>
            <w:r>
              <w:rPr>
                <w:b w:val="0"/>
                <w:sz w:val="12"/>
              </w:rPr>
              <w:t>GOVERN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D4-CTL-07 addresses ai software composition analysis (sca) through Dependency scanning + CVE matching + automated patching..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CRO022-M-086</w:t>
            </w:r>
          </w:p>
        </w:tc>
        <w:tc>
          <w:tcPr>
            <w:tcW w:type="dxa" w:w="1818"/>
            <w:vAlign w:val="center"/>
            <w:shd w:fill="F5F7F9"/>
          </w:tcPr>
          <w:p>
            <w:r/>
            <w:r>
              <w:rPr>
                <w:b w:val="0"/>
                <w:sz w:val="12"/>
              </w:rPr>
              <w:t>D4-CTL-07</w:t>
            </w:r>
          </w:p>
        </w:tc>
        <w:tc>
          <w:tcPr>
            <w:tcW w:type="dxa" w:w="1818"/>
            <w:vAlign w:val="center"/>
            <w:shd w:fill="F5F7F9"/>
          </w:tcPr>
          <w:p>
            <w:r/>
            <w:r>
              <w:rPr>
                <w:b w:val="0"/>
                <w:sz w:val="12"/>
              </w:rPr>
              <w:t>Ai Software Composition Analysis (Sca)</w:t>
            </w:r>
          </w:p>
        </w:tc>
        <w:tc>
          <w:tcPr>
            <w:tcW w:type="dxa" w:w="1818"/>
            <w:vAlign w:val="center"/>
            <w:shd w:fill="F5F7F9"/>
          </w:tcPr>
          <w:p>
            <w:r/>
            <w:r>
              <w:rPr>
                <w:b w:val="0"/>
                <w:sz w:val="12"/>
              </w:rPr>
              <w:t>MAP 3.5</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D4-CTL-07 addresses ai software composition analysis (sca) through Dependency scanning + CVE matching + automated patching.. This supports the NIST outcome concerning processes for human oversight are defined, assessed, and documented in accordance with organizational policies from the govern function. map 4: risks and benefits are mapped for al.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CRO022-M-087</w:t>
            </w:r>
          </w:p>
        </w:tc>
        <w:tc>
          <w:tcPr>
            <w:tcW w:type="dxa" w:w="1818"/>
            <w:vAlign w:val="center"/>
          </w:tcPr>
          <w:p>
            <w:r/>
            <w:r>
              <w:rPr>
                <w:b w:val="0"/>
                <w:sz w:val="12"/>
              </w:rPr>
              <w:t>D4-CTL-07</w:t>
            </w:r>
          </w:p>
        </w:tc>
        <w:tc>
          <w:tcPr>
            <w:tcW w:type="dxa" w:w="1818"/>
            <w:vAlign w:val="center"/>
          </w:tcPr>
          <w:p>
            <w:r/>
            <w:r>
              <w:rPr>
                <w:b w:val="0"/>
                <w:sz w:val="12"/>
              </w:rPr>
              <w:t>Ai Software Composition Analysis (Sca)</w:t>
            </w:r>
          </w:p>
        </w:tc>
        <w:tc>
          <w:tcPr>
            <w:tcW w:type="dxa" w:w="1818"/>
            <w:vAlign w:val="center"/>
          </w:tcPr>
          <w:p>
            <w:r/>
            <w:r>
              <w:rPr>
                <w:b w:val="0"/>
                <w:sz w:val="12"/>
              </w:rPr>
              <w:t>MANAGE 4.3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D4-CTL-07 addresses ai software composition analysis (sca) through Dependency scanning + CVE matching + automated patching.. This supports the NIST outcome concerning incidents and errors are communicated to relevant ai actors, including affected communities. processes for track- ing, responding to, and recovering from incidents and errors are f.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CRO022-M-088</w:t>
            </w:r>
          </w:p>
        </w:tc>
        <w:tc>
          <w:tcPr>
            <w:tcW w:type="dxa" w:w="1818"/>
            <w:vAlign w:val="center"/>
            <w:shd w:fill="F5F7F9"/>
          </w:tcPr>
          <w:p>
            <w:r/>
            <w:r>
              <w:rPr>
                <w:b w:val="0"/>
                <w:sz w:val="12"/>
              </w:rPr>
              <w:t>D5-CTL-01</w:t>
            </w:r>
          </w:p>
        </w:tc>
        <w:tc>
          <w:tcPr>
            <w:tcW w:type="dxa" w:w="1818"/>
            <w:vAlign w:val="center"/>
            <w:shd w:fill="F5F7F9"/>
          </w:tcPr>
          <w:p>
            <w:r/>
            <w:r>
              <w:rPr>
                <w:b w:val="0"/>
                <w:sz w:val="12"/>
              </w:rPr>
              <w:t>Harmful Content Blocking</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D5-CTL-01 addresses harmful content blocking through Content safety classifier + refusal engine..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CRO022-M-089</w:t>
            </w:r>
          </w:p>
        </w:tc>
        <w:tc>
          <w:tcPr>
            <w:tcW w:type="dxa" w:w="1818"/>
            <w:vAlign w:val="center"/>
          </w:tcPr>
          <w:p>
            <w:r/>
            <w:r>
              <w:rPr>
                <w:b w:val="0"/>
                <w:sz w:val="12"/>
              </w:rPr>
              <w:t>D5-CTL-01</w:t>
            </w:r>
          </w:p>
        </w:tc>
        <w:tc>
          <w:tcPr>
            <w:tcW w:type="dxa" w:w="1818"/>
            <w:vAlign w:val="center"/>
          </w:tcPr>
          <w:p>
            <w:r/>
            <w:r>
              <w:rPr>
                <w:b w:val="0"/>
                <w:sz w:val="12"/>
              </w:rPr>
              <w:t>Harmful Content Blocking</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D5-CTL-01 addresses harmful content blocking through Content safety classifier + refusal engine..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CRO022-M-090</w:t>
            </w:r>
          </w:p>
        </w:tc>
        <w:tc>
          <w:tcPr>
            <w:tcW w:type="dxa" w:w="1818"/>
            <w:vAlign w:val="center"/>
            <w:shd w:fill="F5F7F9"/>
          </w:tcPr>
          <w:p>
            <w:r/>
            <w:r>
              <w:rPr>
                <w:b w:val="0"/>
                <w:sz w:val="12"/>
              </w:rPr>
              <w:t>D5-CTL-01</w:t>
            </w:r>
          </w:p>
        </w:tc>
        <w:tc>
          <w:tcPr>
            <w:tcW w:type="dxa" w:w="1818"/>
            <w:vAlign w:val="center"/>
            <w:shd w:fill="F5F7F9"/>
          </w:tcPr>
          <w:p>
            <w:r/>
            <w:r>
              <w:rPr>
                <w:b w:val="0"/>
                <w:sz w:val="12"/>
              </w:rPr>
              <w:t>Harmful Content Blocking</w:t>
            </w:r>
          </w:p>
        </w:tc>
        <w:tc>
          <w:tcPr>
            <w:tcW w:type="dxa" w:w="1818"/>
            <w:vAlign w:val="center"/>
            <w:shd w:fill="F5F7F9"/>
          </w:tcPr>
          <w:p>
            <w:r/>
            <w:r>
              <w:rPr>
                <w:b w:val="0"/>
                <w:sz w:val="12"/>
              </w:rPr>
              <w:t>MAP 5.1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D5-CTL-01 addresses harmful content blocking through Content safety classifier + refusal engine.. This supports the NIST outcome concerning likelihood and magnitude of each identified impact (both potentially beneficial and harmful) based on expected use, past uses of ai systems in similar contexts, public incident re-.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CRO022-M-091</w:t>
            </w:r>
          </w:p>
        </w:tc>
        <w:tc>
          <w:tcPr>
            <w:tcW w:type="dxa" w:w="1818"/>
            <w:vAlign w:val="center"/>
          </w:tcPr>
          <w:p>
            <w:r/>
            <w:r>
              <w:rPr>
                <w:b w:val="0"/>
                <w:sz w:val="12"/>
              </w:rPr>
              <w:t>D5-CTL-02</w:t>
            </w:r>
          </w:p>
        </w:tc>
        <w:tc>
          <w:tcPr>
            <w:tcW w:type="dxa" w:w="1818"/>
            <w:vAlign w:val="center"/>
          </w:tcPr>
          <w:p>
            <w:r/>
            <w:r>
              <w:rPr>
                <w:b w:val="0"/>
                <w:sz w:val="12"/>
              </w:rPr>
              <w:t>Pii Leakage Prevention</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D5-CTL-02 addresses pii leakage prevention through PII detection + masking + access controls..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CRO022-M-092</w:t>
            </w:r>
          </w:p>
        </w:tc>
        <w:tc>
          <w:tcPr>
            <w:tcW w:type="dxa" w:w="1818"/>
            <w:vAlign w:val="center"/>
            <w:shd w:fill="F5F7F9"/>
          </w:tcPr>
          <w:p>
            <w:r/>
            <w:r>
              <w:rPr>
                <w:b w:val="0"/>
                <w:sz w:val="12"/>
              </w:rPr>
              <w:t>D5-CTL-02</w:t>
            </w:r>
          </w:p>
        </w:tc>
        <w:tc>
          <w:tcPr>
            <w:tcW w:type="dxa" w:w="1818"/>
            <w:vAlign w:val="center"/>
            <w:shd w:fill="F5F7F9"/>
          </w:tcPr>
          <w:p>
            <w:r/>
            <w:r>
              <w:rPr>
                <w:b w:val="0"/>
                <w:sz w:val="12"/>
              </w:rPr>
              <w:t>Pii Leakage Prevention</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D5-CTL-02 addresses pii leakage prevention through PII detection + masking + access controls..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CRO022-M-093</w:t>
            </w:r>
          </w:p>
        </w:tc>
        <w:tc>
          <w:tcPr>
            <w:tcW w:type="dxa" w:w="1818"/>
            <w:vAlign w:val="center"/>
          </w:tcPr>
          <w:p>
            <w:r/>
            <w:r>
              <w:rPr>
                <w:b w:val="0"/>
                <w:sz w:val="12"/>
              </w:rPr>
              <w:t>D5-CTL-02</w:t>
            </w:r>
          </w:p>
        </w:tc>
        <w:tc>
          <w:tcPr>
            <w:tcW w:type="dxa" w:w="1818"/>
            <w:vAlign w:val="center"/>
          </w:tcPr>
          <w:p>
            <w:r/>
            <w:r>
              <w:rPr>
                <w:b w:val="0"/>
                <w:sz w:val="12"/>
              </w:rPr>
              <w:t>Pii Leakage Prevention</w:t>
            </w:r>
          </w:p>
        </w:tc>
        <w:tc>
          <w:tcPr>
            <w:tcW w:type="dxa" w:w="1818"/>
            <w:vAlign w:val="center"/>
          </w:tcPr>
          <w:p>
            <w:r/>
            <w:r>
              <w:rPr>
                <w:b w:val="0"/>
                <w:sz w:val="12"/>
              </w:rPr>
              <w:t>MAP 2.3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D5-CTL-02 addresses pii leakage prevention through PII detection + masking + access controls.. This supports the NIST outcome concerning scientific integrity and tevv considerations are iden- tified and documented, including those related to experimental design, data collection and selection (e.g., availability, rep.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CRO022-M-094</w:t>
            </w:r>
          </w:p>
        </w:tc>
        <w:tc>
          <w:tcPr>
            <w:tcW w:type="dxa" w:w="1818"/>
            <w:vAlign w:val="center"/>
            <w:shd w:fill="F5F7F9"/>
          </w:tcPr>
          <w:p>
            <w:r/>
            <w:r>
              <w:rPr>
                <w:b w:val="0"/>
                <w:sz w:val="12"/>
              </w:rPr>
              <w:t>D5-CTL-03</w:t>
            </w:r>
          </w:p>
        </w:tc>
        <w:tc>
          <w:tcPr>
            <w:tcW w:type="dxa" w:w="1818"/>
            <w:vAlign w:val="center"/>
            <w:shd w:fill="F5F7F9"/>
          </w:tcPr>
          <w:p>
            <w:r/>
            <w:r>
              <w:rPr>
                <w:b w:val="0"/>
                <w:sz w:val="12"/>
              </w:rPr>
              <w:t>Copyright Detection</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D5-CTL-03 addresses copyright detection through n-gram overlap detection + refusal..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CRO022-M-095</w:t>
            </w:r>
          </w:p>
        </w:tc>
        <w:tc>
          <w:tcPr>
            <w:tcW w:type="dxa" w:w="1818"/>
            <w:vAlign w:val="center"/>
          </w:tcPr>
          <w:p>
            <w:r/>
            <w:r>
              <w:rPr>
                <w:b w:val="0"/>
                <w:sz w:val="12"/>
              </w:rPr>
              <w:t>D5-CTL-03</w:t>
            </w:r>
          </w:p>
        </w:tc>
        <w:tc>
          <w:tcPr>
            <w:tcW w:type="dxa" w:w="1818"/>
            <w:vAlign w:val="center"/>
          </w:tcPr>
          <w:p>
            <w:r/>
            <w:r>
              <w:rPr>
                <w:b w:val="0"/>
                <w:sz w:val="12"/>
              </w:rPr>
              <w:t>Copyright Detection</w:t>
            </w:r>
          </w:p>
        </w:tc>
        <w:tc>
          <w:tcPr>
            <w:tcW w:type="dxa" w:w="1818"/>
            <w:vAlign w:val="center"/>
          </w:tcPr>
          <w:p>
            <w:r/>
            <w:r>
              <w:rPr>
                <w:b w:val="0"/>
                <w:sz w:val="12"/>
              </w:rPr>
              <w:t>GOVERN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D5-CTL-03 addresses copyright detection through n-gram overlap detection + refusal..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CRO022-M-096</w:t>
            </w:r>
          </w:p>
        </w:tc>
        <w:tc>
          <w:tcPr>
            <w:tcW w:type="dxa" w:w="1818"/>
            <w:vAlign w:val="center"/>
            <w:shd w:fill="F5F7F9"/>
          </w:tcPr>
          <w:p>
            <w:r/>
            <w:r>
              <w:rPr>
                <w:b w:val="0"/>
                <w:sz w:val="12"/>
              </w:rPr>
              <w:t>D5-CTL-03</w:t>
            </w:r>
          </w:p>
        </w:tc>
        <w:tc>
          <w:tcPr>
            <w:tcW w:type="dxa" w:w="1818"/>
            <w:vAlign w:val="center"/>
            <w:shd w:fill="F5F7F9"/>
          </w:tcPr>
          <w:p>
            <w:r/>
            <w:r>
              <w:rPr>
                <w:b w:val="0"/>
                <w:sz w:val="12"/>
              </w:rPr>
              <w:t>Copyright Detection</w:t>
            </w:r>
          </w:p>
        </w:tc>
        <w:tc>
          <w:tcPr>
            <w:tcW w:type="dxa" w:w="1818"/>
            <w:vAlign w:val="center"/>
            <w:shd w:fill="F5F7F9"/>
          </w:tcPr>
          <w:p>
            <w:r/>
            <w:r>
              <w:rPr>
                <w:b w:val="0"/>
                <w:sz w:val="12"/>
              </w:rPr>
              <w:t>MAP 2.3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D5-CTL-03 addresses copyright detection through n-gram overlap detection + refusal.. This supports the NIST outcome concerning scientific integrity and tevv considerations are iden- tified and documented, including those related to experimental design, data collection and selection (e.g., availability, rep.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CRO022-M-097</w:t>
            </w:r>
          </w:p>
        </w:tc>
        <w:tc>
          <w:tcPr>
            <w:tcW w:type="dxa" w:w="1818"/>
            <w:vAlign w:val="center"/>
          </w:tcPr>
          <w:p>
            <w:r/>
            <w:r>
              <w:rPr>
                <w:b w:val="0"/>
                <w:sz w:val="12"/>
              </w:rPr>
              <w:t>D5-CTL-04</w:t>
            </w:r>
          </w:p>
        </w:tc>
        <w:tc>
          <w:tcPr>
            <w:tcW w:type="dxa" w:w="1818"/>
            <w:vAlign w:val="center"/>
          </w:tcPr>
          <w:p>
            <w:r/>
            <w:r>
              <w:rPr>
                <w:b w:val="0"/>
                <w:sz w:val="12"/>
              </w:rPr>
              <w:t>Ai Watermarking Robustness</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D5-CTL-04 addresses ai watermarking robustness through C2PA-compliant watermarking + tamper resistance testing..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CRO022-M-098</w:t>
            </w:r>
          </w:p>
        </w:tc>
        <w:tc>
          <w:tcPr>
            <w:tcW w:type="dxa" w:w="1818"/>
            <w:vAlign w:val="center"/>
            <w:shd w:fill="F5F7F9"/>
          </w:tcPr>
          <w:p>
            <w:r/>
            <w:r>
              <w:rPr>
                <w:b w:val="0"/>
                <w:sz w:val="12"/>
              </w:rPr>
              <w:t>D5-CTL-04</w:t>
            </w:r>
          </w:p>
        </w:tc>
        <w:tc>
          <w:tcPr>
            <w:tcW w:type="dxa" w:w="1818"/>
            <w:vAlign w:val="center"/>
            <w:shd w:fill="F5F7F9"/>
          </w:tcPr>
          <w:p>
            <w:r/>
            <w:r>
              <w:rPr>
                <w:b w:val="0"/>
                <w:sz w:val="12"/>
              </w:rPr>
              <w:t>Ai Watermarking Robustness</w:t>
            </w:r>
          </w:p>
        </w:tc>
        <w:tc>
          <w:tcPr>
            <w:tcW w:type="dxa" w:w="1818"/>
            <w:vAlign w:val="center"/>
            <w:shd w:fill="F5F7F9"/>
          </w:tcPr>
          <w:p>
            <w:r/>
            <w:r>
              <w:rPr>
                <w:b w:val="0"/>
                <w:sz w:val="12"/>
              </w:rPr>
              <w:t>GOVERN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D5-CTL-04 addresses ai watermarking robustness through C2PA-compliant watermarking + tamper resistance testing.. This supports the NIST outcome concerning organizational practices are in place to enable ai testing, identification of incidents, and information sharing. govern 5: processes are in place for robust engagement with releva.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CRO022-M-099</w:t>
            </w:r>
          </w:p>
        </w:tc>
        <w:tc>
          <w:tcPr>
            <w:tcW w:type="dxa" w:w="1818"/>
            <w:vAlign w:val="center"/>
          </w:tcPr>
          <w:p>
            <w:r/>
            <w:r>
              <w:rPr>
                <w:b w:val="0"/>
                <w:sz w:val="12"/>
              </w:rPr>
              <w:t>D5-CTL-04</w:t>
            </w:r>
          </w:p>
        </w:tc>
        <w:tc>
          <w:tcPr>
            <w:tcW w:type="dxa" w:w="1818"/>
            <w:vAlign w:val="center"/>
          </w:tcPr>
          <w:p>
            <w:r/>
            <w:r>
              <w:rPr>
                <w:b w:val="0"/>
                <w:sz w:val="12"/>
              </w:rPr>
              <w:t>Ai Watermarking Robustness</w:t>
            </w:r>
          </w:p>
        </w:tc>
        <w:tc>
          <w:tcPr>
            <w:tcW w:type="dxa" w:w="1818"/>
            <w:vAlign w:val="center"/>
          </w:tcPr>
          <w:p>
            <w:r/>
            <w:r>
              <w:rPr>
                <w:b w:val="0"/>
                <w:sz w:val="12"/>
              </w:rPr>
              <w:t>MAP 5.1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D5-CTL-04 addresses ai watermarking robustness through C2PA-compliant watermarking + tamper resistance testing.. This supports the NIST outcome concerning likelihood and magnitude of each identified impact (both potentially beneficial and harmful) based on expected use, past uses of ai systems in similar contexts, public incident re-.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CRO022-M-100</w:t>
            </w:r>
          </w:p>
        </w:tc>
        <w:tc>
          <w:tcPr>
            <w:tcW w:type="dxa" w:w="1818"/>
            <w:vAlign w:val="center"/>
            <w:shd w:fill="F5F7F9"/>
          </w:tcPr>
          <w:p>
            <w:r/>
            <w:r>
              <w:rPr>
                <w:b w:val="0"/>
                <w:sz w:val="12"/>
              </w:rPr>
              <w:t>D5-CTL-05</w:t>
            </w:r>
          </w:p>
        </w:tc>
        <w:tc>
          <w:tcPr>
            <w:tcW w:type="dxa" w:w="1818"/>
            <w:vAlign w:val="center"/>
            <w:shd w:fill="F5F7F9"/>
          </w:tcPr>
          <w:p>
            <w:r/>
            <w:r>
              <w:rPr>
                <w:b w:val="0"/>
                <w:sz w:val="12"/>
              </w:rPr>
              <w:t>Privacy-By-Design Verification</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D5-CTL-05 addresses privacy-by-design verification through Data minimization + purpose limitation + machine unlearning..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CRO022-M-101</w:t>
            </w:r>
          </w:p>
        </w:tc>
        <w:tc>
          <w:tcPr>
            <w:tcW w:type="dxa" w:w="1818"/>
            <w:vAlign w:val="center"/>
          </w:tcPr>
          <w:p>
            <w:r/>
            <w:r>
              <w:rPr>
                <w:b w:val="0"/>
                <w:sz w:val="12"/>
              </w:rPr>
              <w:t>D5-CTL-05</w:t>
            </w:r>
          </w:p>
        </w:tc>
        <w:tc>
          <w:tcPr>
            <w:tcW w:type="dxa" w:w="1818"/>
            <w:vAlign w:val="center"/>
          </w:tcPr>
          <w:p>
            <w:r/>
            <w:r>
              <w:rPr>
                <w:b w:val="0"/>
                <w:sz w:val="12"/>
              </w:rPr>
              <w:t>Privacy-By-Design Verification</w:t>
            </w:r>
          </w:p>
        </w:tc>
        <w:tc>
          <w:tcPr>
            <w:tcW w:type="dxa" w:w="1818"/>
            <w:vAlign w:val="center"/>
          </w:tcPr>
          <w:p>
            <w:r/>
            <w:r>
              <w:rPr>
                <w:b w:val="0"/>
                <w:sz w:val="12"/>
              </w:rPr>
              <w:t>GOVERN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D5-CTL-05 addresses privacy-by-design verification through Data minimization + purpose limitation + machine unlearning..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CRO022-M-102</w:t>
            </w:r>
          </w:p>
        </w:tc>
        <w:tc>
          <w:tcPr>
            <w:tcW w:type="dxa" w:w="1818"/>
            <w:vAlign w:val="center"/>
            <w:shd w:fill="F5F7F9"/>
          </w:tcPr>
          <w:p>
            <w:r/>
            <w:r>
              <w:rPr>
                <w:b w:val="0"/>
                <w:sz w:val="12"/>
              </w:rPr>
              <w:t>D5-CTL-05</w:t>
            </w:r>
          </w:p>
        </w:tc>
        <w:tc>
          <w:tcPr>
            <w:tcW w:type="dxa" w:w="1818"/>
            <w:vAlign w:val="center"/>
            <w:shd w:fill="F5F7F9"/>
          </w:tcPr>
          <w:p>
            <w:r/>
            <w:r>
              <w:rPr>
                <w:b w:val="0"/>
                <w:sz w:val="12"/>
              </w:rPr>
              <w:t>Privacy-By-Design Verification</w:t>
            </w:r>
          </w:p>
        </w:tc>
        <w:tc>
          <w:tcPr>
            <w:tcW w:type="dxa" w:w="1818"/>
            <w:vAlign w:val="center"/>
            <w:shd w:fill="F5F7F9"/>
          </w:tcPr>
          <w:p>
            <w:r/>
            <w:r>
              <w:rPr>
                <w:b w:val="0"/>
                <w:sz w:val="12"/>
              </w:rPr>
              <w:t>MAP 1.6</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D5-CTL-05 addresses privacy-by-design verification through Data minimization + purpose limitation + machine unlearning.. This supports the NIST outcome concerning system requirements (e.g., “the system shall respect the privacy of its users”) are elicited from and understood by rel- evant ai actors. design decisions take socio-technical impl.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CRO022-M-103</w:t>
            </w:r>
          </w:p>
        </w:tc>
        <w:tc>
          <w:tcPr>
            <w:tcW w:type="dxa" w:w="1818"/>
            <w:vAlign w:val="center"/>
          </w:tcPr>
          <w:p>
            <w:r/>
            <w:r>
              <w:rPr>
                <w:b w:val="0"/>
                <w:sz w:val="12"/>
              </w:rPr>
              <w:t>D5-CTL-06</w:t>
            </w:r>
          </w:p>
        </w:tc>
        <w:tc>
          <w:tcPr>
            <w:tcW w:type="dxa" w:w="1818"/>
            <w:vAlign w:val="center"/>
          </w:tcPr>
          <w:p>
            <w:r/>
            <w:r>
              <w:rPr>
                <w:b w:val="0"/>
                <w:sz w:val="12"/>
              </w:rPr>
              <w:t>Privacy-Preserving Ml Validation</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D5-CTL-06 addresses privacy-preserving ml validation through Differential privacy + membership inference testing..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CRO022-M-104</w:t>
            </w:r>
          </w:p>
        </w:tc>
        <w:tc>
          <w:tcPr>
            <w:tcW w:type="dxa" w:w="1818"/>
            <w:vAlign w:val="center"/>
            <w:shd w:fill="F5F7F9"/>
          </w:tcPr>
          <w:p>
            <w:r/>
            <w:r>
              <w:rPr>
                <w:b w:val="0"/>
                <w:sz w:val="12"/>
              </w:rPr>
              <w:t>D5-CTL-06</w:t>
            </w:r>
          </w:p>
        </w:tc>
        <w:tc>
          <w:tcPr>
            <w:tcW w:type="dxa" w:w="1818"/>
            <w:vAlign w:val="center"/>
            <w:shd w:fill="F5F7F9"/>
          </w:tcPr>
          <w:p>
            <w:r/>
            <w:r>
              <w:rPr>
                <w:b w:val="0"/>
                <w:sz w:val="12"/>
              </w:rPr>
              <w:t>Privacy-Preserving Ml Validation</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D5-CTL-06 addresses privacy-preserving ml validation through Differential privacy + membership inference testing..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CRO022-M-105</w:t>
            </w:r>
          </w:p>
        </w:tc>
        <w:tc>
          <w:tcPr>
            <w:tcW w:type="dxa" w:w="1818"/>
            <w:vAlign w:val="center"/>
          </w:tcPr>
          <w:p>
            <w:r/>
            <w:r>
              <w:rPr>
                <w:b w:val="0"/>
                <w:sz w:val="12"/>
              </w:rPr>
              <w:t>D5-CTL-06</w:t>
            </w:r>
          </w:p>
        </w:tc>
        <w:tc>
          <w:tcPr>
            <w:tcW w:type="dxa" w:w="1818"/>
            <w:vAlign w:val="center"/>
          </w:tcPr>
          <w:p>
            <w:r/>
            <w:r>
              <w:rPr>
                <w:b w:val="0"/>
                <w:sz w:val="12"/>
              </w:rPr>
              <w:t>Privacy-Preserving Ml Validation</w:t>
            </w:r>
          </w:p>
        </w:tc>
        <w:tc>
          <w:tcPr>
            <w:tcW w:type="dxa" w:w="1818"/>
            <w:vAlign w:val="center"/>
          </w:tcPr>
          <w:p>
            <w:r/>
            <w:r>
              <w:rPr>
                <w:b w:val="0"/>
                <w:sz w:val="12"/>
              </w:rPr>
              <w:t>MAP 2.3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D5-CTL-06 addresses privacy-preserving ml validation through Differential privacy + membership inference testing.. This supports the NIST outcome concerning scientific integrity and tevv considerations are iden- tified and documented, including those related to experimental design, data collection and selection (e.g., availability, rep.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CRO022-M-106</w:t>
            </w:r>
          </w:p>
        </w:tc>
        <w:tc>
          <w:tcPr>
            <w:tcW w:type="dxa" w:w="1818"/>
            <w:vAlign w:val="center"/>
            <w:shd w:fill="F5F7F9"/>
          </w:tcPr>
          <w:p>
            <w:r/>
            <w:r>
              <w:rPr>
                <w:b w:val="0"/>
                <w:sz w:val="12"/>
              </w:rPr>
              <w:t>D6-CTL-01</w:t>
            </w:r>
          </w:p>
        </w:tc>
        <w:tc>
          <w:tcPr>
            <w:tcW w:type="dxa" w:w="1818"/>
            <w:vAlign w:val="center"/>
            <w:shd w:fill="F5F7F9"/>
          </w:tcPr>
          <w:p>
            <w:r/>
            <w:r>
              <w:rPr>
                <w:b w:val="0"/>
                <w:sz w:val="12"/>
              </w:rPr>
              <w:t>Human-In-The-Loop For High-Risk Actions</w:t>
            </w:r>
          </w:p>
        </w:tc>
        <w:tc>
          <w:tcPr>
            <w:tcW w:type="dxa" w:w="1818"/>
            <w:vAlign w:val="center"/>
            <w:shd w:fill="F5F7F9"/>
          </w:tcPr>
          <w:p>
            <w:r/>
            <w:r>
              <w:rPr>
                <w:b w:val="0"/>
                <w:sz w:val="12"/>
              </w:rPr>
              <w:t>MEASURE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D6-CTL-01 addresses human-in-the-loop for high-risk actions through Approval workflow + policy enforcement + audit log..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CRO022-M-107</w:t>
            </w:r>
          </w:p>
        </w:tc>
        <w:tc>
          <w:tcPr>
            <w:tcW w:type="dxa" w:w="1818"/>
            <w:vAlign w:val="center"/>
          </w:tcPr>
          <w:p>
            <w:r/>
            <w:r>
              <w:rPr>
                <w:b w:val="0"/>
                <w:sz w:val="12"/>
              </w:rPr>
              <w:t>D6-CTL-01</w:t>
            </w:r>
          </w:p>
        </w:tc>
        <w:tc>
          <w:tcPr>
            <w:tcW w:type="dxa" w:w="1818"/>
            <w:vAlign w:val="center"/>
          </w:tcPr>
          <w:p>
            <w:r/>
            <w:r>
              <w:rPr>
                <w:b w:val="0"/>
                <w:sz w:val="12"/>
              </w:rPr>
              <w:t>Human-In-The-Loop For High-Risk Actions</w:t>
            </w:r>
          </w:p>
        </w:tc>
        <w:tc>
          <w:tcPr>
            <w:tcW w:type="dxa" w:w="1818"/>
            <w:vAlign w:val="center"/>
          </w:tcPr>
          <w:p>
            <w:r/>
            <w:r>
              <w:rPr>
                <w:b w:val="0"/>
                <w:sz w:val="12"/>
              </w:rPr>
              <w:t>GOVERN 1.7</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D6-CTL-01 addresses human-in-the-loop for high-risk actions through Approval workflow + policy enforcement + audit log..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CRO022-M-108</w:t>
            </w:r>
          </w:p>
        </w:tc>
        <w:tc>
          <w:tcPr>
            <w:tcW w:type="dxa" w:w="1818"/>
            <w:vAlign w:val="center"/>
            <w:shd w:fill="F5F7F9"/>
          </w:tcPr>
          <w:p>
            <w:r/>
            <w:r>
              <w:rPr>
                <w:b w:val="0"/>
                <w:sz w:val="12"/>
              </w:rPr>
              <w:t>D6-CTL-01</w:t>
            </w:r>
          </w:p>
        </w:tc>
        <w:tc>
          <w:tcPr>
            <w:tcW w:type="dxa" w:w="1818"/>
            <w:vAlign w:val="center"/>
            <w:shd w:fill="F5F7F9"/>
          </w:tcPr>
          <w:p>
            <w:r/>
            <w:r>
              <w:rPr>
                <w:b w:val="0"/>
                <w:sz w:val="12"/>
              </w:rPr>
              <w:t>Human-In-The-Loop For High-Risk Actions</w:t>
            </w:r>
          </w:p>
        </w:tc>
        <w:tc>
          <w:tcPr>
            <w:tcW w:type="dxa" w:w="1818"/>
            <w:vAlign w:val="center"/>
            <w:shd w:fill="F5F7F9"/>
          </w:tcPr>
          <w:p>
            <w:r/>
            <w:r>
              <w:rPr>
                <w:b w:val="0"/>
                <w:sz w:val="12"/>
              </w:rPr>
              <w:t>GOVERN 3.2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D6-CTL-01 addresses human-in-the-loop for high-risk actions through Approval workflow + policy enforcement + audit log.. This supports the NIST outcome concerning policies and procedures are in place to define and differentiate roles and responsibilities for human-ai configura- tions and oversight of ai systems. govern 4: organizational team.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CRO022-M-109</w:t>
            </w:r>
          </w:p>
        </w:tc>
        <w:tc>
          <w:tcPr>
            <w:tcW w:type="dxa" w:w="1818"/>
            <w:vAlign w:val="center"/>
          </w:tcPr>
          <w:p>
            <w:r/>
            <w:r>
              <w:rPr>
                <w:b w:val="0"/>
                <w:sz w:val="12"/>
              </w:rPr>
              <w:t>D6-CTL-02</w:t>
            </w:r>
          </w:p>
        </w:tc>
        <w:tc>
          <w:tcPr>
            <w:tcW w:type="dxa" w:w="1818"/>
            <w:vAlign w:val="center"/>
          </w:tcPr>
          <w:p>
            <w:r/>
            <w:r>
              <w:rPr>
                <w:b w:val="0"/>
                <w:sz w:val="12"/>
              </w:rPr>
              <w:t>Audit Trail Completeness</w:t>
            </w:r>
          </w:p>
        </w:tc>
        <w:tc>
          <w:tcPr>
            <w:tcW w:type="dxa" w:w="1818"/>
            <w:vAlign w:val="center"/>
          </w:tcPr>
          <w:p>
            <w:r/>
            <w:r>
              <w:rPr>
                <w:b w:val="0"/>
                <w:sz w:val="12"/>
              </w:rPr>
              <w:t>GOVERN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D6-CTL-02 addresses audit trail completeness through Structured logging + SIEM integration + retention enforcement.. This supports the NIST outcome concerning organizational practices are in place to enable ai testing, identification of incidents, and information sharing. govern 5: processes are in place for robust engagement with releva.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CRO022-M-110</w:t>
            </w:r>
          </w:p>
        </w:tc>
        <w:tc>
          <w:tcPr>
            <w:tcW w:type="dxa" w:w="1818"/>
            <w:vAlign w:val="center"/>
            <w:shd w:fill="F5F7F9"/>
          </w:tcPr>
          <w:p>
            <w:r/>
            <w:r>
              <w:rPr>
                <w:b w:val="0"/>
                <w:sz w:val="12"/>
              </w:rPr>
              <w:t>D6-CTL-02</w:t>
            </w:r>
          </w:p>
        </w:tc>
        <w:tc>
          <w:tcPr>
            <w:tcW w:type="dxa" w:w="1818"/>
            <w:vAlign w:val="center"/>
            <w:shd w:fill="F5F7F9"/>
          </w:tcPr>
          <w:p>
            <w:r/>
            <w:r>
              <w:rPr>
                <w:b w:val="0"/>
                <w:sz w:val="12"/>
              </w:rPr>
              <w:t>Audit Trail Completeness</w:t>
            </w:r>
          </w:p>
        </w:tc>
        <w:tc>
          <w:tcPr>
            <w:tcW w:type="dxa" w:w="1818"/>
            <w:vAlign w:val="center"/>
            <w:shd w:fill="F5F7F9"/>
          </w:tcPr>
          <w:p>
            <w:r/>
            <w:r>
              <w:rPr>
                <w:b w:val="0"/>
                <w:sz w:val="12"/>
              </w:rPr>
              <w:t>MEASURE 4.3</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D6-CTL-02 addresses audit trail completeness through Structured logging + SIEM integration + retention enforcement..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CRO022-M-111</w:t>
            </w:r>
          </w:p>
        </w:tc>
        <w:tc>
          <w:tcPr>
            <w:tcW w:type="dxa" w:w="1818"/>
            <w:vAlign w:val="center"/>
          </w:tcPr>
          <w:p>
            <w:r/>
            <w:r>
              <w:rPr>
                <w:b w:val="0"/>
                <w:sz w:val="12"/>
              </w:rPr>
              <w:t>D6-CTL-02</w:t>
            </w:r>
          </w:p>
        </w:tc>
        <w:tc>
          <w:tcPr>
            <w:tcW w:type="dxa" w:w="1818"/>
            <w:vAlign w:val="center"/>
          </w:tcPr>
          <w:p>
            <w:r/>
            <w:r>
              <w:rPr>
                <w:b w:val="0"/>
                <w:sz w:val="12"/>
              </w:rPr>
              <w:t>Audit Trail Completeness</w:t>
            </w:r>
          </w:p>
        </w:tc>
        <w:tc>
          <w:tcPr>
            <w:tcW w:type="dxa" w:w="1818"/>
            <w:vAlign w:val="center"/>
          </w:tcPr>
          <w:p>
            <w:r/>
            <w:r>
              <w:rPr>
                <w:b w:val="0"/>
                <w:sz w:val="12"/>
              </w:rPr>
              <w:t>GOVERN 1.7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D6-CTL-02 addresses audit trail completeness through Structured logging + SIEM integration + retention enforcement..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CRO022-M-112</w:t>
            </w:r>
          </w:p>
        </w:tc>
        <w:tc>
          <w:tcPr>
            <w:tcW w:type="dxa" w:w="1818"/>
            <w:vAlign w:val="center"/>
            <w:shd w:fill="F5F7F9"/>
          </w:tcPr>
          <w:p>
            <w:r/>
            <w:r>
              <w:rPr>
                <w:b w:val="0"/>
                <w:sz w:val="12"/>
              </w:rPr>
              <w:t>D6-CTL-03</w:t>
            </w:r>
          </w:p>
        </w:tc>
        <w:tc>
          <w:tcPr>
            <w:tcW w:type="dxa" w:w="1818"/>
            <w:vAlign w:val="center"/>
            <w:shd w:fill="F5F7F9"/>
          </w:tcPr>
          <w:p>
            <w:r/>
            <w:r>
              <w:rPr>
                <w:b w:val="0"/>
                <w:sz w:val="12"/>
              </w:rPr>
              <w:t>Ai Model Card Completeness</w:t>
            </w:r>
          </w:p>
        </w:tc>
        <w:tc>
          <w:tcPr>
            <w:tcW w:type="dxa" w:w="1818"/>
            <w:vAlign w:val="center"/>
            <w:shd w:fill="F5F7F9"/>
          </w:tcPr>
          <w:p>
            <w:r/>
            <w:r>
              <w:rPr>
                <w:b w:val="0"/>
                <w:sz w:val="12"/>
              </w:rPr>
              <w:t>GOVERN 1.7</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D6-CTL-03 addresses ai model card completeness through Standardized template + version control + public accessibility..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CRO022-M-113</w:t>
            </w:r>
          </w:p>
        </w:tc>
        <w:tc>
          <w:tcPr>
            <w:tcW w:type="dxa" w:w="1818"/>
            <w:vAlign w:val="center"/>
          </w:tcPr>
          <w:p>
            <w:r/>
            <w:r>
              <w:rPr>
                <w:b w:val="0"/>
                <w:sz w:val="12"/>
              </w:rPr>
              <w:t>D6-CTL-03</w:t>
            </w:r>
          </w:p>
        </w:tc>
        <w:tc>
          <w:tcPr>
            <w:tcW w:type="dxa" w:w="1818"/>
            <w:vAlign w:val="center"/>
          </w:tcPr>
          <w:p>
            <w:r/>
            <w:r>
              <w:rPr>
                <w:b w:val="0"/>
                <w:sz w:val="12"/>
              </w:rPr>
              <w:t>Ai Model Card Completeness</w:t>
            </w:r>
          </w:p>
        </w:tc>
        <w:tc>
          <w:tcPr>
            <w:tcW w:type="dxa" w:w="1818"/>
            <w:vAlign w:val="center"/>
          </w:tcPr>
          <w:p>
            <w:r/>
            <w:r>
              <w:rPr>
                <w:b w:val="0"/>
                <w:sz w:val="12"/>
              </w:rPr>
              <w:t>GOVERN 2.3</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D6-CTL-03 addresses ai model card completeness through Standardized template + version control + public accessibility.. This supports the NIST outcome concerning executive leadership of the organization takes re- sponsibility for decisions about risks associated with ai system development and deployment. govern 3: workforce diversity, equit.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CRO022-M-114</w:t>
            </w:r>
          </w:p>
        </w:tc>
        <w:tc>
          <w:tcPr>
            <w:tcW w:type="dxa" w:w="1818"/>
            <w:vAlign w:val="center"/>
            <w:shd w:fill="F5F7F9"/>
          </w:tcPr>
          <w:p>
            <w:r/>
            <w:r>
              <w:rPr>
                <w:b w:val="0"/>
                <w:sz w:val="12"/>
              </w:rPr>
              <w:t>D6-CTL-03</w:t>
            </w:r>
          </w:p>
        </w:tc>
        <w:tc>
          <w:tcPr>
            <w:tcW w:type="dxa" w:w="1818"/>
            <w:vAlign w:val="center"/>
            <w:shd w:fill="F5F7F9"/>
          </w:tcPr>
          <w:p>
            <w:r/>
            <w:r>
              <w:rPr>
                <w:b w:val="0"/>
                <w:sz w:val="12"/>
              </w:rPr>
              <w:t>Ai Model Card Completeness</w:t>
            </w:r>
          </w:p>
        </w:tc>
        <w:tc>
          <w:tcPr>
            <w:tcW w:type="dxa" w:w="1818"/>
            <w:vAlign w:val="center"/>
            <w:shd w:fill="F5F7F9"/>
          </w:tcPr>
          <w:p>
            <w:r/>
            <w:r>
              <w:rPr>
                <w:b w:val="0"/>
                <w:sz w:val="12"/>
              </w:rPr>
              <w:t>GOVERN 3.2</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D6-CTL-03 addresses ai model card completeness through Standardized template + version control + public accessibility.. This supports the NIST outcome concerning policies and procedures are in place to define and differentiate roles and responsibilities for human-ai configura- tions and oversight of ai systems. govern 4: organizational team.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CRO022-M-115</w:t>
            </w:r>
          </w:p>
        </w:tc>
        <w:tc>
          <w:tcPr>
            <w:tcW w:type="dxa" w:w="1818"/>
            <w:vAlign w:val="center"/>
          </w:tcPr>
          <w:p>
            <w:r/>
            <w:r>
              <w:rPr>
                <w:b w:val="0"/>
                <w:sz w:val="12"/>
              </w:rPr>
              <w:t>D6-CTL-04</w:t>
            </w:r>
          </w:p>
        </w:tc>
        <w:tc>
          <w:tcPr>
            <w:tcW w:type="dxa" w:w="1818"/>
            <w:vAlign w:val="center"/>
          </w:tcPr>
          <w:p>
            <w:r/>
            <w:r>
              <w:rPr>
                <w:b w:val="0"/>
                <w:sz w:val="12"/>
              </w:rPr>
              <w:t>Ai Incident Response Readiness</w:t>
            </w:r>
          </w:p>
        </w:tc>
        <w:tc>
          <w:tcPr>
            <w:tcW w:type="dxa" w:w="1818"/>
            <w:vAlign w:val="center"/>
          </w:tcPr>
          <w:p>
            <w:r/>
            <w:r>
              <w:rPr>
                <w:b w:val="0"/>
                <w:sz w:val="12"/>
              </w:rPr>
              <w:t>MEASURE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D6-CTL-04 addresses ai incident response readiness through AI-IR runbook + tabletop exercises + containment automation..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CRO022-M-116</w:t>
            </w:r>
          </w:p>
        </w:tc>
        <w:tc>
          <w:tcPr>
            <w:tcW w:type="dxa" w:w="1818"/>
            <w:vAlign w:val="center"/>
            <w:shd w:fill="F5F7F9"/>
          </w:tcPr>
          <w:p>
            <w:r/>
            <w:r>
              <w:rPr>
                <w:b w:val="0"/>
                <w:sz w:val="12"/>
              </w:rPr>
              <w:t>D6-CTL-04</w:t>
            </w:r>
          </w:p>
        </w:tc>
        <w:tc>
          <w:tcPr>
            <w:tcW w:type="dxa" w:w="1818"/>
            <w:vAlign w:val="center"/>
            <w:shd w:fill="F5F7F9"/>
          </w:tcPr>
          <w:p>
            <w:r/>
            <w:r>
              <w:rPr>
                <w:b w:val="0"/>
                <w:sz w:val="12"/>
              </w:rPr>
              <w:t>Ai Incident Response Readiness</w:t>
            </w:r>
          </w:p>
        </w:tc>
        <w:tc>
          <w:tcPr>
            <w:tcW w:type="dxa" w:w="1818"/>
            <w:vAlign w:val="center"/>
            <w:shd w:fill="F5F7F9"/>
          </w:tcPr>
          <w:p>
            <w:r/>
            <w:r>
              <w:rPr>
                <w:b w:val="0"/>
                <w:sz w:val="12"/>
              </w:rPr>
              <w:t>GOVERN 1.7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D6-CTL-04 addresses ai incident response readiness through AI-IR runbook + tabletop exercises + containment automation..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CRO022-M-117</w:t>
            </w:r>
          </w:p>
        </w:tc>
        <w:tc>
          <w:tcPr>
            <w:tcW w:type="dxa" w:w="1818"/>
            <w:vAlign w:val="center"/>
          </w:tcPr>
          <w:p>
            <w:r/>
            <w:r>
              <w:rPr>
                <w:b w:val="0"/>
                <w:sz w:val="12"/>
              </w:rPr>
              <w:t>D6-CTL-04</w:t>
            </w:r>
          </w:p>
        </w:tc>
        <w:tc>
          <w:tcPr>
            <w:tcW w:type="dxa" w:w="1818"/>
            <w:vAlign w:val="center"/>
          </w:tcPr>
          <w:p>
            <w:r/>
            <w:r>
              <w:rPr>
                <w:b w:val="0"/>
                <w:sz w:val="12"/>
              </w:rPr>
              <w:t>Ai Incident Response Readiness</w:t>
            </w:r>
          </w:p>
        </w:tc>
        <w:tc>
          <w:tcPr>
            <w:tcW w:type="dxa" w:w="1818"/>
            <w:vAlign w:val="center"/>
          </w:tcPr>
          <w:p>
            <w:r/>
            <w:r>
              <w:rPr>
                <w:b w:val="0"/>
                <w:sz w:val="12"/>
              </w:rPr>
              <w:t>GOVERN 1.4</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D6-CTL-04 addresses ai incident response readiness through AI-IR runbook + tabletop exercises + containment automation.. This supports the NIST outcome concerning the risk management process and its outcomes are established through transparent policies, procedures, and other controls based on organizational risk priorities. categories subcat.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CRO022-M-118</w:t>
            </w:r>
          </w:p>
        </w:tc>
        <w:tc>
          <w:tcPr>
            <w:tcW w:type="dxa" w:w="1818"/>
            <w:vAlign w:val="center"/>
            <w:shd w:fill="F5F7F9"/>
          </w:tcPr>
          <w:p>
            <w:r/>
            <w:r>
              <w:rPr>
                <w:b w:val="0"/>
                <w:sz w:val="12"/>
              </w:rPr>
              <w:t>D6-CTL-05</w:t>
            </w:r>
          </w:p>
        </w:tc>
        <w:tc>
          <w:tcPr>
            <w:tcW w:type="dxa" w:w="1818"/>
            <w:vAlign w:val="center"/>
            <w:shd w:fill="F5F7F9"/>
          </w:tcPr>
          <w:p>
            <w:r/>
            <w:r>
              <w:rPr>
                <w:b w:val="0"/>
                <w:sz w:val="12"/>
              </w:rPr>
              <w:t>Model Deprecation &amp; Decommissioning</w:t>
            </w:r>
          </w:p>
        </w:tc>
        <w:tc>
          <w:tcPr>
            <w:tcW w:type="dxa" w:w="1818"/>
            <w:vAlign w:val="center"/>
            <w:shd w:fill="F5F7F9"/>
          </w:tcPr>
          <w:p>
            <w:r/>
            <w:r>
              <w:rPr>
                <w:b w:val="0"/>
                <w:sz w:val="12"/>
              </w:rPr>
              <w:t>GOVERN 1.5</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D6-CTL-05 addresses model deprecation &amp; decommissioning through Access revocation + decommission audit + scheduled lifecycle.. This supports the NIST outcome concerning ongoing monitoring and periodic review of the risk management process and its outcomes are planned and or- ganizational roles and responsibilities clearly defined, including determ.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CRO022-M-119</w:t>
            </w:r>
          </w:p>
        </w:tc>
        <w:tc>
          <w:tcPr>
            <w:tcW w:type="dxa" w:w="1818"/>
            <w:vAlign w:val="center"/>
          </w:tcPr>
          <w:p>
            <w:r/>
            <w:r>
              <w:rPr>
                <w:b w:val="0"/>
                <w:sz w:val="12"/>
              </w:rPr>
              <w:t>D6-CTL-05</w:t>
            </w:r>
          </w:p>
        </w:tc>
        <w:tc>
          <w:tcPr>
            <w:tcW w:type="dxa" w:w="1818"/>
            <w:vAlign w:val="center"/>
          </w:tcPr>
          <w:p>
            <w:r/>
            <w:r>
              <w:rPr>
                <w:b w:val="0"/>
                <w:sz w:val="12"/>
              </w:rPr>
              <w:t>Model Deprecation &amp; Decommissioning</w:t>
            </w:r>
          </w:p>
        </w:tc>
        <w:tc>
          <w:tcPr>
            <w:tcW w:type="dxa" w:w="1818"/>
            <w:vAlign w:val="center"/>
          </w:tcPr>
          <w:p>
            <w:r/>
            <w:r>
              <w:rPr>
                <w:b w:val="0"/>
                <w:sz w:val="12"/>
              </w:rPr>
              <w:t>MANAGE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D6-CTL-05 addresses model deprecation &amp; decommissioning through Access revocation + decommission audit + scheduled lifecycle..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CRO022-M-120</w:t>
            </w:r>
          </w:p>
        </w:tc>
        <w:tc>
          <w:tcPr>
            <w:tcW w:type="dxa" w:w="1818"/>
            <w:vAlign w:val="center"/>
            <w:shd w:fill="F5F7F9"/>
          </w:tcPr>
          <w:p>
            <w:r/>
            <w:r>
              <w:rPr>
                <w:b w:val="0"/>
                <w:sz w:val="12"/>
              </w:rPr>
              <w:t>D6-CTL-05</w:t>
            </w:r>
          </w:p>
        </w:tc>
        <w:tc>
          <w:tcPr>
            <w:tcW w:type="dxa" w:w="1818"/>
            <w:vAlign w:val="center"/>
            <w:shd w:fill="F5F7F9"/>
          </w:tcPr>
          <w:p>
            <w:r/>
            <w:r>
              <w:rPr>
                <w:b w:val="0"/>
                <w:sz w:val="12"/>
              </w:rPr>
              <w:t>Model Deprecation &amp; Decommissioning</w:t>
            </w:r>
          </w:p>
        </w:tc>
        <w:tc>
          <w:tcPr>
            <w:tcW w:type="dxa" w:w="1818"/>
            <w:vAlign w:val="center"/>
            <w:shd w:fill="F5F7F9"/>
          </w:tcPr>
          <w:p>
            <w:r/>
            <w:r>
              <w:rPr>
                <w:b w:val="0"/>
                <w:sz w:val="12"/>
              </w:rPr>
              <w:t>GOVERN 1.7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D6-CTL-05 addresses model deprecation &amp; decommissioning through Access revocation + decommission audit + scheduled lifecycle..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CRO022-M-121</w:t>
            </w:r>
          </w:p>
        </w:tc>
        <w:tc>
          <w:tcPr>
            <w:tcW w:type="dxa" w:w="1818"/>
            <w:vAlign w:val="center"/>
          </w:tcPr>
          <w:p>
            <w:r/>
            <w:r>
              <w:rPr>
                <w:b w:val="0"/>
                <w:sz w:val="12"/>
              </w:rPr>
              <w:t>D6-CTL-06</w:t>
            </w:r>
          </w:p>
        </w:tc>
        <w:tc>
          <w:tcPr>
            <w:tcW w:type="dxa" w:w="1818"/>
            <w:vAlign w:val="center"/>
          </w:tcPr>
          <w:p>
            <w:r/>
            <w:r>
              <w:rPr>
                <w:b w:val="0"/>
                <w:sz w:val="12"/>
              </w:rPr>
              <w:t>Third-Party Ai Vendor Governance</w:t>
            </w:r>
          </w:p>
        </w:tc>
        <w:tc>
          <w:tcPr>
            <w:tcW w:type="dxa" w:w="1818"/>
            <w:vAlign w:val="center"/>
          </w:tcPr>
          <w:p>
            <w:r/>
            <w:r>
              <w:rPr>
                <w:b w:val="0"/>
                <w:sz w:val="12"/>
              </w:rPr>
              <w:t>MEASURE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D6-CTL-06 addresses third-party ai vendor governance through Contractual security requirements + annual assessment + audit rights..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CRO022-M-122</w:t>
            </w:r>
          </w:p>
        </w:tc>
        <w:tc>
          <w:tcPr>
            <w:tcW w:type="dxa" w:w="1818"/>
            <w:vAlign w:val="center"/>
            <w:shd w:fill="F5F7F9"/>
          </w:tcPr>
          <w:p>
            <w:r/>
            <w:r>
              <w:rPr>
                <w:b w:val="0"/>
                <w:sz w:val="12"/>
              </w:rPr>
              <w:t>D6-CTL-06</w:t>
            </w:r>
          </w:p>
        </w:tc>
        <w:tc>
          <w:tcPr>
            <w:tcW w:type="dxa" w:w="1818"/>
            <w:vAlign w:val="center"/>
            <w:shd w:fill="F5F7F9"/>
          </w:tcPr>
          <w:p>
            <w:r/>
            <w:r>
              <w:rPr>
                <w:b w:val="0"/>
                <w:sz w:val="12"/>
              </w:rPr>
              <w:t>Third-Party Ai Vendor Governance</w:t>
            </w:r>
          </w:p>
        </w:tc>
        <w:tc>
          <w:tcPr>
            <w:tcW w:type="dxa" w:w="1818"/>
            <w:vAlign w:val="center"/>
            <w:shd w:fill="F5F7F9"/>
          </w:tcPr>
          <w:p>
            <w:r/>
            <w:r>
              <w:rPr>
                <w:b w:val="0"/>
                <w:sz w:val="12"/>
              </w:rPr>
              <w:t>GOVERN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D6-CTL-06 addresses third-party ai vendor governance through Contractual security requirements + annual assessment + audit rights..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CRO022-M-123</w:t>
            </w:r>
          </w:p>
        </w:tc>
        <w:tc>
          <w:tcPr>
            <w:tcW w:type="dxa" w:w="1818"/>
            <w:vAlign w:val="center"/>
          </w:tcPr>
          <w:p>
            <w:r/>
            <w:r>
              <w:rPr>
                <w:b w:val="0"/>
                <w:sz w:val="12"/>
              </w:rPr>
              <w:t>D6-CTL-06</w:t>
            </w:r>
          </w:p>
        </w:tc>
        <w:tc>
          <w:tcPr>
            <w:tcW w:type="dxa" w:w="1818"/>
            <w:vAlign w:val="center"/>
          </w:tcPr>
          <w:p>
            <w:r/>
            <w:r>
              <w:rPr>
                <w:b w:val="0"/>
                <w:sz w:val="12"/>
              </w:rPr>
              <w:t>Third-Party Ai Vendor Governance</w:t>
            </w:r>
          </w:p>
        </w:tc>
        <w:tc>
          <w:tcPr>
            <w:tcW w:type="dxa" w:w="1818"/>
            <w:vAlign w:val="center"/>
          </w:tcPr>
          <w:p>
            <w:r/>
            <w:r>
              <w:rPr>
                <w:b w:val="0"/>
                <w:sz w:val="12"/>
              </w:rPr>
              <w:t>MANAGE 4.3</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D6-CTL-06 addresses third-party ai vendor governance through Contractual security requirements + annual assessment + audit rights.. This supports the NIST outcome concerning incidents and errors are communicated to relevant ai actors, including affected communities. processes for track- ing, responding to, and recovering from incidents and errors are f.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CRO022-M-124</w:t>
            </w:r>
          </w:p>
        </w:tc>
        <w:tc>
          <w:tcPr>
            <w:tcW w:type="dxa" w:w="1818"/>
            <w:vAlign w:val="center"/>
            <w:shd w:fill="F5F7F9"/>
          </w:tcPr>
          <w:p>
            <w:r/>
            <w:r>
              <w:rPr>
                <w:b w:val="0"/>
                <w:sz w:val="12"/>
              </w:rPr>
              <w:t>D6-CTL-07</w:t>
            </w:r>
          </w:p>
        </w:tc>
        <w:tc>
          <w:tcPr>
            <w:tcW w:type="dxa" w:w="1818"/>
            <w:vAlign w:val="center"/>
            <w:shd w:fill="F5F7F9"/>
          </w:tcPr>
          <w:p>
            <w:r/>
            <w:r>
              <w:rPr>
                <w:b w:val="0"/>
                <w:sz w:val="12"/>
              </w:rPr>
              <w:t>Ai Resilience &amp; Business Continuity</w:t>
            </w:r>
          </w:p>
        </w:tc>
        <w:tc>
          <w:tcPr>
            <w:tcW w:type="dxa" w:w="1818"/>
            <w:vAlign w:val="center"/>
            <w:shd w:fill="F5F7F9"/>
          </w:tcPr>
          <w:p>
            <w:r/>
            <w:r>
              <w:rPr>
                <w:b w:val="0"/>
                <w:sz w:val="12"/>
              </w:rPr>
              <w:t>GOVERN 1.7</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D6-CTL-07 addresses ai resilience &amp; business continuity through Failover systems + degraded mode + RTO/RPO definition..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CRO022-M-125</w:t>
            </w:r>
          </w:p>
        </w:tc>
        <w:tc>
          <w:tcPr>
            <w:tcW w:type="dxa" w:w="1818"/>
            <w:vAlign w:val="center"/>
          </w:tcPr>
          <w:p>
            <w:r/>
            <w:r>
              <w:rPr>
                <w:b w:val="0"/>
                <w:sz w:val="12"/>
              </w:rPr>
              <w:t>D6-CTL-07</w:t>
            </w:r>
          </w:p>
        </w:tc>
        <w:tc>
          <w:tcPr>
            <w:tcW w:type="dxa" w:w="1818"/>
            <w:vAlign w:val="center"/>
          </w:tcPr>
          <w:p>
            <w:r/>
            <w:r>
              <w:rPr>
                <w:b w:val="0"/>
                <w:sz w:val="12"/>
              </w:rPr>
              <w:t>Ai Resilience &amp; Business Continuity</w:t>
            </w:r>
          </w:p>
        </w:tc>
        <w:tc>
          <w:tcPr>
            <w:tcW w:type="dxa" w:w="1818"/>
            <w:vAlign w:val="center"/>
          </w:tcPr>
          <w:p>
            <w:r/>
            <w:r>
              <w:rPr>
                <w:b w:val="0"/>
                <w:sz w:val="12"/>
              </w:rPr>
              <w:t>GOVERN 3.2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D6-CTL-07 addresses ai resilience &amp; business continuity through Failover systems + degraded mode + RTO/RPO definition.. This supports the NIST outcome concerning policies and procedures are in place to define and differentiate roles and responsibilities for human-ai configura- tions and oversight of ai systems. govern 4: organizational team.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CRO022-M-126</w:t>
            </w:r>
          </w:p>
        </w:tc>
        <w:tc>
          <w:tcPr>
            <w:tcW w:type="dxa" w:w="1818"/>
            <w:vAlign w:val="center"/>
            <w:shd w:fill="F5F7F9"/>
          </w:tcPr>
          <w:p>
            <w:r/>
            <w:r>
              <w:rPr>
                <w:b w:val="0"/>
                <w:sz w:val="12"/>
              </w:rPr>
              <w:t>D6-CTL-07</w:t>
            </w:r>
          </w:p>
        </w:tc>
        <w:tc>
          <w:tcPr>
            <w:tcW w:type="dxa" w:w="1818"/>
            <w:vAlign w:val="center"/>
            <w:shd w:fill="F5F7F9"/>
          </w:tcPr>
          <w:p>
            <w:r/>
            <w:r>
              <w:rPr>
                <w:b w:val="0"/>
                <w:sz w:val="12"/>
              </w:rPr>
              <w:t>Ai Resilience &amp; Business Continuity</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D6-CTL-07 addresses ai resilience &amp; business continuity through Failover systems + degraded mode + RTO/RPO definition..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CRO022-M-127</w:t>
            </w:r>
          </w:p>
        </w:tc>
        <w:tc>
          <w:tcPr>
            <w:tcW w:type="dxa" w:w="1818"/>
            <w:vAlign w:val="center"/>
          </w:tcPr>
          <w:p>
            <w:r/>
            <w:r>
              <w:rPr>
                <w:b w:val="0"/>
                <w:sz w:val="12"/>
              </w:rPr>
              <w:t>D7-CTL-H01</w:t>
            </w:r>
          </w:p>
        </w:tc>
        <w:tc>
          <w:tcPr>
            <w:tcW w:type="dxa" w:w="1818"/>
            <w:vAlign w:val="center"/>
          </w:tcPr>
          <w:p>
            <w:r/>
            <w:r>
              <w:rPr>
                <w:b w:val="0"/>
                <w:sz w:val="12"/>
              </w:rPr>
              <w:t>Ai-Generated Phishing Simulation</w:t>
            </w:r>
          </w:p>
        </w:tc>
        <w:tc>
          <w:tcPr>
            <w:tcW w:type="dxa" w:w="1818"/>
            <w:vAlign w:val="center"/>
          </w:tcPr>
          <w:p>
            <w:r/>
            <w:r>
              <w:rPr>
                <w:b w:val="0"/>
                <w:sz w:val="12"/>
              </w:rPr>
              <w:t>GOVERN 2.2</w:t>
            </w:r>
          </w:p>
        </w:tc>
        <w:tc>
          <w:tcPr>
            <w:tcW w:type="dxa" w:w="1818"/>
            <w:vAlign w:val="center"/>
          </w:tcPr>
          <w:p>
            <w:r/>
            <w:r>
              <w:rPr>
                <w:b w:val="0"/>
                <w:sz w:val="12"/>
              </w:rPr>
              <w:t>C</w:t>
            </w:r>
          </w:p>
        </w:tc>
        <w:tc>
          <w:tcPr>
            <w:tcW w:type="dxa" w:w="1818"/>
            <w:vAlign w:val="center"/>
          </w:tcPr>
          <w:p>
            <w:r/>
            <w:r>
              <w:rPr>
                <w:b w:val="0"/>
                <w:sz w:val="12"/>
              </w:rPr>
              <w:t>Low</w:t>
            </w:r>
          </w:p>
        </w:tc>
        <w:tc>
          <w:tcPr>
            <w:tcW w:type="dxa" w:w="1818"/>
            <w:vAlign w:val="center"/>
          </w:tcPr>
          <w:p>
            <w:r/>
            <w:r>
              <w:rPr>
                <w:b w:val="0"/>
                <w:sz w:val="12"/>
              </w:rPr>
              <w:t>GAISSF D7-CTL-H01 addresses ai-generated phishing simulation through Simulation campaigns + click tracking + remedial training.. This supports the NIST outcome concerning the organization’s personnel and partners receive ai risk management training to enable them to perform their du- ties and responsibilities consistent with related policies, proce-.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CRO022-M-128</w:t>
            </w:r>
          </w:p>
        </w:tc>
        <w:tc>
          <w:tcPr>
            <w:tcW w:type="dxa" w:w="1818"/>
            <w:vAlign w:val="center"/>
            <w:shd w:fill="F5F7F9"/>
          </w:tcPr>
          <w:p>
            <w:r/>
            <w:r>
              <w:rPr>
                <w:b w:val="0"/>
                <w:sz w:val="12"/>
              </w:rPr>
              <w:t>D7-CTL-H02</w:t>
            </w:r>
          </w:p>
        </w:tc>
        <w:tc>
          <w:tcPr>
            <w:tcW w:type="dxa" w:w="1818"/>
            <w:vAlign w:val="center"/>
            <w:shd w:fill="F5F7F9"/>
          </w:tcPr>
          <w:p>
            <w:r/>
            <w:r>
              <w:rPr>
                <w:b w:val="0"/>
                <w:sz w:val="12"/>
              </w:rPr>
              <w:t>Deepfake Detection Training</w:t>
            </w:r>
          </w:p>
        </w:tc>
        <w:tc>
          <w:tcPr>
            <w:tcW w:type="dxa" w:w="1818"/>
            <w:vAlign w:val="center"/>
            <w:shd w:fill="F5F7F9"/>
          </w:tcPr>
          <w:p>
            <w:r/>
            <w:r>
              <w:rPr>
                <w:b w:val="0"/>
                <w:sz w:val="12"/>
              </w:rPr>
              <w:t>GOVERN 4.3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D7-CTL-H02 addresses deepfake detection training through Training modules + quiz + simulated attacks.. This supports the NIST outcome concerning organizational practices are in place to enable ai testing, identification of incidents, and information sharing. govern 5: processes are in place for robust engagement with releva.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CRO022-M-129</w:t>
            </w:r>
          </w:p>
        </w:tc>
        <w:tc>
          <w:tcPr>
            <w:tcW w:type="dxa" w:w="1818"/>
            <w:vAlign w:val="center"/>
          </w:tcPr>
          <w:p>
            <w:r/>
            <w:r>
              <w:rPr>
                <w:b w:val="0"/>
                <w:sz w:val="12"/>
              </w:rPr>
              <w:t>D7-CTL-H02</w:t>
            </w:r>
          </w:p>
        </w:tc>
        <w:tc>
          <w:tcPr>
            <w:tcW w:type="dxa" w:w="1818"/>
            <w:vAlign w:val="center"/>
          </w:tcPr>
          <w:p>
            <w:r/>
            <w:r>
              <w:rPr>
                <w:b w:val="0"/>
                <w:sz w:val="12"/>
              </w:rPr>
              <w:t>Deepfake Detection Training</w:t>
            </w:r>
          </w:p>
        </w:tc>
        <w:tc>
          <w:tcPr>
            <w:tcW w:type="dxa" w:w="1818"/>
            <w:vAlign w:val="center"/>
          </w:tcPr>
          <w:p>
            <w:r/>
            <w:r>
              <w:rPr>
                <w:b w:val="0"/>
                <w:sz w:val="12"/>
              </w:rPr>
              <w:t>GOVERN 6.2</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D7-CTL-H02 addresses deepfake detection training through Training modules + quiz + simulated attacks..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CRO022-M-130</w:t>
            </w:r>
          </w:p>
        </w:tc>
        <w:tc>
          <w:tcPr>
            <w:tcW w:type="dxa" w:w="1818"/>
            <w:vAlign w:val="center"/>
            <w:shd w:fill="F5F7F9"/>
          </w:tcPr>
          <w:p>
            <w:r/>
            <w:r>
              <w:rPr>
                <w:b w:val="0"/>
                <w:sz w:val="12"/>
              </w:rPr>
              <w:t>D7-CTL-H02</w:t>
            </w:r>
          </w:p>
        </w:tc>
        <w:tc>
          <w:tcPr>
            <w:tcW w:type="dxa" w:w="1818"/>
            <w:vAlign w:val="center"/>
            <w:shd w:fill="F5F7F9"/>
          </w:tcPr>
          <w:p>
            <w:r/>
            <w:r>
              <w:rPr>
                <w:b w:val="0"/>
                <w:sz w:val="12"/>
              </w:rPr>
              <w:t>Deepfake Detection Training</w:t>
            </w:r>
          </w:p>
        </w:tc>
        <w:tc>
          <w:tcPr>
            <w:tcW w:type="dxa" w:w="1818"/>
            <w:vAlign w:val="center"/>
            <w:shd w:fill="F5F7F9"/>
          </w:tcPr>
          <w:p>
            <w:r/>
            <w:r>
              <w:rPr>
                <w:b w:val="0"/>
                <w:sz w:val="12"/>
              </w:rPr>
              <w:t>MEASURE 4.3</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D7-CTL-H02 addresses deepfake detection training through Training modules + quiz + simulated attacks.. This supports the NIST outcome concerning measurable performance improvements or de- clines based on consultations with relevant ai actors, in- cluding affected communities, and field data about context- relevant risks and.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CRO022-M-131</w:t>
            </w:r>
          </w:p>
        </w:tc>
        <w:tc>
          <w:tcPr>
            <w:tcW w:type="dxa" w:w="1818"/>
            <w:vAlign w:val="center"/>
          </w:tcPr>
          <w:p>
            <w:r/>
            <w:r>
              <w:rPr>
                <w:b w:val="0"/>
                <w:sz w:val="12"/>
              </w:rPr>
              <w:t>D7-CTL-H03</w:t>
            </w:r>
          </w:p>
        </w:tc>
        <w:tc>
          <w:tcPr>
            <w:tcW w:type="dxa" w:w="1818"/>
            <w:vAlign w:val="center"/>
          </w:tcPr>
          <w:p>
            <w:r/>
            <w:r>
              <w:rPr>
                <w:b w:val="0"/>
                <w:sz w:val="12"/>
              </w:rPr>
              <w:t>Out-Of-Band Authentication</w:t>
            </w:r>
          </w:p>
        </w:tc>
        <w:tc>
          <w:tcPr>
            <w:tcW w:type="dxa" w:w="1818"/>
            <w:vAlign w:val="center"/>
          </w:tcPr>
          <w:p>
            <w:r/>
            <w:r>
              <w:rPr>
                <w:b w:val="0"/>
                <w:sz w:val="12"/>
              </w:rPr>
              <w:t>GOVERN 1.4</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D7-CTL-H03 addresses out-of-band authentication through Independent channel verification + policy enforcement.. This supports the NIST outcome concerning the risk management process and its outcomes are established through transparent policies, procedures, and other controls based on organizational risk priorities. categories subcat.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CRO022-M-132</w:t>
            </w:r>
          </w:p>
        </w:tc>
        <w:tc>
          <w:tcPr>
            <w:tcW w:type="dxa" w:w="1818"/>
            <w:vAlign w:val="center"/>
            <w:shd w:fill="F5F7F9"/>
          </w:tcPr>
          <w:p>
            <w:r/>
            <w:r>
              <w:rPr>
                <w:b w:val="0"/>
                <w:sz w:val="12"/>
              </w:rPr>
              <w:t>D7-CTL-H03</w:t>
            </w:r>
          </w:p>
        </w:tc>
        <w:tc>
          <w:tcPr>
            <w:tcW w:type="dxa" w:w="1818"/>
            <w:vAlign w:val="center"/>
            <w:shd w:fill="F5F7F9"/>
          </w:tcPr>
          <w:p>
            <w:r/>
            <w:r>
              <w:rPr>
                <w:b w:val="0"/>
                <w:sz w:val="12"/>
              </w:rPr>
              <w:t>Out-Of-Band Authentication</w:t>
            </w:r>
          </w:p>
        </w:tc>
        <w:tc>
          <w:tcPr>
            <w:tcW w:type="dxa" w:w="1818"/>
            <w:vAlign w:val="center"/>
            <w:shd w:fill="F5F7F9"/>
          </w:tcPr>
          <w:p>
            <w:r/>
            <w:r>
              <w:rPr>
                <w:b w:val="0"/>
                <w:sz w:val="12"/>
              </w:rPr>
              <w:t>GOVERN 1.5</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D7-CTL-H03 addresses out-of-band authentication through Independent channel verification + policy enforcement.. This supports the NIST outcome concerning ongoing monitoring and periodic review of the risk management process and its outcomes are planned and or- ganizational roles and responsibilities clearly defined, including determ.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CRO022-M-133</w:t>
            </w:r>
          </w:p>
        </w:tc>
        <w:tc>
          <w:tcPr>
            <w:tcW w:type="dxa" w:w="1818"/>
            <w:vAlign w:val="center"/>
          </w:tcPr>
          <w:p>
            <w:r/>
            <w:r>
              <w:rPr>
                <w:b w:val="0"/>
                <w:sz w:val="12"/>
              </w:rPr>
              <w:t>D7-CTL-H03</w:t>
            </w:r>
          </w:p>
        </w:tc>
        <w:tc>
          <w:tcPr>
            <w:tcW w:type="dxa" w:w="1818"/>
            <w:vAlign w:val="center"/>
          </w:tcPr>
          <w:p>
            <w:r/>
            <w:r>
              <w:rPr>
                <w:b w:val="0"/>
                <w:sz w:val="12"/>
              </w:rPr>
              <w:t>Out-Of-Band Authentication</w:t>
            </w:r>
          </w:p>
        </w:tc>
        <w:tc>
          <w:tcPr>
            <w:tcW w:type="dxa" w:w="1818"/>
            <w:vAlign w:val="center"/>
          </w:tcPr>
          <w:p>
            <w:r/>
            <w:r>
              <w:rPr>
                <w:b w:val="0"/>
                <w:sz w:val="12"/>
              </w:rPr>
              <w:t>GOVERN 1.7</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D7-CTL-H03 addresses out-of-band authentication through Independent channel verification + policy enforcement.. This supports the NIST outcome concerning processes and procedures are in place for decom- missioning and phasing out ai systems safely and in a man- ner that does not increase risks or decrease the organization’s trustwor.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CRO022-M-134</w:t>
            </w:r>
          </w:p>
        </w:tc>
        <w:tc>
          <w:tcPr>
            <w:tcW w:type="dxa" w:w="1818"/>
            <w:vAlign w:val="center"/>
            <w:shd w:fill="F5F7F9"/>
          </w:tcPr>
          <w:p>
            <w:r/>
            <w:r>
              <w:rPr>
                <w:b w:val="0"/>
                <w:sz w:val="12"/>
              </w:rPr>
              <w:t>D7-CTL-H04</w:t>
            </w:r>
          </w:p>
        </w:tc>
        <w:tc>
          <w:tcPr>
            <w:tcW w:type="dxa" w:w="1818"/>
            <w:vAlign w:val="center"/>
            <w:shd w:fill="F5F7F9"/>
          </w:tcPr>
          <w:p>
            <w:r/>
            <w:r>
              <w:rPr>
                <w:b w:val="0"/>
                <w:sz w:val="12"/>
              </w:rPr>
              <w:t>Ai Social Engineering Ir</w:t>
            </w:r>
          </w:p>
        </w:tc>
        <w:tc>
          <w:tcPr>
            <w:tcW w:type="dxa" w:w="1818"/>
            <w:vAlign w:val="center"/>
            <w:shd w:fill="F5F7F9"/>
          </w:tcPr>
          <w:p>
            <w:r/>
            <w:r>
              <w:rPr>
                <w:b w:val="0"/>
                <w:sz w:val="12"/>
              </w:rPr>
              <w:t>GOVERN 2.2</w:t>
            </w:r>
          </w:p>
        </w:tc>
        <w:tc>
          <w:tcPr>
            <w:tcW w:type="dxa" w:w="1818"/>
            <w:vAlign w:val="center"/>
            <w:shd w:fill="F5F7F9"/>
          </w:tcPr>
          <w:p>
            <w:r/>
            <w:r>
              <w:rPr>
                <w:b w:val="0"/>
                <w:sz w:val="12"/>
              </w:rPr>
              <w:t>C</w:t>
            </w:r>
          </w:p>
        </w:tc>
        <w:tc>
          <w:tcPr>
            <w:tcW w:type="dxa" w:w="1818"/>
            <w:vAlign w:val="center"/>
            <w:shd w:fill="F5F7F9"/>
          </w:tcPr>
          <w:p>
            <w:r/>
            <w:r>
              <w:rPr>
                <w:b w:val="0"/>
                <w:sz w:val="12"/>
              </w:rPr>
              <w:t>Low</w:t>
            </w:r>
          </w:p>
        </w:tc>
        <w:tc>
          <w:tcPr>
            <w:tcW w:type="dxa" w:w="1818"/>
            <w:vAlign w:val="center"/>
            <w:shd w:fill="F5F7F9"/>
          </w:tcPr>
          <w:p>
            <w:r/>
            <w:r>
              <w:rPr>
                <w:b w:val="0"/>
                <w:sz w:val="12"/>
              </w:rPr>
              <w:t>GAISSF D7-CTL-H04 addresses ai social engineering ir through Tabletop exercises + IR plan + verification triggers.. This supports the NIST outcome concerning the organization’s personnel and partners receive ai risk management training to enable them to perform their du- ties and responsibilities consistent with related policies, proce-.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CRO022-M-135</w:t>
            </w:r>
          </w:p>
        </w:tc>
        <w:tc>
          <w:tcPr>
            <w:tcW w:type="dxa" w:w="1818"/>
            <w:vAlign w:val="center"/>
          </w:tcPr>
          <w:p>
            <w:r/>
            <w:r>
              <w:rPr>
                <w:b w:val="0"/>
                <w:sz w:val="12"/>
              </w:rPr>
              <w:t>D7-CTL-H05</w:t>
            </w:r>
          </w:p>
        </w:tc>
        <w:tc>
          <w:tcPr>
            <w:tcW w:type="dxa" w:w="1818"/>
            <w:vAlign w:val="center"/>
          </w:tcPr>
          <w:p>
            <w:r/>
            <w:r>
              <w:rPr>
                <w:b w:val="0"/>
                <w:sz w:val="12"/>
              </w:rPr>
              <w:t>Ai-Enhanced External Attack Defense</w:t>
            </w:r>
          </w:p>
        </w:tc>
        <w:tc>
          <w:tcPr>
            <w:tcW w:type="dxa" w:w="1818"/>
            <w:vAlign w:val="center"/>
          </w:tcPr>
          <w:p>
            <w:r/>
            <w:r>
              <w:rPr>
                <w:b w:val="0"/>
                <w:sz w:val="12"/>
              </w:rPr>
              <w:t>GOVERN 5.1</w:t>
            </w:r>
          </w:p>
        </w:tc>
        <w:tc>
          <w:tcPr>
            <w:tcW w:type="dxa" w:w="1818"/>
            <w:vAlign w:val="center"/>
          </w:tcPr>
          <w:p>
            <w:r/>
            <w:r>
              <w:rPr>
                <w:b w:val="0"/>
                <w:sz w:val="12"/>
              </w:rPr>
              <w:t>C</w:t>
            </w:r>
          </w:p>
        </w:tc>
        <w:tc>
          <w:tcPr>
            <w:tcW w:type="dxa" w:w="1818"/>
            <w:vAlign w:val="center"/>
          </w:tcPr>
          <w:p>
            <w:r/>
            <w:r>
              <w:rPr>
                <w:b w:val="0"/>
                <w:sz w:val="12"/>
              </w:rPr>
              <w:t>Low</w:t>
            </w:r>
          </w:p>
        </w:tc>
        <w:tc>
          <w:tcPr>
            <w:tcW w:type="dxa" w:w="1818"/>
            <w:vAlign w:val="center"/>
          </w:tcPr>
          <w:p>
            <w:r/>
            <w:r>
              <w:rPr>
                <w:b w:val="0"/>
                <w:sz w:val="12"/>
              </w:rPr>
              <w:t>GAISSF D7-CTL-H05 addresses ai-enhanced external attack defense through AI-generated phishing detection + SOC tuning + response automation.. This supports the NIST outcome concerning organizational policies and practices are in place to collect, consider, prioritize, and integrate feedback from those external to the team that developed or deployed the ai system.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CRO022-M-136</w:t>
            </w:r>
          </w:p>
        </w:tc>
        <w:tc>
          <w:tcPr>
            <w:tcW w:type="dxa" w:w="1818"/>
            <w:vAlign w:val="center"/>
            <w:shd w:fill="F5F7F9"/>
          </w:tcPr>
          <w:p>
            <w:r/>
            <w:r>
              <w:rPr>
                <w:b w:val="0"/>
                <w:sz w:val="12"/>
              </w:rPr>
              <w:t>D8-CTL-01</w:t>
            </w:r>
          </w:p>
        </w:tc>
        <w:tc>
          <w:tcPr>
            <w:tcW w:type="dxa" w:w="1818"/>
            <w:vAlign w:val="center"/>
            <w:shd w:fill="F5F7F9"/>
          </w:tcPr>
          <w:p>
            <w:r/>
            <w:r>
              <w:rPr>
                <w:b w:val="0"/>
                <w:sz w:val="12"/>
              </w:rPr>
              <w:t>Eu Ai Act Risk Tier Mapping</w:t>
            </w:r>
          </w:p>
        </w:tc>
        <w:tc>
          <w:tcPr>
            <w:tcW w:type="dxa" w:w="1818"/>
            <w:vAlign w:val="center"/>
            <w:shd w:fill="F5F7F9"/>
          </w:tcPr>
          <w:p>
            <w:r/>
            <w:r>
              <w:rPr>
                <w:b w:val="0"/>
                <w:sz w:val="12"/>
              </w:rPr>
              <w:t>GOVERN 6.2</w:t>
            </w:r>
          </w:p>
        </w:tc>
        <w:tc>
          <w:tcPr>
            <w:tcW w:type="dxa" w:w="1818"/>
            <w:vAlign w:val="center"/>
            <w:shd w:fill="F5F7F9"/>
          </w:tcPr>
          <w:p>
            <w:r/>
            <w:r>
              <w:rPr>
                <w:b w:val="0"/>
                <w:sz w:val="12"/>
              </w:rPr>
              <w:t>S</w:t>
            </w:r>
          </w:p>
        </w:tc>
        <w:tc>
          <w:tcPr>
            <w:tcW w:type="dxa" w:w="1818"/>
            <w:vAlign w:val="center"/>
            <w:shd w:fill="F5F7F9"/>
          </w:tcPr>
          <w:p>
            <w:r/>
            <w:r>
              <w:rPr>
                <w:b w:val="0"/>
                <w:sz w:val="12"/>
              </w:rPr>
              <w:t>Medium</w:t>
            </w:r>
          </w:p>
        </w:tc>
        <w:tc>
          <w:tcPr>
            <w:tcW w:type="dxa" w:w="1818"/>
            <w:vAlign w:val="center"/>
            <w:shd w:fill="F5F7F9"/>
          </w:tcPr>
          <w:p>
            <w:r/>
            <w:r>
              <w:rPr>
                <w:b w:val="0"/>
                <w:sz w:val="12"/>
              </w:rPr>
              <w:t>GAISSF D8-CTL-01 addresses eu ai act risk tier mapping through Risk classification framework + conformity assessment.. This supports the NIST outcome concerning contingency processes are in place to handle failures or incidents in third-party data or ai systems deemed to be high-risk. categories subcategories 5.2 map the map function estab.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CRO022-M-137</w:t>
            </w:r>
          </w:p>
        </w:tc>
        <w:tc>
          <w:tcPr>
            <w:tcW w:type="dxa" w:w="1818"/>
            <w:vAlign w:val="center"/>
          </w:tcPr>
          <w:p>
            <w:r/>
            <w:r>
              <w:rPr>
                <w:b w:val="0"/>
                <w:sz w:val="12"/>
              </w:rPr>
              <w:t>D8-CTL-01</w:t>
            </w:r>
          </w:p>
        </w:tc>
        <w:tc>
          <w:tcPr>
            <w:tcW w:type="dxa" w:w="1818"/>
            <w:vAlign w:val="center"/>
          </w:tcPr>
          <w:p>
            <w:r/>
            <w:r>
              <w:rPr>
                <w:b w:val="0"/>
                <w:sz w:val="12"/>
              </w:rPr>
              <w:t>Eu Ai Act Risk Tier Mapping</w:t>
            </w:r>
          </w:p>
        </w:tc>
        <w:tc>
          <w:tcPr>
            <w:tcW w:type="dxa" w:w="1818"/>
            <w:vAlign w:val="center"/>
          </w:tcPr>
          <w:p>
            <w:r/>
            <w:r>
              <w:rPr>
                <w:b w:val="0"/>
                <w:sz w:val="12"/>
              </w:rPr>
              <w:t>MAP 2.2</w:t>
            </w:r>
          </w:p>
        </w:tc>
        <w:tc>
          <w:tcPr>
            <w:tcW w:type="dxa" w:w="1818"/>
            <w:vAlign w:val="center"/>
          </w:tcPr>
          <w:p>
            <w:r/>
            <w:r>
              <w:rPr>
                <w:b w:val="0"/>
                <w:sz w:val="12"/>
              </w:rPr>
              <w:t>S</w:t>
            </w:r>
          </w:p>
        </w:tc>
        <w:tc>
          <w:tcPr>
            <w:tcW w:type="dxa" w:w="1818"/>
            <w:vAlign w:val="center"/>
          </w:tcPr>
          <w:p>
            <w:r/>
            <w:r>
              <w:rPr>
                <w:b w:val="0"/>
                <w:sz w:val="12"/>
              </w:rPr>
              <w:t>Medium</w:t>
            </w:r>
          </w:p>
        </w:tc>
        <w:tc>
          <w:tcPr>
            <w:tcW w:type="dxa" w:w="1818"/>
            <w:vAlign w:val="center"/>
          </w:tcPr>
          <w:p>
            <w:r/>
            <w:r>
              <w:rPr>
                <w:b w:val="0"/>
                <w:sz w:val="12"/>
              </w:rPr>
              <w:t>GAISSF D8-CTL-01 addresses eu ai act risk tier mapping through Risk classification framework + conformity assessment.. This supports the NIST outcome concerning information about the ai system’s knowledge limits and how system output may be utilized and overseen by humans is documented. documentation provides sufficient information to assi.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CRO022-M-138</w:t>
            </w:r>
          </w:p>
        </w:tc>
        <w:tc>
          <w:tcPr>
            <w:tcW w:type="dxa" w:w="1818"/>
            <w:vAlign w:val="center"/>
            <w:shd w:fill="F5F7F9"/>
          </w:tcPr>
          <w:p>
            <w:r/>
            <w:r>
              <w:rPr>
                <w:b w:val="0"/>
                <w:sz w:val="12"/>
              </w:rPr>
              <w:t>D8-CTL-01</w:t>
            </w:r>
          </w:p>
        </w:tc>
        <w:tc>
          <w:tcPr>
            <w:tcW w:type="dxa" w:w="1818"/>
            <w:vAlign w:val="center"/>
            <w:shd w:fill="F5F7F9"/>
          </w:tcPr>
          <w:p>
            <w:r/>
            <w:r>
              <w:rPr>
                <w:b w:val="0"/>
                <w:sz w:val="12"/>
              </w:rPr>
              <w:t>Eu Ai Act Risk Tier Mapping</w:t>
            </w:r>
          </w:p>
        </w:tc>
        <w:tc>
          <w:tcPr>
            <w:tcW w:type="dxa" w:w="1818"/>
            <w:vAlign w:val="center"/>
            <w:shd w:fill="F5F7F9"/>
          </w:tcPr>
          <w:p>
            <w:r/>
            <w:r>
              <w:rPr>
                <w:b w:val="0"/>
                <w:sz w:val="12"/>
              </w:rPr>
              <w:t>MAP 3.2</w:t>
            </w:r>
          </w:p>
        </w:tc>
        <w:tc>
          <w:tcPr>
            <w:tcW w:type="dxa" w:w="1818"/>
            <w:vAlign w:val="center"/>
            <w:shd w:fill="F5F7F9"/>
          </w:tcPr>
          <w:p>
            <w:r/>
            <w:r>
              <w:rPr>
                <w:b w:val="0"/>
                <w:sz w:val="12"/>
              </w:rPr>
              <w:t>S</w:t>
            </w:r>
          </w:p>
        </w:tc>
        <w:tc>
          <w:tcPr>
            <w:tcW w:type="dxa" w:w="1818"/>
            <w:vAlign w:val="center"/>
            <w:shd w:fill="F5F7F9"/>
          </w:tcPr>
          <w:p>
            <w:r/>
            <w:r>
              <w:rPr>
                <w:b w:val="0"/>
                <w:sz w:val="12"/>
              </w:rPr>
              <w:t>Medium</w:t>
            </w:r>
          </w:p>
        </w:tc>
        <w:tc>
          <w:tcPr>
            <w:tcW w:type="dxa" w:w="1818"/>
            <w:vAlign w:val="center"/>
            <w:shd w:fill="F5F7F9"/>
          </w:tcPr>
          <w:p>
            <w:r/>
            <w:r>
              <w:rPr>
                <w:b w:val="0"/>
                <w:sz w:val="12"/>
              </w:rPr>
              <w:t>GAISSF D8-CTL-01 addresses eu ai act risk tier mapping through Risk classification framework + conformity assessment.. This supports the NIST outcome concerning potential costs, including non-monetary costs, which result from expected or realized ai errors or system functionality and trustworthiness – as connected to organizational risk to.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CRO022-M-139</w:t>
            </w:r>
          </w:p>
        </w:tc>
        <w:tc>
          <w:tcPr>
            <w:tcW w:type="dxa" w:w="1818"/>
            <w:vAlign w:val="center"/>
          </w:tcPr>
          <w:p>
            <w:r/>
            <w:r>
              <w:rPr>
                <w:b w:val="0"/>
                <w:sz w:val="12"/>
              </w:rPr>
              <w:t>D8-CTL-02</w:t>
            </w:r>
          </w:p>
        </w:tc>
        <w:tc>
          <w:tcPr>
            <w:tcW w:type="dxa" w:w="1818"/>
            <w:vAlign w:val="center"/>
          </w:tcPr>
          <w:p>
            <w:r/>
            <w:r>
              <w:rPr>
                <w:b w:val="0"/>
                <w:sz w:val="12"/>
              </w:rPr>
              <w:t>Iso 42001 Gap Analysis</w:t>
            </w:r>
          </w:p>
        </w:tc>
        <w:tc>
          <w:tcPr>
            <w:tcW w:type="dxa" w:w="1818"/>
            <w:vAlign w:val="center"/>
          </w:tcPr>
          <w:p>
            <w:r/>
            <w:r>
              <w:rPr>
                <w:b w:val="0"/>
                <w:sz w:val="12"/>
              </w:rPr>
              <w:t>GOVERN 5.2</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D8-CTL-02 addresses iso 42001 gap analysis through Gap analysis methodology + remediation tracking.. This supports the NIST outcome concerning mechanisms are established to enable the team that developed or deployed ai systems to regularly incorporate adjudicated feedback from relevant ai actors into system design and imp.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CRO022-M-140</w:t>
            </w:r>
          </w:p>
        </w:tc>
        <w:tc>
          <w:tcPr>
            <w:tcW w:type="dxa" w:w="1818"/>
            <w:vAlign w:val="center"/>
            <w:shd w:fill="F5F7F9"/>
          </w:tcPr>
          <w:p>
            <w:r/>
            <w:r>
              <w:rPr>
                <w:b w:val="0"/>
                <w:sz w:val="12"/>
              </w:rPr>
              <w:t>D8-CTL-02</w:t>
            </w:r>
          </w:p>
        </w:tc>
        <w:tc>
          <w:tcPr>
            <w:tcW w:type="dxa" w:w="1818"/>
            <w:vAlign w:val="center"/>
            <w:shd w:fill="F5F7F9"/>
          </w:tcPr>
          <w:p>
            <w:r/>
            <w:r>
              <w:rPr>
                <w:b w:val="0"/>
                <w:sz w:val="12"/>
              </w:rPr>
              <w:t>Iso 42001 Gap Analysis</w:t>
            </w:r>
          </w:p>
        </w:tc>
        <w:tc>
          <w:tcPr>
            <w:tcW w:type="dxa" w:w="1818"/>
            <w:vAlign w:val="center"/>
            <w:shd w:fill="F5F7F9"/>
          </w:tcPr>
          <w:p>
            <w:r/>
            <w:r>
              <w:rPr>
                <w:b w:val="0"/>
                <w:sz w:val="12"/>
              </w:rPr>
              <w:t>MANAGE 2.1</w:t>
            </w:r>
          </w:p>
        </w:tc>
        <w:tc>
          <w:tcPr>
            <w:tcW w:type="dxa" w:w="1818"/>
            <w:vAlign w:val="center"/>
            <w:shd w:fill="F5F7F9"/>
          </w:tcPr>
          <w:p>
            <w:r/>
            <w:r>
              <w:rPr>
                <w:b w:val="0"/>
                <w:sz w:val="12"/>
              </w:rPr>
              <w:t>P</w:t>
            </w:r>
          </w:p>
        </w:tc>
        <w:tc>
          <w:tcPr>
            <w:tcW w:type="dxa" w:w="1818"/>
            <w:vAlign w:val="center"/>
            <w:shd w:fill="F5F7F9"/>
          </w:tcPr>
          <w:p>
            <w:r/>
            <w:r>
              <w:rPr>
                <w:b w:val="0"/>
                <w:sz w:val="12"/>
              </w:rPr>
              <w:t>Medium</w:t>
            </w:r>
          </w:p>
        </w:tc>
        <w:tc>
          <w:tcPr>
            <w:tcW w:type="dxa" w:w="1818"/>
            <w:vAlign w:val="center"/>
            <w:shd w:fill="F5F7F9"/>
          </w:tcPr>
          <w:p>
            <w:r/>
            <w:r>
              <w:rPr>
                <w:b w:val="0"/>
                <w:sz w:val="12"/>
              </w:rPr>
              <w:t>GAISSF D8-CTL-02 addresses iso 42001 gap analysis through Gap analysis methodology + remediation tracking.. This supports the NIST outcome concerning resources required to manage ai risks are taken into account – along with viable non-ai alternative systems, ap- proaches, or methods – to reduce the magnitude or likelihood of pot.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CRO022-M-141</w:t>
            </w:r>
          </w:p>
        </w:tc>
        <w:tc>
          <w:tcPr>
            <w:tcW w:type="dxa" w:w="1818"/>
            <w:vAlign w:val="center"/>
          </w:tcPr>
          <w:p>
            <w:r/>
            <w:r>
              <w:rPr>
                <w:b w:val="0"/>
                <w:sz w:val="12"/>
              </w:rPr>
              <w:t>D8-CTL-02</w:t>
            </w:r>
          </w:p>
        </w:tc>
        <w:tc>
          <w:tcPr>
            <w:tcW w:type="dxa" w:w="1818"/>
            <w:vAlign w:val="center"/>
          </w:tcPr>
          <w:p>
            <w:r/>
            <w:r>
              <w:rPr>
                <w:b w:val="0"/>
                <w:sz w:val="12"/>
              </w:rPr>
              <w:t>Iso 42001 Gap Analysis</w:t>
            </w:r>
          </w:p>
        </w:tc>
        <w:tc>
          <w:tcPr>
            <w:tcW w:type="dxa" w:w="1818"/>
            <w:vAlign w:val="center"/>
          </w:tcPr>
          <w:p>
            <w:r/>
            <w:r>
              <w:rPr>
                <w:b w:val="0"/>
                <w:sz w:val="12"/>
              </w:rPr>
              <w:t>GOVERN 1.6</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D8-CTL-02 addresses iso 42001 gap analysis through Gap analysis methodology + remediation tracking.. This supports the NIST outcome concerning mechanisms are in place to inventory ai systems and are resourced according to organizational risk priorities.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CRO022-M-142</w:t>
            </w:r>
          </w:p>
        </w:tc>
        <w:tc>
          <w:tcPr>
            <w:tcW w:type="dxa" w:w="1818"/>
            <w:vAlign w:val="center"/>
            <w:shd w:fill="F5F7F9"/>
          </w:tcPr>
          <w:p>
            <w:r/>
            <w:r>
              <w:rPr>
                <w:b w:val="0"/>
                <w:sz w:val="12"/>
              </w:rPr>
              <w:t>D8-CTL-03</w:t>
            </w:r>
          </w:p>
        </w:tc>
        <w:tc>
          <w:tcPr>
            <w:tcW w:type="dxa" w:w="1818"/>
            <w:vAlign w:val="center"/>
            <w:shd w:fill="F5F7F9"/>
          </w:tcPr>
          <w:p>
            <w:r/>
            <w:r>
              <w:rPr>
                <w:b w:val="0"/>
                <w:sz w:val="12"/>
              </w:rPr>
              <w:t>Gpai Technical Documentation Verification</w:t>
            </w:r>
          </w:p>
        </w:tc>
        <w:tc>
          <w:tcPr>
            <w:tcW w:type="dxa" w:w="1818"/>
            <w:vAlign w:val="center"/>
            <w:shd w:fill="F5F7F9"/>
          </w:tcPr>
          <w:p>
            <w:r/>
            <w:r>
              <w:rPr>
                <w:b w:val="0"/>
                <w:sz w:val="12"/>
              </w:rPr>
              <w:t>GOVERN 1.1</w:t>
            </w:r>
          </w:p>
        </w:tc>
        <w:tc>
          <w:tcPr>
            <w:tcW w:type="dxa" w:w="1818"/>
            <w:vAlign w:val="center"/>
            <w:shd w:fill="F5F7F9"/>
          </w:tcPr>
          <w:p>
            <w:r/>
            <w:r>
              <w:rPr>
                <w:b w:val="0"/>
                <w:sz w:val="12"/>
              </w:rPr>
              <w:t>C</w:t>
            </w:r>
          </w:p>
        </w:tc>
        <w:tc>
          <w:tcPr>
            <w:tcW w:type="dxa" w:w="1818"/>
            <w:vAlign w:val="center"/>
            <w:shd w:fill="F5F7F9"/>
          </w:tcPr>
          <w:p>
            <w:r/>
            <w:r>
              <w:rPr>
                <w:b w:val="0"/>
                <w:sz w:val="12"/>
              </w:rPr>
              <w:t>Low</w:t>
            </w:r>
          </w:p>
        </w:tc>
        <w:tc>
          <w:tcPr>
            <w:tcW w:type="dxa" w:w="1818"/>
            <w:vAlign w:val="center"/>
            <w:shd w:fill="F5F7F9"/>
          </w:tcPr>
          <w:p>
            <w:r/>
            <w:r>
              <w:rPr>
                <w:b w:val="0"/>
                <w:sz w:val="12"/>
              </w:rPr>
              <w:t>GAISSF D8-CTL-03 addresses gpai technical documentation verification through Technical documentation + training data summary + copyright attestation.. This supports the NIST outcome concerning legal and regulatory requirements involving ai are understood, managed, and documented.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CRO022-M-143</w:t>
            </w:r>
          </w:p>
        </w:tc>
        <w:tc>
          <w:tcPr>
            <w:tcW w:type="dxa" w:w="1818"/>
            <w:vAlign w:val="center"/>
          </w:tcPr>
          <w:p>
            <w:r/>
            <w:r>
              <w:rPr>
                <w:b w:val="0"/>
                <w:sz w:val="12"/>
              </w:rPr>
              <w:t>D8-CTL-04</w:t>
            </w:r>
          </w:p>
        </w:tc>
        <w:tc>
          <w:tcPr>
            <w:tcW w:type="dxa" w:w="1818"/>
            <w:vAlign w:val="center"/>
          </w:tcPr>
          <w:p>
            <w:r/>
            <w:r>
              <w:rPr>
                <w:b w:val="0"/>
                <w:sz w:val="12"/>
              </w:rPr>
              <w:t>Dora Ict Incident Reporting (Financial Sector)</w:t>
            </w:r>
          </w:p>
        </w:tc>
        <w:tc>
          <w:tcPr>
            <w:tcW w:type="dxa" w:w="1818"/>
            <w:vAlign w:val="center"/>
          </w:tcPr>
          <w:p>
            <w:r/>
            <w:r>
              <w:rPr>
                <w:b w:val="0"/>
                <w:sz w:val="12"/>
              </w:rPr>
              <w:t>MANAGE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D8-CTL-04 addresses dora ict incident reporting (financial sector) through Incident classification + notification workflow + SLA monitoring..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CRO022-M-144</w:t>
            </w:r>
          </w:p>
        </w:tc>
        <w:tc>
          <w:tcPr>
            <w:tcW w:type="dxa" w:w="1818"/>
            <w:vAlign w:val="center"/>
            <w:shd w:fill="F5F7F9"/>
          </w:tcPr>
          <w:p>
            <w:r/>
            <w:r>
              <w:rPr>
                <w:b w:val="0"/>
                <w:sz w:val="12"/>
              </w:rPr>
              <w:t>D8-CTL-04</w:t>
            </w:r>
          </w:p>
        </w:tc>
        <w:tc>
          <w:tcPr>
            <w:tcW w:type="dxa" w:w="1818"/>
            <w:vAlign w:val="center"/>
            <w:shd w:fill="F5F7F9"/>
          </w:tcPr>
          <w:p>
            <w:r/>
            <w:r>
              <w:rPr>
                <w:b w:val="0"/>
                <w:sz w:val="12"/>
              </w:rPr>
              <w:t>Dora Ict Incident Reporting (Financial Sector)</w:t>
            </w:r>
          </w:p>
        </w:tc>
        <w:tc>
          <w:tcPr>
            <w:tcW w:type="dxa" w:w="1818"/>
            <w:vAlign w:val="center"/>
            <w:shd w:fill="F5F7F9"/>
          </w:tcPr>
          <w:p>
            <w:r/>
            <w:r>
              <w:rPr>
                <w:b w:val="0"/>
                <w:sz w:val="12"/>
              </w:rPr>
              <w:t>MANAGE 3.2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D8-CTL-04 addresses dora ict incident reporting (financial sector) through Incident classification + notification workflow + SLA monitoring.. This supports the NIST outcome concerning pre-trained models which are used for develop- ment are monitored as part of ai system regular monitoring and maintenance. categories subcategories continued on next page nist ai 1.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CRO022-M-145</w:t>
            </w:r>
          </w:p>
        </w:tc>
        <w:tc>
          <w:tcPr>
            <w:tcW w:type="dxa" w:w="1818"/>
            <w:vAlign w:val="center"/>
          </w:tcPr>
          <w:p>
            <w:r/>
            <w:r>
              <w:rPr>
                <w:b w:val="0"/>
                <w:sz w:val="12"/>
              </w:rPr>
              <w:t>D8-CTL-04</w:t>
            </w:r>
          </w:p>
        </w:tc>
        <w:tc>
          <w:tcPr>
            <w:tcW w:type="dxa" w:w="1818"/>
            <w:vAlign w:val="center"/>
          </w:tcPr>
          <w:p>
            <w:r/>
            <w:r>
              <w:rPr>
                <w:b w:val="0"/>
                <w:sz w:val="12"/>
              </w:rPr>
              <w:t>Dora Ict Incident Reporting (Financial Sector)</w:t>
            </w:r>
          </w:p>
        </w:tc>
        <w:tc>
          <w:tcPr>
            <w:tcW w:type="dxa" w:w="1818"/>
            <w:vAlign w:val="center"/>
          </w:tcPr>
          <w:p>
            <w:r/>
            <w:r>
              <w:rPr>
                <w:b w:val="0"/>
                <w:sz w:val="12"/>
              </w:rPr>
              <w:t>GOVERN 1.5</w:t>
            </w:r>
          </w:p>
        </w:tc>
        <w:tc>
          <w:tcPr>
            <w:tcW w:type="dxa" w:w="1818"/>
            <w:vAlign w:val="center"/>
          </w:tcPr>
          <w:p>
            <w:r/>
            <w:r>
              <w:rPr>
                <w:b w:val="0"/>
                <w:sz w:val="12"/>
              </w:rPr>
              <w:t>P</w:t>
            </w:r>
          </w:p>
        </w:tc>
        <w:tc>
          <w:tcPr>
            <w:tcW w:type="dxa" w:w="1818"/>
            <w:vAlign w:val="center"/>
          </w:tcPr>
          <w:p>
            <w:r/>
            <w:r>
              <w:rPr>
                <w:b w:val="0"/>
                <w:sz w:val="12"/>
              </w:rPr>
              <w:t>Medium</w:t>
            </w:r>
          </w:p>
        </w:tc>
        <w:tc>
          <w:tcPr>
            <w:tcW w:type="dxa" w:w="1818"/>
            <w:vAlign w:val="center"/>
          </w:tcPr>
          <w:p>
            <w:r/>
            <w:r>
              <w:rPr>
                <w:b w:val="0"/>
                <w:sz w:val="12"/>
              </w:rPr>
              <w:t>GAISSF D8-CTL-04 addresses dora ict incident reporting (financial sector) through Incident classification + notification workflow + SLA monitoring.. This supports the NIST outcome concerning ongoing monitoring and periodic review of the risk management process and its outcomes are planned and or- ganizational roles and responsibilities clearly defined, including determ.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CRO022-M-146</w:t>
            </w:r>
          </w:p>
        </w:tc>
        <w:tc>
          <w:tcPr>
            <w:tcW w:type="dxa" w:w="1818"/>
            <w:vAlign w:val="center"/>
            <w:shd w:fill="F5F7F9"/>
          </w:tcPr>
          <w:p>
            <w:r/>
            <w:r>
              <w:rPr>
                <w:b w:val="0"/>
                <w:sz w:val="12"/>
              </w:rPr>
              <w:t>D8-CTL-05</w:t>
            </w:r>
          </w:p>
        </w:tc>
        <w:tc>
          <w:tcPr>
            <w:tcW w:type="dxa" w:w="1818"/>
            <w:vAlign w:val="center"/>
            <w:shd w:fill="F5F7F9"/>
          </w:tcPr>
          <w:p>
            <w:r/>
            <w:r>
              <w:rPr>
                <w:b w:val="0"/>
                <w:sz w:val="12"/>
              </w:rPr>
              <w:t>Nist Sp 800-218A Compliance Check</w:t>
            </w:r>
          </w:p>
        </w:tc>
        <w:tc>
          <w:tcPr>
            <w:tcW w:type="dxa" w:w="1818"/>
            <w:vAlign w:val="center"/>
            <w:shd w:fill="F5F7F9"/>
          </w:tcPr>
          <w:p>
            <w:r/>
            <w:r>
              <w:rPr>
                <w:b w:val="0"/>
                <w:sz w:val="12"/>
              </w:rPr>
              <w:t>GOVERN 4.1</w:t>
            </w:r>
          </w:p>
        </w:tc>
        <w:tc>
          <w:tcPr>
            <w:tcW w:type="dxa" w:w="1818"/>
            <w:vAlign w:val="center"/>
            <w:shd w:fill="F5F7F9"/>
          </w:tcPr>
          <w:p>
            <w:r/>
            <w:r>
              <w:rPr>
                <w:b w:val="0"/>
                <w:sz w:val="12"/>
              </w:rPr>
              <w:t>S</w:t>
            </w:r>
          </w:p>
        </w:tc>
        <w:tc>
          <w:tcPr>
            <w:tcW w:type="dxa" w:w="1818"/>
            <w:vAlign w:val="center"/>
            <w:shd w:fill="F5F7F9"/>
          </w:tcPr>
          <w:p>
            <w:r/>
            <w:r>
              <w:rPr>
                <w:b w:val="0"/>
                <w:sz w:val="12"/>
              </w:rPr>
              <w:t>Medium</w:t>
            </w:r>
          </w:p>
        </w:tc>
        <w:tc>
          <w:tcPr>
            <w:tcW w:type="dxa" w:w="1818"/>
            <w:vAlign w:val="center"/>
            <w:shd w:fill="F5F7F9"/>
          </w:tcPr>
          <w:p>
            <w:r/>
            <w:r>
              <w:rPr>
                <w:b w:val="0"/>
                <w:sz w:val="12"/>
              </w:rPr>
              <w:t>GAISSF D8-CTL-05 addresses nist sp 800-218a compliance check through Secure development practices + attestation..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CRO022-M-147</w:t>
            </w:r>
          </w:p>
        </w:tc>
        <w:tc>
          <w:tcPr>
            <w:tcW w:type="dxa" w:w="1818"/>
            <w:vAlign w:val="center"/>
          </w:tcPr>
          <w:p>
            <w:r/>
            <w:r>
              <w:rPr>
                <w:b w:val="0"/>
                <w:sz w:val="12"/>
              </w:rPr>
              <w:t>D9-CTL-01</w:t>
            </w:r>
          </w:p>
        </w:tc>
        <w:tc>
          <w:tcPr>
            <w:tcW w:type="dxa" w:w="1818"/>
            <w:vAlign w:val="center"/>
          </w:tcPr>
          <w:p>
            <w:r/>
            <w:r>
              <w:rPr>
                <w:b w:val="0"/>
                <w:sz w:val="12"/>
              </w:rPr>
              <w:t>Physical Harm Boundary Enforcement</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D9-CTL-01 addresses physical harm boundary enforcement through Independent safety monitor (hardware or DO-178C Level A / IEC 61508 SIL 3 certified software) running in parallel with AI inference. Safety monitor enforces: maximum force/velocity/temperature/current limits; geofencing for autonomous systems; exclusion zones; rate-of-change limits for safety-critical parameters. AI output gated through safety monitor — monitor vetoes any out-of-boundary command without AI system awareness..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CRO022-M-148</w:t>
            </w:r>
          </w:p>
        </w:tc>
        <w:tc>
          <w:tcPr>
            <w:tcW w:type="dxa" w:w="1818"/>
            <w:vAlign w:val="center"/>
            <w:shd w:fill="F5F7F9"/>
          </w:tcPr>
          <w:p>
            <w:r/>
            <w:r>
              <w:rPr>
                <w:b w:val="0"/>
                <w:sz w:val="12"/>
              </w:rPr>
              <w:t>D9-CTL-01</w:t>
            </w:r>
          </w:p>
        </w:tc>
        <w:tc>
          <w:tcPr>
            <w:tcW w:type="dxa" w:w="1818"/>
            <w:vAlign w:val="center"/>
            <w:shd w:fill="F5F7F9"/>
          </w:tcPr>
          <w:p>
            <w:r/>
            <w:r>
              <w:rPr>
                <w:b w:val="0"/>
                <w:sz w:val="12"/>
              </w:rPr>
              <w:t>Physical Harm Boundary Enforcement</w:t>
            </w:r>
          </w:p>
        </w:tc>
        <w:tc>
          <w:tcPr>
            <w:tcW w:type="dxa" w:w="1818"/>
            <w:vAlign w:val="center"/>
            <w:shd w:fill="F5F7F9"/>
          </w:tcPr>
          <w:p>
            <w:r/>
            <w:r>
              <w:rPr>
                <w:b w:val="0"/>
                <w:sz w:val="12"/>
              </w:rPr>
              <w:t>MAP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D9-CTL-01 addresses physical harm boundary enforcement through Independent safety monitor (hardware or DO-178C Level A / IEC 61508 SIL 3 certified software) running in parallel with AI inference. Safety monitor enforces: maximum force/velocity/temperature/current limits; geofencing for autonomous systems; exclusion zones; rate-of-change limits for safety-critical parameters. AI output gated through safety monitor — monitor vetoes any out-of-boundary command without AI system awareness..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CRO022-M-149</w:t>
            </w:r>
          </w:p>
        </w:tc>
        <w:tc>
          <w:tcPr>
            <w:tcW w:type="dxa" w:w="1818"/>
            <w:vAlign w:val="center"/>
          </w:tcPr>
          <w:p>
            <w:r/>
            <w:r>
              <w:rPr>
                <w:b w:val="0"/>
                <w:sz w:val="12"/>
              </w:rPr>
              <w:t>D9-CTL-01</w:t>
            </w:r>
          </w:p>
        </w:tc>
        <w:tc>
          <w:tcPr>
            <w:tcW w:type="dxa" w:w="1818"/>
            <w:vAlign w:val="center"/>
          </w:tcPr>
          <w:p>
            <w:r/>
            <w:r>
              <w:rPr>
                <w:b w:val="0"/>
                <w:sz w:val="12"/>
              </w:rPr>
              <w:t>Physical Harm Boundary Enforcement</w:t>
            </w:r>
          </w:p>
        </w:tc>
        <w:tc>
          <w:tcPr>
            <w:tcW w:type="dxa" w:w="1818"/>
            <w:vAlign w:val="center"/>
          </w:tcPr>
          <w:p>
            <w:r/>
            <w:r>
              <w:rPr>
                <w:b w:val="0"/>
                <w:sz w:val="12"/>
              </w:rPr>
              <w:t>MANAGE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D9-CTL-01 addresses physical harm boundary enforcement through Independent safety monitor (hardware or DO-178C Level A / IEC 61508 SIL 3 certified software) running in parallel with AI inference. Safety monitor enforces: maximum force/velocity/temperature/current limits; geofencing for autonomous systems; exclusion zones; rate-of-change limits for safety-critical parameters. AI output gated through safety monitor — monitor vetoes any out-of-boundary command without AI system awareness..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CRO022-M-150</w:t>
            </w:r>
          </w:p>
        </w:tc>
        <w:tc>
          <w:tcPr>
            <w:tcW w:type="dxa" w:w="1818"/>
            <w:vAlign w:val="center"/>
            <w:shd w:fill="F5F7F9"/>
          </w:tcPr>
          <w:p>
            <w:r/>
            <w:r>
              <w:rPr>
                <w:b w:val="0"/>
                <w:sz w:val="12"/>
              </w:rPr>
              <w:t>D9-CTL-02</w:t>
            </w:r>
          </w:p>
        </w:tc>
        <w:tc>
          <w:tcPr>
            <w:tcW w:type="dxa" w:w="1818"/>
            <w:vAlign w:val="center"/>
            <w:shd w:fill="F5F7F9"/>
          </w:tcPr>
          <w:p>
            <w:r/>
            <w:r>
              <w:rPr>
                <w:b w:val="0"/>
                <w:sz w:val="12"/>
              </w:rPr>
              <w:t>Safe State And Graceful Degradation</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D9-CTL-02 addresses safe state and graceful degradation through For each AI-controlled system, document: safe state definition (autonomous vehicle: controlled stop; surgical robot: tool withdrawal; industrial arm: immediate stop and hold); transition time to safe state (must be within stopping distance/reaction time for physical context); trigger conditions for safe state entry; recovery procedure. Implement degraded mode ladder: Full AI control → AI-assisted human control → Manual-only → Safe state..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CRO022-M-151</w:t>
            </w:r>
          </w:p>
        </w:tc>
        <w:tc>
          <w:tcPr>
            <w:tcW w:type="dxa" w:w="1818"/>
            <w:vAlign w:val="center"/>
          </w:tcPr>
          <w:p>
            <w:r/>
            <w:r>
              <w:rPr>
                <w:b w:val="0"/>
                <w:sz w:val="12"/>
              </w:rPr>
              <w:t>D9-CTL-02</w:t>
            </w:r>
          </w:p>
        </w:tc>
        <w:tc>
          <w:tcPr>
            <w:tcW w:type="dxa" w:w="1818"/>
            <w:vAlign w:val="center"/>
          </w:tcPr>
          <w:p>
            <w:r/>
            <w:r>
              <w:rPr>
                <w:b w:val="0"/>
                <w:sz w:val="12"/>
              </w:rPr>
              <w:t>Safe State And Graceful Degradation</w:t>
            </w:r>
          </w:p>
        </w:tc>
        <w:tc>
          <w:tcPr>
            <w:tcW w:type="dxa" w:w="1818"/>
            <w:vAlign w:val="center"/>
          </w:tcPr>
          <w:p>
            <w:r/>
            <w:r>
              <w:rPr>
                <w:b w:val="0"/>
                <w:sz w:val="12"/>
              </w:rPr>
              <w:t>MEASURE 2.7</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D9-CTL-02 addresses safe state and graceful degradation through For each AI-controlled system, document: safe state definition (autonomous vehicle: controlled stop; surgical robot: tool withdrawal; industrial arm: immediate stop and hold); transition time to safe state (must be within stopping distance/reaction time for physical context); trigger conditions for safe state entry; recovery procedure. Implement degraded mode ladder: Full AI control → AI-assisted human control → Manual-only → Safe state.. This supports the NIST outcome concerning ai system security and resilience – as identified in the map function – are evaluated and documented.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CRO022-M-152</w:t>
            </w:r>
          </w:p>
        </w:tc>
        <w:tc>
          <w:tcPr>
            <w:tcW w:type="dxa" w:w="1818"/>
            <w:vAlign w:val="center"/>
            <w:shd w:fill="F5F7F9"/>
          </w:tcPr>
          <w:p>
            <w:r/>
            <w:r>
              <w:rPr>
                <w:b w:val="0"/>
                <w:sz w:val="12"/>
              </w:rPr>
              <w:t>D9-CTL-02</w:t>
            </w:r>
          </w:p>
        </w:tc>
        <w:tc>
          <w:tcPr>
            <w:tcW w:type="dxa" w:w="1818"/>
            <w:vAlign w:val="center"/>
            <w:shd w:fill="F5F7F9"/>
          </w:tcPr>
          <w:p>
            <w:r/>
            <w:r>
              <w:rPr>
                <w:b w:val="0"/>
                <w:sz w:val="12"/>
              </w:rPr>
              <w:t>Safe State And Graceful Degradation</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D9-CTL-02 addresses safe state and graceful degradation through For each AI-controlled system, document: safe state definition (autonomous vehicle: controlled stop; surgical robot: tool withdrawal; industrial arm: immediate stop and hold); transition time to safe state (must be within stopping distance/reaction time for physical context); trigger conditions for safe state entry; recovery procedure. Implement degraded mode ladder: Full AI control → AI-assisted human control → Manual-only → Safe state..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CRO022-M-153</w:t>
            </w:r>
          </w:p>
        </w:tc>
        <w:tc>
          <w:tcPr>
            <w:tcW w:type="dxa" w:w="1818"/>
            <w:vAlign w:val="center"/>
          </w:tcPr>
          <w:p>
            <w:r/>
            <w:r>
              <w:rPr>
                <w:b w:val="0"/>
                <w:sz w:val="12"/>
              </w:rPr>
              <w:t>D9-CTL-03</w:t>
            </w:r>
          </w:p>
        </w:tc>
        <w:tc>
          <w:tcPr>
            <w:tcW w:type="dxa" w:w="1818"/>
            <w:vAlign w:val="center"/>
          </w:tcPr>
          <w:p>
            <w:r/>
            <w:r>
              <w:rPr>
                <w:b w:val="0"/>
                <w:sz w:val="12"/>
              </w:rPr>
              <w:t>Human Override And Emergency Stop</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D9-CTL-03 addresses human override and emergency stop through Hardware emergency stop: physical E-stop accessible without any software mediation. AI system must not be able to disable, delay, or circumvent E-stop. Software override: human operator interface that immediately transfers control to safe state. Override must be possible when: AI communication is disrupted; AI system is under adversarial attack; AI model is producing anomalous outputs. Override authority must be unconditional — no AI reasoning, confidence scoring, or approval process may delay or prevent override activation..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CRO022-M-154</w:t>
            </w:r>
          </w:p>
        </w:tc>
        <w:tc>
          <w:tcPr>
            <w:tcW w:type="dxa" w:w="1818"/>
            <w:vAlign w:val="center"/>
            <w:shd w:fill="F5F7F9"/>
          </w:tcPr>
          <w:p>
            <w:r/>
            <w:r>
              <w:rPr>
                <w:b w:val="0"/>
                <w:sz w:val="12"/>
              </w:rPr>
              <w:t>D9-CTL-03</w:t>
            </w:r>
          </w:p>
        </w:tc>
        <w:tc>
          <w:tcPr>
            <w:tcW w:type="dxa" w:w="1818"/>
            <w:vAlign w:val="center"/>
            <w:shd w:fill="F5F7F9"/>
          </w:tcPr>
          <w:p>
            <w:r/>
            <w:r>
              <w:rPr>
                <w:b w:val="0"/>
                <w:sz w:val="12"/>
              </w:rPr>
              <w:t>Human Override And Emergency Stop</w:t>
            </w:r>
          </w:p>
        </w:tc>
        <w:tc>
          <w:tcPr>
            <w:tcW w:type="dxa" w:w="1818"/>
            <w:vAlign w:val="center"/>
            <w:shd w:fill="F5F7F9"/>
          </w:tcPr>
          <w:p>
            <w:r/>
            <w:r>
              <w:rPr>
                <w:b w:val="0"/>
                <w:sz w:val="12"/>
              </w:rPr>
              <w:t>MAP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D9-CTL-03 addresses human override and emergency stop through Hardware emergency stop: physical E-stop accessible without any software mediation. AI system must not be able to disable, delay, or circumvent E-stop. Software override: human operator interface that immediately transfers control to safe state. Override must be possible when: AI communication is disrupted; AI system is under adversarial attack; AI model is producing anomalous outputs. Override authority must be unconditional — no AI reasoning, confidence scoring, or approval process may delay or prevent override activation..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CRO022-M-155</w:t>
            </w:r>
          </w:p>
        </w:tc>
        <w:tc>
          <w:tcPr>
            <w:tcW w:type="dxa" w:w="1818"/>
            <w:vAlign w:val="center"/>
          </w:tcPr>
          <w:p>
            <w:r/>
            <w:r>
              <w:rPr>
                <w:b w:val="0"/>
                <w:sz w:val="12"/>
              </w:rPr>
              <w:t>D9-CTL-03</w:t>
            </w:r>
          </w:p>
        </w:tc>
        <w:tc>
          <w:tcPr>
            <w:tcW w:type="dxa" w:w="1818"/>
            <w:vAlign w:val="center"/>
          </w:tcPr>
          <w:p>
            <w:r/>
            <w:r>
              <w:rPr>
                <w:b w:val="0"/>
                <w:sz w:val="12"/>
              </w:rPr>
              <w:t>Human Override And Emergency Stop</w:t>
            </w:r>
          </w:p>
        </w:tc>
        <w:tc>
          <w:tcPr>
            <w:tcW w:type="dxa" w:w="1818"/>
            <w:vAlign w:val="center"/>
          </w:tcPr>
          <w:p>
            <w:r/>
            <w:r>
              <w:rPr>
                <w:b w:val="0"/>
                <w:sz w:val="12"/>
              </w:rPr>
              <w:t>GOVERN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D9-CTL-03 addresses human override and emergency stop through Hardware emergency stop: physical E-stop accessible without any software mediation. AI system must not be able to disable, delay, or circumvent E-stop. Software override: human operator interface that immediately transfers control to safe state. Override must be possible when: AI communication is disrupted; AI system is under adversarial attack; AI model is producing anomalous outputs. Override authority must be unconditional — no AI reasoning, confidence scoring, or approval process may delay or prevent override activation..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CRO022-M-156</w:t>
            </w:r>
          </w:p>
        </w:tc>
        <w:tc>
          <w:tcPr>
            <w:tcW w:type="dxa" w:w="1818"/>
            <w:vAlign w:val="center"/>
            <w:shd w:fill="F5F7F9"/>
          </w:tcPr>
          <w:p>
            <w:r/>
            <w:r>
              <w:rPr>
                <w:b w:val="0"/>
                <w:sz w:val="12"/>
              </w:rPr>
              <w:t>D9-CTL-04</w:t>
            </w:r>
          </w:p>
        </w:tc>
        <w:tc>
          <w:tcPr>
            <w:tcW w:type="dxa" w:w="1818"/>
            <w:vAlign w:val="center"/>
            <w:shd w:fill="F5F7F9"/>
          </w:tcPr>
          <w:p>
            <w:r/>
            <w:r>
              <w:rPr>
                <w:b w:val="0"/>
                <w:sz w:val="12"/>
              </w:rPr>
              <w:t>Cyber-Physical Attack Detection</w:t>
            </w:r>
          </w:p>
        </w:tc>
        <w:tc>
          <w:tcPr>
            <w:tcW w:type="dxa" w:w="1818"/>
            <w:vAlign w:val="center"/>
            <w:shd w:fill="F5F7F9"/>
          </w:tcPr>
          <w:p>
            <w:r/>
            <w:r>
              <w:rPr>
                <w:b w:val="0"/>
                <w:sz w:val="12"/>
              </w:rPr>
              <w:t>MANAGE 3.2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D9-CTL-04 addresses cyber-physical attack detection through Three-layer anomaly detection: (1) Sensor layer — statistical validation of sensor readings against physical models; flag readings deviating &gt;3σ from model prediction; cross-validate against redundant sensor channels. (2) Actuator layer — monitor command streams for sequences inconsistent with operating context; flag commands outside physically feasible envelope. (3) AI inference layer — apply GAISSF® D2-CTL-01 (Prompt Injection Detection) equivalent for physical AI inputs; monitor input feature distributions for adversarial perturbation signatures. All detections trigger immediate safe state entry (D9-CTL-02) and incident record with root_cause_category = Adversarial_Attack, root_cause_specific_type = Cyber_Physical_Attack.. This supports the NIST outcome concerning pre-trained models which are used for develop- ment are monitored as part of ai system regular monitoring and maintenance. categories subcategories continued on next page nist ai 1.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CRO022-M-157</w:t>
            </w:r>
          </w:p>
        </w:tc>
        <w:tc>
          <w:tcPr>
            <w:tcW w:type="dxa" w:w="1818"/>
            <w:vAlign w:val="center"/>
          </w:tcPr>
          <w:p>
            <w:r/>
            <w:r>
              <w:rPr>
                <w:b w:val="0"/>
                <w:sz w:val="12"/>
              </w:rPr>
              <w:t>D9-CTL-04</w:t>
            </w:r>
          </w:p>
        </w:tc>
        <w:tc>
          <w:tcPr>
            <w:tcW w:type="dxa" w:w="1818"/>
            <w:vAlign w:val="center"/>
          </w:tcPr>
          <w:p>
            <w:r/>
            <w:r>
              <w:rPr>
                <w:b w:val="0"/>
                <w:sz w:val="12"/>
              </w:rPr>
              <w:t>Cyber-Physical Attack Detection</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D9-CTL-04 addresses cyber-physical attack detection through Three-layer anomaly detection: (1) Sensor layer — statistical validation of sensor readings against physical models; flag readings deviating &gt;3σ from model prediction; cross-validate against redundant sensor channels. (2) Actuator layer — monitor command streams for sequences inconsistent with operating context; flag commands outside physically feasible envelope. (3) AI inference layer — apply GAISSF® D2-CTL-01 (Prompt Injection Detection) equivalent for physical AI inputs; monitor input feature distributions for adversarial perturbation signatures. All detections trigger immediate safe state entry (D9-CTL-02) and incident record with root_cause_category = Adversarial_Attack, root_cause_specific_type = Cyber_Physical_Attack..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CRO022-M-158</w:t>
            </w:r>
          </w:p>
        </w:tc>
        <w:tc>
          <w:tcPr>
            <w:tcW w:type="dxa" w:w="1818"/>
            <w:vAlign w:val="center"/>
            <w:shd w:fill="F5F7F9"/>
          </w:tcPr>
          <w:p>
            <w:r/>
            <w:r>
              <w:rPr>
                <w:b w:val="0"/>
                <w:sz w:val="12"/>
              </w:rPr>
              <w:t>D9-CTL-04</w:t>
            </w:r>
          </w:p>
        </w:tc>
        <w:tc>
          <w:tcPr>
            <w:tcW w:type="dxa" w:w="1818"/>
            <w:vAlign w:val="center"/>
            <w:shd w:fill="F5F7F9"/>
          </w:tcPr>
          <w:p>
            <w:r/>
            <w:r>
              <w:rPr>
                <w:b w:val="0"/>
                <w:sz w:val="12"/>
              </w:rPr>
              <w:t>Cyber-Physical Attack Detection</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D9-CTL-04 addresses cyber-physical attack detection through Three-layer anomaly detection: (1) Sensor layer — statistical validation of sensor readings against physical models; flag readings deviating &gt;3σ from model prediction; cross-validate against redundant sensor channels. (2) Actuator layer — monitor command streams for sequences inconsistent with operating context; flag commands outside physically feasible envelope. (3) AI inference layer — apply GAISSF® D2-CTL-01 (Prompt Injection Detection) equivalent for physical AI inputs; monitor input feature distributions for adversarial perturbation signatures. All detections trigger immediate safe state entry (D9-CTL-02) and incident record with root_cause_category = Adversarial_Attack, root_cause_specific_type = Cyber_Physical_Attack..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CRO022-M-159</w:t>
            </w:r>
          </w:p>
        </w:tc>
        <w:tc>
          <w:tcPr>
            <w:tcW w:type="dxa" w:w="1818"/>
            <w:vAlign w:val="center"/>
          </w:tcPr>
          <w:p>
            <w:r/>
            <w:r>
              <w:rPr>
                <w:b w:val="0"/>
                <w:sz w:val="12"/>
              </w:rPr>
              <w:t>D9-CTL-05</w:t>
            </w:r>
          </w:p>
        </w:tc>
        <w:tc>
          <w:tcPr>
            <w:tcW w:type="dxa" w:w="1818"/>
            <w:vAlign w:val="center"/>
          </w:tcPr>
          <w:p>
            <w:r/>
            <w:r>
              <w:rPr>
                <w:b w:val="0"/>
                <w:sz w:val="12"/>
              </w:rPr>
              <w:t>Physical Environment Integrity Monitoring</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D9-CTL-05 addresses physical environment integrity monitoring through Sensor integrity monitoring covering: (1) Hardware health — sensor self-test results, calibration drift indicators, environmental exposure limits. Alert when sensor confidence falls below threshold. (2) Data plausibility — real-time statistical validation against physical laws, historical baselines, and redundant sensor cross-validation. (3) Degraded sensor handling — explicit policy for each sensor failure mode: degrade gracefully (reduce AI authority, increase human oversight) or enter safe state. (4) Calibration management — automated alert when calibration certificates expire; block AI system from operational use with expired sensor calibration..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CRO022-M-160</w:t>
            </w:r>
          </w:p>
        </w:tc>
        <w:tc>
          <w:tcPr>
            <w:tcW w:type="dxa" w:w="1818"/>
            <w:vAlign w:val="center"/>
            <w:shd w:fill="F5F7F9"/>
          </w:tcPr>
          <w:p>
            <w:r/>
            <w:r>
              <w:rPr>
                <w:b w:val="0"/>
                <w:sz w:val="12"/>
              </w:rPr>
              <w:t>D9-CTL-05</w:t>
            </w:r>
          </w:p>
        </w:tc>
        <w:tc>
          <w:tcPr>
            <w:tcW w:type="dxa" w:w="1818"/>
            <w:vAlign w:val="center"/>
            <w:shd w:fill="F5F7F9"/>
          </w:tcPr>
          <w:p>
            <w:r/>
            <w:r>
              <w:rPr>
                <w:b w:val="0"/>
                <w:sz w:val="12"/>
              </w:rPr>
              <w:t>Physical Environment Integrity Monitoring</w:t>
            </w:r>
          </w:p>
        </w:tc>
        <w:tc>
          <w:tcPr>
            <w:tcW w:type="dxa" w:w="1818"/>
            <w:vAlign w:val="center"/>
            <w:shd w:fill="F5F7F9"/>
          </w:tcPr>
          <w:p>
            <w:r/>
            <w:r>
              <w:rPr>
                <w:b w:val="0"/>
                <w:sz w:val="12"/>
              </w:rPr>
              <w:t>MANAGE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D9-CTL-05 addresses physical environment integrity monitoring through Sensor integrity monitoring covering: (1) Hardware health — sensor self-test results, calibration drift indicators, environmental exposure limits. Alert when sensor confidence falls below threshold. (2) Data plausibility — real-time statistical validation against physical laws, historical baselines, and redundant sensor cross-validation. (3) Degraded sensor handling — explicit policy for each sensor failure mode: degrade gracefully (reduce AI authority, increase human oversight) or enter safe state. (4) Calibration management — automated alert when calibration certificates expire; block AI system from operational use with expired sensor calibration..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CRO022-M-161</w:t>
            </w:r>
          </w:p>
        </w:tc>
        <w:tc>
          <w:tcPr>
            <w:tcW w:type="dxa" w:w="1818"/>
            <w:vAlign w:val="center"/>
          </w:tcPr>
          <w:p>
            <w:r/>
            <w:r>
              <w:rPr>
                <w:b w:val="0"/>
                <w:sz w:val="12"/>
              </w:rPr>
              <w:t>D9-CTL-05</w:t>
            </w:r>
          </w:p>
        </w:tc>
        <w:tc>
          <w:tcPr>
            <w:tcW w:type="dxa" w:w="1818"/>
            <w:vAlign w:val="center"/>
          </w:tcPr>
          <w:p>
            <w:r/>
            <w:r>
              <w:rPr>
                <w:b w:val="0"/>
                <w:sz w:val="12"/>
              </w:rPr>
              <w:t>Physical Environment Integrity Monitoring</w:t>
            </w:r>
          </w:p>
        </w:tc>
        <w:tc>
          <w:tcPr>
            <w:tcW w:type="dxa" w:w="1818"/>
            <w:vAlign w:val="center"/>
          </w:tcPr>
          <w:p>
            <w:r/>
            <w:r>
              <w:rPr>
                <w:b w:val="0"/>
                <w:sz w:val="12"/>
              </w:rPr>
              <w:t>MANAGE 3.2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D9-CTL-05 addresses physical environment integrity monitoring through Sensor integrity monitoring covering: (1) Hardware health — sensor self-test results, calibration drift indicators, environmental exposure limits. Alert when sensor confidence falls below threshold. (2) Data plausibility — real-time statistical validation against physical laws, historical baselines, and redundant sensor cross-validation. (3) Degraded sensor handling — explicit policy for each sensor failure mode: degrade gracefully (reduce AI authority, increase human oversight) or enter safe state. (4) Calibration management — automated alert when calibration certificates expire; block AI system from operational use with expired sensor calibration.. This supports the NIST outcome concerning pre-trained models which are used for develop- ment are monitored as part of ai system regular monitoring and maintenance. categories subcategories continued on next page nist ai 1.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CRO022-M-162</w:t>
            </w:r>
          </w:p>
        </w:tc>
        <w:tc>
          <w:tcPr>
            <w:tcW w:type="dxa" w:w="1818"/>
            <w:vAlign w:val="center"/>
            <w:shd w:fill="F5F7F9"/>
          </w:tcPr>
          <w:p>
            <w:r/>
            <w:r>
              <w:rPr>
                <w:b w:val="0"/>
                <w:sz w:val="12"/>
              </w:rPr>
              <w:t>D9-CTL-06</w:t>
            </w:r>
          </w:p>
        </w:tc>
        <w:tc>
          <w:tcPr>
            <w:tcW w:type="dxa" w:w="1818"/>
            <w:vAlign w:val="center"/>
            <w:shd w:fill="F5F7F9"/>
          </w:tcPr>
          <w:p>
            <w:r/>
            <w:r>
              <w:rPr>
                <w:b w:val="0"/>
                <w:sz w:val="12"/>
              </w:rPr>
              <w:t>Actuator Command Verification</w:t>
            </w:r>
          </w:p>
        </w:tc>
        <w:tc>
          <w:tcPr>
            <w:tcW w:type="dxa" w:w="1818"/>
            <w:vAlign w:val="center"/>
            <w:shd w:fill="F5F7F9"/>
          </w:tcPr>
          <w:p>
            <w:r/>
            <w:r>
              <w:rPr>
                <w:b w:val="0"/>
                <w:sz w:val="12"/>
              </w:rPr>
              <w:t>MEASURE 2.6</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D9-CTL-06 addresses actuator command verification through Pre-execution verification gate on every actuator command: (1) Physical bounds check — command value within safe operating envelope for current system state. (2) Sequence plausibility check — command consistent with prior sequence; flag implausible state transitions for human review. (3) Rate-of-change check — rate of change does not exceed safe limits (acceleration rate, force application rate, temperature change rate). (4) Dual-approval for irreversible actions — actuator commands causing irreversible physical changes (cutting, welding, demolition, high-energy discharge) require hardware interlock confirmation. Verification gate implemented in IEC 61508 SIL 3 certified software or hardware logic independent of AI model..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CRO022-M-163</w:t>
            </w:r>
          </w:p>
        </w:tc>
        <w:tc>
          <w:tcPr>
            <w:tcW w:type="dxa" w:w="1818"/>
            <w:vAlign w:val="center"/>
          </w:tcPr>
          <w:p>
            <w:r/>
            <w:r>
              <w:rPr>
                <w:b w:val="0"/>
                <w:sz w:val="12"/>
              </w:rPr>
              <w:t>D9-CTL-06</w:t>
            </w:r>
          </w:p>
        </w:tc>
        <w:tc>
          <w:tcPr>
            <w:tcW w:type="dxa" w:w="1818"/>
            <w:vAlign w:val="center"/>
          </w:tcPr>
          <w:p>
            <w:r/>
            <w:r>
              <w:rPr>
                <w:b w:val="0"/>
                <w:sz w:val="12"/>
              </w:rPr>
              <w:t>Actuator Command Verification</w:t>
            </w:r>
          </w:p>
        </w:tc>
        <w:tc>
          <w:tcPr>
            <w:tcW w:type="dxa" w:w="1818"/>
            <w:vAlign w:val="center"/>
          </w:tcPr>
          <w:p>
            <w:r/>
            <w:r>
              <w:rPr>
                <w:b w:val="0"/>
                <w:sz w:val="12"/>
              </w:rPr>
              <w:t>MAP 5.2</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D9-CTL-06 addresses actuator command verification through Pre-execution verification gate on every actuator command: (1) Physical bounds check — command value within safe operating envelope for current system state. (2) Sequence plausibility check — command consistent with prior sequence; flag implausible state transitions for human review. (3) Rate-of-change check — rate of change does not exceed safe limits (acceleration rate, force application rate, temperature change rate). (4) Dual-approval for irreversible actions — actuator commands causing irreversible physical changes (cutting, welding, demolition, high-energy discharge) require hardware interlock confirmation. Verification gate implemented in IEC 61508 SIL 3 certified software or hardware logic independent of AI model..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CRO022-M-164</w:t>
            </w:r>
          </w:p>
        </w:tc>
        <w:tc>
          <w:tcPr>
            <w:tcW w:type="dxa" w:w="1818"/>
            <w:vAlign w:val="center"/>
            <w:shd w:fill="F5F7F9"/>
          </w:tcPr>
          <w:p>
            <w:r/>
            <w:r>
              <w:rPr>
                <w:b w:val="0"/>
                <w:sz w:val="12"/>
              </w:rPr>
              <w:t>D9-CTL-06</w:t>
            </w:r>
          </w:p>
        </w:tc>
        <w:tc>
          <w:tcPr>
            <w:tcW w:type="dxa" w:w="1818"/>
            <w:vAlign w:val="center"/>
            <w:shd w:fill="F5F7F9"/>
          </w:tcPr>
          <w:p>
            <w:r/>
            <w:r>
              <w:rPr>
                <w:b w:val="0"/>
                <w:sz w:val="12"/>
              </w:rPr>
              <w:t>Actuator Command Verification</w:t>
            </w:r>
          </w:p>
        </w:tc>
        <w:tc>
          <w:tcPr>
            <w:tcW w:type="dxa" w:w="1818"/>
            <w:vAlign w:val="center"/>
            <w:shd w:fill="F5F7F9"/>
          </w:tcPr>
          <w:p>
            <w:r/>
            <w:r>
              <w:rPr>
                <w:b w:val="0"/>
                <w:sz w:val="12"/>
              </w:rPr>
              <w:t>GOVERN 4.1</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D9-CTL-06 addresses actuator command verification through Pre-execution verification gate on every actuator command: (1) Physical bounds check — command value within safe operating envelope for current system state. (2) Sequence plausibility check — command consistent with prior sequence; flag implausible state transitions for human review. (3) Rate-of-change check — rate of change does not exceed safe limits (acceleration rate, force application rate, temperature change rate). (4) Dual-approval for irreversible actions — actuator commands causing irreversible physical changes (cutting, welding, demolition, high-energy discharge) require hardware interlock confirmation. Verification gate implemented in IEC 61508 SIL 3 certified software or hardware logic independent of AI model.. This supports the NIST outcome concerning organizational policies and practices are in place to foster a critical thinking and safety-first mindset in the design, development, deployment, and uses of ai systems to minimize.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CRO022-M-165</w:t>
            </w:r>
          </w:p>
        </w:tc>
        <w:tc>
          <w:tcPr>
            <w:tcW w:type="dxa" w:w="1818"/>
            <w:vAlign w:val="center"/>
          </w:tcPr>
          <w:p>
            <w:r/>
            <w:r>
              <w:rPr>
                <w:b w:val="0"/>
                <w:sz w:val="12"/>
              </w:rPr>
              <w:t>D9-CTL-07</w:t>
            </w:r>
          </w:p>
        </w:tc>
        <w:tc>
          <w:tcPr>
            <w:tcW w:type="dxa" w:w="1818"/>
            <w:vAlign w:val="center"/>
          </w:tcPr>
          <w:p>
            <w:r/>
            <w:r>
              <w:rPr>
                <w:b w:val="0"/>
                <w:sz w:val="12"/>
              </w:rPr>
              <w:t>Physical Incident Evidence Preservation</w:t>
            </w:r>
          </w:p>
        </w:tc>
        <w:tc>
          <w:tcPr>
            <w:tcW w:type="dxa" w:w="1818"/>
            <w:vAlign w:val="center"/>
          </w:tcPr>
          <w:p>
            <w:r/>
            <w:r>
              <w:rPr>
                <w:b w:val="0"/>
                <w:sz w:val="12"/>
              </w:rPr>
              <w:t>MEASURE 2.6</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D9-CTL-07 addresses physical incident evidence preservation through (1) Continuous ring-buffer recording — minimum 60-second rolling buffer of: all sensor inputs (raw and processed); all AI model inputs and outputs; all actuator commands; all safety monitor decisions; all human override activations; system health telemetry. Safety-critical systems retain 300 seconds minimum. (2) Incident freeze — on any safety-relevant event, automatically freeze buffer and begin extended logging. Frozen buffer write-protected. (3) Cryptographic integrity — all records SHA-256 hashed and ECDSA signed at point of creation. For Optimized tier: CRYSTALS-Dilithium signing (post-quantum). (4) Regulatory retention — ICAO Annex 13: 5 years minimum; EU AI Act Art. 19: 10 years; DORA Art. 12: 5 years. (5) UAIF® integration — automatically populate UAIF® incident record from evidence package.. This supports the NIST outcome concerning the ai system is evaluated regularly for safety risks – as identified in the map function. the ai system to be de- ployed is demonstrated to be safe, its residual negative risk doe.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r>
        <w:tc>
          <w:tcPr>
            <w:tcW w:type="dxa" w:w="1818"/>
            <w:vAlign w:val="center"/>
            <w:shd w:fill="F5F7F9"/>
          </w:tcPr>
          <w:p>
            <w:r/>
            <w:r>
              <w:rPr>
                <w:b w:val="0"/>
                <w:sz w:val="12"/>
              </w:rPr>
              <w:t>CRO022-M-166</w:t>
            </w:r>
          </w:p>
        </w:tc>
        <w:tc>
          <w:tcPr>
            <w:tcW w:type="dxa" w:w="1818"/>
            <w:vAlign w:val="center"/>
            <w:shd w:fill="F5F7F9"/>
          </w:tcPr>
          <w:p>
            <w:r/>
            <w:r>
              <w:rPr>
                <w:b w:val="0"/>
                <w:sz w:val="12"/>
              </w:rPr>
              <w:t>D9-CTL-07</w:t>
            </w:r>
          </w:p>
        </w:tc>
        <w:tc>
          <w:tcPr>
            <w:tcW w:type="dxa" w:w="1818"/>
            <w:vAlign w:val="center"/>
            <w:shd w:fill="F5F7F9"/>
          </w:tcPr>
          <w:p>
            <w:r/>
            <w:r>
              <w:rPr>
                <w:b w:val="0"/>
                <w:sz w:val="12"/>
              </w:rPr>
              <w:t>Physical Incident Evidence Preservation</w:t>
            </w:r>
          </w:p>
        </w:tc>
        <w:tc>
          <w:tcPr>
            <w:tcW w:type="dxa" w:w="1818"/>
            <w:vAlign w:val="center"/>
            <w:shd w:fill="F5F7F9"/>
          </w:tcPr>
          <w:p>
            <w:r/>
            <w:r>
              <w:rPr>
                <w:b w:val="0"/>
                <w:sz w:val="12"/>
              </w:rPr>
              <w:t>MAP 5.2</w:t>
            </w:r>
          </w:p>
        </w:tc>
        <w:tc>
          <w:tcPr>
            <w:tcW w:type="dxa" w:w="1818"/>
            <w:vAlign w:val="center"/>
            <w:shd w:fill="F5F7F9"/>
          </w:tcPr>
          <w:p>
            <w:r/>
            <w:r>
              <w:rPr>
                <w:b w:val="0"/>
                <w:sz w:val="12"/>
              </w:rPr>
              <w:t>SP</w:t>
            </w:r>
          </w:p>
        </w:tc>
        <w:tc>
          <w:tcPr>
            <w:tcW w:type="dxa" w:w="1818"/>
            <w:vAlign w:val="center"/>
            <w:shd w:fill="F5F7F9"/>
          </w:tcPr>
          <w:p>
            <w:r/>
            <w:r>
              <w:rPr>
                <w:b w:val="0"/>
                <w:sz w:val="12"/>
              </w:rPr>
              <w:t>Medium-High</w:t>
            </w:r>
          </w:p>
        </w:tc>
        <w:tc>
          <w:tcPr>
            <w:tcW w:type="dxa" w:w="1818"/>
            <w:vAlign w:val="center"/>
            <w:shd w:fill="F5F7F9"/>
          </w:tcPr>
          <w:p>
            <w:r/>
            <w:r>
              <w:rPr>
                <w:b w:val="0"/>
                <w:sz w:val="12"/>
              </w:rPr>
              <w:t>GAISSF D9-CTL-07 addresses physical incident evidence preservation through (1) Continuous ring-buffer recording — minimum 60-second rolling buffer of: all sensor inputs (raw and processed); all AI model inputs and outputs; all actuator commands; all safety monitor decisions; all human override activations; system health telemetry. Safety-critical systems retain 300 seconds minimum. (2) Incident freeze — on any safety-relevant event, automatically freeze buffer and begin extended logging. Frozen buffer write-protected. (3) Cryptographic integrity — all records SHA-256 hashed and ECDSA signed at point of creation. For Optimized tier: CRYSTALS-Dilithium signing (post-quantum). (4) Regulatory retention — ICAO Annex 13: 5 years minimum; EU AI Act Art. 19: 10 years; DORA Art. 12: 5 years. (5) UAIF® integration — automatically populate UAIF® incident record from evidence package.. This supports the NIST outcome concerning practices and personnel for supporting regular en- gagement with relevant ai actors and integrating feedback about positive, negative, and unanticipated impacts are in place and do. The mapping does not establish implementation effectiveness or equivalence.</w:t>
            </w:r>
          </w:p>
        </w:tc>
        <w:tc>
          <w:tcPr>
            <w:tcW w:type="dxa" w:w="181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1818"/>
            <w:vAlign w:val="center"/>
          </w:tcPr>
          <w:p>
            <w:r/>
            <w:r>
              <w:rPr>
                <w:b w:val="0"/>
                <w:sz w:val="12"/>
              </w:rPr>
              <w:t>CRO022-M-167</w:t>
            </w:r>
          </w:p>
        </w:tc>
        <w:tc>
          <w:tcPr>
            <w:tcW w:type="dxa" w:w="1818"/>
            <w:vAlign w:val="center"/>
          </w:tcPr>
          <w:p>
            <w:r/>
            <w:r>
              <w:rPr>
                <w:b w:val="0"/>
                <w:sz w:val="12"/>
              </w:rPr>
              <w:t>D9-CTL-07</w:t>
            </w:r>
          </w:p>
        </w:tc>
        <w:tc>
          <w:tcPr>
            <w:tcW w:type="dxa" w:w="1818"/>
            <w:vAlign w:val="center"/>
          </w:tcPr>
          <w:p>
            <w:r/>
            <w:r>
              <w:rPr>
                <w:b w:val="0"/>
                <w:sz w:val="12"/>
              </w:rPr>
              <w:t>Physical Incident Evidence Preservation</w:t>
            </w:r>
          </w:p>
        </w:tc>
        <w:tc>
          <w:tcPr>
            <w:tcW w:type="dxa" w:w="1818"/>
            <w:vAlign w:val="center"/>
          </w:tcPr>
          <w:p>
            <w:r/>
            <w:r>
              <w:rPr>
                <w:b w:val="0"/>
                <w:sz w:val="12"/>
              </w:rPr>
              <w:t>MANAGE 4.1</w:t>
            </w:r>
          </w:p>
        </w:tc>
        <w:tc>
          <w:tcPr>
            <w:tcW w:type="dxa" w:w="1818"/>
            <w:vAlign w:val="center"/>
          </w:tcPr>
          <w:p>
            <w:r/>
            <w:r>
              <w:rPr>
                <w:b w:val="0"/>
                <w:sz w:val="12"/>
              </w:rPr>
              <w:t>SP</w:t>
            </w:r>
          </w:p>
        </w:tc>
        <w:tc>
          <w:tcPr>
            <w:tcW w:type="dxa" w:w="1818"/>
            <w:vAlign w:val="center"/>
          </w:tcPr>
          <w:p>
            <w:r/>
            <w:r>
              <w:rPr>
                <w:b w:val="0"/>
                <w:sz w:val="12"/>
              </w:rPr>
              <w:t>Medium-High</w:t>
            </w:r>
          </w:p>
        </w:tc>
        <w:tc>
          <w:tcPr>
            <w:tcW w:type="dxa" w:w="1818"/>
            <w:vAlign w:val="center"/>
          </w:tcPr>
          <w:p>
            <w:r/>
            <w:r>
              <w:rPr>
                <w:b w:val="0"/>
                <w:sz w:val="12"/>
              </w:rPr>
              <w:t>GAISSF D9-CTL-07 addresses physical incident evidence preservation through (1) Continuous ring-buffer recording — minimum 60-second rolling buffer of: all sensor inputs (raw and processed); all AI model inputs and outputs; all actuator commands; all safety monitor decisions; all human override activations; system health telemetry. Safety-critical systems retain 300 seconds minimum. (2) Incident freeze — on any safety-relevant event, automatically freeze buffer and begin extended logging. Frozen buffer write-protected. (3) Cryptographic integrity — all records SHA-256 hashed and ECDSA signed at point of creation. For Optimized tier: CRYSTALS-Dilithium signing (post-quantum). (4) Regulatory retention — ICAO Annex 13: 5 years minimum; EU AI Act Art. 19: 10 years; DORA Art. 12: 5 years. (5) UAIF® integration — automatically populate UAIF® incident record from evidence package.. This supports the NIST outcome concerning post-deployment ai system monitoring plans are implemented, including mechanisms for capturing and eval- uating input from users and other relevant ai actors, appeal and override, . The mapping does not establish implementation effectiveness or equivalence.</w:t>
            </w:r>
          </w:p>
        </w:tc>
        <w:tc>
          <w:tcPr>
            <w:tcW w:type="dxa" w:w="1818"/>
            <w:vAlign w:val="center"/>
          </w:tcPr>
          <w:p>
            <w:r/>
            <w:r>
              <w:rPr>
                <w:b w:val="0"/>
                <w:sz w:val="12"/>
              </w:rPr>
              <w:t>NIST requires organization- and context-specific application; additional evidence may be needed for actors, impacts, risk tolerance, and lifecycle context.</w:t>
            </w:r>
          </w:p>
        </w:tc>
      </w:tr>
    </w:tbl>
    <w:p>
      <w:r>
        <w:br w:type="page"/>
      </w:r>
    </w:p>
    <w:p>
      <w:pPr>
        <w:pStyle w:val="Heading1"/>
      </w:pPr>
      <w:r>
        <w:t>Annex B — NIST-to-GAISSF Reverse Coverage Register</w:t>
      </w:r>
    </w:p>
    <w:tbl>
      <w:tblPr>
        <w:tblStyle w:val="TableGrid"/>
        <w:tblW w:type="auto" w:w="0"/>
        <w:jc w:val="center"/>
        <w:tblLook w:firstColumn="1" w:firstRow="1" w:lastColumn="0" w:lastRow="0" w:noHBand="0" w:noVBand="1" w:val="04A0"/>
      </w:tblPr>
      <w:tblGrid>
        <w:gridCol w:w="2078"/>
        <w:gridCol w:w="2078"/>
        <w:gridCol w:w="2078"/>
        <w:gridCol w:w="2078"/>
        <w:gridCol w:w="2078"/>
        <w:gridCol w:w="2078"/>
        <w:gridCol w:w="2078"/>
      </w:tblGrid>
      <w:tr>
        <w:tc>
          <w:tcPr>
            <w:tcW w:type="dxa" w:w="2078"/>
            <w:shd w:fill="163A5F"/>
            <w:vAlign w:val="center"/>
          </w:tcPr>
          <w:p>
            <w:r/>
            <w:r>
              <w:rPr>
                <w:b/>
                <w:color w:val="FFFFFF"/>
                <w:sz w:val="15"/>
              </w:rPr>
              <w:t>NIST ID</w:t>
            </w:r>
          </w:p>
        </w:tc>
        <w:tc>
          <w:tcPr>
            <w:tcW w:type="dxa" w:w="2078"/>
            <w:shd w:fill="163A5F"/>
            <w:vAlign w:val="center"/>
          </w:tcPr>
          <w:p>
            <w:r/>
            <w:r>
              <w:rPr>
                <w:b/>
                <w:color w:val="FFFFFF"/>
                <w:sz w:val="15"/>
              </w:rPr>
              <w:t>NIST outcome</w:t>
            </w:r>
          </w:p>
        </w:tc>
        <w:tc>
          <w:tcPr>
            <w:tcW w:type="dxa" w:w="2078"/>
            <w:shd w:fill="163A5F"/>
            <w:vAlign w:val="center"/>
          </w:tcPr>
          <w:p>
            <w:r/>
            <w:r>
              <w:rPr>
                <w:b/>
                <w:color w:val="FFFFFF"/>
                <w:sz w:val="15"/>
              </w:rPr>
              <w:t>GAISSF controls</w:t>
            </w:r>
          </w:p>
        </w:tc>
        <w:tc>
          <w:tcPr>
            <w:tcW w:type="dxa" w:w="2078"/>
            <w:shd w:fill="163A5F"/>
            <w:vAlign w:val="center"/>
          </w:tcPr>
          <w:p>
            <w:r/>
            <w:r>
              <w:rPr>
                <w:b/>
                <w:color w:val="FFFFFF"/>
                <w:sz w:val="15"/>
              </w:rPr>
              <w:t>Coverage</w:t>
            </w:r>
          </w:p>
        </w:tc>
        <w:tc>
          <w:tcPr>
            <w:tcW w:type="dxa" w:w="2078"/>
            <w:shd w:fill="163A5F"/>
            <w:vAlign w:val="center"/>
          </w:tcPr>
          <w:p>
            <w:r/>
            <w:r>
              <w:rPr>
                <w:b/>
                <w:color w:val="FFFFFF"/>
                <w:sz w:val="15"/>
              </w:rPr>
              <w:t>Rel.</w:t>
            </w:r>
          </w:p>
        </w:tc>
        <w:tc>
          <w:tcPr>
            <w:tcW w:type="dxa" w:w="2078"/>
            <w:shd w:fill="163A5F"/>
            <w:vAlign w:val="center"/>
          </w:tcPr>
          <w:p>
            <w:r/>
            <w:r>
              <w:rPr>
                <w:b/>
                <w:color w:val="FFFFFF"/>
                <w:sz w:val="15"/>
              </w:rPr>
              <w:t>Confidence</w:t>
            </w:r>
          </w:p>
        </w:tc>
        <w:tc>
          <w:tcPr>
            <w:tcW w:type="dxa" w:w="2078"/>
            <w:shd w:fill="163A5F"/>
            <w:vAlign w:val="center"/>
          </w:tcPr>
          <w:p>
            <w:r/>
            <w:r>
              <w:rPr>
                <w:b/>
                <w:color w:val="FFFFFF"/>
                <w:sz w:val="15"/>
              </w:rPr>
              <w:t>Gap / further work</w:t>
            </w:r>
          </w:p>
        </w:tc>
      </w:tr>
      <w:tr>
        <w:tc>
          <w:tcPr>
            <w:tcW w:type="dxa" w:w="2078"/>
            <w:vAlign w:val="center"/>
          </w:tcPr>
          <w:p>
            <w:r/>
            <w:r>
              <w:rPr>
                <w:b w:val="0"/>
                <w:sz w:val="12"/>
              </w:rPr>
              <w:t>GOVERN 1.1</w:t>
            </w:r>
          </w:p>
        </w:tc>
        <w:tc>
          <w:tcPr>
            <w:tcW w:type="dxa" w:w="2078"/>
            <w:vAlign w:val="center"/>
          </w:tcPr>
          <w:p>
            <w:r/>
            <w:r>
              <w:rPr>
                <w:b w:val="0"/>
                <w:sz w:val="12"/>
              </w:rPr>
              <w:t>Legal and regulatory requirements involving AI are understood, managed, and documented.</w:t>
            </w:r>
          </w:p>
        </w:tc>
        <w:tc>
          <w:tcPr>
            <w:tcW w:type="dxa" w:w="2078"/>
            <w:vAlign w:val="center"/>
          </w:tcPr>
          <w:p>
            <w:r/>
            <w:r>
              <w:rPr>
                <w:b w:val="0"/>
                <w:sz w:val="12"/>
              </w:rPr>
              <w:t>D8-CTL-03</w:t>
            </w:r>
          </w:p>
        </w:tc>
        <w:tc>
          <w:tcPr>
            <w:tcW w:type="dxa" w:w="2078"/>
            <w:vAlign w:val="center"/>
          </w:tcPr>
          <w:p>
            <w:r/>
            <w:r>
              <w:rPr>
                <w:b w:val="0"/>
                <w:sz w:val="12"/>
              </w:rPr>
              <w:t>Indirectly Supported</w:t>
            </w:r>
          </w:p>
        </w:tc>
        <w:tc>
          <w:tcPr>
            <w:tcW w:type="dxa" w:w="2078"/>
            <w:vAlign w:val="center"/>
          </w:tcPr>
          <w:p>
            <w:r/>
            <w:r>
              <w:rPr>
                <w:b w:val="0"/>
                <w:sz w:val="12"/>
              </w:rPr>
              <w:t>C</w:t>
            </w:r>
          </w:p>
        </w:tc>
        <w:tc>
          <w:tcPr>
            <w:tcW w:type="dxa" w:w="2078"/>
            <w:vAlign w:val="center"/>
          </w:tcPr>
          <w:p>
            <w:r/>
            <w:r>
              <w:rPr>
                <w:b w:val="0"/>
                <w:sz w:val="12"/>
              </w:rPr>
              <w:t>Low</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1.2</w:t>
            </w:r>
          </w:p>
        </w:tc>
        <w:tc>
          <w:tcPr>
            <w:tcW w:type="dxa" w:w="2078"/>
            <w:vAlign w:val="center"/>
            <w:shd w:fill="F5F7F9"/>
          </w:tcPr>
          <w:p>
            <w:r/>
            <w:r>
              <w:rPr>
                <w:b w:val="0"/>
                <w:sz w:val="12"/>
              </w:rPr>
              <w:t>The characteristics of trustworthy AI are inte- grated into organizational policies, processes, procedures, and practices.</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GOVERN 1.3</w:t>
            </w:r>
          </w:p>
        </w:tc>
        <w:tc>
          <w:tcPr>
            <w:tcW w:type="dxa" w:w="2078"/>
            <w:vAlign w:val="center"/>
          </w:tcPr>
          <w:p>
            <w:r/>
            <w:r>
              <w:rPr>
                <w:b w:val="0"/>
                <w:sz w:val="12"/>
              </w:rPr>
              <w:t>Processes, procedures, and practices are in place to determine the needed level of risk management activities based on the organization’s risk tolerance.</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GOVERN 1.4</w:t>
            </w:r>
          </w:p>
        </w:tc>
        <w:tc>
          <w:tcPr>
            <w:tcW w:type="dxa" w:w="2078"/>
            <w:vAlign w:val="center"/>
            <w:shd w:fill="F5F7F9"/>
          </w:tcPr>
          <w:p>
            <w:r/>
            <w:r>
              <w:rPr>
                <w:b w:val="0"/>
                <w:sz w:val="12"/>
              </w:rPr>
              <w:t>The risk management process and its outcomes are established through transparent policies, procedures, and other controls based on organizational risk priorities. Categories Subcategories Continued on next page NIST AI 100-1 AI RMF 1.0 Table 1: Categories and subcategories for the GOVERN function. (Continued)</w:t>
            </w:r>
          </w:p>
        </w:tc>
        <w:tc>
          <w:tcPr>
            <w:tcW w:type="dxa" w:w="2078"/>
            <w:vAlign w:val="center"/>
            <w:shd w:fill="F5F7F9"/>
          </w:tcPr>
          <w:p>
            <w:r/>
            <w:r>
              <w:rPr>
                <w:b w:val="0"/>
                <w:sz w:val="12"/>
              </w:rPr>
              <w:t>D6-CTL-04, D7-CTL-H03</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1.5</w:t>
            </w:r>
          </w:p>
        </w:tc>
        <w:tc>
          <w:tcPr>
            <w:tcW w:type="dxa" w:w="2078"/>
            <w:vAlign w:val="center"/>
          </w:tcPr>
          <w:p>
            <w:r/>
            <w:r>
              <w:rPr>
                <w:b w:val="0"/>
                <w:sz w:val="12"/>
              </w:rPr>
              <w:t>Ongoing monitoring and periodic review of the risk management process and its outcomes are planned and or- ganizational roles and responsibilities clearly defined, including determining the frequency of periodic review.</w:t>
            </w:r>
          </w:p>
        </w:tc>
        <w:tc>
          <w:tcPr>
            <w:tcW w:type="dxa" w:w="2078"/>
            <w:vAlign w:val="center"/>
          </w:tcPr>
          <w:p>
            <w:r/>
            <w:r>
              <w:rPr>
                <w:b w:val="0"/>
                <w:sz w:val="12"/>
              </w:rPr>
              <w:t>D6-CTL-05, D7-CTL-H03, D8-CTL-04</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1.6</w:t>
            </w:r>
          </w:p>
        </w:tc>
        <w:tc>
          <w:tcPr>
            <w:tcW w:type="dxa" w:w="2078"/>
            <w:vAlign w:val="center"/>
            <w:shd w:fill="F5F7F9"/>
          </w:tcPr>
          <w:p>
            <w:r/>
            <w:r>
              <w:rPr>
                <w:b w:val="0"/>
                <w:sz w:val="12"/>
              </w:rPr>
              <w:t>Mechanisms are in place to inventory AI systems and are resourced according to organizational risk priorities.</w:t>
            </w:r>
          </w:p>
        </w:tc>
        <w:tc>
          <w:tcPr>
            <w:tcW w:type="dxa" w:w="2078"/>
            <w:vAlign w:val="center"/>
            <w:shd w:fill="F5F7F9"/>
          </w:tcPr>
          <w:p>
            <w:r/>
            <w:r>
              <w:rPr>
                <w:b w:val="0"/>
                <w:sz w:val="12"/>
              </w:rPr>
              <w:t>D4-CTL-01, D8-CTL-02</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1.7</w:t>
            </w:r>
          </w:p>
        </w:tc>
        <w:tc>
          <w:tcPr>
            <w:tcW w:type="dxa" w:w="2078"/>
            <w:vAlign w:val="center"/>
          </w:tcPr>
          <w:p>
            <w:r/>
            <w:r>
              <w:rPr>
                <w:b w:val="0"/>
                <w:sz w:val="12"/>
              </w:rPr>
              <w:t>Processes and procedures are in place for decom- missioning and phasing out AI systems safely and in a man- ner that does not increase risks or decrease the organization’s trustworthiness. GOVERN 2: Accountability structures are in place so that the appropriate teams and individuals are empowered, responsible, and trained for mapping, measuring, and managing AI risks.</w:t>
            </w:r>
          </w:p>
        </w:tc>
        <w:tc>
          <w:tcPr>
            <w:tcW w:type="dxa" w:w="2078"/>
            <w:vAlign w:val="center"/>
          </w:tcPr>
          <w:p>
            <w:r/>
            <w:r>
              <w:rPr>
                <w:b w:val="0"/>
                <w:sz w:val="12"/>
              </w:rPr>
              <w:t>D6-CTL-01, D6-CTL-02, D6-CTL-03, D6-CTL-04, D6-CTL-05, D6-CTL-07</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2.1</w:t>
            </w:r>
          </w:p>
        </w:tc>
        <w:tc>
          <w:tcPr>
            <w:tcW w:type="dxa" w:w="2078"/>
            <w:vAlign w:val="center"/>
            <w:shd w:fill="F5F7F9"/>
          </w:tcPr>
          <w:p>
            <w:r/>
            <w:r>
              <w:rPr>
                <w:b w:val="0"/>
                <w:sz w:val="12"/>
              </w:rPr>
              <w:t>Roles and responsibilities and lines of communi- cation related to mapping, measuring, and managing AI risks are documented and are clear to individuals and teams throughout the organization.</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GOVERN 2.2</w:t>
            </w:r>
          </w:p>
        </w:tc>
        <w:tc>
          <w:tcPr>
            <w:tcW w:type="dxa" w:w="2078"/>
            <w:vAlign w:val="center"/>
          </w:tcPr>
          <w:p>
            <w:r/>
            <w:r>
              <w:rPr>
                <w:b w:val="0"/>
                <w:sz w:val="12"/>
              </w:rPr>
              <w:t>The organization’s personnel and partners receive AI risk management training to enable them to perform their du- ties and responsibilities consistent with related policies, proce- dures, and agreements.</w:t>
            </w:r>
          </w:p>
        </w:tc>
        <w:tc>
          <w:tcPr>
            <w:tcW w:type="dxa" w:w="2078"/>
            <w:vAlign w:val="center"/>
          </w:tcPr>
          <w:p>
            <w:r/>
            <w:r>
              <w:rPr>
                <w:b w:val="0"/>
                <w:sz w:val="12"/>
              </w:rPr>
              <w:t>D7-CTL-H01, D7-CTL-H04</w:t>
            </w:r>
          </w:p>
        </w:tc>
        <w:tc>
          <w:tcPr>
            <w:tcW w:type="dxa" w:w="2078"/>
            <w:vAlign w:val="center"/>
          </w:tcPr>
          <w:p>
            <w:r/>
            <w:r>
              <w:rPr>
                <w:b w:val="0"/>
                <w:sz w:val="12"/>
              </w:rPr>
              <w:t>Indirectly Supported</w:t>
            </w:r>
          </w:p>
        </w:tc>
        <w:tc>
          <w:tcPr>
            <w:tcW w:type="dxa" w:w="2078"/>
            <w:vAlign w:val="center"/>
          </w:tcPr>
          <w:p>
            <w:r/>
            <w:r>
              <w:rPr>
                <w:b w:val="0"/>
                <w:sz w:val="12"/>
              </w:rPr>
              <w:t>C</w:t>
            </w:r>
          </w:p>
        </w:tc>
        <w:tc>
          <w:tcPr>
            <w:tcW w:type="dxa" w:w="2078"/>
            <w:vAlign w:val="center"/>
          </w:tcPr>
          <w:p>
            <w:r/>
            <w:r>
              <w:rPr>
                <w:b w:val="0"/>
                <w:sz w:val="12"/>
              </w:rPr>
              <w:t>Low</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2.3</w:t>
            </w:r>
          </w:p>
        </w:tc>
        <w:tc>
          <w:tcPr>
            <w:tcW w:type="dxa" w:w="2078"/>
            <w:vAlign w:val="center"/>
            <w:shd w:fill="F5F7F9"/>
          </w:tcPr>
          <w:p>
            <w:r/>
            <w:r>
              <w:rPr>
                <w:b w:val="0"/>
                <w:sz w:val="12"/>
              </w:rPr>
              <w:t>Executive leadership of the organization takes re- sponsibility for decisions about risks associated with AI system development and deployment. GOVERN 3: Workforce diversity, equity, inclusion, and accessibility processes are prioritized in the mapping, measuring, and managing of AI risks throughout the lifecycle.</w:t>
            </w:r>
          </w:p>
        </w:tc>
        <w:tc>
          <w:tcPr>
            <w:tcW w:type="dxa" w:w="2078"/>
            <w:vAlign w:val="center"/>
            <w:shd w:fill="F5F7F9"/>
          </w:tcPr>
          <w:p>
            <w:r/>
            <w:r>
              <w:rPr>
                <w:b w:val="0"/>
                <w:sz w:val="12"/>
              </w:rPr>
              <w:t>D3-CTL-07, D6-CTL-03</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3.1</w:t>
            </w:r>
          </w:p>
        </w:tc>
        <w:tc>
          <w:tcPr>
            <w:tcW w:type="dxa" w:w="2078"/>
            <w:vAlign w:val="center"/>
          </w:tcPr>
          <w:p>
            <w:r/>
            <w:r>
              <w:rPr>
                <w:b w:val="0"/>
                <w:sz w:val="12"/>
              </w:rPr>
              <w:t>Decision-making related to mapping, measuring, and managing AI risks throughout the lifecycle is informed by a diverse team (e.g., diversity of demographics, disciplines, expe- rience, expertise, and backgrounds).</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GOVERN 3.2</w:t>
            </w:r>
          </w:p>
        </w:tc>
        <w:tc>
          <w:tcPr>
            <w:tcW w:type="dxa" w:w="2078"/>
            <w:vAlign w:val="center"/>
            <w:shd w:fill="F5F7F9"/>
          </w:tcPr>
          <w:p>
            <w:r/>
            <w:r>
              <w:rPr>
                <w:b w:val="0"/>
                <w:sz w:val="12"/>
              </w:rPr>
              <w:t>Policies and procedures are in place to define and differentiate roles and responsibilities for human-AI configura- tions and oversight of AI systems. GOVERN 4: Organizational teams are committed to a culture</w:t>
            </w:r>
          </w:p>
        </w:tc>
        <w:tc>
          <w:tcPr>
            <w:tcW w:type="dxa" w:w="2078"/>
            <w:vAlign w:val="center"/>
            <w:shd w:fill="F5F7F9"/>
          </w:tcPr>
          <w:p>
            <w:r/>
            <w:r>
              <w:rPr>
                <w:b w:val="0"/>
                <w:sz w:val="12"/>
              </w:rPr>
              <w:t>D6-CTL-01, D6-CTL-03, D6-CTL-07</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4.1</w:t>
            </w:r>
          </w:p>
        </w:tc>
        <w:tc>
          <w:tcPr>
            <w:tcW w:type="dxa" w:w="2078"/>
            <w:vAlign w:val="center"/>
          </w:tcPr>
          <w:p>
            <w:r/>
            <w:r>
              <w:rPr>
                <w:b w:val="0"/>
                <w:sz w:val="12"/>
              </w:rPr>
              <w:t>Organizational policies and practices are in place to foster a critical thinking and safety-first mindset in the design, development, deployment, and uses of AI systems to minimize potential negative impacts. Categories Subcategories Continued on next page NIST AI 100-1 AI RMF 1.0 Table 1: Categories and subcategories for the GOVERN function. (Continued) that considers and communicates AI risk.</w:t>
            </w:r>
          </w:p>
        </w:tc>
        <w:tc>
          <w:tcPr>
            <w:tcW w:type="dxa" w:w="2078"/>
            <w:vAlign w:val="center"/>
          </w:tcPr>
          <w:p>
            <w:r/>
            <w:r>
              <w:rPr>
                <w:b w:val="0"/>
                <w:sz w:val="12"/>
              </w:rPr>
              <w:t>D1-CTL-05, D2-CTL-03, D3-CTL-04, D5-CTL-01, D5-CTL-02, D5-CTL-03</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4.2</w:t>
            </w:r>
          </w:p>
        </w:tc>
        <w:tc>
          <w:tcPr>
            <w:tcW w:type="dxa" w:w="2078"/>
            <w:vAlign w:val="center"/>
            <w:shd w:fill="F5F7F9"/>
          </w:tcPr>
          <w:p>
            <w:r/>
            <w:r>
              <w:rPr>
                <w:b w:val="0"/>
                <w:sz w:val="12"/>
              </w:rPr>
              <w:t>Organizational teams document the risks and po- tential impacts of the AI technology they design, develop, deploy, evaluate, and use, and they communicate about the impacts more broadly.</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GOVERN 4.3</w:t>
            </w:r>
          </w:p>
        </w:tc>
        <w:tc>
          <w:tcPr>
            <w:tcW w:type="dxa" w:w="2078"/>
            <w:vAlign w:val="center"/>
          </w:tcPr>
          <w:p>
            <w:r/>
            <w:r>
              <w:rPr>
                <w:b w:val="0"/>
                <w:sz w:val="12"/>
              </w:rPr>
              <w:t>Organizational practices are in place to enable AI testing, identification of incidents, and information sharing. GOVERN 5: Processes are in place for robust engagement with relevant AI actors.</w:t>
            </w:r>
          </w:p>
        </w:tc>
        <w:tc>
          <w:tcPr>
            <w:tcW w:type="dxa" w:w="2078"/>
            <w:vAlign w:val="center"/>
          </w:tcPr>
          <w:p>
            <w:r/>
            <w:r>
              <w:rPr>
                <w:b w:val="0"/>
                <w:sz w:val="12"/>
              </w:rPr>
              <w:t>D2-CTL-01, D2-CTL-06, D5-CTL-04, D6-CTL-02, D7-CTL-H02</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5.1</w:t>
            </w:r>
          </w:p>
        </w:tc>
        <w:tc>
          <w:tcPr>
            <w:tcW w:type="dxa" w:w="2078"/>
            <w:vAlign w:val="center"/>
            <w:shd w:fill="F5F7F9"/>
          </w:tcPr>
          <w:p>
            <w:r/>
            <w:r>
              <w:rPr>
                <w:b w:val="0"/>
                <w:sz w:val="12"/>
              </w:rPr>
              <w:t>Organizational policies and practices are in place to collect, consider, prioritize, and integrate feedback from those external to the team that developed or deployed the AI system regarding the potential individual and societal impacts related to AI risks.</w:t>
            </w:r>
          </w:p>
        </w:tc>
        <w:tc>
          <w:tcPr>
            <w:tcW w:type="dxa" w:w="2078"/>
            <w:vAlign w:val="center"/>
            <w:shd w:fill="F5F7F9"/>
          </w:tcPr>
          <w:p>
            <w:r/>
            <w:r>
              <w:rPr>
                <w:b w:val="0"/>
                <w:sz w:val="12"/>
              </w:rPr>
              <w:t>D7-CTL-H05</w:t>
            </w:r>
          </w:p>
        </w:tc>
        <w:tc>
          <w:tcPr>
            <w:tcW w:type="dxa" w:w="2078"/>
            <w:vAlign w:val="center"/>
            <w:shd w:fill="F5F7F9"/>
          </w:tcPr>
          <w:p>
            <w:r/>
            <w:r>
              <w:rPr>
                <w:b w:val="0"/>
                <w:sz w:val="12"/>
              </w:rPr>
              <w:t>Indirectly Supported</w:t>
            </w:r>
          </w:p>
        </w:tc>
        <w:tc>
          <w:tcPr>
            <w:tcW w:type="dxa" w:w="2078"/>
            <w:vAlign w:val="center"/>
            <w:shd w:fill="F5F7F9"/>
          </w:tcPr>
          <w:p>
            <w:r/>
            <w:r>
              <w:rPr>
                <w:b w:val="0"/>
                <w:sz w:val="12"/>
              </w:rPr>
              <w:t>C</w:t>
            </w:r>
          </w:p>
        </w:tc>
        <w:tc>
          <w:tcPr>
            <w:tcW w:type="dxa" w:w="2078"/>
            <w:vAlign w:val="center"/>
            <w:shd w:fill="F5F7F9"/>
          </w:tcPr>
          <w:p>
            <w:r/>
            <w:r>
              <w:rPr>
                <w:b w:val="0"/>
                <w:sz w:val="12"/>
              </w:rPr>
              <w:t>Low</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5.2</w:t>
            </w:r>
          </w:p>
        </w:tc>
        <w:tc>
          <w:tcPr>
            <w:tcW w:type="dxa" w:w="2078"/>
            <w:vAlign w:val="center"/>
          </w:tcPr>
          <w:p>
            <w:r/>
            <w:r>
              <w:rPr>
                <w:b w:val="0"/>
                <w:sz w:val="12"/>
              </w:rPr>
              <w:t>Mechanisms are established to enable the team that developed or deployed AI systems to regularly incorporate adjudicated feedback from relevant AI actors into system design and implementation. GOVERN 6: Policies and procedures are in place to address AI risks and benefits arising from third-party software and data and other supply chain issues.</w:t>
            </w:r>
          </w:p>
        </w:tc>
        <w:tc>
          <w:tcPr>
            <w:tcW w:type="dxa" w:w="2078"/>
            <w:vAlign w:val="center"/>
          </w:tcPr>
          <w:p>
            <w:r/>
            <w:r>
              <w:rPr>
                <w:b w:val="0"/>
                <w:sz w:val="12"/>
              </w:rPr>
              <w:t>D4-CTL-02, D4-CTL-03, D4-CTL-04, D4-CTL-05, D4-CTL-06, D4-CTL-07</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GOVERN 6.1</w:t>
            </w:r>
          </w:p>
        </w:tc>
        <w:tc>
          <w:tcPr>
            <w:tcW w:type="dxa" w:w="2078"/>
            <w:vAlign w:val="center"/>
            <w:shd w:fill="F5F7F9"/>
          </w:tcPr>
          <w:p>
            <w:r/>
            <w:r>
              <w:rPr>
                <w:b w:val="0"/>
                <w:sz w:val="12"/>
              </w:rPr>
              <w:t>Policies and procedures are in place that address AI risks associated with third-party entities, including risks of in- fringement of a third-party’s intellectual property or other rights.</w:t>
            </w:r>
          </w:p>
        </w:tc>
        <w:tc>
          <w:tcPr>
            <w:tcW w:type="dxa" w:w="2078"/>
            <w:vAlign w:val="center"/>
            <w:shd w:fill="F5F7F9"/>
          </w:tcPr>
          <w:p>
            <w:r/>
            <w:r>
              <w:rPr>
                <w:b w:val="0"/>
                <w:sz w:val="12"/>
              </w:rPr>
              <w:t>D4-CTL-02, D4-CTL-03</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GOVERN 6.2</w:t>
            </w:r>
          </w:p>
        </w:tc>
        <w:tc>
          <w:tcPr>
            <w:tcW w:type="dxa" w:w="2078"/>
            <w:vAlign w:val="center"/>
          </w:tcPr>
          <w:p>
            <w:r/>
            <w:r>
              <w:rPr>
                <w:b w:val="0"/>
                <w:sz w:val="12"/>
              </w:rPr>
              <w:t>Contingency processes are in place to handle failures or incidents in third-party data or AI systems deemed to be high-risk. Categories Subcategories 5.2 Map The MAP function establishes the context to frame risks related to an AI system. The AI lifecycle consists of many interdependent activities involving a diverse set of actors (See Figure 3). In practice, AI actors in charge of one part of the process often do not have full visibility or control over other parts and their associated contexts.</w:t>
            </w:r>
          </w:p>
        </w:tc>
        <w:tc>
          <w:tcPr>
            <w:tcW w:type="dxa" w:w="2078"/>
            <w:vAlign w:val="center"/>
          </w:tcPr>
          <w:p>
            <w:r/>
            <w:r>
              <w:rPr>
                <w:b w:val="0"/>
                <w:sz w:val="12"/>
              </w:rPr>
              <w:t>D1-CTL-01, D4-CTL-01, D4-CTL-02, D4-CTL-03, D4-CTL-04, D7-CTL-H02</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MAP 1.1</w:t>
            </w:r>
          </w:p>
        </w:tc>
        <w:tc>
          <w:tcPr>
            <w:tcW w:type="dxa" w:w="2078"/>
            <w:vAlign w:val="center"/>
            <w:shd w:fill="F5F7F9"/>
          </w:tcPr>
          <w:p>
            <w:r/>
            <w:r>
              <w:rPr>
                <w:b w:val="0"/>
                <w:sz w:val="12"/>
              </w:rPr>
              <w:t>Intended purposes, potentially beneficial uses, context- specific laws, norms and expectations, and prospective settings in which the AI system will be deployed are understood and docu- mented. Considerations include: the specific set or types of users along with their expectations; potential positive and negative im- pacts of system uses to individuals, communities, organizations, society, and the planet; assumptions and related limitations about AI system purposes, uses, and risks across the development or product AI lifecycle; and related TEVV and system metrics.</w:t>
            </w:r>
          </w:p>
        </w:tc>
        <w:tc>
          <w:tcPr>
            <w:tcW w:type="dxa" w:w="2078"/>
            <w:vAlign w:val="center"/>
            <w:shd w:fill="F5F7F9"/>
          </w:tcPr>
          <w:p>
            <w:r/>
            <w:r>
              <w:rPr>
                <w:b w:val="0"/>
                <w:sz w:val="12"/>
              </w:rPr>
              <w:t>D3-CTL-03, D3-CTL-05, D3-CTL-06</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MAP 1.2</w:t>
            </w:r>
          </w:p>
        </w:tc>
        <w:tc>
          <w:tcPr>
            <w:tcW w:type="dxa" w:w="2078"/>
            <w:vAlign w:val="center"/>
          </w:tcPr>
          <w:p>
            <w:r/>
            <w:r>
              <w:rPr>
                <w:b w:val="0"/>
                <w:sz w:val="12"/>
              </w:rPr>
              <w:t>Interdisciplinary AI actors, competencies, skills, and capacities for establishing context reflect demographic diversity and broad domain and user experience expertise, and their par- ticipation is documented. Opportunities for interdisciplinary col- laboration are prioritized.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MAP 1.3</w:t>
            </w:r>
          </w:p>
        </w:tc>
        <w:tc>
          <w:tcPr>
            <w:tcW w:type="dxa" w:w="2078"/>
            <w:vAlign w:val="center"/>
            <w:shd w:fill="F5F7F9"/>
          </w:tcPr>
          <w:p>
            <w:r/>
            <w:r>
              <w:rPr>
                <w:b w:val="0"/>
                <w:sz w:val="12"/>
              </w:rPr>
              <w:t>The organization’s mission and relevant goals for AI technology are understood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MAP 1.4</w:t>
            </w:r>
          </w:p>
        </w:tc>
        <w:tc>
          <w:tcPr>
            <w:tcW w:type="dxa" w:w="2078"/>
            <w:vAlign w:val="center"/>
          </w:tcPr>
          <w:p>
            <w:r/>
            <w:r>
              <w:rPr>
                <w:b w:val="0"/>
                <w:sz w:val="12"/>
              </w:rPr>
              <w:t>The business value or context of business use has been clearly defined or – in the case of assessing existing AI systems – re-evaluated.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MAP 1.5</w:t>
            </w:r>
          </w:p>
        </w:tc>
        <w:tc>
          <w:tcPr>
            <w:tcW w:type="dxa" w:w="2078"/>
            <w:vAlign w:val="center"/>
            <w:shd w:fill="F5F7F9"/>
          </w:tcPr>
          <w:p>
            <w:r/>
            <w:r>
              <w:rPr>
                <w:b w:val="0"/>
                <w:sz w:val="12"/>
              </w:rPr>
              <w:t>Organizational risk tolerances are determined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MAP 1.6</w:t>
            </w:r>
          </w:p>
        </w:tc>
        <w:tc>
          <w:tcPr>
            <w:tcW w:type="dxa" w:w="2078"/>
            <w:vAlign w:val="center"/>
          </w:tcPr>
          <w:p>
            <w:r/>
            <w:r>
              <w:rPr>
                <w:b w:val="0"/>
                <w:sz w:val="12"/>
              </w:rPr>
              <w:t>System requirements (e.g., “the system shall respect the privacy of its users”) are elicited from and understood by rel- evant AI actors. Design decisions take socio-technical implica- tions into account to address AI risks. MAP 2: Categorization of the AI system is performed.</w:t>
            </w:r>
          </w:p>
        </w:tc>
        <w:tc>
          <w:tcPr>
            <w:tcW w:type="dxa" w:w="2078"/>
            <w:vAlign w:val="center"/>
          </w:tcPr>
          <w:p>
            <w:r/>
            <w:r>
              <w:rPr>
                <w:b w:val="0"/>
                <w:sz w:val="12"/>
              </w:rPr>
              <w:t>D3-CTL-03, D3-CTL-05, D3-CTL-06, D4-CTL-05, D5-CTL-05</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MAP 2.1</w:t>
            </w:r>
          </w:p>
        </w:tc>
        <w:tc>
          <w:tcPr>
            <w:tcW w:type="dxa" w:w="2078"/>
            <w:vAlign w:val="center"/>
            <w:shd w:fill="F5F7F9"/>
          </w:tcPr>
          <w:p>
            <w:r/>
            <w:r>
              <w:rPr>
                <w:b w:val="0"/>
                <w:sz w:val="12"/>
              </w:rPr>
              <w:t>The specific tasks and methods used to implement the tasks that the AI system will support are defined (e.g., classifiers, generative models, recommenders).</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MAP 2.2</w:t>
            </w:r>
          </w:p>
        </w:tc>
        <w:tc>
          <w:tcPr>
            <w:tcW w:type="dxa" w:w="2078"/>
            <w:vAlign w:val="center"/>
          </w:tcPr>
          <w:p>
            <w:r/>
            <w:r>
              <w:rPr>
                <w:b w:val="0"/>
                <w:sz w:val="12"/>
              </w:rPr>
              <w:t>Information about the AI system’s knowledge limits and how system output may be utilized and overseen by humans is documented. Documentation provides sufficient information to assist relevant AI actors when making decisions and taking subsequent actions. Categories Subcategories Continued on next page NIST AI 100-1 AI RMF 1.0 Table 2: Categories and subcategories for the MAP function. (Continued)</w:t>
            </w:r>
          </w:p>
        </w:tc>
        <w:tc>
          <w:tcPr>
            <w:tcW w:type="dxa" w:w="2078"/>
            <w:vAlign w:val="center"/>
          </w:tcPr>
          <w:p>
            <w:r/>
            <w:r>
              <w:rPr>
                <w:b w:val="0"/>
                <w:sz w:val="12"/>
              </w:rPr>
              <w:t>D8-CTL-01</w:t>
            </w:r>
          </w:p>
        </w:tc>
        <w:tc>
          <w:tcPr>
            <w:tcW w:type="dxa" w:w="2078"/>
            <w:vAlign w:val="center"/>
          </w:tcPr>
          <w:p>
            <w:r/>
            <w:r>
              <w:rPr>
                <w:b w:val="0"/>
                <w:sz w:val="12"/>
              </w:rPr>
              <w:t>Indirectly Supported</w:t>
            </w:r>
          </w:p>
        </w:tc>
        <w:tc>
          <w:tcPr>
            <w:tcW w:type="dxa" w:w="2078"/>
            <w:vAlign w:val="center"/>
          </w:tcPr>
          <w:p>
            <w:r/>
            <w:r>
              <w:rPr>
                <w:b w:val="0"/>
                <w:sz w:val="12"/>
              </w:rPr>
              <w:t>S</w:t>
            </w:r>
          </w:p>
        </w:tc>
        <w:tc>
          <w:tcPr>
            <w:tcW w:type="dxa" w:w="2078"/>
            <w:vAlign w:val="center"/>
          </w:tcPr>
          <w:p>
            <w:r/>
            <w:r>
              <w:rPr>
                <w:b w:val="0"/>
                <w:sz w:val="12"/>
              </w:rPr>
              <w:t>Medium</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MAP 2.3</w:t>
            </w:r>
          </w:p>
        </w:tc>
        <w:tc>
          <w:tcPr>
            <w:tcW w:type="dxa" w:w="2078"/>
            <w:vAlign w:val="center"/>
            <w:shd w:fill="F5F7F9"/>
          </w:tcPr>
          <w:p>
            <w:r/>
            <w:r>
              <w:rPr>
                <w:b w:val="0"/>
                <w:sz w:val="12"/>
              </w:rPr>
              <w:t>Scientific integrity and TEVV considerations are iden- tified and documented, including those related to experimental design, data collection and selection (e.g., availability, repre- sentativeness, suitability), system trustworthiness, and construct validation. MAP 3: AI capabilities, targeted usage, goals, and expected benefits and costs compared with appropriate benchmarks are understood.</w:t>
            </w:r>
          </w:p>
        </w:tc>
        <w:tc>
          <w:tcPr>
            <w:tcW w:type="dxa" w:w="2078"/>
            <w:vAlign w:val="center"/>
            <w:shd w:fill="F5F7F9"/>
          </w:tcPr>
          <w:p>
            <w:r/>
            <w:r>
              <w:rPr>
                <w:b w:val="0"/>
                <w:sz w:val="12"/>
              </w:rPr>
              <w:t>D3-CTL-02, D3-CTL-04, D5-CTL-02, D5-CTL-03, D5-CTL-06</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MAP 3.1</w:t>
            </w:r>
          </w:p>
        </w:tc>
        <w:tc>
          <w:tcPr>
            <w:tcW w:type="dxa" w:w="2078"/>
            <w:vAlign w:val="center"/>
          </w:tcPr>
          <w:p>
            <w:r/>
            <w:r>
              <w:rPr>
                <w:b w:val="0"/>
                <w:sz w:val="12"/>
              </w:rPr>
              <w:t>Potential benefits of intended AI system functionality and performance are examined and documented.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MAP 3.2</w:t>
            </w:r>
          </w:p>
        </w:tc>
        <w:tc>
          <w:tcPr>
            <w:tcW w:type="dxa" w:w="2078"/>
            <w:vAlign w:val="center"/>
            <w:shd w:fill="F5F7F9"/>
          </w:tcPr>
          <w:p>
            <w:r/>
            <w:r>
              <w:rPr>
                <w:b w:val="0"/>
                <w:sz w:val="12"/>
              </w:rPr>
              <w:t>Potential costs, including non-monetary costs, which result from expected or realized AI errors or system functionality and trustworthiness – as connected to organizational risk toler- ance – are examined and documented.</w:t>
            </w:r>
          </w:p>
        </w:tc>
        <w:tc>
          <w:tcPr>
            <w:tcW w:type="dxa" w:w="2078"/>
            <w:vAlign w:val="center"/>
            <w:shd w:fill="F5F7F9"/>
          </w:tcPr>
          <w:p>
            <w:r/>
            <w:r>
              <w:rPr>
                <w:b w:val="0"/>
                <w:sz w:val="12"/>
              </w:rPr>
              <w:t>D8-CTL-01</w:t>
            </w:r>
          </w:p>
        </w:tc>
        <w:tc>
          <w:tcPr>
            <w:tcW w:type="dxa" w:w="2078"/>
            <w:vAlign w:val="center"/>
            <w:shd w:fill="F5F7F9"/>
          </w:tcPr>
          <w:p>
            <w:r/>
            <w:r>
              <w:rPr>
                <w:b w:val="0"/>
                <w:sz w:val="12"/>
              </w:rPr>
              <w:t>Indirectly Supported</w:t>
            </w:r>
          </w:p>
        </w:tc>
        <w:tc>
          <w:tcPr>
            <w:tcW w:type="dxa" w:w="2078"/>
            <w:vAlign w:val="center"/>
            <w:shd w:fill="F5F7F9"/>
          </w:tcPr>
          <w:p>
            <w:r/>
            <w:r>
              <w:rPr>
                <w:b w:val="0"/>
                <w:sz w:val="12"/>
              </w:rPr>
              <w:t>S</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MAP 3.3</w:t>
            </w:r>
          </w:p>
        </w:tc>
        <w:tc>
          <w:tcPr>
            <w:tcW w:type="dxa" w:w="2078"/>
            <w:vAlign w:val="center"/>
          </w:tcPr>
          <w:p>
            <w:r/>
            <w:r>
              <w:rPr>
                <w:b w:val="0"/>
                <w:sz w:val="12"/>
              </w:rPr>
              <w:t>Targeted application scope is specified and docu- mented based on the system’s capability, established context, and AI system categorization.</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MAP 3.4</w:t>
            </w:r>
          </w:p>
        </w:tc>
        <w:tc>
          <w:tcPr>
            <w:tcW w:type="dxa" w:w="2078"/>
            <w:vAlign w:val="center"/>
            <w:shd w:fill="F5F7F9"/>
          </w:tcPr>
          <w:p>
            <w:r/>
            <w:r>
              <w:rPr>
                <w:b w:val="0"/>
                <w:sz w:val="12"/>
              </w:rPr>
              <w:t>Processes for operator and practitioner proficiency with AI system performance and trustworthiness – and relevant technical standards and certifications – are defined, assessed,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MAP 3.5</w:t>
            </w:r>
          </w:p>
        </w:tc>
        <w:tc>
          <w:tcPr>
            <w:tcW w:type="dxa" w:w="2078"/>
            <w:vAlign w:val="center"/>
          </w:tcPr>
          <w:p>
            <w:r/>
            <w:r>
              <w:rPr>
                <w:b w:val="0"/>
                <w:sz w:val="12"/>
              </w:rPr>
              <w:t>Processes for human oversight are defined, assessed, and documented in accordance with organizational policies from the GOVERN function. MAP 4: Risks and benefits are mapped for all components of the AI system including third-party software and data.</w:t>
            </w:r>
          </w:p>
        </w:tc>
        <w:tc>
          <w:tcPr>
            <w:tcW w:type="dxa" w:w="2078"/>
            <w:vAlign w:val="center"/>
          </w:tcPr>
          <w:p>
            <w:r/>
            <w:r>
              <w:rPr>
                <w:b w:val="0"/>
                <w:sz w:val="12"/>
              </w:rPr>
              <w:t>D3-CTL-01, D3-CTL-07, D4-CTL-06, D4-CTL-07</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MAP 4.1</w:t>
            </w:r>
          </w:p>
        </w:tc>
        <w:tc>
          <w:tcPr>
            <w:tcW w:type="dxa" w:w="2078"/>
            <w:vAlign w:val="center"/>
            <w:shd w:fill="F5F7F9"/>
          </w:tcPr>
          <w:p>
            <w:r/>
            <w:r>
              <w:rPr>
                <w:b w:val="0"/>
                <w:sz w:val="12"/>
              </w:rPr>
              <w:t>Approaches for mapping AI technology and legal risks of its components – including the use of third-party data or soft- ware – are in place, followed, and documented, as are risks of in- fringement of a third party’s intellectual property or other rights.</w:t>
            </w:r>
          </w:p>
        </w:tc>
        <w:tc>
          <w:tcPr>
            <w:tcW w:type="dxa" w:w="2078"/>
            <w:vAlign w:val="center"/>
            <w:shd w:fill="F5F7F9"/>
          </w:tcPr>
          <w:p>
            <w:r/>
            <w:r>
              <w:rPr>
                <w:b w:val="0"/>
                <w:sz w:val="12"/>
              </w:rPr>
              <w:t>D4-CTL-05</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MAP 4.2</w:t>
            </w:r>
          </w:p>
        </w:tc>
        <w:tc>
          <w:tcPr>
            <w:tcW w:type="dxa" w:w="2078"/>
            <w:vAlign w:val="center"/>
          </w:tcPr>
          <w:p>
            <w:r/>
            <w:r>
              <w:rPr>
                <w:b w:val="0"/>
                <w:sz w:val="12"/>
              </w:rPr>
              <w:t>Internal risk controls for components of the AI sys- tem, including third-party AI technologies, are identified and documented. MAP 5: Impacts to individuals, groups, communities, organizations, and society are characterized.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MAP 5.1</w:t>
            </w:r>
          </w:p>
        </w:tc>
        <w:tc>
          <w:tcPr>
            <w:tcW w:type="dxa" w:w="2078"/>
            <w:vAlign w:val="center"/>
            <w:shd w:fill="F5F7F9"/>
          </w:tcPr>
          <w:p>
            <w:r/>
            <w:r>
              <w:rPr>
                <w:b w:val="0"/>
                <w:sz w:val="12"/>
              </w:rPr>
              <w:t>Likelihood and magnitude of each identified impact (both potentially beneficial and harmful) based on expected use, past uses of AI systems in similar contexts, public incident re- ports, feedback from those external to the team that developed or deployed the AI system, or other data are identified and documented. Categories Subcategories Continued on next page NIST AI 100-1 AI RMF 1.0 Table 2: Categories and subcategories for the MAP function. (Continued)</w:t>
            </w:r>
          </w:p>
        </w:tc>
        <w:tc>
          <w:tcPr>
            <w:tcW w:type="dxa" w:w="2078"/>
            <w:vAlign w:val="center"/>
            <w:shd w:fill="F5F7F9"/>
          </w:tcPr>
          <w:p>
            <w:r/>
            <w:r>
              <w:rPr>
                <w:b w:val="0"/>
                <w:sz w:val="12"/>
              </w:rPr>
              <w:t>D1-CTL-05, D5-CTL-01, D5-CTL-04</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MAP 5.2</w:t>
            </w:r>
          </w:p>
        </w:tc>
        <w:tc>
          <w:tcPr>
            <w:tcW w:type="dxa" w:w="2078"/>
            <w:vAlign w:val="center"/>
          </w:tcPr>
          <w:p>
            <w:r/>
            <w:r>
              <w:rPr>
                <w:b w:val="0"/>
                <w:sz w:val="12"/>
              </w:rPr>
              <w:t>Practices and personnel for supporting regular en- gagement with relevant AI actors and integrating feedback about positive, negative, and unanticipated impacts are in place and documented. Categories Subcategories 5.3 Measure The MEASURE function employs quantitative, qualitative, or mixed-method tools, tech- niques, and methodologies to analyze, assess, benchmark, and monitor AI risk and related impacts. It uses knowledge relevant to AI risks identified in the MAP function and informs the MANAGE function. AI systems should be tested before their deployment and regu- larly while in operation.</w:t>
            </w:r>
          </w:p>
        </w:tc>
        <w:tc>
          <w:tcPr>
            <w:tcW w:type="dxa" w:w="2078"/>
            <w:vAlign w:val="center"/>
          </w:tcPr>
          <w:p>
            <w:r/>
            <w:r>
              <w:rPr>
                <w:b w:val="0"/>
                <w:sz w:val="12"/>
              </w:rPr>
              <w:t>D1-CTL-02, D1-CTL-03, D1-CTL-09, D2-CTL-02, D2-CTL-03, D2-CTL-04</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MEASURE 1.1</w:t>
            </w:r>
          </w:p>
        </w:tc>
        <w:tc>
          <w:tcPr>
            <w:tcW w:type="dxa" w:w="2078"/>
            <w:vAlign w:val="center"/>
            <w:shd w:fill="F5F7F9"/>
          </w:tcPr>
          <w:p>
            <w:r/>
            <w:r>
              <w:rPr>
                <w:b w:val="0"/>
                <w:sz w:val="12"/>
              </w:rPr>
              <w:t>Approaches and metrics for measurement of AI risks enumerated during the MAP function are selected for imple- mentation starting with the most significant AI risks. The risks or trustworthiness characteristics that will not – or cannot – be measured are properly documented.</w:t>
            </w:r>
          </w:p>
        </w:tc>
        <w:tc>
          <w:tcPr>
            <w:tcW w:type="dxa" w:w="2078"/>
            <w:vAlign w:val="center"/>
            <w:shd w:fill="F5F7F9"/>
          </w:tcPr>
          <w:p>
            <w:r/>
            <w:r>
              <w:rPr>
                <w:b w:val="0"/>
                <w:sz w:val="12"/>
              </w:rPr>
              <w:t>D2-CTL-05</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MEASURE 1.2</w:t>
            </w:r>
          </w:p>
        </w:tc>
        <w:tc>
          <w:tcPr>
            <w:tcW w:type="dxa" w:w="2078"/>
            <w:vAlign w:val="center"/>
          </w:tcPr>
          <w:p>
            <w:r/>
            <w:r>
              <w:rPr>
                <w:b w:val="0"/>
                <w:sz w:val="12"/>
              </w:rPr>
              <w:t>Appropriateness of AI metrics and effectiveness of existing controls are regularly assessed and updated, including reports of errors and potential impacts on affected communities.</w:t>
            </w:r>
          </w:p>
        </w:tc>
        <w:tc>
          <w:tcPr>
            <w:tcW w:type="dxa" w:w="2078"/>
            <w:vAlign w:val="center"/>
          </w:tcPr>
          <w:p>
            <w:r/>
            <w:r>
              <w:rPr>
                <w:b w:val="0"/>
                <w:sz w:val="12"/>
              </w:rPr>
              <w:t>D2-CTL-04</w:t>
            </w:r>
          </w:p>
        </w:tc>
        <w:tc>
          <w:tcPr>
            <w:tcW w:type="dxa" w:w="2078"/>
            <w:vAlign w:val="center"/>
          </w:tcPr>
          <w:p>
            <w:r/>
            <w:r>
              <w:rPr>
                <w:b w:val="0"/>
                <w:sz w:val="12"/>
              </w:rPr>
              <w:t>Partially Addressed</w:t>
            </w:r>
          </w:p>
        </w:tc>
        <w:tc>
          <w:tcPr>
            <w:tcW w:type="dxa" w:w="2078"/>
            <w:vAlign w:val="center"/>
          </w:tcPr>
          <w:p>
            <w:r/>
            <w:r>
              <w:rPr>
                <w:b w:val="0"/>
                <w:sz w:val="12"/>
              </w:rPr>
              <w:t>P</w:t>
            </w:r>
          </w:p>
        </w:tc>
        <w:tc>
          <w:tcPr>
            <w:tcW w:type="dxa" w:w="2078"/>
            <w:vAlign w:val="center"/>
          </w:tcPr>
          <w:p>
            <w:r/>
            <w:r>
              <w:rPr>
                <w:b w:val="0"/>
                <w:sz w:val="12"/>
              </w:rPr>
              <w:t>Medium</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MEASURE 1.3</w:t>
            </w:r>
          </w:p>
        </w:tc>
        <w:tc>
          <w:tcPr>
            <w:tcW w:type="dxa" w:w="2078"/>
            <w:vAlign w:val="center"/>
            <w:shd w:fill="F5F7F9"/>
          </w:tcPr>
          <w:p>
            <w:r/>
            <w:r>
              <w:rPr>
                <w:b w:val="0"/>
                <w:sz w:val="12"/>
              </w:rPr>
              <w:t>Internal experts who did not serve as front-line developers for the system and/or independent assessors are in- volved in regular assessments and updates. Domain experts, users, AI actors external to the team that developed or deployed the AI system, and affected communities are consulted in support of assessments as necessary per organizational risk tolerance. MEASURE 2: AI systems are evaluated for trustworthy characteristics.</w:t>
            </w:r>
          </w:p>
        </w:tc>
        <w:tc>
          <w:tcPr>
            <w:tcW w:type="dxa" w:w="2078"/>
            <w:vAlign w:val="center"/>
            <w:shd w:fill="F5F7F9"/>
          </w:tcPr>
          <w:p>
            <w:r/>
            <w:r>
              <w:rPr>
                <w:b w:val="0"/>
                <w:sz w:val="12"/>
              </w:rPr>
              <w:t>D3-CTL-02</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MEASURE 2.1</w:t>
            </w:r>
          </w:p>
        </w:tc>
        <w:tc>
          <w:tcPr>
            <w:tcW w:type="dxa" w:w="2078"/>
            <w:vAlign w:val="center"/>
          </w:tcPr>
          <w:p>
            <w:r/>
            <w:r>
              <w:rPr>
                <w:b w:val="0"/>
                <w:sz w:val="12"/>
              </w:rPr>
              <w:t>Test sets, metrics, and details about the tools used during TEVV are documented.</w:t>
            </w:r>
          </w:p>
        </w:tc>
        <w:tc>
          <w:tcPr>
            <w:tcW w:type="dxa" w:w="2078"/>
            <w:vAlign w:val="center"/>
          </w:tcPr>
          <w:p>
            <w:r/>
            <w:r>
              <w:rPr>
                <w:b w:val="0"/>
                <w:sz w:val="12"/>
              </w:rPr>
              <w:t>D1-CTL-04, D1-CTL-06, D1-CTL-08, D2-CTL-06</w:t>
            </w:r>
          </w:p>
        </w:tc>
        <w:tc>
          <w:tcPr>
            <w:tcW w:type="dxa" w:w="2078"/>
            <w:vAlign w:val="center"/>
          </w:tcPr>
          <w:p>
            <w:r/>
            <w:r>
              <w:rPr>
                <w:b w:val="0"/>
                <w:sz w:val="12"/>
              </w:rPr>
              <w:t>Partially Addressed</w:t>
            </w:r>
          </w:p>
        </w:tc>
        <w:tc>
          <w:tcPr>
            <w:tcW w:type="dxa" w:w="2078"/>
            <w:vAlign w:val="center"/>
          </w:tcPr>
          <w:p>
            <w:r/>
            <w:r>
              <w:rPr>
                <w:b w:val="0"/>
                <w:sz w:val="12"/>
              </w:rPr>
              <w:t>P</w:t>
            </w:r>
          </w:p>
        </w:tc>
        <w:tc>
          <w:tcPr>
            <w:tcW w:type="dxa" w:w="2078"/>
            <w:vAlign w:val="center"/>
          </w:tcPr>
          <w:p>
            <w:r/>
            <w:r>
              <w:rPr>
                <w:b w:val="0"/>
                <w:sz w:val="12"/>
              </w:rPr>
              <w:t>Medium</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MEASURE 2.2</w:t>
            </w:r>
          </w:p>
        </w:tc>
        <w:tc>
          <w:tcPr>
            <w:tcW w:type="dxa" w:w="2078"/>
            <w:vAlign w:val="center"/>
            <w:shd w:fill="F5F7F9"/>
          </w:tcPr>
          <w:p>
            <w:r/>
            <w:r>
              <w:rPr>
                <w:b w:val="0"/>
                <w:sz w:val="12"/>
              </w:rPr>
              <w:t>Evaluations involving human subjects meet ap- plicable requirements (including human subject protection) and are representative of the relevant population.</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2.3</w:t>
            </w:r>
          </w:p>
        </w:tc>
        <w:tc>
          <w:tcPr>
            <w:tcW w:type="dxa" w:w="2078"/>
            <w:vAlign w:val="center"/>
          </w:tcPr>
          <w:p>
            <w:r/>
            <w:r>
              <w:rPr>
                <w:b w:val="0"/>
                <w:sz w:val="12"/>
              </w:rPr>
              <w:t>AI system performance or assurance criteria are measured qualitatively or quantitatively and demonstrated for conditions similar to deployment setting(s). Measures are documented.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2.4</w:t>
            </w:r>
          </w:p>
        </w:tc>
        <w:tc>
          <w:tcPr>
            <w:tcW w:type="dxa" w:w="2078"/>
            <w:vAlign w:val="center"/>
            <w:shd w:fill="F5F7F9"/>
          </w:tcPr>
          <w:p>
            <w:r/>
            <w:r>
              <w:rPr>
                <w:b w:val="0"/>
                <w:sz w:val="12"/>
              </w:rPr>
              <w:t>The functionality and behavior of the AI sys- tem and its components – as identified in the MAP function – are monitored when in production.</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2.5</w:t>
            </w:r>
          </w:p>
        </w:tc>
        <w:tc>
          <w:tcPr>
            <w:tcW w:type="dxa" w:w="2078"/>
            <w:vAlign w:val="center"/>
          </w:tcPr>
          <w:p>
            <w:r/>
            <w:r>
              <w:rPr>
                <w:b w:val="0"/>
                <w:sz w:val="12"/>
              </w:rPr>
              <w:t>The AI system to be deployed is demonstrated to be valid and reliable. Limitations of the generalizability be- yond the conditions under which the technology was developed are documented. Categories Subcategories Continued on next page NIST AI 100-1 AI RMF 1.0 Table 3: Categories and subcategories for the MEASURE function. (Continued)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2.6</w:t>
            </w:r>
          </w:p>
        </w:tc>
        <w:tc>
          <w:tcPr>
            <w:tcW w:type="dxa" w:w="2078"/>
            <w:vAlign w:val="center"/>
            <w:shd w:fill="F5F7F9"/>
          </w:tcPr>
          <w:p>
            <w:r/>
            <w:r>
              <w:rPr>
                <w:b w:val="0"/>
                <w:sz w:val="12"/>
              </w:rPr>
              <w:t>The AI system is evaluated regularly for safety risks – as identified in the MAP function. The AI system to be de- ployed is demonstrated to be safe, its residual negative risk does not exceed the risk tolerance, and it can fail safely, particularly if made to operate beyond its knowledge limits. Safety metrics re- flect system reliability and robustness, real-time monitoring, and response times for AI system failures.</w:t>
            </w:r>
          </w:p>
        </w:tc>
        <w:tc>
          <w:tcPr>
            <w:tcW w:type="dxa" w:w="2078"/>
            <w:vAlign w:val="center"/>
            <w:shd w:fill="F5F7F9"/>
          </w:tcPr>
          <w:p>
            <w:r/>
            <w:r>
              <w:rPr>
                <w:b w:val="0"/>
                <w:sz w:val="12"/>
              </w:rPr>
              <w:t>D1-CTL-02, D1-CTL-05, D1-CTL-08, D1-CTL-09, D2-CTL-02, D2-CTL-03</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MEASURE 2.7</w:t>
            </w:r>
          </w:p>
        </w:tc>
        <w:tc>
          <w:tcPr>
            <w:tcW w:type="dxa" w:w="2078"/>
            <w:vAlign w:val="center"/>
          </w:tcPr>
          <w:p>
            <w:r/>
            <w:r>
              <w:rPr>
                <w:b w:val="0"/>
                <w:sz w:val="12"/>
              </w:rPr>
              <w:t>AI system security and resilience – as identified in the MAP function – are evaluated and documented.</w:t>
            </w:r>
          </w:p>
        </w:tc>
        <w:tc>
          <w:tcPr>
            <w:tcW w:type="dxa" w:w="2078"/>
            <w:vAlign w:val="center"/>
          </w:tcPr>
          <w:p>
            <w:r/>
            <w:r>
              <w:rPr>
                <w:b w:val="0"/>
                <w:sz w:val="12"/>
              </w:rPr>
              <w:t>D1-CTL-04, D1-CTL-06, D1-CTL-08, D2-CTL-01, D2-CTL-02, D2-CTL-04</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MEASURE 2.8</w:t>
            </w:r>
          </w:p>
        </w:tc>
        <w:tc>
          <w:tcPr>
            <w:tcW w:type="dxa" w:w="2078"/>
            <w:vAlign w:val="center"/>
            <w:shd w:fill="F5F7F9"/>
          </w:tcPr>
          <w:p>
            <w:r/>
            <w:r>
              <w:rPr>
                <w:b w:val="0"/>
                <w:sz w:val="12"/>
              </w:rPr>
              <w:t>Risks associated with transparency and account- ability – as identified in the MAP function – are examined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2.9</w:t>
            </w:r>
          </w:p>
        </w:tc>
        <w:tc>
          <w:tcPr>
            <w:tcW w:type="dxa" w:w="2078"/>
            <w:vAlign w:val="center"/>
          </w:tcPr>
          <w:p>
            <w:r/>
            <w:r>
              <w:rPr>
                <w:b w:val="0"/>
                <w:sz w:val="12"/>
              </w:rPr>
              <w:t>The AI model is explained, validated, and docu- mented, and AI system output is interpreted within its context – as identified in the MAP function – to inform responsible use and governance.</w:t>
            </w:r>
          </w:p>
        </w:tc>
        <w:tc>
          <w:tcPr>
            <w:tcW w:type="dxa" w:w="2078"/>
            <w:vAlign w:val="center"/>
          </w:tcPr>
          <w:p>
            <w:r/>
            <w:r>
              <w:rPr>
                <w:b w:val="0"/>
                <w:sz w:val="12"/>
              </w:rPr>
              <w:t>D3-CTL-01, D3-CTL-07</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MEASURE 2.10</w:t>
            </w:r>
          </w:p>
        </w:tc>
        <w:tc>
          <w:tcPr>
            <w:tcW w:type="dxa" w:w="2078"/>
            <w:vAlign w:val="center"/>
            <w:shd w:fill="F5F7F9"/>
          </w:tcPr>
          <w:p>
            <w:r/>
            <w:r>
              <w:rPr>
                <w:b w:val="0"/>
                <w:sz w:val="12"/>
              </w:rPr>
              <w:t>Privacy risk of the AI system – as identified in the MAP function – is examined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2.11</w:t>
            </w:r>
          </w:p>
        </w:tc>
        <w:tc>
          <w:tcPr>
            <w:tcW w:type="dxa" w:w="2078"/>
            <w:vAlign w:val="center"/>
          </w:tcPr>
          <w:p>
            <w:r/>
            <w:r>
              <w:rPr>
                <w:b w:val="0"/>
                <w:sz w:val="12"/>
              </w:rPr>
              <w:t>Fairness and bias – as identified in the MAP function – are evaluated and results are documented.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2.12</w:t>
            </w:r>
          </w:p>
        </w:tc>
        <w:tc>
          <w:tcPr>
            <w:tcW w:type="dxa" w:w="2078"/>
            <w:vAlign w:val="center"/>
            <w:shd w:fill="F5F7F9"/>
          </w:tcPr>
          <w:p>
            <w:r/>
            <w:r>
              <w:rPr>
                <w:b w:val="0"/>
                <w:sz w:val="12"/>
              </w:rPr>
              <w:t>Environmental impact and sustainability of AI model training and management activities – as identified in the MAP function – are assessed and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2.13</w:t>
            </w:r>
          </w:p>
        </w:tc>
        <w:tc>
          <w:tcPr>
            <w:tcW w:type="dxa" w:w="2078"/>
            <w:vAlign w:val="center"/>
          </w:tcPr>
          <w:p>
            <w:r/>
            <w:r>
              <w:rPr>
                <w:b w:val="0"/>
                <w:sz w:val="12"/>
              </w:rPr>
              <w:t>Effectiveness of the employed TEVV met- rics and processes in the MEASURE function are evaluated and documented. MEASURE 3: Mechanisms for tracking identified AI risks over time are in place.</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3.1</w:t>
            </w:r>
          </w:p>
        </w:tc>
        <w:tc>
          <w:tcPr>
            <w:tcW w:type="dxa" w:w="2078"/>
            <w:vAlign w:val="center"/>
            <w:shd w:fill="F5F7F9"/>
          </w:tcPr>
          <w:p>
            <w:r/>
            <w:r>
              <w:rPr>
                <w:b w:val="0"/>
                <w:sz w:val="12"/>
              </w:rPr>
              <w:t>Approaches, personnel, and documentation are in place to regularly identify and track existing, unanticipated, and emergent AI risks based on factors such as intended and ac- tual performance in deployed contexts.</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3.2</w:t>
            </w:r>
          </w:p>
        </w:tc>
        <w:tc>
          <w:tcPr>
            <w:tcW w:type="dxa" w:w="2078"/>
            <w:vAlign w:val="center"/>
          </w:tcPr>
          <w:p>
            <w:r/>
            <w:r>
              <w:rPr>
                <w:b w:val="0"/>
                <w:sz w:val="12"/>
              </w:rPr>
              <w:t>Risk tracking approaches are considered for settings where AI risks are difficult to assess using currently available measurement techniques or where metrics are not yet available. Categories Subcategories Continued on next page NIST AI 100-1 AI RMF 1.0 Table 3: Categories and subcategories for the MEASURE function. (Continued)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3.3</w:t>
            </w:r>
          </w:p>
        </w:tc>
        <w:tc>
          <w:tcPr>
            <w:tcW w:type="dxa" w:w="2078"/>
            <w:vAlign w:val="center"/>
            <w:shd w:fill="F5F7F9"/>
          </w:tcPr>
          <w:p>
            <w:r/>
            <w:r>
              <w:rPr>
                <w:b w:val="0"/>
                <w:sz w:val="12"/>
              </w:rPr>
              <w:t>Feedback processes for end users and impacted communities to report problems and appeal system outcomes are established and integrated into AI system evaluation metrics. MEASURE 4: Feedback about efficacy of measurement is gathered and assessed.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4.1</w:t>
            </w:r>
          </w:p>
        </w:tc>
        <w:tc>
          <w:tcPr>
            <w:tcW w:type="dxa" w:w="2078"/>
            <w:vAlign w:val="center"/>
          </w:tcPr>
          <w:p>
            <w:r/>
            <w:r>
              <w:rPr>
                <w:b w:val="0"/>
                <w:sz w:val="12"/>
              </w:rPr>
              <w:t>Measurement approaches for identifying AI risks are connected to deployment context(s) and informed through consultation with domain experts and other end users. Ap- proaches are documented.</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MEASURE 4.2</w:t>
            </w:r>
          </w:p>
        </w:tc>
        <w:tc>
          <w:tcPr>
            <w:tcW w:type="dxa" w:w="2078"/>
            <w:vAlign w:val="center"/>
            <w:shd w:fill="F5F7F9"/>
          </w:tcPr>
          <w:p>
            <w:r/>
            <w:r>
              <w:rPr>
                <w:b w:val="0"/>
                <w:sz w:val="12"/>
              </w:rPr>
              <w:t>Measurement results regarding AI system trust- worthiness in deployment context(s) and across the AI lifecycle are informed by input from domain experts and relevant AI ac- tors to validate whether the system is performing consistently as intended. Results are documented.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MEASURE 4.3</w:t>
            </w:r>
          </w:p>
        </w:tc>
        <w:tc>
          <w:tcPr>
            <w:tcW w:type="dxa" w:w="2078"/>
            <w:vAlign w:val="center"/>
          </w:tcPr>
          <w:p>
            <w:r/>
            <w:r>
              <w:rPr>
                <w:b w:val="0"/>
                <w:sz w:val="12"/>
              </w:rPr>
              <w:t>Measurable performance improvements or de- clines based on consultations with relevant AI actors, in- cluding affected communities, and field data about context- relevant risks and trustworthiness characteristics are identified and documented. Categories Subcategories 5.4 Manage The MANAGE function entails allocating risk resources to mapped and measured risks on a regular basis and as defined by the GOVERN function. Risk treatment comprises plans to respond to, recover from, and communicate about incidents or events.</w:t>
            </w:r>
          </w:p>
        </w:tc>
        <w:tc>
          <w:tcPr>
            <w:tcW w:type="dxa" w:w="2078"/>
            <w:vAlign w:val="center"/>
          </w:tcPr>
          <w:p>
            <w:r/>
            <w:r>
              <w:rPr>
                <w:b w:val="0"/>
                <w:sz w:val="12"/>
              </w:rPr>
              <w:t>D1-CTL-01, D1-CTL-04, D1-CTL-06, D1-CTL-07, D2-CTL-01, D3-CTL-01</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MANAGE 1.1</w:t>
            </w:r>
          </w:p>
        </w:tc>
        <w:tc>
          <w:tcPr>
            <w:tcW w:type="dxa" w:w="2078"/>
            <w:vAlign w:val="center"/>
            <w:shd w:fill="F5F7F9"/>
          </w:tcPr>
          <w:p>
            <w:r/>
            <w:r>
              <w:rPr>
                <w:b w:val="0"/>
                <w:sz w:val="12"/>
              </w:rPr>
              <w:t>A determination is made as to whether the AI system achieves its intended purposes and stated objectives and whether its development or deployment should proceed.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MANAGE 1.2</w:t>
            </w:r>
          </w:p>
        </w:tc>
        <w:tc>
          <w:tcPr>
            <w:tcW w:type="dxa" w:w="2078"/>
            <w:vAlign w:val="center"/>
          </w:tcPr>
          <w:p>
            <w:r/>
            <w:r>
              <w:rPr>
                <w:b w:val="0"/>
                <w:sz w:val="12"/>
              </w:rPr>
              <w:t>Treatment of documented AI risks is prioritized based on impact, likelihood, and available resources or methods.</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MANAGE 1.3</w:t>
            </w:r>
          </w:p>
        </w:tc>
        <w:tc>
          <w:tcPr>
            <w:tcW w:type="dxa" w:w="2078"/>
            <w:vAlign w:val="center"/>
            <w:shd w:fill="F5F7F9"/>
          </w:tcPr>
          <w:p>
            <w:r/>
            <w:r>
              <w:rPr>
                <w:b w:val="0"/>
                <w:sz w:val="12"/>
              </w:rPr>
              <w:t>Responses to the AI risks deemed high priority, as identified by the MAP function, are developed, planned, and doc- umented. Risk response options can include mitigating, transfer- ring, avoiding, or accepting.</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MANAGE 1.4</w:t>
            </w:r>
          </w:p>
        </w:tc>
        <w:tc>
          <w:tcPr>
            <w:tcW w:type="dxa" w:w="2078"/>
            <w:vAlign w:val="center"/>
          </w:tcPr>
          <w:p>
            <w:r/>
            <w:r>
              <w:rPr>
                <w:b w:val="0"/>
                <w:sz w:val="12"/>
              </w:rPr>
              <w:t>Negative residual risks (defined as the sum of all unmitigated risks) to both downstream acquirers of AI systems and end users are documented. MANAGE 2: Strategies to maximize AI benefits and minimize negative impacts are planned, prepared, implemented, documented, and informed by input from relevant AI actors.</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MANAGE 2.1</w:t>
            </w:r>
          </w:p>
        </w:tc>
        <w:tc>
          <w:tcPr>
            <w:tcW w:type="dxa" w:w="2078"/>
            <w:vAlign w:val="center"/>
            <w:shd w:fill="F5F7F9"/>
          </w:tcPr>
          <w:p>
            <w:r/>
            <w:r>
              <w:rPr>
                <w:b w:val="0"/>
                <w:sz w:val="12"/>
              </w:rPr>
              <w:t>Resources required to manage AI risks are taken into account – along with viable non-AI alternative systems, ap- proaches, or methods – to reduce the magnitude or likelihood of potential impacts.</w:t>
            </w:r>
          </w:p>
        </w:tc>
        <w:tc>
          <w:tcPr>
            <w:tcW w:type="dxa" w:w="2078"/>
            <w:vAlign w:val="center"/>
            <w:shd w:fill="F5F7F9"/>
          </w:tcPr>
          <w:p>
            <w:r/>
            <w:r>
              <w:rPr>
                <w:b w:val="0"/>
                <w:sz w:val="12"/>
              </w:rPr>
              <w:t>D8-CTL-02</w:t>
            </w:r>
          </w:p>
        </w:tc>
        <w:tc>
          <w:tcPr>
            <w:tcW w:type="dxa" w:w="2078"/>
            <w:vAlign w:val="center"/>
            <w:shd w:fill="F5F7F9"/>
          </w:tcPr>
          <w:p>
            <w:r/>
            <w:r>
              <w:rPr>
                <w:b w:val="0"/>
                <w:sz w:val="12"/>
              </w:rPr>
              <w:t>Partially Addressed</w:t>
            </w:r>
          </w:p>
        </w:tc>
        <w:tc>
          <w:tcPr>
            <w:tcW w:type="dxa" w:w="2078"/>
            <w:vAlign w:val="center"/>
            <w:shd w:fill="F5F7F9"/>
          </w:tcPr>
          <w:p>
            <w:r/>
            <w:r>
              <w:rPr>
                <w:b w:val="0"/>
                <w:sz w:val="12"/>
              </w:rPr>
              <w:t>P</w:t>
            </w:r>
          </w:p>
        </w:tc>
        <w:tc>
          <w:tcPr>
            <w:tcW w:type="dxa" w:w="2078"/>
            <w:vAlign w:val="center"/>
            <w:shd w:fill="F5F7F9"/>
          </w:tcPr>
          <w:p>
            <w:r/>
            <w:r>
              <w:rPr>
                <w:b w:val="0"/>
                <w:sz w:val="12"/>
              </w:rPr>
              <w:t>Medium</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MANAGE 2.2</w:t>
            </w:r>
          </w:p>
        </w:tc>
        <w:tc>
          <w:tcPr>
            <w:tcW w:type="dxa" w:w="2078"/>
            <w:vAlign w:val="center"/>
          </w:tcPr>
          <w:p>
            <w:r/>
            <w:r>
              <w:rPr>
                <w:b w:val="0"/>
                <w:sz w:val="12"/>
              </w:rPr>
              <w:t>Mechanisms are in place and applied to sustain the value of deployed AI systems.</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MANAGE 2.3</w:t>
            </w:r>
          </w:p>
        </w:tc>
        <w:tc>
          <w:tcPr>
            <w:tcW w:type="dxa" w:w="2078"/>
            <w:vAlign w:val="center"/>
            <w:shd w:fill="F5F7F9"/>
          </w:tcPr>
          <w:p>
            <w:r/>
            <w:r>
              <w:rPr>
                <w:b w:val="0"/>
                <w:sz w:val="12"/>
              </w:rPr>
              <w:t>Procedures are followed to respond to and recover from a previously unknown risk when it is identified.</w:t>
            </w:r>
          </w:p>
        </w:tc>
        <w:tc>
          <w:tcPr>
            <w:tcW w:type="dxa" w:w="2078"/>
            <w:vAlign w:val="center"/>
            <w:shd w:fill="F5F7F9"/>
          </w:tcPr>
          <w:p>
            <w:r/>
            <w:r>
              <w:rPr>
                <w:b w:val="0"/>
                <w:sz w:val="12"/>
              </w:rPr>
              <w:t>—</w:t>
            </w:r>
          </w:p>
        </w:tc>
        <w:tc>
          <w:tcPr>
            <w:tcW w:type="dxa" w:w="2078"/>
            <w:vAlign w:val="center"/>
            <w:shd w:fill="F5F7F9"/>
          </w:tcPr>
          <w:p>
            <w:r/>
            <w:r>
              <w:rPr>
                <w:b w:val="0"/>
                <w:sz w:val="12"/>
              </w:rPr>
              <w:t>Not Addressed</w:t>
            </w:r>
          </w:p>
        </w:tc>
        <w:tc>
          <w:tcPr>
            <w:tcW w:type="dxa" w:w="2078"/>
            <w:vAlign w:val="center"/>
            <w:shd w:fill="F5F7F9"/>
          </w:tcPr>
          <w:p>
            <w:r/>
            <w:r>
              <w:rPr>
                <w:b w:val="0"/>
                <w:sz w:val="12"/>
              </w:rPr>
              <w:t>N</w:t>
            </w:r>
          </w:p>
        </w:tc>
        <w:tc>
          <w:tcPr>
            <w:tcW w:type="dxa" w:w="2078"/>
            <w:vAlign w:val="center"/>
            <w:shd w:fill="F5F7F9"/>
          </w:tcPr>
          <w:p>
            <w:r/>
            <w:r>
              <w:rPr>
                <w:b w:val="0"/>
                <w:sz w:val="12"/>
              </w:rPr>
              <w:t>Not Rated</w:t>
            </w:r>
          </w:p>
        </w:tc>
        <w:tc>
          <w:tcPr>
            <w:tcW w:type="dxa" w:w="2078"/>
            <w:vAlign w:val="center"/>
            <w:shd w:fill="F5F7F9"/>
          </w:tcPr>
          <w:p>
            <w:r/>
            <w:r>
              <w:rPr>
                <w:b w:val="0"/>
                <w:sz w:val="12"/>
              </w:rPr>
              <w:t>No sufficiently direct GAISSF control mapping was identified in this edition.</w:t>
            </w:r>
          </w:p>
        </w:tc>
      </w:tr>
      <w:tr>
        <w:tc>
          <w:tcPr>
            <w:tcW w:type="dxa" w:w="2078"/>
            <w:vAlign w:val="center"/>
          </w:tcPr>
          <w:p>
            <w:r/>
            <w:r>
              <w:rPr>
                <w:b w:val="0"/>
                <w:sz w:val="12"/>
              </w:rPr>
              <w:t>MANAGE 2.4</w:t>
            </w:r>
          </w:p>
        </w:tc>
        <w:tc>
          <w:tcPr>
            <w:tcW w:type="dxa" w:w="2078"/>
            <w:vAlign w:val="center"/>
          </w:tcPr>
          <w:p>
            <w:r/>
            <w:r>
              <w:rPr>
                <w:b w:val="0"/>
                <w:sz w:val="12"/>
              </w:rPr>
              <w:t>Mechanisms are in place and applied, and respon- sibilities are assigned and understood, to supersede, disengage, or deactivate AI systems that demonstrate performance or outcomes inconsistent with intended use. MANAGE 3: AI risks and benefits from third-party entities are managed.</w:t>
            </w:r>
          </w:p>
        </w:tc>
        <w:tc>
          <w:tcPr>
            <w:tcW w:type="dxa" w:w="2078"/>
            <w:vAlign w:val="center"/>
          </w:tcPr>
          <w:p>
            <w:r/>
            <w:r>
              <w:rPr>
                <w:b w:val="0"/>
                <w:sz w:val="12"/>
              </w:rPr>
              <w:t>D1-CTL-01, D1-CTL-07</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MANAGE 3.1</w:t>
            </w:r>
          </w:p>
        </w:tc>
        <w:tc>
          <w:tcPr>
            <w:tcW w:type="dxa" w:w="2078"/>
            <w:vAlign w:val="center"/>
            <w:shd w:fill="F5F7F9"/>
          </w:tcPr>
          <w:p>
            <w:r/>
            <w:r>
              <w:rPr>
                <w:b w:val="0"/>
                <w:sz w:val="12"/>
              </w:rPr>
              <w:t>AI risks and benefits from third-party resources are regularly monitored, and risk controls are applied and documented.</w:t>
            </w:r>
          </w:p>
        </w:tc>
        <w:tc>
          <w:tcPr>
            <w:tcW w:type="dxa" w:w="2078"/>
            <w:vAlign w:val="center"/>
            <w:shd w:fill="F5F7F9"/>
          </w:tcPr>
          <w:p>
            <w:r/>
            <w:r>
              <w:rPr>
                <w:b w:val="0"/>
                <w:sz w:val="12"/>
              </w:rPr>
              <w:t>D1-CTL-07, D4-CTL-04</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MANAGE 3.2</w:t>
            </w:r>
          </w:p>
        </w:tc>
        <w:tc>
          <w:tcPr>
            <w:tcW w:type="dxa" w:w="2078"/>
            <w:vAlign w:val="center"/>
          </w:tcPr>
          <w:p>
            <w:r/>
            <w:r>
              <w:rPr>
                <w:b w:val="0"/>
                <w:sz w:val="12"/>
              </w:rPr>
              <w:t>Pre-trained models which are used for develop- ment are monitored as part of AI system regular monitoring and maintenance. Categories Subcategories Continued on next page NIST AI 100-1 AI RMF 1.0 Table 4: Categories and subcategories for the MANAGE function. (Continued) MANAGE 4: Risk treatments, including response and recovery, and communication plans for the identified and measured AI risks are documented and monitored regularly.</w:t>
            </w:r>
          </w:p>
        </w:tc>
        <w:tc>
          <w:tcPr>
            <w:tcW w:type="dxa" w:w="2078"/>
            <w:vAlign w:val="center"/>
          </w:tcPr>
          <w:p>
            <w:r/>
            <w:r>
              <w:rPr>
                <w:b w:val="0"/>
                <w:sz w:val="12"/>
              </w:rPr>
              <w:t>D1-CTL-02, D1-CTL-03, D8-CTL-04, D9-CTL-04, D9-CTL-05</w:t>
            </w:r>
          </w:p>
        </w:tc>
        <w:tc>
          <w:tcPr>
            <w:tcW w:type="dxa" w:w="2078"/>
            <w:vAlign w:val="center"/>
          </w:tcPr>
          <w:p>
            <w:r/>
            <w:r>
              <w:rPr>
                <w:b w:val="0"/>
                <w:sz w:val="12"/>
              </w:rPr>
              <w:t>Substantially Addressed</w:t>
            </w:r>
          </w:p>
        </w:tc>
        <w:tc>
          <w:tcPr>
            <w:tcW w:type="dxa" w:w="2078"/>
            <w:vAlign w:val="center"/>
          </w:tcPr>
          <w:p>
            <w:r/>
            <w:r>
              <w:rPr>
                <w:b w:val="0"/>
                <w:sz w:val="12"/>
              </w:rPr>
              <w:t>SP</w:t>
            </w:r>
          </w:p>
        </w:tc>
        <w:tc>
          <w:tcPr>
            <w:tcW w:type="dxa" w:w="2078"/>
            <w:vAlign w:val="center"/>
          </w:tcPr>
          <w:p>
            <w:r/>
            <w:r>
              <w:rPr>
                <w:b w:val="0"/>
                <w:sz w:val="12"/>
              </w:rPr>
              <w:t>Medium-High</w:t>
            </w:r>
          </w:p>
        </w:tc>
        <w:tc>
          <w:tcPr>
            <w:tcW w:type="dxa" w:w="2078"/>
            <w:vAlign w:val="center"/>
          </w:tcPr>
          <w:p>
            <w:r/>
            <w:r>
              <w:rPr>
                <w:b w:val="0"/>
                <w:sz w:val="12"/>
              </w:rPr>
              <w:t>NIST requires organization- and context-specific application; additional evidence may be needed for actors, impacts, risk tolerance, and lifecycle context.</w:t>
            </w:r>
          </w:p>
        </w:tc>
      </w:tr>
      <w:tr>
        <w:tc>
          <w:tcPr>
            <w:tcW w:type="dxa" w:w="2078"/>
            <w:vAlign w:val="center"/>
            <w:shd w:fill="F5F7F9"/>
          </w:tcPr>
          <w:p>
            <w:r/>
            <w:r>
              <w:rPr>
                <w:b w:val="0"/>
                <w:sz w:val="12"/>
              </w:rPr>
              <w:t>MANAGE 4.1</w:t>
            </w:r>
          </w:p>
        </w:tc>
        <w:tc>
          <w:tcPr>
            <w:tcW w:type="dxa" w:w="2078"/>
            <w:vAlign w:val="center"/>
            <w:shd w:fill="F5F7F9"/>
          </w:tcPr>
          <w:p>
            <w:r/>
            <w:r>
              <w:rPr>
                <w:b w:val="0"/>
                <w:sz w:val="12"/>
              </w:rPr>
              <w:t>Post-deployment AI system monitoring plans are implemented, including mechanisms for capturing and eval- uating input from users and other relevant AI actors, appeal and override, decommissioning, incident response, recovery, and change management.</w:t>
            </w:r>
          </w:p>
        </w:tc>
        <w:tc>
          <w:tcPr>
            <w:tcW w:type="dxa" w:w="2078"/>
            <w:vAlign w:val="center"/>
            <w:shd w:fill="F5F7F9"/>
          </w:tcPr>
          <w:p>
            <w:r/>
            <w:r>
              <w:rPr>
                <w:b w:val="0"/>
                <w:sz w:val="12"/>
              </w:rPr>
              <w:t>D1-CTL-03, D1-CTL-09, D6-CTL-05, D8-CTL-04, D9-CTL-01, D9-CTL-05</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r>
        <w:tc>
          <w:tcPr>
            <w:tcW w:type="dxa" w:w="2078"/>
            <w:vAlign w:val="center"/>
          </w:tcPr>
          <w:p>
            <w:r/>
            <w:r>
              <w:rPr>
                <w:b w:val="0"/>
                <w:sz w:val="12"/>
              </w:rPr>
              <w:t>MANAGE 4.2</w:t>
            </w:r>
          </w:p>
        </w:tc>
        <w:tc>
          <w:tcPr>
            <w:tcW w:type="dxa" w:w="2078"/>
            <w:vAlign w:val="center"/>
          </w:tcPr>
          <w:p>
            <w:r/>
            <w:r>
              <w:rPr>
                <w:b w:val="0"/>
                <w:sz w:val="12"/>
              </w:rPr>
              <w:t>Measurable activities for continual improvements are integrated into AI system updates and include regular engage- ment with interested parties, including relevant AI actors.</w:t>
            </w:r>
          </w:p>
        </w:tc>
        <w:tc>
          <w:tcPr>
            <w:tcW w:type="dxa" w:w="2078"/>
            <w:vAlign w:val="center"/>
          </w:tcPr>
          <w:p>
            <w:r/>
            <w:r>
              <w:rPr>
                <w:b w:val="0"/>
                <w:sz w:val="12"/>
              </w:rPr>
              <w:t>—</w:t>
            </w:r>
          </w:p>
        </w:tc>
        <w:tc>
          <w:tcPr>
            <w:tcW w:type="dxa" w:w="2078"/>
            <w:vAlign w:val="center"/>
          </w:tcPr>
          <w:p>
            <w:r/>
            <w:r>
              <w:rPr>
                <w:b w:val="0"/>
                <w:sz w:val="12"/>
              </w:rPr>
              <w:t>Not Addressed</w:t>
            </w:r>
          </w:p>
        </w:tc>
        <w:tc>
          <w:tcPr>
            <w:tcW w:type="dxa" w:w="2078"/>
            <w:vAlign w:val="center"/>
          </w:tcPr>
          <w:p>
            <w:r/>
            <w:r>
              <w:rPr>
                <w:b w:val="0"/>
                <w:sz w:val="12"/>
              </w:rPr>
              <w:t>N</w:t>
            </w:r>
          </w:p>
        </w:tc>
        <w:tc>
          <w:tcPr>
            <w:tcW w:type="dxa" w:w="2078"/>
            <w:vAlign w:val="center"/>
          </w:tcPr>
          <w:p>
            <w:r/>
            <w:r>
              <w:rPr>
                <w:b w:val="0"/>
                <w:sz w:val="12"/>
              </w:rPr>
              <w:t>Not Rated</w:t>
            </w:r>
          </w:p>
        </w:tc>
        <w:tc>
          <w:tcPr>
            <w:tcW w:type="dxa" w:w="2078"/>
            <w:vAlign w:val="center"/>
          </w:tcPr>
          <w:p>
            <w:r/>
            <w:r>
              <w:rPr>
                <w:b w:val="0"/>
                <w:sz w:val="12"/>
              </w:rPr>
              <w:t>No sufficiently direct GAISSF control mapping was identified in this edition.</w:t>
            </w:r>
          </w:p>
        </w:tc>
      </w:tr>
      <w:tr>
        <w:tc>
          <w:tcPr>
            <w:tcW w:type="dxa" w:w="2078"/>
            <w:vAlign w:val="center"/>
            <w:shd w:fill="F5F7F9"/>
          </w:tcPr>
          <w:p>
            <w:r/>
            <w:r>
              <w:rPr>
                <w:b w:val="0"/>
                <w:sz w:val="12"/>
              </w:rPr>
              <w:t>MANAGE 4.3</w:t>
            </w:r>
          </w:p>
        </w:tc>
        <w:tc>
          <w:tcPr>
            <w:tcW w:type="dxa" w:w="2078"/>
            <w:vAlign w:val="center"/>
            <w:shd w:fill="F5F7F9"/>
          </w:tcPr>
          <w:p>
            <w:r/>
            <w:r>
              <w:rPr>
                <w:b w:val="0"/>
                <w:sz w:val="12"/>
              </w:rPr>
              <w:t>Incidents and errors are communicated to relevant AI actors, including affected communities. Processes for track- ing, responding to, and recovering from incidents and errors are followed and documented. Categories Subcategories 6. AI RMF Profiles AI RMF use-case profiles are implementations of the AI RMF functions, categories, and subcategories for a specific setting or application based on the requirements, risk tolerance, and resources of the Framework user: for example, an AI RMF hiring profile or an AI RMF fair housing profile.</w:t>
            </w:r>
          </w:p>
        </w:tc>
        <w:tc>
          <w:tcPr>
            <w:tcW w:type="dxa" w:w="2078"/>
            <w:vAlign w:val="center"/>
            <w:shd w:fill="F5F7F9"/>
          </w:tcPr>
          <w:p>
            <w:r/>
            <w:r>
              <w:rPr>
                <w:b w:val="0"/>
                <w:sz w:val="12"/>
              </w:rPr>
              <w:t>D4-CTL-07, D6-CTL-06</w:t>
            </w:r>
          </w:p>
        </w:tc>
        <w:tc>
          <w:tcPr>
            <w:tcW w:type="dxa" w:w="2078"/>
            <w:vAlign w:val="center"/>
            <w:shd w:fill="F5F7F9"/>
          </w:tcPr>
          <w:p>
            <w:r/>
            <w:r>
              <w:rPr>
                <w:b w:val="0"/>
                <w:sz w:val="12"/>
              </w:rPr>
              <w:t>Substantially Addressed</w:t>
            </w:r>
          </w:p>
        </w:tc>
        <w:tc>
          <w:tcPr>
            <w:tcW w:type="dxa" w:w="2078"/>
            <w:vAlign w:val="center"/>
            <w:shd w:fill="F5F7F9"/>
          </w:tcPr>
          <w:p>
            <w:r/>
            <w:r>
              <w:rPr>
                <w:b w:val="0"/>
                <w:sz w:val="12"/>
              </w:rPr>
              <w:t>SP</w:t>
            </w:r>
          </w:p>
        </w:tc>
        <w:tc>
          <w:tcPr>
            <w:tcW w:type="dxa" w:w="2078"/>
            <w:vAlign w:val="center"/>
            <w:shd w:fill="F5F7F9"/>
          </w:tcPr>
          <w:p>
            <w:r/>
            <w:r>
              <w:rPr>
                <w:b w:val="0"/>
                <w:sz w:val="12"/>
              </w:rPr>
              <w:t>Medium-High</w:t>
            </w:r>
          </w:p>
        </w:tc>
        <w:tc>
          <w:tcPr>
            <w:tcW w:type="dxa" w:w="2078"/>
            <w:vAlign w:val="center"/>
            <w:shd w:fill="F5F7F9"/>
          </w:tcPr>
          <w:p>
            <w:r/>
            <w:r>
              <w:rPr>
                <w:b w:val="0"/>
                <w:sz w:val="12"/>
              </w:rPr>
              <w:t>NIST requires organization- and context-specific application; additional evidence may be needed for actors, impacts, risk tolerance, and lifecycle context.</w:t>
            </w:r>
          </w:p>
        </w:tc>
      </w:tr>
    </w:tbl>
    <w:p>
      <w:r>
        <w:br w:type="page"/>
      </w:r>
    </w:p>
    <w:p>
      <w:pPr>
        <w:pStyle w:val="Heading1"/>
      </w:pPr>
      <w:r>
        <w:t>Annex C — NIST AI RMF Core Index</w:t>
      </w:r>
    </w:p>
    <w:tbl>
      <w:tblPr>
        <w:tblStyle w:val="TableGrid"/>
        <w:tblW w:type="auto" w:w="0"/>
        <w:jc w:val="center"/>
        <w:tblLook w:firstColumn="1" w:firstRow="1" w:lastColumn="0" w:lastRow="0" w:noHBand="0" w:noVBand="1" w:val="04A0"/>
      </w:tblPr>
      <w:tblGrid>
        <w:gridCol w:w="4848"/>
        <w:gridCol w:w="4848"/>
        <w:gridCol w:w="4848"/>
      </w:tblGrid>
      <w:tr>
        <w:tc>
          <w:tcPr>
            <w:tcW w:type="dxa" w:w="4848"/>
            <w:shd w:fill="163A5F"/>
            <w:vAlign w:val="center"/>
          </w:tcPr>
          <w:p>
            <w:r/>
            <w:r>
              <w:rPr>
                <w:b/>
                <w:color w:val="FFFFFF"/>
                <w:sz w:val="15"/>
              </w:rPr>
              <w:t>ID</w:t>
            </w:r>
          </w:p>
        </w:tc>
        <w:tc>
          <w:tcPr>
            <w:tcW w:type="dxa" w:w="4848"/>
            <w:shd w:fill="163A5F"/>
            <w:vAlign w:val="center"/>
          </w:tcPr>
          <w:p>
            <w:r/>
            <w:r>
              <w:rPr>
                <w:b/>
                <w:color w:val="FFFFFF"/>
                <w:sz w:val="15"/>
              </w:rPr>
              <w:t>Function</w:t>
            </w:r>
          </w:p>
        </w:tc>
        <w:tc>
          <w:tcPr>
            <w:tcW w:type="dxa" w:w="4848"/>
            <w:shd w:fill="163A5F"/>
            <w:vAlign w:val="center"/>
          </w:tcPr>
          <w:p>
            <w:r/>
            <w:r>
              <w:rPr>
                <w:b/>
                <w:color w:val="FFFFFF"/>
                <w:sz w:val="15"/>
              </w:rPr>
              <w:t>Verified subcategory text</w:t>
            </w:r>
          </w:p>
        </w:tc>
      </w:tr>
      <w:tr>
        <w:tc>
          <w:tcPr>
            <w:tcW w:type="dxa" w:w="4848"/>
            <w:vAlign w:val="center"/>
          </w:tcPr>
          <w:p>
            <w:r/>
            <w:r>
              <w:rPr>
                <w:b w:val="0"/>
                <w:sz w:val="13"/>
              </w:rPr>
              <w:t>GOVERN 1.1</w:t>
            </w:r>
          </w:p>
        </w:tc>
        <w:tc>
          <w:tcPr>
            <w:tcW w:type="dxa" w:w="4848"/>
            <w:vAlign w:val="center"/>
          </w:tcPr>
          <w:p>
            <w:r/>
            <w:r>
              <w:rPr>
                <w:b w:val="0"/>
                <w:sz w:val="13"/>
              </w:rPr>
              <w:t>GOVERN</w:t>
            </w:r>
          </w:p>
        </w:tc>
        <w:tc>
          <w:tcPr>
            <w:tcW w:type="dxa" w:w="4848"/>
            <w:vAlign w:val="center"/>
          </w:tcPr>
          <w:p>
            <w:r/>
            <w:r>
              <w:rPr>
                <w:b w:val="0"/>
                <w:sz w:val="13"/>
              </w:rPr>
              <w:t>Legal and regulatory requirements involving AI are understood, managed, and documented.</w:t>
            </w:r>
          </w:p>
        </w:tc>
      </w:tr>
      <w:tr>
        <w:tc>
          <w:tcPr>
            <w:tcW w:type="dxa" w:w="4848"/>
            <w:vAlign w:val="center"/>
            <w:shd w:fill="F5F7F9"/>
          </w:tcPr>
          <w:p>
            <w:r/>
            <w:r>
              <w:rPr>
                <w:b w:val="0"/>
                <w:sz w:val="13"/>
              </w:rPr>
              <w:t>GOVERN 1.2</w:t>
            </w:r>
          </w:p>
        </w:tc>
        <w:tc>
          <w:tcPr>
            <w:tcW w:type="dxa" w:w="4848"/>
            <w:vAlign w:val="center"/>
            <w:shd w:fill="F5F7F9"/>
          </w:tcPr>
          <w:p>
            <w:r/>
            <w:r>
              <w:rPr>
                <w:b w:val="0"/>
                <w:sz w:val="13"/>
              </w:rPr>
              <w:t>GOVERN</w:t>
            </w:r>
          </w:p>
        </w:tc>
        <w:tc>
          <w:tcPr>
            <w:tcW w:type="dxa" w:w="4848"/>
            <w:vAlign w:val="center"/>
            <w:shd w:fill="F5F7F9"/>
          </w:tcPr>
          <w:p>
            <w:r/>
            <w:r>
              <w:rPr>
                <w:b w:val="0"/>
                <w:sz w:val="13"/>
              </w:rPr>
              <w:t>The characteristics of trustworthy AI are inte- grated into organizational policies, processes, procedures, and practices.</w:t>
            </w:r>
          </w:p>
        </w:tc>
      </w:tr>
      <w:tr>
        <w:tc>
          <w:tcPr>
            <w:tcW w:type="dxa" w:w="4848"/>
            <w:vAlign w:val="center"/>
          </w:tcPr>
          <w:p>
            <w:r/>
            <w:r>
              <w:rPr>
                <w:b w:val="0"/>
                <w:sz w:val="13"/>
              </w:rPr>
              <w:t>GOVERN 1.3</w:t>
            </w:r>
          </w:p>
        </w:tc>
        <w:tc>
          <w:tcPr>
            <w:tcW w:type="dxa" w:w="4848"/>
            <w:vAlign w:val="center"/>
          </w:tcPr>
          <w:p>
            <w:r/>
            <w:r>
              <w:rPr>
                <w:b w:val="0"/>
                <w:sz w:val="13"/>
              </w:rPr>
              <w:t>GOVERN</w:t>
            </w:r>
          </w:p>
        </w:tc>
        <w:tc>
          <w:tcPr>
            <w:tcW w:type="dxa" w:w="4848"/>
            <w:vAlign w:val="center"/>
          </w:tcPr>
          <w:p>
            <w:r/>
            <w:r>
              <w:rPr>
                <w:b w:val="0"/>
                <w:sz w:val="13"/>
              </w:rPr>
              <w:t>Processes, procedures, and practices are in place to determine the needed level of risk management activities based on the organization’s risk tolerance.</w:t>
            </w:r>
          </w:p>
        </w:tc>
      </w:tr>
      <w:tr>
        <w:tc>
          <w:tcPr>
            <w:tcW w:type="dxa" w:w="4848"/>
            <w:vAlign w:val="center"/>
            <w:shd w:fill="F5F7F9"/>
          </w:tcPr>
          <w:p>
            <w:r/>
            <w:r>
              <w:rPr>
                <w:b w:val="0"/>
                <w:sz w:val="13"/>
              </w:rPr>
              <w:t>GOVERN 1.4</w:t>
            </w:r>
          </w:p>
        </w:tc>
        <w:tc>
          <w:tcPr>
            <w:tcW w:type="dxa" w:w="4848"/>
            <w:vAlign w:val="center"/>
            <w:shd w:fill="F5F7F9"/>
          </w:tcPr>
          <w:p>
            <w:r/>
            <w:r>
              <w:rPr>
                <w:b w:val="0"/>
                <w:sz w:val="13"/>
              </w:rPr>
              <w:t>GOVERN</w:t>
            </w:r>
          </w:p>
        </w:tc>
        <w:tc>
          <w:tcPr>
            <w:tcW w:type="dxa" w:w="4848"/>
            <w:vAlign w:val="center"/>
            <w:shd w:fill="F5F7F9"/>
          </w:tcPr>
          <w:p>
            <w:r/>
            <w:r>
              <w:rPr>
                <w:b w:val="0"/>
                <w:sz w:val="13"/>
              </w:rPr>
              <w:t>The risk management process and its outcomes are established through transparent policies, procedures, and other controls based on organizational risk priorities. Categories Subcategories Continued on next page NIST AI 100-1 AI RMF 1.0 Table 1: Categories and subcategories for the GOVERN function. (Continued)</w:t>
            </w:r>
          </w:p>
        </w:tc>
      </w:tr>
      <w:tr>
        <w:tc>
          <w:tcPr>
            <w:tcW w:type="dxa" w:w="4848"/>
            <w:vAlign w:val="center"/>
          </w:tcPr>
          <w:p>
            <w:r/>
            <w:r>
              <w:rPr>
                <w:b w:val="0"/>
                <w:sz w:val="13"/>
              </w:rPr>
              <w:t>GOVERN 1.5</w:t>
            </w:r>
          </w:p>
        </w:tc>
        <w:tc>
          <w:tcPr>
            <w:tcW w:type="dxa" w:w="4848"/>
            <w:vAlign w:val="center"/>
          </w:tcPr>
          <w:p>
            <w:r/>
            <w:r>
              <w:rPr>
                <w:b w:val="0"/>
                <w:sz w:val="13"/>
              </w:rPr>
              <w:t>GOVERN</w:t>
            </w:r>
          </w:p>
        </w:tc>
        <w:tc>
          <w:tcPr>
            <w:tcW w:type="dxa" w:w="4848"/>
            <w:vAlign w:val="center"/>
          </w:tcPr>
          <w:p>
            <w:r/>
            <w:r>
              <w:rPr>
                <w:b w:val="0"/>
                <w:sz w:val="13"/>
              </w:rPr>
              <w:t>Ongoing monitoring and periodic review of the risk management process and its outcomes are planned and or- ganizational roles and responsibilities clearly defined, including determining the frequency of periodic review.</w:t>
            </w:r>
          </w:p>
        </w:tc>
      </w:tr>
      <w:tr>
        <w:tc>
          <w:tcPr>
            <w:tcW w:type="dxa" w:w="4848"/>
            <w:vAlign w:val="center"/>
            <w:shd w:fill="F5F7F9"/>
          </w:tcPr>
          <w:p>
            <w:r/>
            <w:r>
              <w:rPr>
                <w:b w:val="0"/>
                <w:sz w:val="13"/>
              </w:rPr>
              <w:t>GOVERN 1.6</w:t>
            </w:r>
          </w:p>
        </w:tc>
        <w:tc>
          <w:tcPr>
            <w:tcW w:type="dxa" w:w="4848"/>
            <w:vAlign w:val="center"/>
            <w:shd w:fill="F5F7F9"/>
          </w:tcPr>
          <w:p>
            <w:r/>
            <w:r>
              <w:rPr>
                <w:b w:val="0"/>
                <w:sz w:val="13"/>
              </w:rPr>
              <w:t>GOVERN</w:t>
            </w:r>
          </w:p>
        </w:tc>
        <w:tc>
          <w:tcPr>
            <w:tcW w:type="dxa" w:w="4848"/>
            <w:vAlign w:val="center"/>
            <w:shd w:fill="F5F7F9"/>
          </w:tcPr>
          <w:p>
            <w:r/>
            <w:r>
              <w:rPr>
                <w:b w:val="0"/>
                <w:sz w:val="13"/>
              </w:rPr>
              <w:t>Mechanisms are in place to inventory AI systems and are resourced according to organizational risk priorities.</w:t>
            </w:r>
          </w:p>
        </w:tc>
      </w:tr>
      <w:tr>
        <w:tc>
          <w:tcPr>
            <w:tcW w:type="dxa" w:w="4848"/>
            <w:vAlign w:val="center"/>
          </w:tcPr>
          <w:p>
            <w:r/>
            <w:r>
              <w:rPr>
                <w:b w:val="0"/>
                <w:sz w:val="13"/>
              </w:rPr>
              <w:t>GOVERN 1.7</w:t>
            </w:r>
          </w:p>
        </w:tc>
        <w:tc>
          <w:tcPr>
            <w:tcW w:type="dxa" w:w="4848"/>
            <w:vAlign w:val="center"/>
          </w:tcPr>
          <w:p>
            <w:r/>
            <w:r>
              <w:rPr>
                <w:b w:val="0"/>
                <w:sz w:val="13"/>
              </w:rPr>
              <w:t>GOVERN</w:t>
            </w:r>
          </w:p>
        </w:tc>
        <w:tc>
          <w:tcPr>
            <w:tcW w:type="dxa" w:w="4848"/>
            <w:vAlign w:val="center"/>
          </w:tcPr>
          <w:p>
            <w:r/>
            <w:r>
              <w:rPr>
                <w:b w:val="0"/>
                <w:sz w:val="13"/>
              </w:rPr>
              <w:t>Processes and procedures are in place for decom- missioning and phasing out AI systems safely and in a man- ner that does not increase risks or decrease the organization’s trustworthiness. GOVERN 2: Accountability structures are in place so that the appropriate teams and individuals are empowered, responsible, and trained for mapping, measuring, and managing AI risks.</w:t>
            </w:r>
          </w:p>
        </w:tc>
      </w:tr>
      <w:tr>
        <w:tc>
          <w:tcPr>
            <w:tcW w:type="dxa" w:w="4848"/>
            <w:vAlign w:val="center"/>
            <w:shd w:fill="F5F7F9"/>
          </w:tcPr>
          <w:p>
            <w:r/>
            <w:r>
              <w:rPr>
                <w:b w:val="0"/>
                <w:sz w:val="13"/>
              </w:rPr>
              <w:t>GOVERN 2.1</w:t>
            </w:r>
          </w:p>
        </w:tc>
        <w:tc>
          <w:tcPr>
            <w:tcW w:type="dxa" w:w="4848"/>
            <w:vAlign w:val="center"/>
            <w:shd w:fill="F5F7F9"/>
          </w:tcPr>
          <w:p>
            <w:r/>
            <w:r>
              <w:rPr>
                <w:b w:val="0"/>
                <w:sz w:val="13"/>
              </w:rPr>
              <w:t>GOVERN</w:t>
            </w:r>
          </w:p>
        </w:tc>
        <w:tc>
          <w:tcPr>
            <w:tcW w:type="dxa" w:w="4848"/>
            <w:vAlign w:val="center"/>
            <w:shd w:fill="F5F7F9"/>
          </w:tcPr>
          <w:p>
            <w:r/>
            <w:r>
              <w:rPr>
                <w:b w:val="0"/>
                <w:sz w:val="13"/>
              </w:rPr>
              <w:t>Roles and responsibilities and lines of communi- cation related to mapping, measuring, and managing AI risks are documented and are clear to individuals and teams throughout the organization.</w:t>
            </w:r>
          </w:p>
        </w:tc>
      </w:tr>
      <w:tr>
        <w:tc>
          <w:tcPr>
            <w:tcW w:type="dxa" w:w="4848"/>
            <w:vAlign w:val="center"/>
          </w:tcPr>
          <w:p>
            <w:r/>
            <w:r>
              <w:rPr>
                <w:b w:val="0"/>
                <w:sz w:val="13"/>
              </w:rPr>
              <w:t>GOVERN 2.2</w:t>
            </w:r>
          </w:p>
        </w:tc>
        <w:tc>
          <w:tcPr>
            <w:tcW w:type="dxa" w:w="4848"/>
            <w:vAlign w:val="center"/>
          </w:tcPr>
          <w:p>
            <w:r/>
            <w:r>
              <w:rPr>
                <w:b w:val="0"/>
                <w:sz w:val="13"/>
              </w:rPr>
              <w:t>GOVERN</w:t>
            </w:r>
          </w:p>
        </w:tc>
        <w:tc>
          <w:tcPr>
            <w:tcW w:type="dxa" w:w="4848"/>
            <w:vAlign w:val="center"/>
          </w:tcPr>
          <w:p>
            <w:r/>
            <w:r>
              <w:rPr>
                <w:b w:val="0"/>
                <w:sz w:val="13"/>
              </w:rPr>
              <w:t>The organization’s personnel and partners receive AI risk management training to enable them to perform their du- ties and responsibilities consistent with related policies, proce- dures, and agreements.</w:t>
            </w:r>
          </w:p>
        </w:tc>
      </w:tr>
      <w:tr>
        <w:tc>
          <w:tcPr>
            <w:tcW w:type="dxa" w:w="4848"/>
            <w:vAlign w:val="center"/>
            <w:shd w:fill="F5F7F9"/>
          </w:tcPr>
          <w:p>
            <w:r/>
            <w:r>
              <w:rPr>
                <w:b w:val="0"/>
                <w:sz w:val="13"/>
              </w:rPr>
              <w:t>GOVERN 2.3</w:t>
            </w:r>
          </w:p>
        </w:tc>
        <w:tc>
          <w:tcPr>
            <w:tcW w:type="dxa" w:w="4848"/>
            <w:vAlign w:val="center"/>
            <w:shd w:fill="F5F7F9"/>
          </w:tcPr>
          <w:p>
            <w:r/>
            <w:r>
              <w:rPr>
                <w:b w:val="0"/>
                <w:sz w:val="13"/>
              </w:rPr>
              <w:t>GOVERN</w:t>
            </w:r>
          </w:p>
        </w:tc>
        <w:tc>
          <w:tcPr>
            <w:tcW w:type="dxa" w:w="4848"/>
            <w:vAlign w:val="center"/>
            <w:shd w:fill="F5F7F9"/>
          </w:tcPr>
          <w:p>
            <w:r/>
            <w:r>
              <w:rPr>
                <w:b w:val="0"/>
                <w:sz w:val="13"/>
              </w:rPr>
              <w:t>Executive leadership of the organization takes re- sponsibility for decisions about risks associated with AI system development and deployment. GOVERN 3: Workforce diversity, equity, inclusion, and accessibility processes are prioritized in the mapping, measuring, and managing of AI risks throughout the lifecycle.</w:t>
            </w:r>
          </w:p>
        </w:tc>
      </w:tr>
      <w:tr>
        <w:tc>
          <w:tcPr>
            <w:tcW w:type="dxa" w:w="4848"/>
            <w:vAlign w:val="center"/>
          </w:tcPr>
          <w:p>
            <w:r/>
            <w:r>
              <w:rPr>
                <w:b w:val="0"/>
                <w:sz w:val="13"/>
              </w:rPr>
              <w:t>GOVERN 3.1</w:t>
            </w:r>
          </w:p>
        </w:tc>
        <w:tc>
          <w:tcPr>
            <w:tcW w:type="dxa" w:w="4848"/>
            <w:vAlign w:val="center"/>
          </w:tcPr>
          <w:p>
            <w:r/>
            <w:r>
              <w:rPr>
                <w:b w:val="0"/>
                <w:sz w:val="13"/>
              </w:rPr>
              <w:t>GOVERN</w:t>
            </w:r>
          </w:p>
        </w:tc>
        <w:tc>
          <w:tcPr>
            <w:tcW w:type="dxa" w:w="4848"/>
            <w:vAlign w:val="center"/>
          </w:tcPr>
          <w:p>
            <w:r/>
            <w:r>
              <w:rPr>
                <w:b w:val="0"/>
                <w:sz w:val="13"/>
              </w:rPr>
              <w:t>Decision-making related to mapping, measuring, and managing AI risks throughout the lifecycle is informed by a diverse team (e.g., diversity of demographics, disciplines, expe- rience, expertise, and backgrounds).</w:t>
            </w:r>
          </w:p>
        </w:tc>
      </w:tr>
      <w:tr>
        <w:tc>
          <w:tcPr>
            <w:tcW w:type="dxa" w:w="4848"/>
            <w:vAlign w:val="center"/>
            <w:shd w:fill="F5F7F9"/>
          </w:tcPr>
          <w:p>
            <w:r/>
            <w:r>
              <w:rPr>
                <w:b w:val="0"/>
                <w:sz w:val="13"/>
              </w:rPr>
              <w:t>GOVERN 3.2</w:t>
            </w:r>
          </w:p>
        </w:tc>
        <w:tc>
          <w:tcPr>
            <w:tcW w:type="dxa" w:w="4848"/>
            <w:vAlign w:val="center"/>
            <w:shd w:fill="F5F7F9"/>
          </w:tcPr>
          <w:p>
            <w:r/>
            <w:r>
              <w:rPr>
                <w:b w:val="0"/>
                <w:sz w:val="13"/>
              </w:rPr>
              <w:t>GOVERN</w:t>
            </w:r>
          </w:p>
        </w:tc>
        <w:tc>
          <w:tcPr>
            <w:tcW w:type="dxa" w:w="4848"/>
            <w:vAlign w:val="center"/>
            <w:shd w:fill="F5F7F9"/>
          </w:tcPr>
          <w:p>
            <w:r/>
            <w:r>
              <w:rPr>
                <w:b w:val="0"/>
                <w:sz w:val="13"/>
              </w:rPr>
              <w:t>Policies and procedures are in place to define and differentiate roles and responsibilities for human-AI configura- tions and oversight of AI systems. GOVERN 4: Organizational teams are committed to a culture</w:t>
            </w:r>
          </w:p>
        </w:tc>
      </w:tr>
      <w:tr>
        <w:tc>
          <w:tcPr>
            <w:tcW w:type="dxa" w:w="4848"/>
            <w:vAlign w:val="center"/>
          </w:tcPr>
          <w:p>
            <w:r/>
            <w:r>
              <w:rPr>
                <w:b w:val="0"/>
                <w:sz w:val="13"/>
              </w:rPr>
              <w:t>GOVERN 4.1</w:t>
            </w:r>
          </w:p>
        </w:tc>
        <w:tc>
          <w:tcPr>
            <w:tcW w:type="dxa" w:w="4848"/>
            <w:vAlign w:val="center"/>
          </w:tcPr>
          <w:p>
            <w:r/>
            <w:r>
              <w:rPr>
                <w:b w:val="0"/>
                <w:sz w:val="13"/>
              </w:rPr>
              <w:t>GOVERN</w:t>
            </w:r>
          </w:p>
        </w:tc>
        <w:tc>
          <w:tcPr>
            <w:tcW w:type="dxa" w:w="4848"/>
            <w:vAlign w:val="center"/>
          </w:tcPr>
          <w:p>
            <w:r/>
            <w:r>
              <w:rPr>
                <w:b w:val="0"/>
                <w:sz w:val="13"/>
              </w:rPr>
              <w:t>Organizational policies and practices are in place to foster a critical thinking and safety-first mindset in the design, development, deployment, and uses of AI systems to minimize potential negative impacts. Categories Subcategories Continued on next page NIST AI 100-1 AI RMF 1.0 Table 1: Categories and subcategories for the GOVERN function. (Continued) that considers and communicates AI risk.</w:t>
            </w:r>
          </w:p>
        </w:tc>
      </w:tr>
      <w:tr>
        <w:tc>
          <w:tcPr>
            <w:tcW w:type="dxa" w:w="4848"/>
            <w:vAlign w:val="center"/>
            <w:shd w:fill="F5F7F9"/>
          </w:tcPr>
          <w:p>
            <w:r/>
            <w:r>
              <w:rPr>
                <w:b w:val="0"/>
                <w:sz w:val="13"/>
              </w:rPr>
              <w:t>GOVERN 4.2</w:t>
            </w:r>
          </w:p>
        </w:tc>
        <w:tc>
          <w:tcPr>
            <w:tcW w:type="dxa" w:w="4848"/>
            <w:vAlign w:val="center"/>
            <w:shd w:fill="F5F7F9"/>
          </w:tcPr>
          <w:p>
            <w:r/>
            <w:r>
              <w:rPr>
                <w:b w:val="0"/>
                <w:sz w:val="13"/>
              </w:rPr>
              <w:t>GOVERN</w:t>
            </w:r>
          </w:p>
        </w:tc>
        <w:tc>
          <w:tcPr>
            <w:tcW w:type="dxa" w:w="4848"/>
            <w:vAlign w:val="center"/>
            <w:shd w:fill="F5F7F9"/>
          </w:tcPr>
          <w:p>
            <w:r/>
            <w:r>
              <w:rPr>
                <w:b w:val="0"/>
                <w:sz w:val="13"/>
              </w:rPr>
              <w:t>Organizational teams document the risks and po- tential impacts of the AI technology they design, develop, deploy, evaluate, and use, and they communicate about the impacts more broadly.</w:t>
            </w:r>
          </w:p>
        </w:tc>
      </w:tr>
      <w:tr>
        <w:tc>
          <w:tcPr>
            <w:tcW w:type="dxa" w:w="4848"/>
            <w:vAlign w:val="center"/>
          </w:tcPr>
          <w:p>
            <w:r/>
            <w:r>
              <w:rPr>
                <w:b w:val="0"/>
                <w:sz w:val="13"/>
              </w:rPr>
              <w:t>GOVERN 4.3</w:t>
            </w:r>
          </w:p>
        </w:tc>
        <w:tc>
          <w:tcPr>
            <w:tcW w:type="dxa" w:w="4848"/>
            <w:vAlign w:val="center"/>
          </w:tcPr>
          <w:p>
            <w:r/>
            <w:r>
              <w:rPr>
                <w:b w:val="0"/>
                <w:sz w:val="13"/>
              </w:rPr>
              <w:t>GOVERN</w:t>
            </w:r>
          </w:p>
        </w:tc>
        <w:tc>
          <w:tcPr>
            <w:tcW w:type="dxa" w:w="4848"/>
            <w:vAlign w:val="center"/>
          </w:tcPr>
          <w:p>
            <w:r/>
            <w:r>
              <w:rPr>
                <w:b w:val="0"/>
                <w:sz w:val="13"/>
              </w:rPr>
              <w:t>Organizational practices are in place to enable AI testing, identification of incidents, and information sharing. GOVERN 5: Processes are in place for robust engagement with relevant AI actors.</w:t>
            </w:r>
          </w:p>
        </w:tc>
      </w:tr>
      <w:tr>
        <w:tc>
          <w:tcPr>
            <w:tcW w:type="dxa" w:w="4848"/>
            <w:vAlign w:val="center"/>
            <w:shd w:fill="F5F7F9"/>
          </w:tcPr>
          <w:p>
            <w:r/>
            <w:r>
              <w:rPr>
                <w:b w:val="0"/>
                <w:sz w:val="13"/>
              </w:rPr>
              <w:t>GOVERN 5.1</w:t>
            </w:r>
          </w:p>
        </w:tc>
        <w:tc>
          <w:tcPr>
            <w:tcW w:type="dxa" w:w="4848"/>
            <w:vAlign w:val="center"/>
            <w:shd w:fill="F5F7F9"/>
          </w:tcPr>
          <w:p>
            <w:r/>
            <w:r>
              <w:rPr>
                <w:b w:val="0"/>
                <w:sz w:val="13"/>
              </w:rPr>
              <w:t>GOVERN</w:t>
            </w:r>
          </w:p>
        </w:tc>
        <w:tc>
          <w:tcPr>
            <w:tcW w:type="dxa" w:w="4848"/>
            <w:vAlign w:val="center"/>
            <w:shd w:fill="F5F7F9"/>
          </w:tcPr>
          <w:p>
            <w:r/>
            <w:r>
              <w:rPr>
                <w:b w:val="0"/>
                <w:sz w:val="13"/>
              </w:rPr>
              <w:t>Organizational policies and practices are in place to collect, consider, prioritize, and integrate feedback from those external to the team that developed or deployed the AI system regarding the potential individual and societal impacts related to AI risks.</w:t>
            </w:r>
          </w:p>
        </w:tc>
      </w:tr>
      <w:tr>
        <w:tc>
          <w:tcPr>
            <w:tcW w:type="dxa" w:w="4848"/>
            <w:vAlign w:val="center"/>
          </w:tcPr>
          <w:p>
            <w:r/>
            <w:r>
              <w:rPr>
                <w:b w:val="0"/>
                <w:sz w:val="13"/>
              </w:rPr>
              <w:t>GOVERN 5.2</w:t>
            </w:r>
          </w:p>
        </w:tc>
        <w:tc>
          <w:tcPr>
            <w:tcW w:type="dxa" w:w="4848"/>
            <w:vAlign w:val="center"/>
          </w:tcPr>
          <w:p>
            <w:r/>
            <w:r>
              <w:rPr>
                <w:b w:val="0"/>
                <w:sz w:val="13"/>
              </w:rPr>
              <w:t>GOVERN</w:t>
            </w:r>
          </w:p>
        </w:tc>
        <w:tc>
          <w:tcPr>
            <w:tcW w:type="dxa" w:w="4848"/>
            <w:vAlign w:val="center"/>
          </w:tcPr>
          <w:p>
            <w:r/>
            <w:r>
              <w:rPr>
                <w:b w:val="0"/>
                <w:sz w:val="13"/>
              </w:rPr>
              <w:t>Mechanisms are established to enable the team that developed or deployed AI systems to regularly incorporate adjudicated feedback from relevant AI actors into system design and implementation. GOVERN 6: Policies and procedures are in place to address AI risks and benefits arising from third-party software and data and other supply chain issues.</w:t>
            </w:r>
          </w:p>
        </w:tc>
      </w:tr>
      <w:tr>
        <w:tc>
          <w:tcPr>
            <w:tcW w:type="dxa" w:w="4848"/>
            <w:vAlign w:val="center"/>
            <w:shd w:fill="F5F7F9"/>
          </w:tcPr>
          <w:p>
            <w:r/>
            <w:r>
              <w:rPr>
                <w:b w:val="0"/>
                <w:sz w:val="13"/>
              </w:rPr>
              <w:t>GOVERN 6.1</w:t>
            </w:r>
          </w:p>
        </w:tc>
        <w:tc>
          <w:tcPr>
            <w:tcW w:type="dxa" w:w="4848"/>
            <w:vAlign w:val="center"/>
            <w:shd w:fill="F5F7F9"/>
          </w:tcPr>
          <w:p>
            <w:r/>
            <w:r>
              <w:rPr>
                <w:b w:val="0"/>
                <w:sz w:val="13"/>
              </w:rPr>
              <w:t>GOVERN</w:t>
            </w:r>
          </w:p>
        </w:tc>
        <w:tc>
          <w:tcPr>
            <w:tcW w:type="dxa" w:w="4848"/>
            <w:vAlign w:val="center"/>
            <w:shd w:fill="F5F7F9"/>
          </w:tcPr>
          <w:p>
            <w:r/>
            <w:r>
              <w:rPr>
                <w:b w:val="0"/>
                <w:sz w:val="13"/>
              </w:rPr>
              <w:t>Policies and procedures are in place that address AI risks associated with third-party entities, including risks of in- fringement of a third-party’s intellectual property or other rights.</w:t>
            </w:r>
          </w:p>
        </w:tc>
      </w:tr>
      <w:tr>
        <w:tc>
          <w:tcPr>
            <w:tcW w:type="dxa" w:w="4848"/>
            <w:vAlign w:val="center"/>
          </w:tcPr>
          <w:p>
            <w:r/>
            <w:r>
              <w:rPr>
                <w:b w:val="0"/>
                <w:sz w:val="13"/>
              </w:rPr>
              <w:t>GOVERN 6.2</w:t>
            </w:r>
          </w:p>
        </w:tc>
        <w:tc>
          <w:tcPr>
            <w:tcW w:type="dxa" w:w="4848"/>
            <w:vAlign w:val="center"/>
          </w:tcPr>
          <w:p>
            <w:r/>
            <w:r>
              <w:rPr>
                <w:b w:val="0"/>
                <w:sz w:val="13"/>
              </w:rPr>
              <w:t>GOVERN</w:t>
            </w:r>
          </w:p>
        </w:tc>
        <w:tc>
          <w:tcPr>
            <w:tcW w:type="dxa" w:w="4848"/>
            <w:vAlign w:val="center"/>
          </w:tcPr>
          <w:p>
            <w:r/>
            <w:r>
              <w:rPr>
                <w:b w:val="0"/>
                <w:sz w:val="13"/>
              </w:rPr>
              <w:t>Contingency processes are in place to handle failures or incidents in third-party data or AI systems deemed to be high-risk. Categories Subcategories 5.2 Map The MAP function establishes the context to frame risks related to an AI system. The AI lifecycle consists of many interdependent activities involving a diverse set of actors (See Figure 3). In practice, AI actors in charge of one part of the process often do not have full visibility or control over other parts and their associated contexts.</w:t>
            </w:r>
          </w:p>
        </w:tc>
      </w:tr>
      <w:tr>
        <w:tc>
          <w:tcPr>
            <w:tcW w:type="dxa" w:w="4848"/>
            <w:vAlign w:val="center"/>
            <w:shd w:fill="F5F7F9"/>
          </w:tcPr>
          <w:p>
            <w:r/>
            <w:r>
              <w:rPr>
                <w:b w:val="0"/>
                <w:sz w:val="13"/>
              </w:rPr>
              <w:t>MAP 1.1</w:t>
            </w:r>
          </w:p>
        </w:tc>
        <w:tc>
          <w:tcPr>
            <w:tcW w:type="dxa" w:w="4848"/>
            <w:vAlign w:val="center"/>
            <w:shd w:fill="F5F7F9"/>
          </w:tcPr>
          <w:p>
            <w:r/>
            <w:r>
              <w:rPr>
                <w:b w:val="0"/>
                <w:sz w:val="13"/>
              </w:rPr>
              <w:t>MAP</w:t>
            </w:r>
          </w:p>
        </w:tc>
        <w:tc>
          <w:tcPr>
            <w:tcW w:type="dxa" w:w="4848"/>
            <w:vAlign w:val="center"/>
            <w:shd w:fill="F5F7F9"/>
          </w:tcPr>
          <w:p>
            <w:r/>
            <w:r>
              <w:rPr>
                <w:b w:val="0"/>
                <w:sz w:val="13"/>
              </w:rPr>
              <w:t>Intended purposes, potentially beneficial uses, context- specific laws, norms and expectations, and prospective settings in which the AI system will be deployed are understood and docu- mented. Considerations include: the specific set or types of users along with their expectations; potential positive and negative im- pacts of system uses to individuals, communities, organizations, society, and the planet; assumptions and related limitations about AI system purposes, uses, and risks across the development or product AI lifecycle; and related TEVV and system metrics.</w:t>
            </w:r>
          </w:p>
        </w:tc>
      </w:tr>
      <w:tr>
        <w:tc>
          <w:tcPr>
            <w:tcW w:type="dxa" w:w="4848"/>
            <w:vAlign w:val="center"/>
          </w:tcPr>
          <w:p>
            <w:r/>
            <w:r>
              <w:rPr>
                <w:b w:val="0"/>
                <w:sz w:val="13"/>
              </w:rPr>
              <w:t>MAP 1.2</w:t>
            </w:r>
          </w:p>
        </w:tc>
        <w:tc>
          <w:tcPr>
            <w:tcW w:type="dxa" w:w="4848"/>
            <w:vAlign w:val="center"/>
          </w:tcPr>
          <w:p>
            <w:r/>
            <w:r>
              <w:rPr>
                <w:b w:val="0"/>
                <w:sz w:val="13"/>
              </w:rPr>
              <w:t>MAP</w:t>
            </w:r>
          </w:p>
        </w:tc>
        <w:tc>
          <w:tcPr>
            <w:tcW w:type="dxa" w:w="4848"/>
            <w:vAlign w:val="center"/>
          </w:tcPr>
          <w:p>
            <w:r/>
            <w:r>
              <w:rPr>
                <w:b w:val="0"/>
                <w:sz w:val="13"/>
              </w:rPr>
              <w:t>Interdisciplinary AI actors, competencies, skills, and capacities for establishing context reflect demographic diversity and broad domain and user experience expertise, and their par- ticipation is documented. Opportunities for interdisciplinary col- laboration are prioritized.</w:t>
            </w:r>
          </w:p>
        </w:tc>
      </w:tr>
      <w:tr>
        <w:tc>
          <w:tcPr>
            <w:tcW w:type="dxa" w:w="4848"/>
            <w:vAlign w:val="center"/>
            <w:shd w:fill="F5F7F9"/>
          </w:tcPr>
          <w:p>
            <w:r/>
            <w:r>
              <w:rPr>
                <w:b w:val="0"/>
                <w:sz w:val="13"/>
              </w:rPr>
              <w:t>MAP 1.3</w:t>
            </w:r>
          </w:p>
        </w:tc>
        <w:tc>
          <w:tcPr>
            <w:tcW w:type="dxa" w:w="4848"/>
            <w:vAlign w:val="center"/>
            <w:shd w:fill="F5F7F9"/>
          </w:tcPr>
          <w:p>
            <w:r/>
            <w:r>
              <w:rPr>
                <w:b w:val="0"/>
                <w:sz w:val="13"/>
              </w:rPr>
              <w:t>MAP</w:t>
            </w:r>
          </w:p>
        </w:tc>
        <w:tc>
          <w:tcPr>
            <w:tcW w:type="dxa" w:w="4848"/>
            <w:vAlign w:val="center"/>
            <w:shd w:fill="F5F7F9"/>
          </w:tcPr>
          <w:p>
            <w:r/>
            <w:r>
              <w:rPr>
                <w:b w:val="0"/>
                <w:sz w:val="13"/>
              </w:rPr>
              <w:t>The organization’s mission and relevant goals for AI technology are understood and documented.</w:t>
            </w:r>
          </w:p>
        </w:tc>
      </w:tr>
      <w:tr>
        <w:tc>
          <w:tcPr>
            <w:tcW w:type="dxa" w:w="4848"/>
            <w:vAlign w:val="center"/>
          </w:tcPr>
          <w:p>
            <w:r/>
            <w:r>
              <w:rPr>
                <w:b w:val="0"/>
                <w:sz w:val="13"/>
              </w:rPr>
              <w:t>MAP 1.4</w:t>
            </w:r>
          </w:p>
        </w:tc>
        <w:tc>
          <w:tcPr>
            <w:tcW w:type="dxa" w:w="4848"/>
            <w:vAlign w:val="center"/>
          </w:tcPr>
          <w:p>
            <w:r/>
            <w:r>
              <w:rPr>
                <w:b w:val="0"/>
                <w:sz w:val="13"/>
              </w:rPr>
              <w:t>MAP</w:t>
            </w:r>
          </w:p>
        </w:tc>
        <w:tc>
          <w:tcPr>
            <w:tcW w:type="dxa" w:w="4848"/>
            <w:vAlign w:val="center"/>
          </w:tcPr>
          <w:p>
            <w:r/>
            <w:r>
              <w:rPr>
                <w:b w:val="0"/>
                <w:sz w:val="13"/>
              </w:rPr>
              <w:t>The business value or context of business use has been clearly defined or – in the case of assessing existing AI systems – re-evaluated.</w:t>
            </w:r>
          </w:p>
        </w:tc>
      </w:tr>
      <w:tr>
        <w:tc>
          <w:tcPr>
            <w:tcW w:type="dxa" w:w="4848"/>
            <w:vAlign w:val="center"/>
            <w:shd w:fill="F5F7F9"/>
          </w:tcPr>
          <w:p>
            <w:r/>
            <w:r>
              <w:rPr>
                <w:b w:val="0"/>
                <w:sz w:val="13"/>
              </w:rPr>
              <w:t>MAP 1.5</w:t>
            </w:r>
          </w:p>
        </w:tc>
        <w:tc>
          <w:tcPr>
            <w:tcW w:type="dxa" w:w="4848"/>
            <w:vAlign w:val="center"/>
            <w:shd w:fill="F5F7F9"/>
          </w:tcPr>
          <w:p>
            <w:r/>
            <w:r>
              <w:rPr>
                <w:b w:val="0"/>
                <w:sz w:val="13"/>
              </w:rPr>
              <w:t>MAP</w:t>
            </w:r>
          </w:p>
        </w:tc>
        <w:tc>
          <w:tcPr>
            <w:tcW w:type="dxa" w:w="4848"/>
            <w:vAlign w:val="center"/>
            <w:shd w:fill="F5F7F9"/>
          </w:tcPr>
          <w:p>
            <w:r/>
            <w:r>
              <w:rPr>
                <w:b w:val="0"/>
                <w:sz w:val="13"/>
              </w:rPr>
              <w:t>Organizational risk tolerances are determined and documented.</w:t>
            </w:r>
          </w:p>
        </w:tc>
      </w:tr>
      <w:tr>
        <w:tc>
          <w:tcPr>
            <w:tcW w:type="dxa" w:w="4848"/>
            <w:vAlign w:val="center"/>
          </w:tcPr>
          <w:p>
            <w:r/>
            <w:r>
              <w:rPr>
                <w:b w:val="0"/>
                <w:sz w:val="13"/>
              </w:rPr>
              <w:t>MAP 1.6</w:t>
            </w:r>
          </w:p>
        </w:tc>
        <w:tc>
          <w:tcPr>
            <w:tcW w:type="dxa" w:w="4848"/>
            <w:vAlign w:val="center"/>
          </w:tcPr>
          <w:p>
            <w:r/>
            <w:r>
              <w:rPr>
                <w:b w:val="0"/>
                <w:sz w:val="13"/>
              </w:rPr>
              <w:t>MAP</w:t>
            </w:r>
          </w:p>
        </w:tc>
        <w:tc>
          <w:tcPr>
            <w:tcW w:type="dxa" w:w="4848"/>
            <w:vAlign w:val="center"/>
          </w:tcPr>
          <w:p>
            <w:r/>
            <w:r>
              <w:rPr>
                <w:b w:val="0"/>
                <w:sz w:val="13"/>
              </w:rPr>
              <w:t>System requirements (e.g., “the system shall respect the privacy of its users”) are elicited from and understood by rel- evant AI actors. Design decisions take socio-technical implica- tions into account to address AI risks. MAP 2: Categorization of the AI system is performed.</w:t>
            </w:r>
          </w:p>
        </w:tc>
      </w:tr>
      <w:tr>
        <w:tc>
          <w:tcPr>
            <w:tcW w:type="dxa" w:w="4848"/>
            <w:vAlign w:val="center"/>
            <w:shd w:fill="F5F7F9"/>
          </w:tcPr>
          <w:p>
            <w:r/>
            <w:r>
              <w:rPr>
                <w:b w:val="0"/>
                <w:sz w:val="13"/>
              </w:rPr>
              <w:t>MAP 2.1</w:t>
            </w:r>
          </w:p>
        </w:tc>
        <w:tc>
          <w:tcPr>
            <w:tcW w:type="dxa" w:w="4848"/>
            <w:vAlign w:val="center"/>
            <w:shd w:fill="F5F7F9"/>
          </w:tcPr>
          <w:p>
            <w:r/>
            <w:r>
              <w:rPr>
                <w:b w:val="0"/>
                <w:sz w:val="13"/>
              </w:rPr>
              <w:t>MAP</w:t>
            </w:r>
          </w:p>
        </w:tc>
        <w:tc>
          <w:tcPr>
            <w:tcW w:type="dxa" w:w="4848"/>
            <w:vAlign w:val="center"/>
            <w:shd w:fill="F5F7F9"/>
          </w:tcPr>
          <w:p>
            <w:r/>
            <w:r>
              <w:rPr>
                <w:b w:val="0"/>
                <w:sz w:val="13"/>
              </w:rPr>
              <w:t>The specific tasks and methods used to implement the tasks that the AI system will support are defined (e.g., classifiers, generative models, recommenders).</w:t>
            </w:r>
          </w:p>
        </w:tc>
      </w:tr>
      <w:tr>
        <w:tc>
          <w:tcPr>
            <w:tcW w:type="dxa" w:w="4848"/>
            <w:vAlign w:val="center"/>
          </w:tcPr>
          <w:p>
            <w:r/>
            <w:r>
              <w:rPr>
                <w:b w:val="0"/>
                <w:sz w:val="13"/>
              </w:rPr>
              <w:t>MAP 2.2</w:t>
            </w:r>
          </w:p>
        </w:tc>
        <w:tc>
          <w:tcPr>
            <w:tcW w:type="dxa" w:w="4848"/>
            <w:vAlign w:val="center"/>
          </w:tcPr>
          <w:p>
            <w:r/>
            <w:r>
              <w:rPr>
                <w:b w:val="0"/>
                <w:sz w:val="13"/>
              </w:rPr>
              <w:t>MAP</w:t>
            </w:r>
          </w:p>
        </w:tc>
        <w:tc>
          <w:tcPr>
            <w:tcW w:type="dxa" w:w="4848"/>
            <w:vAlign w:val="center"/>
          </w:tcPr>
          <w:p>
            <w:r/>
            <w:r>
              <w:rPr>
                <w:b w:val="0"/>
                <w:sz w:val="13"/>
              </w:rPr>
              <w:t>Information about the AI system’s knowledge limits and how system output may be utilized and overseen by humans is documented. Documentation provides sufficient information to assist relevant AI actors when making decisions and taking subsequent actions. Categories Subcategories Continued on next page NIST AI 100-1 AI RMF 1.0 Table 2: Categories and subcategories for the MAP function. (Continued)</w:t>
            </w:r>
          </w:p>
        </w:tc>
      </w:tr>
      <w:tr>
        <w:tc>
          <w:tcPr>
            <w:tcW w:type="dxa" w:w="4848"/>
            <w:vAlign w:val="center"/>
            <w:shd w:fill="F5F7F9"/>
          </w:tcPr>
          <w:p>
            <w:r/>
            <w:r>
              <w:rPr>
                <w:b w:val="0"/>
                <w:sz w:val="13"/>
              </w:rPr>
              <w:t>MAP 2.3</w:t>
            </w:r>
          </w:p>
        </w:tc>
        <w:tc>
          <w:tcPr>
            <w:tcW w:type="dxa" w:w="4848"/>
            <w:vAlign w:val="center"/>
            <w:shd w:fill="F5F7F9"/>
          </w:tcPr>
          <w:p>
            <w:r/>
            <w:r>
              <w:rPr>
                <w:b w:val="0"/>
                <w:sz w:val="13"/>
              </w:rPr>
              <w:t>MAP</w:t>
            </w:r>
          </w:p>
        </w:tc>
        <w:tc>
          <w:tcPr>
            <w:tcW w:type="dxa" w:w="4848"/>
            <w:vAlign w:val="center"/>
            <w:shd w:fill="F5F7F9"/>
          </w:tcPr>
          <w:p>
            <w:r/>
            <w:r>
              <w:rPr>
                <w:b w:val="0"/>
                <w:sz w:val="13"/>
              </w:rPr>
              <w:t>Scientific integrity and TEVV considerations are iden- tified and documented, including those related to experimental design, data collection and selection (e.g., availability, repre- sentativeness, suitability), system trustworthiness, and construct validation. MAP 3: AI capabilities, targeted usage, goals, and expected benefits and costs compared with appropriate benchmarks are understood.</w:t>
            </w:r>
          </w:p>
        </w:tc>
      </w:tr>
      <w:tr>
        <w:tc>
          <w:tcPr>
            <w:tcW w:type="dxa" w:w="4848"/>
            <w:vAlign w:val="center"/>
          </w:tcPr>
          <w:p>
            <w:r/>
            <w:r>
              <w:rPr>
                <w:b w:val="0"/>
                <w:sz w:val="13"/>
              </w:rPr>
              <w:t>MAP 3.1</w:t>
            </w:r>
          </w:p>
        </w:tc>
        <w:tc>
          <w:tcPr>
            <w:tcW w:type="dxa" w:w="4848"/>
            <w:vAlign w:val="center"/>
          </w:tcPr>
          <w:p>
            <w:r/>
            <w:r>
              <w:rPr>
                <w:b w:val="0"/>
                <w:sz w:val="13"/>
              </w:rPr>
              <w:t>MAP</w:t>
            </w:r>
          </w:p>
        </w:tc>
        <w:tc>
          <w:tcPr>
            <w:tcW w:type="dxa" w:w="4848"/>
            <w:vAlign w:val="center"/>
          </w:tcPr>
          <w:p>
            <w:r/>
            <w:r>
              <w:rPr>
                <w:b w:val="0"/>
                <w:sz w:val="13"/>
              </w:rPr>
              <w:t>Potential benefits of intended AI system functionality and performance are examined and documented.</w:t>
            </w:r>
          </w:p>
        </w:tc>
      </w:tr>
      <w:tr>
        <w:tc>
          <w:tcPr>
            <w:tcW w:type="dxa" w:w="4848"/>
            <w:vAlign w:val="center"/>
            <w:shd w:fill="F5F7F9"/>
          </w:tcPr>
          <w:p>
            <w:r/>
            <w:r>
              <w:rPr>
                <w:b w:val="0"/>
                <w:sz w:val="13"/>
              </w:rPr>
              <w:t>MAP 3.2</w:t>
            </w:r>
          </w:p>
        </w:tc>
        <w:tc>
          <w:tcPr>
            <w:tcW w:type="dxa" w:w="4848"/>
            <w:vAlign w:val="center"/>
            <w:shd w:fill="F5F7F9"/>
          </w:tcPr>
          <w:p>
            <w:r/>
            <w:r>
              <w:rPr>
                <w:b w:val="0"/>
                <w:sz w:val="13"/>
              </w:rPr>
              <w:t>MAP</w:t>
            </w:r>
          </w:p>
        </w:tc>
        <w:tc>
          <w:tcPr>
            <w:tcW w:type="dxa" w:w="4848"/>
            <w:vAlign w:val="center"/>
            <w:shd w:fill="F5F7F9"/>
          </w:tcPr>
          <w:p>
            <w:r/>
            <w:r>
              <w:rPr>
                <w:b w:val="0"/>
                <w:sz w:val="13"/>
              </w:rPr>
              <w:t>Potential costs, including non-monetary costs, which result from expected or realized AI errors or system functionality and trustworthiness – as connected to organizational risk toler- ance – are examined and documented.</w:t>
            </w:r>
          </w:p>
        </w:tc>
      </w:tr>
      <w:tr>
        <w:tc>
          <w:tcPr>
            <w:tcW w:type="dxa" w:w="4848"/>
            <w:vAlign w:val="center"/>
          </w:tcPr>
          <w:p>
            <w:r/>
            <w:r>
              <w:rPr>
                <w:b w:val="0"/>
                <w:sz w:val="13"/>
              </w:rPr>
              <w:t>MAP 3.3</w:t>
            </w:r>
          </w:p>
        </w:tc>
        <w:tc>
          <w:tcPr>
            <w:tcW w:type="dxa" w:w="4848"/>
            <w:vAlign w:val="center"/>
          </w:tcPr>
          <w:p>
            <w:r/>
            <w:r>
              <w:rPr>
                <w:b w:val="0"/>
                <w:sz w:val="13"/>
              </w:rPr>
              <w:t>MAP</w:t>
            </w:r>
          </w:p>
        </w:tc>
        <w:tc>
          <w:tcPr>
            <w:tcW w:type="dxa" w:w="4848"/>
            <w:vAlign w:val="center"/>
          </w:tcPr>
          <w:p>
            <w:r/>
            <w:r>
              <w:rPr>
                <w:b w:val="0"/>
                <w:sz w:val="13"/>
              </w:rPr>
              <w:t>Targeted application scope is specified and docu- mented based on the system’s capability, established context, and AI system categorization.</w:t>
            </w:r>
          </w:p>
        </w:tc>
      </w:tr>
      <w:tr>
        <w:tc>
          <w:tcPr>
            <w:tcW w:type="dxa" w:w="4848"/>
            <w:vAlign w:val="center"/>
            <w:shd w:fill="F5F7F9"/>
          </w:tcPr>
          <w:p>
            <w:r/>
            <w:r>
              <w:rPr>
                <w:b w:val="0"/>
                <w:sz w:val="13"/>
              </w:rPr>
              <w:t>MAP 3.4</w:t>
            </w:r>
          </w:p>
        </w:tc>
        <w:tc>
          <w:tcPr>
            <w:tcW w:type="dxa" w:w="4848"/>
            <w:vAlign w:val="center"/>
            <w:shd w:fill="F5F7F9"/>
          </w:tcPr>
          <w:p>
            <w:r/>
            <w:r>
              <w:rPr>
                <w:b w:val="0"/>
                <w:sz w:val="13"/>
              </w:rPr>
              <w:t>MAP</w:t>
            </w:r>
          </w:p>
        </w:tc>
        <w:tc>
          <w:tcPr>
            <w:tcW w:type="dxa" w:w="4848"/>
            <w:vAlign w:val="center"/>
            <w:shd w:fill="F5F7F9"/>
          </w:tcPr>
          <w:p>
            <w:r/>
            <w:r>
              <w:rPr>
                <w:b w:val="0"/>
                <w:sz w:val="13"/>
              </w:rPr>
              <w:t>Processes for operator and practitioner proficiency with AI system performance and trustworthiness – and relevant technical standards and certifications – are defined, assessed, and documented.</w:t>
            </w:r>
          </w:p>
        </w:tc>
      </w:tr>
      <w:tr>
        <w:tc>
          <w:tcPr>
            <w:tcW w:type="dxa" w:w="4848"/>
            <w:vAlign w:val="center"/>
          </w:tcPr>
          <w:p>
            <w:r/>
            <w:r>
              <w:rPr>
                <w:b w:val="0"/>
                <w:sz w:val="13"/>
              </w:rPr>
              <w:t>MAP 3.5</w:t>
            </w:r>
          </w:p>
        </w:tc>
        <w:tc>
          <w:tcPr>
            <w:tcW w:type="dxa" w:w="4848"/>
            <w:vAlign w:val="center"/>
          </w:tcPr>
          <w:p>
            <w:r/>
            <w:r>
              <w:rPr>
                <w:b w:val="0"/>
                <w:sz w:val="13"/>
              </w:rPr>
              <w:t>MAP</w:t>
            </w:r>
          </w:p>
        </w:tc>
        <w:tc>
          <w:tcPr>
            <w:tcW w:type="dxa" w:w="4848"/>
            <w:vAlign w:val="center"/>
          </w:tcPr>
          <w:p>
            <w:r/>
            <w:r>
              <w:rPr>
                <w:b w:val="0"/>
                <w:sz w:val="13"/>
              </w:rPr>
              <w:t>Processes for human oversight are defined, assessed, and documented in accordance with organizational policies from the GOVERN function. MAP 4: Risks and benefits are mapped for all components of the AI system including third-party software and data.</w:t>
            </w:r>
          </w:p>
        </w:tc>
      </w:tr>
      <w:tr>
        <w:tc>
          <w:tcPr>
            <w:tcW w:type="dxa" w:w="4848"/>
            <w:vAlign w:val="center"/>
            <w:shd w:fill="F5F7F9"/>
          </w:tcPr>
          <w:p>
            <w:r/>
            <w:r>
              <w:rPr>
                <w:b w:val="0"/>
                <w:sz w:val="13"/>
              </w:rPr>
              <w:t>MAP 4.1</w:t>
            </w:r>
          </w:p>
        </w:tc>
        <w:tc>
          <w:tcPr>
            <w:tcW w:type="dxa" w:w="4848"/>
            <w:vAlign w:val="center"/>
            <w:shd w:fill="F5F7F9"/>
          </w:tcPr>
          <w:p>
            <w:r/>
            <w:r>
              <w:rPr>
                <w:b w:val="0"/>
                <w:sz w:val="13"/>
              </w:rPr>
              <w:t>MAP</w:t>
            </w:r>
          </w:p>
        </w:tc>
        <w:tc>
          <w:tcPr>
            <w:tcW w:type="dxa" w:w="4848"/>
            <w:vAlign w:val="center"/>
            <w:shd w:fill="F5F7F9"/>
          </w:tcPr>
          <w:p>
            <w:r/>
            <w:r>
              <w:rPr>
                <w:b w:val="0"/>
                <w:sz w:val="13"/>
              </w:rPr>
              <w:t>Approaches for mapping AI technology and legal risks of its components – including the use of third-party data or soft- ware – are in place, followed, and documented, as are risks of in- fringement of a third party’s intellectual property or other rights.</w:t>
            </w:r>
          </w:p>
        </w:tc>
      </w:tr>
      <w:tr>
        <w:tc>
          <w:tcPr>
            <w:tcW w:type="dxa" w:w="4848"/>
            <w:vAlign w:val="center"/>
          </w:tcPr>
          <w:p>
            <w:r/>
            <w:r>
              <w:rPr>
                <w:b w:val="0"/>
                <w:sz w:val="13"/>
              </w:rPr>
              <w:t>MAP 4.2</w:t>
            </w:r>
          </w:p>
        </w:tc>
        <w:tc>
          <w:tcPr>
            <w:tcW w:type="dxa" w:w="4848"/>
            <w:vAlign w:val="center"/>
          </w:tcPr>
          <w:p>
            <w:r/>
            <w:r>
              <w:rPr>
                <w:b w:val="0"/>
                <w:sz w:val="13"/>
              </w:rPr>
              <w:t>MAP</w:t>
            </w:r>
          </w:p>
        </w:tc>
        <w:tc>
          <w:tcPr>
            <w:tcW w:type="dxa" w:w="4848"/>
            <w:vAlign w:val="center"/>
          </w:tcPr>
          <w:p>
            <w:r/>
            <w:r>
              <w:rPr>
                <w:b w:val="0"/>
                <w:sz w:val="13"/>
              </w:rPr>
              <w:t>Internal risk controls for components of the AI sys- tem, including third-party AI technologies, are identified and documented. MAP 5: Impacts to individuals, groups, communities, organizations, and society are characterized.</w:t>
            </w:r>
          </w:p>
        </w:tc>
      </w:tr>
      <w:tr>
        <w:tc>
          <w:tcPr>
            <w:tcW w:type="dxa" w:w="4848"/>
            <w:vAlign w:val="center"/>
            <w:shd w:fill="F5F7F9"/>
          </w:tcPr>
          <w:p>
            <w:r/>
            <w:r>
              <w:rPr>
                <w:b w:val="0"/>
                <w:sz w:val="13"/>
              </w:rPr>
              <w:t>MAP 5.1</w:t>
            </w:r>
          </w:p>
        </w:tc>
        <w:tc>
          <w:tcPr>
            <w:tcW w:type="dxa" w:w="4848"/>
            <w:vAlign w:val="center"/>
            <w:shd w:fill="F5F7F9"/>
          </w:tcPr>
          <w:p>
            <w:r/>
            <w:r>
              <w:rPr>
                <w:b w:val="0"/>
                <w:sz w:val="13"/>
              </w:rPr>
              <w:t>MAP</w:t>
            </w:r>
          </w:p>
        </w:tc>
        <w:tc>
          <w:tcPr>
            <w:tcW w:type="dxa" w:w="4848"/>
            <w:vAlign w:val="center"/>
            <w:shd w:fill="F5F7F9"/>
          </w:tcPr>
          <w:p>
            <w:r/>
            <w:r>
              <w:rPr>
                <w:b w:val="0"/>
                <w:sz w:val="13"/>
              </w:rPr>
              <w:t>Likelihood and magnitude of each identified impact (both potentially beneficial and harmful) based on expected use, past uses of AI systems in similar contexts, public incident re- ports, feedback from those external to the team that developed or deployed the AI system, or other data are identified and documented. Categories Subcategories Continued on next page NIST AI 100-1 AI RMF 1.0 Table 2: Categories and subcategories for the MAP function. (Continued)</w:t>
            </w:r>
          </w:p>
        </w:tc>
      </w:tr>
      <w:tr>
        <w:tc>
          <w:tcPr>
            <w:tcW w:type="dxa" w:w="4848"/>
            <w:vAlign w:val="center"/>
          </w:tcPr>
          <w:p>
            <w:r/>
            <w:r>
              <w:rPr>
                <w:b w:val="0"/>
                <w:sz w:val="13"/>
              </w:rPr>
              <w:t>MAP 5.2</w:t>
            </w:r>
          </w:p>
        </w:tc>
        <w:tc>
          <w:tcPr>
            <w:tcW w:type="dxa" w:w="4848"/>
            <w:vAlign w:val="center"/>
          </w:tcPr>
          <w:p>
            <w:r/>
            <w:r>
              <w:rPr>
                <w:b w:val="0"/>
                <w:sz w:val="13"/>
              </w:rPr>
              <w:t>MAP</w:t>
            </w:r>
          </w:p>
        </w:tc>
        <w:tc>
          <w:tcPr>
            <w:tcW w:type="dxa" w:w="4848"/>
            <w:vAlign w:val="center"/>
          </w:tcPr>
          <w:p>
            <w:r/>
            <w:r>
              <w:rPr>
                <w:b w:val="0"/>
                <w:sz w:val="13"/>
              </w:rPr>
              <w:t>Practices and personnel for supporting regular en- gagement with relevant AI actors and integrating feedback about positive, negative, and unanticipated impacts are in place and documented. Categories Subcategories 5.3 Measure The MEASURE function employs quantitative, qualitative, or mixed-method tools, tech- niques, and methodologies to analyze, assess, benchmark, and monitor AI risk and related impacts. It uses knowledge relevant to AI risks identified in the MAP function and informs the MANAGE function. AI systems should be tested before their deployment and regu- larly while in operation.</w:t>
            </w:r>
          </w:p>
        </w:tc>
      </w:tr>
      <w:tr>
        <w:tc>
          <w:tcPr>
            <w:tcW w:type="dxa" w:w="4848"/>
            <w:vAlign w:val="center"/>
            <w:shd w:fill="F5F7F9"/>
          </w:tcPr>
          <w:p>
            <w:r/>
            <w:r>
              <w:rPr>
                <w:b w:val="0"/>
                <w:sz w:val="13"/>
              </w:rPr>
              <w:t>MEASURE 1.1</w:t>
            </w:r>
          </w:p>
        </w:tc>
        <w:tc>
          <w:tcPr>
            <w:tcW w:type="dxa" w:w="4848"/>
            <w:vAlign w:val="center"/>
            <w:shd w:fill="F5F7F9"/>
          </w:tcPr>
          <w:p>
            <w:r/>
            <w:r>
              <w:rPr>
                <w:b w:val="0"/>
                <w:sz w:val="13"/>
              </w:rPr>
              <w:t>MEASURE</w:t>
            </w:r>
          </w:p>
        </w:tc>
        <w:tc>
          <w:tcPr>
            <w:tcW w:type="dxa" w:w="4848"/>
            <w:vAlign w:val="center"/>
            <w:shd w:fill="F5F7F9"/>
          </w:tcPr>
          <w:p>
            <w:r/>
            <w:r>
              <w:rPr>
                <w:b w:val="0"/>
                <w:sz w:val="13"/>
              </w:rPr>
              <w:t>Approaches and metrics for measurement of AI risks enumerated during the MAP function are selected for imple- mentation starting with the most significant AI risks. The risks or trustworthiness characteristics that will not – or cannot – be measured are properly documented.</w:t>
            </w:r>
          </w:p>
        </w:tc>
      </w:tr>
      <w:tr>
        <w:tc>
          <w:tcPr>
            <w:tcW w:type="dxa" w:w="4848"/>
            <w:vAlign w:val="center"/>
          </w:tcPr>
          <w:p>
            <w:r/>
            <w:r>
              <w:rPr>
                <w:b w:val="0"/>
                <w:sz w:val="13"/>
              </w:rPr>
              <w:t>MEASURE 1.2</w:t>
            </w:r>
          </w:p>
        </w:tc>
        <w:tc>
          <w:tcPr>
            <w:tcW w:type="dxa" w:w="4848"/>
            <w:vAlign w:val="center"/>
          </w:tcPr>
          <w:p>
            <w:r/>
            <w:r>
              <w:rPr>
                <w:b w:val="0"/>
                <w:sz w:val="13"/>
              </w:rPr>
              <w:t>MEASURE</w:t>
            </w:r>
          </w:p>
        </w:tc>
        <w:tc>
          <w:tcPr>
            <w:tcW w:type="dxa" w:w="4848"/>
            <w:vAlign w:val="center"/>
          </w:tcPr>
          <w:p>
            <w:r/>
            <w:r>
              <w:rPr>
                <w:b w:val="0"/>
                <w:sz w:val="13"/>
              </w:rPr>
              <w:t>Appropriateness of AI metrics and effectiveness of existing controls are regularly assessed and updated, including reports of errors and potential impacts on affected communities.</w:t>
            </w:r>
          </w:p>
        </w:tc>
      </w:tr>
      <w:tr>
        <w:tc>
          <w:tcPr>
            <w:tcW w:type="dxa" w:w="4848"/>
            <w:vAlign w:val="center"/>
            <w:shd w:fill="F5F7F9"/>
          </w:tcPr>
          <w:p>
            <w:r/>
            <w:r>
              <w:rPr>
                <w:b w:val="0"/>
                <w:sz w:val="13"/>
              </w:rPr>
              <w:t>MEASURE 1.3</w:t>
            </w:r>
          </w:p>
        </w:tc>
        <w:tc>
          <w:tcPr>
            <w:tcW w:type="dxa" w:w="4848"/>
            <w:vAlign w:val="center"/>
            <w:shd w:fill="F5F7F9"/>
          </w:tcPr>
          <w:p>
            <w:r/>
            <w:r>
              <w:rPr>
                <w:b w:val="0"/>
                <w:sz w:val="13"/>
              </w:rPr>
              <w:t>MEASURE</w:t>
            </w:r>
          </w:p>
        </w:tc>
        <w:tc>
          <w:tcPr>
            <w:tcW w:type="dxa" w:w="4848"/>
            <w:vAlign w:val="center"/>
            <w:shd w:fill="F5F7F9"/>
          </w:tcPr>
          <w:p>
            <w:r/>
            <w:r>
              <w:rPr>
                <w:b w:val="0"/>
                <w:sz w:val="13"/>
              </w:rPr>
              <w:t>Internal experts who did not serve as front-line developers for the system and/or independent assessors are in- volved in regular assessments and updates. Domain experts, users, AI actors external to the team that developed or deployed the AI system, and affected communities are consulted in support of assessments as necessary per organizational risk tolerance. MEASURE 2: AI systems are evaluated for trustworthy characteristics.</w:t>
            </w:r>
          </w:p>
        </w:tc>
      </w:tr>
      <w:tr>
        <w:tc>
          <w:tcPr>
            <w:tcW w:type="dxa" w:w="4848"/>
            <w:vAlign w:val="center"/>
          </w:tcPr>
          <w:p>
            <w:r/>
            <w:r>
              <w:rPr>
                <w:b w:val="0"/>
                <w:sz w:val="13"/>
              </w:rPr>
              <w:t>MEASURE 2.1</w:t>
            </w:r>
          </w:p>
        </w:tc>
        <w:tc>
          <w:tcPr>
            <w:tcW w:type="dxa" w:w="4848"/>
            <w:vAlign w:val="center"/>
          </w:tcPr>
          <w:p>
            <w:r/>
            <w:r>
              <w:rPr>
                <w:b w:val="0"/>
                <w:sz w:val="13"/>
              </w:rPr>
              <w:t>MEASURE</w:t>
            </w:r>
          </w:p>
        </w:tc>
        <w:tc>
          <w:tcPr>
            <w:tcW w:type="dxa" w:w="4848"/>
            <w:vAlign w:val="center"/>
          </w:tcPr>
          <w:p>
            <w:r/>
            <w:r>
              <w:rPr>
                <w:b w:val="0"/>
                <w:sz w:val="13"/>
              </w:rPr>
              <w:t>Test sets, metrics, and details about the tools used during TEVV are documented.</w:t>
            </w:r>
          </w:p>
        </w:tc>
      </w:tr>
      <w:tr>
        <w:tc>
          <w:tcPr>
            <w:tcW w:type="dxa" w:w="4848"/>
            <w:vAlign w:val="center"/>
            <w:shd w:fill="F5F7F9"/>
          </w:tcPr>
          <w:p>
            <w:r/>
            <w:r>
              <w:rPr>
                <w:b w:val="0"/>
                <w:sz w:val="13"/>
              </w:rPr>
              <w:t>MEASURE 2.2</w:t>
            </w:r>
          </w:p>
        </w:tc>
        <w:tc>
          <w:tcPr>
            <w:tcW w:type="dxa" w:w="4848"/>
            <w:vAlign w:val="center"/>
            <w:shd w:fill="F5F7F9"/>
          </w:tcPr>
          <w:p>
            <w:r/>
            <w:r>
              <w:rPr>
                <w:b w:val="0"/>
                <w:sz w:val="13"/>
              </w:rPr>
              <w:t>MEASURE</w:t>
            </w:r>
          </w:p>
        </w:tc>
        <w:tc>
          <w:tcPr>
            <w:tcW w:type="dxa" w:w="4848"/>
            <w:vAlign w:val="center"/>
            <w:shd w:fill="F5F7F9"/>
          </w:tcPr>
          <w:p>
            <w:r/>
            <w:r>
              <w:rPr>
                <w:b w:val="0"/>
                <w:sz w:val="13"/>
              </w:rPr>
              <w:t>Evaluations involving human subjects meet ap- plicable requirements (including human subject protection) and are representative of the relevant population.</w:t>
            </w:r>
          </w:p>
        </w:tc>
      </w:tr>
      <w:tr>
        <w:tc>
          <w:tcPr>
            <w:tcW w:type="dxa" w:w="4848"/>
            <w:vAlign w:val="center"/>
          </w:tcPr>
          <w:p>
            <w:r/>
            <w:r>
              <w:rPr>
                <w:b w:val="0"/>
                <w:sz w:val="13"/>
              </w:rPr>
              <w:t>MEASURE 2.3</w:t>
            </w:r>
          </w:p>
        </w:tc>
        <w:tc>
          <w:tcPr>
            <w:tcW w:type="dxa" w:w="4848"/>
            <w:vAlign w:val="center"/>
          </w:tcPr>
          <w:p>
            <w:r/>
            <w:r>
              <w:rPr>
                <w:b w:val="0"/>
                <w:sz w:val="13"/>
              </w:rPr>
              <w:t>MEASURE</w:t>
            </w:r>
          </w:p>
        </w:tc>
        <w:tc>
          <w:tcPr>
            <w:tcW w:type="dxa" w:w="4848"/>
            <w:vAlign w:val="center"/>
          </w:tcPr>
          <w:p>
            <w:r/>
            <w:r>
              <w:rPr>
                <w:b w:val="0"/>
                <w:sz w:val="13"/>
              </w:rPr>
              <w:t>AI system performance or assurance criteria are measured qualitatively or quantitatively and demonstrated for conditions similar to deployment setting(s). Measures are documented.</w:t>
            </w:r>
          </w:p>
        </w:tc>
      </w:tr>
      <w:tr>
        <w:tc>
          <w:tcPr>
            <w:tcW w:type="dxa" w:w="4848"/>
            <w:vAlign w:val="center"/>
            <w:shd w:fill="F5F7F9"/>
          </w:tcPr>
          <w:p>
            <w:r/>
            <w:r>
              <w:rPr>
                <w:b w:val="0"/>
                <w:sz w:val="13"/>
              </w:rPr>
              <w:t>MEASURE 2.4</w:t>
            </w:r>
          </w:p>
        </w:tc>
        <w:tc>
          <w:tcPr>
            <w:tcW w:type="dxa" w:w="4848"/>
            <w:vAlign w:val="center"/>
            <w:shd w:fill="F5F7F9"/>
          </w:tcPr>
          <w:p>
            <w:r/>
            <w:r>
              <w:rPr>
                <w:b w:val="0"/>
                <w:sz w:val="13"/>
              </w:rPr>
              <w:t>MEASURE</w:t>
            </w:r>
          </w:p>
        </w:tc>
        <w:tc>
          <w:tcPr>
            <w:tcW w:type="dxa" w:w="4848"/>
            <w:vAlign w:val="center"/>
            <w:shd w:fill="F5F7F9"/>
          </w:tcPr>
          <w:p>
            <w:r/>
            <w:r>
              <w:rPr>
                <w:b w:val="0"/>
                <w:sz w:val="13"/>
              </w:rPr>
              <w:t>The functionality and behavior of the AI sys- tem and its components – as identified in the MAP function – are monitored when in production.</w:t>
            </w:r>
          </w:p>
        </w:tc>
      </w:tr>
      <w:tr>
        <w:tc>
          <w:tcPr>
            <w:tcW w:type="dxa" w:w="4848"/>
            <w:vAlign w:val="center"/>
          </w:tcPr>
          <w:p>
            <w:r/>
            <w:r>
              <w:rPr>
                <w:b w:val="0"/>
                <w:sz w:val="13"/>
              </w:rPr>
              <w:t>MEASURE 2.5</w:t>
            </w:r>
          </w:p>
        </w:tc>
        <w:tc>
          <w:tcPr>
            <w:tcW w:type="dxa" w:w="4848"/>
            <w:vAlign w:val="center"/>
          </w:tcPr>
          <w:p>
            <w:r/>
            <w:r>
              <w:rPr>
                <w:b w:val="0"/>
                <w:sz w:val="13"/>
              </w:rPr>
              <w:t>MEASURE</w:t>
            </w:r>
          </w:p>
        </w:tc>
        <w:tc>
          <w:tcPr>
            <w:tcW w:type="dxa" w:w="4848"/>
            <w:vAlign w:val="center"/>
          </w:tcPr>
          <w:p>
            <w:r/>
            <w:r>
              <w:rPr>
                <w:b w:val="0"/>
                <w:sz w:val="13"/>
              </w:rPr>
              <w:t>The AI system to be deployed is demonstrated to be valid and reliable. Limitations of the generalizability be- yond the conditions under which the technology was developed are documented. Categories Subcategories Continued on next page NIST AI 100-1 AI RMF 1.0 Table 3: Categories and subcategories for the MEASURE function. (Continued)</w:t>
            </w:r>
          </w:p>
        </w:tc>
      </w:tr>
      <w:tr>
        <w:tc>
          <w:tcPr>
            <w:tcW w:type="dxa" w:w="4848"/>
            <w:vAlign w:val="center"/>
            <w:shd w:fill="F5F7F9"/>
          </w:tcPr>
          <w:p>
            <w:r/>
            <w:r>
              <w:rPr>
                <w:b w:val="0"/>
                <w:sz w:val="13"/>
              </w:rPr>
              <w:t>MEASURE 2.6</w:t>
            </w:r>
          </w:p>
        </w:tc>
        <w:tc>
          <w:tcPr>
            <w:tcW w:type="dxa" w:w="4848"/>
            <w:vAlign w:val="center"/>
            <w:shd w:fill="F5F7F9"/>
          </w:tcPr>
          <w:p>
            <w:r/>
            <w:r>
              <w:rPr>
                <w:b w:val="0"/>
                <w:sz w:val="13"/>
              </w:rPr>
              <w:t>MEASURE</w:t>
            </w:r>
          </w:p>
        </w:tc>
        <w:tc>
          <w:tcPr>
            <w:tcW w:type="dxa" w:w="4848"/>
            <w:vAlign w:val="center"/>
            <w:shd w:fill="F5F7F9"/>
          </w:tcPr>
          <w:p>
            <w:r/>
            <w:r>
              <w:rPr>
                <w:b w:val="0"/>
                <w:sz w:val="13"/>
              </w:rPr>
              <w:t>The AI system is evaluated regularly for safety risks – as identified in the MAP function. The AI system to be de- ployed is demonstrated to be safe, its residual negative risk does not exceed the risk tolerance, and it can fail safely, particularly if made to operate beyond its knowledge limits. Safety metrics re- flect system reliability and robustness, real-time monitoring, and response times for AI system failures.</w:t>
            </w:r>
          </w:p>
        </w:tc>
      </w:tr>
      <w:tr>
        <w:tc>
          <w:tcPr>
            <w:tcW w:type="dxa" w:w="4848"/>
            <w:vAlign w:val="center"/>
          </w:tcPr>
          <w:p>
            <w:r/>
            <w:r>
              <w:rPr>
                <w:b w:val="0"/>
                <w:sz w:val="13"/>
              </w:rPr>
              <w:t>MEASURE 2.7</w:t>
            </w:r>
          </w:p>
        </w:tc>
        <w:tc>
          <w:tcPr>
            <w:tcW w:type="dxa" w:w="4848"/>
            <w:vAlign w:val="center"/>
          </w:tcPr>
          <w:p>
            <w:r/>
            <w:r>
              <w:rPr>
                <w:b w:val="0"/>
                <w:sz w:val="13"/>
              </w:rPr>
              <w:t>MEASURE</w:t>
            </w:r>
          </w:p>
        </w:tc>
        <w:tc>
          <w:tcPr>
            <w:tcW w:type="dxa" w:w="4848"/>
            <w:vAlign w:val="center"/>
          </w:tcPr>
          <w:p>
            <w:r/>
            <w:r>
              <w:rPr>
                <w:b w:val="0"/>
                <w:sz w:val="13"/>
              </w:rPr>
              <w:t>AI system security and resilience – as identified in the MAP function – are evaluated and documented.</w:t>
            </w:r>
          </w:p>
        </w:tc>
      </w:tr>
      <w:tr>
        <w:tc>
          <w:tcPr>
            <w:tcW w:type="dxa" w:w="4848"/>
            <w:vAlign w:val="center"/>
            <w:shd w:fill="F5F7F9"/>
          </w:tcPr>
          <w:p>
            <w:r/>
            <w:r>
              <w:rPr>
                <w:b w:val="0"/>
                <w:sz w:val="13"/>
              </w:rPr>
              <w:t>MEASURE 2.8</w:t>
            </w:r>
          </w:p>
        </w:tc>
        <w:tc>
          <w:tcPr>
            <w:tcW w:type="dxa" w:w="4848"/>
            <w:vAlign w:val="center"/>
            <w:shd w:fill="F5F7F9"/>
          </w:tcPr>
          <w:p>
            <w:r/>
            <w:r>
              <w:rPr>
                <w:b w:val="0"/>
                <w:sz w:val="13"/>
              </w:rPr>
              <w:t>MEASURE</w:t>
            </w:r>
          </w:p>
        </w:tc>
        <w:tc>
          <w:tcPr>
            <w:tcW w:type="dxa" w:w="4848"/>
            <w:vAlign w:val="center"/>
            <w:shd w:fill="F5F7F9"/>
          </w:tcPr>
          <w:p>
            <w:r/>
            <w:r>
              <w:rPr>
                <w:b w:val="0"/>
                <w:sz w:val="13"/>
              </w:rPr>
              <w:t>Risks associated with transparency and account- ability – as identified in the MAP function – are examined and documented.</w:t>
            </w:r>
          </w:p>
        </w:tc>
      </w:tr>
      <w:tr>
        <w:tc>
          <w:tcPr>
            <w:tcW w:type="dxa" w:w="4848"/>
            <w:vAlign w:val="center"/>
          </w:tcPr>
          <w:p>
            <w:r/>
            <w:r>
              <w:rPr>
                <w:b w:val="0"/>
                <w:sz w:val="13"/>
              </w:rPr>
              <w:t>MEASURE 2.9</w:t>
            </w:r>
          </w:p>
        </w:tc>
        <w:tc>
          <w:tcPr>
            <w:tcW w:type="dxa" w:w="4848"/>
            <w:vAlign w:val="center"/>
          </w:tcPr>
          <w:p>
            <w:r/>
            <w:r>
              <w:rPr>
                <w:b w:val="0"/>
                <w:sz w:val="13"/>
              </w:rPr>
              <w:t>MEASURE</w:t>
            </w:r>
          </w:p>
        </w:tc>
        <w:tc>
          <w:tcPr>
            <w:tcW w:type="dxa" w:w="4848"/>
            <w:vAlign w:val="center"/>
          </w:tcPr>
          <w:p>
            <w:r/>
            <w:r>
              <w:rPr>
                <w:b w:val="0"/>
                <w:sz w:val="13"/>
              </w:rPr>
              <w:t>The AI model is explained, validated, and docu- mented, and AI system output is interpreted within its context – as identified in the MAP function – to inform responsible use and governance.</w:t>
            </w:r>
          </w:p>
        </w:tc>
      </w:tr>
      <w:tr>
        <w:tc>
          <w:tcPr>
            <w:tcW w:type="dxa" w:w="4848"/>
            <w:vAlign w:val="center"/>
            <w:shd w:fill="F5F7F9"/>
          </w:tcPr>
          <w:p>
            <w:r/>
            <w:r>
              <w:rPr>
                <w:b w:val="0"/>
                <w:sz w:val="13"/>
              </w:rPr>
              <w:t>MEASURE 2.10</w:t>
            </w:r>
          </w:p>
        </w:tc>
        <w:tc>
          <w:tcPr>
            <w:tcW w:type="dxa" w:w="4848"/>
            <w:vAlign w:val="center"/>
            <w:shd w:fill="F5F7F9"/>
          </w:tcPr>
          <w:p>
            <w:r/>
            <w:r>
              <w:rPr>
                <w:b w:val="0"/>
                <w:sz w:val="13"/>
              </w:rPr>
              <w:t>MEASURE</w:t>
            </w:r>
          </w:p>
        </w:tc>
        <w:tc>
          <w:tcPr>
            <w:tcW w:type="dxa" w:w="4848"/>
            <w:vAlign w:val="center"/>
            <w:shd w:fill="F5F7F9"/>
          </w:tcPr>
          <w:p>
            <w:r/>
            <w:r>
              <w:rPr>
                <w:b w:val="0"/>
                <w:sz w:val="13"/>
              </w:rPr>
              <w:t>Privacy risk of the AI system – as identified in the MAP function – is examined and documented.</w:t>
            </w:r>
          </w:p>
        </w:tc>
      </w:tr>
      <w:tr>
        <w:tc>
          <w:tcPr>
            <w:tcW w:type="dxa" w:w="4848"/>
            <w:vAlign w:val="center"/>
          </w:tcPr>
          <w:p>
            <w:r/>
            <w:r>
              <w:rPr>
                <w:b w:val="0"/>
                <w:sz w:val="13"/>
              </w:rPr>
              <w:t>MEASURE 2.11</w:t>
            </w:r>
          </w:p>
        </w:tc>
        <w:tc>
          <w:tcPr>
            <w:tcW w:type="dxa" w:w="4848"/>
            <w:vAlign w:val="center"/>
          </w:tcPr>
          <w:p>
            <w:r/>
            <w:r>
              <w:rPr>
                <w:b w:val="0"/>
                <w:sz w:val="13"/>
              </w:rPr>
              <w:t>MEASURE</w:t>
            </w:r>
          </w:p>
        </w:tc>
        <w:tc>
          <w:tcPr>
            <w:tcW w:type="dxa" w:w="4848"/>
            <w:vAlign w:val="center"/>
          </w:tcPr>
          <w:p>
            <w:r/>
            <w:r>
              <w:rPr>
                <w:b w:val="0"/>
                <w:sz w:val="13"/>
              </w:rPr>
              <w:t>Fairness and bias – as identified in the MAP function – are evaluated and results are documented.</w:t>
            </w:r>
          </w:p>
        </w:tc>
      </w:tr>
      <w:tr>
        <w:tc>
          <w:tcPr>
            <w:tcW w:type="dxa" w:w="4848"/>
            <w:vAlign w:val="center"/>
            <w:shd w:fill="F5F7F9"/>
          </w:tcPr>
          <w:p>
            <w:r/>
            <w:r>
              <w:rPr>
                <w:b w:val="0"/>
                <w:sz w:val="13"/>
              </w:rPr>
              <w:t>MEASURE 2.12</w:t>
            </w:r>
          </w:p>
        </w:tc>
        <w:tc>
          <w:tcPr>
            <w:tcW w:type="dxa" w:w="4848"/>
            <w:vAlign w:val="center"/>
            <w:shd w:fill="F5F7F9"/>
          </w:tcPr>
          <w:p>
            <w:r/>
            <w:r>
              <w:rPr>
                <w:b w:val="0"/>
                <w:sz w:val="13"/>
              </w:rPr>
              <w:t>MEASURE</w:t>
            </w:r>
          </w:p>
        </w:tc>
        <w:tc>
          <w:tcPr>
            <w:tcW w:type="dxa" w:w="4848"/>
            <w:vAlign w:val="center"/>
            <w:shd w:fill="F5F7F9"/>
          </w:tcPr>
          <w:p>
            <w:r/>
            <w:r>
              <w:rPr>
                <w:b w:val="0"/>
                <w:sz w:val="13"/>
              </w:rPr>
              <w:t>Environmental impact and sustainability of AI model training and management activities – as identified in the MAP function – are assessed and documented.</w:t>
            </w:r>
          </w:p>
        </w:tc>
      </w:tr>
      <w:tr>
        <w:tc>
          <w:tcPr>
            <w:tcW w:type="dxa" w:w="4848"/>
            <w:vAlign w:val="center"/>
          </w:tcPr>
          <w:p>
            <w:r/>
            <w:r>
              <w:rPr>
                <w:b w:val="0"/>
                <w:sz w:val="13"/>
              </w:rPr>
              <w:t>MEASURE 2.13</w:t>
            </w:r>
          </w:p>
        </w:tc>
        <w:tc>
          <w:tcPr>
            <w:tcW w:type="dxa" w:w="4848"/>
            <w:vAlign w:val="center"/>
          </w:tcPr>
          <w:p>
            <w:r/>
            <w:r>
              <w:rPr>
                <w:b w:val="0"/>
                <w:sz w:val="13"/>
              </w:rPr>
              <w:t>MEASURE</w:t>
            </w:r>
          </w:p>
        </w:tc>
        <w:tc>
          <w:tcPr>
            <w:tcW w:type="dxa" w:w="4848"/>
            <w:vAlign w:val="center"/>
          </w:tcPr>
          <w:p>
            <w:r/>
            <w:r>
              <w:rPr>
                <w:b w:val="0"/>
                <w:sz w:val="13"/>
              </w:rPr>
              <w:t>Effectiveness of the employed TEVV met- rics and processes in the MEASURE function are evaluated and documented. MEASURE 3: Mechanisms for tracking identified AI risks over time are in place.</w:t>
            </w:r>
          </w:p>
        </w:tc>
      </w:tr>
      <w:tr>
        <w:tc>
          <w:tcPr>
            <w:tcW w:type="dxa" w:w="4848"/>
            <w:vAlign w:val="center"/>
            <w:shd w:fill="F5F7F9"/>
          </w:tcPr>
          <w:p>
            <w:r/>
            <w:r>
              <w:rPr>
                <w:b w:val="0"/>
                <w:sz w:val="13"/>
              </w:rPr>
              <w:t>MEASURE 3.1</w:t>
            </w:r>
          </w:p>
        </w:tc>
        <w:tc>
          <w:tcPr>
            <w:tcW w:type="dxa" w:w="4848"/>
            <w:vAlign w:val="center"/>
            <w:shd w:fill="F5F7F9"/>
          </w:tcPr>
          <w:p>
            <w:r/>
            <w:r>
              <w:rPr>
                <w:b w:val="0"/>
                <w:sz w:val="13"/>
              </w:rPr>
              <w:t>MEASURE</w:t>
            </w:r>
          </w:p>
        </w:tc>
        <w:tc>
          <w:tcPr>
            <w:tcW w:type="dxa" w:w="4848"/>
            <w:vAlign w:val="center"/>
            <w:shd w:fill="F5F7F9"/>
          </w:tcPr>
          <w:p>
            <w:r/>
            <w:r>
              <w:rPr>
                <w:b w:val="0"/>
                <w:sz w:val="13"/>
              </w:rPr>
              <w:t>Approaches, personnel, and documentation are in place to regularly identify and track existing, unanticipated, and emergent AI risks based on factors such as intended and ac- tual performance in deployed contexts.</w:t>
            </w:r>
          </w:p>
        </w:tc>
      </w:tr>
      <w:tr>
        <w:tc>
          <w:tcPr>
            <w:tcW w:type="dxa" w:w="4848"/>
            <w:vAlign w:val="center"/>
          </w:tcPr>
          <w:p>
            <w:r/>
            <w:r>
              <w:rPr>
                <w:b w:val="0"/>
                <w:sz w:val="13"/>
              </w:rPr>
              <w:t>MEASURE 3.2</w:t>
            </w:r>
          </w:p>
        </w:tc>
        <w:tc>
          <w:tcPr>
            <w:tcW w:type="dxa" w:w="4848"/>
            <w:vAlign w:val="center"/>
          </w:tcPr>
          <w:p>
            <w:r/>
            <w:r>
              <w:rPr>
                <w:b w:val="0"/>
                <w:sz w:val="13"/>
              </w:rPr>
              <w:t>MEASURE</w:t>
            </w:r>
          </w:p>
        </w:tc>
        <w:tc>
          <w:tcPr>
            <w:tcW w:type="dxa" w:w="4848"/>
            <w:vAlign w:val="center"/>
          </w:tcPr>
          <w:p>
            <w:r/>
            <w:r>
              <w:rPr>
                <w:b w:val="0"/>
                <w:sz w:val="13"/>
              </w:rPr>
              <w:t>Risk tracking approaches are considered for settings where AI risks are difficult to assess using currently available measurement techniques or where metrics are not yet available. Categories Subcategories Continued on next page NIST AI 100-1 AI RMF 1.0 Table 3: Categories and subcategories for the MEASURE function. (Continued)</w:t>
            </w:r>
          </w:p>
        </w:tc>
      </w:tr>
      <w:tr>
        <w:tc>
          <w:tcPr>
            <w:tcW w:type="dxa" w:w="4848"/>
            <w:vAlign w:val="center"/>
            <w:shd w:fill="F5F7F9"/>
          </w:tcPr>
          <w:p>
            <w:r/>
            <w:r>
              <w:rPr>
                <w:b w:val="0"/>
                <w:sz w:val="13"/>
              </w:rPr>
              <w:t>MEASURE 3.3</w:t>
            </w:r>
          </w:p>
        </w:tc>
        <w:tc>
          <w:tcPr>
            <w:tcW w:type="dxa" w:w="4848"/>
            <w:vAlign w:val="center"/>
            <w:shd w:fill="F5F7F9"/>
          </w:tcPr>
          <w:p>
            <w:r/>
            <w:r>
              <w:rPr>
                <w:b w:val="0"/>
                <w:sz w:val="13"/>
              </w:rPr>
              <w:t>MEASURE</w:t>
            </w:r>
          </w:p>
        </w:tc>
        <w:tc>
          <w:tcPr>
            <w:tcW w:type="dxa" w:w="4848"/>
            <w:vAlign w:val="center"/>
            <w:shd w:fill="F5F7F9"/>
          </w:tcPr>
          <w:p>
            <w:r/>
            <w:r>
              <w:rPr>
                <w:b w:val="0"/>
                <w:sz w:val="13"/>
              </w:rPr>
              <w:t>Feedback processes for end users and impacted communities to report problems and appeal system outcomes are established and integrated into AI system evaluation metrics. MEASURE 4: Feedback about efficacy of measurement is gathered and assessed.</w:t>
            </w:r>
          </w:p>
        </w:tc>
      </w:tr>
      <w:tr>
        <w:tc>
          <w:tcPr>
            <w:tcW w:type="dxa" w:w="4848"/>
            <w:vAlign w:val="center"/>
          </w:tcPr>
          <w:p>
            <w:r/>
            <w:r>
              <w:rPr>
                <w:b w:val="0"/>
                <w:sz w:val="13"/>
              </w:rPr>
              <w:t>MEASURE 4.1</w:t>
            </w:r>
          </w:p>
        </w:tc>
        <w:tc>
          <w:tcPr>
            <w:tcW w:type="dxa" w:w="4848"/>
            <w:vAlign w:val="center"/>
          </w:tcPr>
          <w:p>
            <w:r/>
            <w:r>
              <w:rPr>
                <w:b w:val="0"/>
                <w:sz w:val="13"/>
              </w:rPr>
              <w:t>MEASURE</w:t>
            </w:r>
          </w:p>
        </w:tc>
        <w:tc>
          <w:tcPr>
            <w:tcW w:type="dxa" w:w="4848"/>
            <w:vAlign w:val="center"/>
          </w:tcPr>
          <w:p>
            <w:r/>
            <w:r>
              <w:rPr>
                <w:b w:val="0"/>
                <w:sz w:val="13"/>
              </w:rPr>
              <w:t>Measurement approaches for identifying AI risks are connected to deployment context(s) and informed through consultation with domain experts and other end users. Ap- proaches are documented.</w:t>
            </w:r>
          </w:p>
        </w:tc>
      </w:tr>
      <w:tr>
        <w:tc>
          <w:tcPr>
            <w:tcW w:type="dxa" w:w="4848"/>
            <w:vAlign w:val="center"/>
            <w:shd w:fill="F5F7F9"/>
          </w:tcPr>
          <w:p>
            <w:r/>
            <w:r>
              <w:rPr>
                <w:b w:val="0"/>
                <w:sz w:val="13"/>
              </w:rPr>
              <w:t>MEASURE 4.2</w:t>
            </w:r>
          </w:p>
        </w:tc>
        <w:tc>
          <w:tcPr>
            <w:tcW w:type="dxa" w:w="4848"/>
            <w:vAlign w:val="center"/>
            <w:shd w:fill="F5F7F9"/>
          </w:tcPr>
          <w:p>
            <w:r/>
            <w:r>
              <w:rPr>
                <w:b w:val="0"/>
                <w:sz w:val="13"/>
              </w:rPr>
              <w:t>MEASURE</w:t>
            </w:r>
          </w:p>
        </w:tc>
        <w:tc>
          <w:tcPr>
            <w:tcW w:type="dxa" w:w="4848"/>
            <w:vAlign w:val="center"/>
            <w:shd w:fill="F5F7F9"/>
          </w:tcPr>
          <w:p>
            <w:r/>
            <w:r>
              <w:rPr>
                <w:b w:val="0"/>
                <w:sz w:val="13"/>
              </w:rPr>
              <w:t>Measurement results regarding AI system trust- worthiness in deployment context(s) and across the AI lifecycle are informed by input from domain experts and relevant AI ac- tors to validate whether the system is performing consistently as intended. Results are documented.</w:t>
            </w:r>
          </w:p>
        </w:tc>
      </w:tr>
      <w:tr>
        <w:tc>
          <w:tcPr>
            <w:tcW w:type="dxa" w:w="4848"/>
            <w:vAlign w:val="center"/>
          </w:tcPr>
          <w:p>
            <w:r/>
            <w:r>
              <w:rPr>
                <w:b w:val="0"/>
                <w:sz w:val="13"/>
              </w:rPr>
              <w:t>MEASURE 4.3</w:t>
            </w:r>
          </w:p>
        </w:tc>
        <w:tc>
          <w:tcPr>
            <w:tcW w:type="dxa" w:w="4848"/>
            <w:vAlign w:val="center"/>
          </w:tcPr>
          <w:p>
            <w:r/>
            <w:r>
              <w:rPr>
                <w:b w:val="0"/>
                <w:sz w:val="13"/>
              </w:rPr>
              <w:t>MEASURE</w:t>
            </w:r>
          </w:p>
        </w:tc>
        <w:tc>
          <w:tcPr>
            <w:tcW w:type="dxa" w:w="4848"/>
            <w:vAlign w:val="center"/>
          </w:tcPr>
          <w:p>
            <w:r/>
            <w:r>
              <w:rPr>
                <w:b w:val="0"/>
                <w:sz w:val="13"/>
              </w:rPr>
              <w:t>Measurable performance improvements or de- clines based on consultations with relevant AI actors, in- cluding affected communities, and field data about context- relevant risks and trustworthiness characteristics are identified and documented. Categories Subcategories 5.4 Manage The MANAGE function entails allocating risk resources to mapped and measured risks on a regular basis and as defined by the GOVERN function. Risk treatment comprises plans to respond to, recover from, and communicate about incidents or events.</w:t>
            </w:r>
          </w:p>
        </w:tc>
      </w:tr>
      <w:tr>
        <w:tc>
          <w:tcPr>
            <w:tcW w:type="dxa" w:w="4848"/>
            <w:vAlign w:val="center"/>
            <w:shd w:fill="F5F7F9"/>
          </w:tcPr>
          <w:p>
            <w:r/>
            <w:r>
              <w:rPr>
                <w:b w:val="0"/>
                <w:sz w:val="13"/>
              </w:rPr>
              <w:t>MANAGE 1.1</w:t>
            </w:r>
          </w:p>
        </w:tc>
        <w:tc>
          <w:tcPr>
            <w:tcW w:type="dxa" w:w="4848"/>
            <w:vAlign w:val="center"/>
            <w:shd w:fill="F5F7F9"/>
          </w:tcPr>
          <w:p>
            <w:r/>
            <w:r>
              <w:rPr>
                <w:b w:val="0"/>
                <w:sz w:val="13"/>
              </w:rPr>
              <w:t>MANAGE</w:t>
            </w:r>
          </w:p>
        </w:tc>
        <w:tc>
          <w:tcPr>
            <w:tcW w:type="dxa" w:w="4848"/>
            <w:vAlign w:val="center"/>
            <w:shd w:fill="F5F7F9"/>
          </w:tcPr>
          <w:p>
            <w:r/>
            <w:r>
              <w:rPr>
                <w:b w:val="0"/>
                <w:sz w:val="13"/>
              </w:rPr>
              <w:t>A determination is made as to whether the AI system achieves its intended purposes and stated objectives and whether its development or deployment should proceed.</w:t>
            </w:r>
          </w:p>
        </w:tc>
      </w:tr>
      <w:tr>
        <w:tc>
          <w:tcPr>
            <w:tcW w:type="dxa" w:w="4848"/>
            <w:vAlign w:val="center"/>
          </w:tcPr>
          <w:p>
            <w:r/>
            <w:r>
              <w:rPr>
                <w:b w:val="0"/>
                <w:sz w:val="13"/>
              </w:rPr>
              <w:t>MANAGE 1.2</w:t>
            </w:r>
          </w:p>
        </w:tc>
        <w:tc>
          <w:tcPr>
            <w:tcW w:type="dxa" w:w="4848"/>
            <w:vAlign w:val="center"/>
          </w:tcPr>
          <w:p>
            <w:r/>
            <w:r>
              <w:rPr>
                <w:b w:val="0"/>
                <w:sz w:val="13"/>
              </w:rPr>
              <w:t>MANAGE</w:t>
            </w:r>
          </w:p>
        </w:tc>
        <w:tc>
          <w:tcPr>
            <w:tcW w:type="dxa" w:w="4848"/>
            <w:vAlign w:val="center"/>
          </w:tcPr>
          <w:p>
            <w:r/>
            <w:r>
              <w:rPr>
                <w:b w:val="0"/>
                <w:sz w:val="13"/>
              </w:rPr>
              <w:t>Treatment of documented AI risks is prioritized based on impact, likelihood, and available resources or methods.</w:t>
            </w:r>
          </w:p>
        </w:tc>
      </w:tr>
      <w:tr>
        <w:tc>
          <w:tcPr>
            <w:tcW w:type="dxa" w:w="4848"/>
            <w:vAlign w:val="center"/>
            <w:shd w:fill="F5F7F9"/>
          </w:tcPr>
          <w:p>
            <w:r/>
            <w:r>
              <w:rPr>
                <w:b w:val="0"/>
                <w:sz w:val="13"/>
              </w:rPr>
              <w:t>MANAGE 1.3</w:t>
            </w:r>
          </w:p>
        </w:tc>
        <w:tc>
          <w:tcPr>
            <w:tcW w:type="dxa" w:w="4848"/>
            <w:vAlign w:val="center"/>
            <w:shd w:fill="F5F7F9"/>
          </w:tcPr>
          <w:p>
            <w:r/>
            <w:r>
              <w:rPr>
                <w:b w:val="0"/>
                <w:sz w:val="13"/>
              </w:rPr>
              <w:t>MANAGE</w:t>
            </w:r>
          </w:p>
        </w:tc>
        <w:tc>
          <w:tcPr>
            <w:tcW w:type="dxa" w:w="4848"/>
            <w:vAlign w:val="center"/>
            <w:shd w:fill="F5F7F9"/>
          </w:tcPr>
          <w:p>
            <w:r/>
            <w:r>
              <w:rPr>
                <w:b w:val="0"/>
                <w:sz w:val="13"/>
              </w:rPr>
              <w:t>Responses to the AI risks deemed high priority, as identified by the MAP function, are developed, planned, and doc- umented. Risk response options can include mitigating, transfer- ring, avoiding, or accepting.</w:t>
            </w:r>
          </w:p>
        </w:tc>
      </w:tr>
      <w:tr>
        <w:tc>
          <w:tcPr>
            <w:tcW w:type="dxa" w:w="4848"/>
            <w:vAlign w:val="center"/>
          </w:tcPr>
          <w:p>
            <w:r/>
            <w:r>
              <w:rPr>
                <w:b w:val="0"/>
                <w:sz w:val="13"/>
              </w:rPr>
              <w:t>MANAGE 1.4</w:t>
            </w:r>
          </w:p>
        </w:tc>
        <w:tc>
          <w:tcPr>
            <w:tcW w:type="dxa" w:w="4848"/>
            <w:vAlign w:val="center"/>
          </w:tcPr>
          <w:p>
            <w:r/>
            <w:r>
              <w:rPr>
                <w:b w:val="0"/>
                <w:sz w:val="13"/>
              </w:rPr>
              <w:t>MANAGE</w:t>
            </w:r>
          </w:p>
        </w:tc>
        <w:tc>
          <w:tcPr>
            <w:tcW w:type="dxa" w:w="4848"/>
            <w:vAlign w:val="center"/>
          </w:tcPr>
          <w:p>
            <w:r/>
            <w:r>
              <w:rPr>
                <w:b w:val="0"/>
                <w:sz w:val="13"/>
              </w:rPr>
              <w:t>Negative residual risks (defined as the sum of all unmitigated risks) to both downstream acquirers of AI systems and end users are documented. MANAGE 2: Strategies to maximize AI benefits and minimize negative impacts are planned, prepared, implemented, documented, and informed by input from relevant AI actors.</w:t>
            </w:r>
          </w:p>
        </w:tc>
      </w:tr>
      <w:tr>
        <w:tc>
          <w:tcPr>
            <w:tcW w:type="dxa" w:w="4848"/>
            <w:vAlign w:val="center"/>
            <w:shd w:fill="F5F7F9"/>
          </w:tcPr>
          <w:p>
            <w:r/>
            <w:r>
              <w:rPr>
                <w:b w:val="0"/>
                <w:sz w:val="13"/>
              </w:rPr>
              <w:t>MANAGE 2.1</w:t>
            </w:r>
          </w:p>
        </w:tc>
        <w:tc>
          <w:tcPr>
            <w:tcW w:type="dxa" w:w="4848"/>
            <w:vAlign w:val="center"/>
            <w:shd w:fill="F5F7F9"/>
          </w:tcPr>
          <w:p>
            <w:r/>
            <w:r>
              <w:rPr>
                <w:b w:val="0"/>
                <w:sz w:val="13"/>
              </w:rPr>
              <w:t>MANAGE</w:t>
            </w:r>
          </w:p>
        </w:tc>
        <w:tc>
          <w:tcPr>
            <w:tcW w:type="dxa" w:w="4848"/>
            <w:vAlign w:val="center"/>
            <w:shd w:fill="F5F7F9"/>
          </w:tcPr>
          <w:p>
            <w:r/>
            <w:r>
              <w:rPr>
                <w:b w:val="0"/>
                <w:sz w:val="13"/>
              </w:rPr>
              <w:t>Resources required to manage AI risks are taken into account – along with viable non-AI alternative systems, ap- proaches, or methods – to reduce the magnitude or likelihood of potential impacts.</w:t>
            </w:r>
          </w:p>
        </w:tc>
      </w:tr>
      <w:tr>
        <w:tc>
          <w:tcPr>
            <w:tcW w:type="dxa" w:w="4848"/>
            <w:vAlign w:val="center"/>
          </w:tcPr>
          <w:p>
            <w:r/>
            <w:r>
              <w:rPr>
                <w:b w:val="0"/>
                <w:sz w:val="13"/>
              </w:rPr>
              <w:t>MANAGE 2.2</w:t>
            </w:r>
          </w:p>
        </w:tc>
        <w:tc>
          <w:tcPr>
            <w:tcW w:type="dxa" w:w="4848"/>
            <w:vAlign w:val="center"/>
          </w:tcPr>
          <w:p>
            <w:r/>
            <w:r>
              <w:rPr>
                <w:b w:val="0"/>
                <w:sz w:val="13"/>
              </w:rPr>
              <w:t>MANAGE</w:t>
            </w:r>
          </w:p>
        </w:tc>
        <w:tc>
          <w:tcPr>
            <w:tcW w:type="dxa" w:w="4848"/>
            <w:vAlign w:val="center"/>
          </w:tcPr>
          <w:p>
            <w:r/>
            <w:r>
              <w:rPr>
                <w:b w:val="0"/>
                <w:sz w:val="13"/>
              </w:rPr>
              <w:t>Mechanisms are in place and applied to sustain the value of deployed AI systems.</w:t>
            </w:r>
          </w:p>
        </w:tc>
      </w:tr>
      <w:tr>
        <w:tc>
          <w:tcPr>
            <w:tcW w:type="dxa" w:w="4848"/>
            <w:vAlign w:val="center"/>
            <w:shd w:fill="F5F7F9"/>
          </w:tcPr>
          <w:p>
            <w:r/>
            <w:r>
              <w:rPr>
                <w:b w:val="0"/>
                <w:sz w:val="13"/>
              </w:rPr>
              <w:t>MANAGE 2.3</w:t>
            </w:r>
          </w:p>
        </w:tc>
        <w:tc>
          <w:tcPr>
            <w:tcW w:type="dxa" w:w="4848"/>
            <w:vAlign w:val="center"/>
            <w:shd w:fill="F5F7F9"/>
          </w:tcPr>
          <w:p>
            <w:r/>
            <w:r>
              <w:rPr>
                <w:b w:val="0"/>
                <w:sz w:val="13"/>
              </w:rPr>
              <w:t>MANAGE</w:t>
            </w:r>
          </w:p>
        </w:tc>
        <w:tc>
          <w:tcPr>
            <w:tcW w:type="dxa" w:w="4848"/>
            <w:vAlign w:val="center"/>
            <w:shd w:fill="F5F7F9"/>
          </w:tcPr>
          <w:p>
            <w:r/>
            <w:r>
              <w:rPr>
                <w:b w:val="0"/>
                <w:sz w:val="13"/>
              </w:rPr>
              <w:t>Procedures are followed to respond to and recover from a previously unknown risk when it is identified.</w:t>
            </w:r>
          </w:p>
        </w:tc>
      </w:tr>
      <w:tr>
        <w:tc>
          <w:tcPr>
            <w:tcW w:type="dxa" w:w="4848"/>
            <w:vAlign w:val="center"/>
          </w:tcPr>
          <w:p>
            <w:r/>
            <w:r>
              <w:rPr>
                <w:b w:val="0"/>
                <w:sz w:val="13"/>
              </w:rPr>
              <w:t>MANAGE 2.4</w:t>
            </w:r>
          </w:p>
        </w:tc>
        <w:tc>
          <w:tcPr>
            <w:tcW w:type="dxa" w:w="4848"/>
            <w:vAlign w:val="center"/>
          </w:tcPr>
          <w:p>
            <w:r/>
            <w:r>
              <w:rPr>
                <w:b w:val="0"/>
                <w:sz w:val="13"/>
              </w:rPr>
              <w:t>MANAGE</w:t>
            </w:r>
          </w:p>
        </w:tc>
        <w:tc>
          <w:tcPr>
            <w:tcW w:type="dxa" w:w="4848"/>
            <w:vAlign w:val="center"/>
          </w:tcPr>
          <w:p>
            <w:r/>
            <w:r>
              <w:rPr>
                <w:b w:val="0"/>
                <w:sz w:val="13"/>
              </w:rPr>
              <w:t>Mechanisms are in place and applied, and respon- sibilities are assigned and understood, to supersede, disengage, or deactivate AI systems that demonstrate performance or outcomes inconsistent with intended use. MANAGE 3: AI risks and benefits from third-party entities are managed.</w:t>
            </w:r>
          </w:p>
        </w:tc>
      </w:tr>
      <w:tr>
        <w:tc>
          <w:tcPr>
            <w:tcW w:type="dxa" w:w="4848"/>
            <w:vAlign w:val="center"/>
            <w:shd w:fill="F5F7F9"/>
          </w:tcPr>
          <w:p>
            <w:r/>
            <w:r>
              <w:rPr>
                <w:b w:val="0"/>
                <w:sz w:val="13"/>
              </w:rPr>
              <w:t>MANAGE 3.1</w:t>
            </w:r>
          </w:p>
        </w:tc>
        <w:tc>
          <w:tcPr>
            <w:tcW w:type="dxa" w:w="4848"/>
            <w:vAlign w:val="center"/>
            <w:shd w:fill="F5F7F9"/>
          </w:tcPr>
          <w:p>
            <w:r/>
            <w:r>
              <w:rPr>
                <w:b w:val="0"/>
                <w:sz w:val="13"/>
              </w:rPr>
              <w:t>MANAGE</w:t>
            </w:r>
          </w:p>
        </w:tc>
        <w:tc>
          <w:tcPr>
            <w:tcW w:type="dxa" w:w="4848"/>
            <w:vAlign w:val="center"/>
            <w:shd w:fill="F5F7F9"/>
          </w:tcPr>
          <w:p>
            <w:r/>
            <w:r>
              <w:rPr>
                <w:b w:val="0"/>
                <w:sz w:val="13"/>
              </w:rPr>
              <w:t>AI risks and benefits from third-party resources are regularly monitored, and risk controls are applied and documented.</w:t>
            </w:r>
          </w:p>
        </w:tc>
      </w:tr>
      <w:tr>
        <w:tc>
          <w:tcPr>
            <w:tcW w:type="dxa" w:w="4848"/>
            <w:vAlign w:val="center"/>
          </w:tcPr>
          <w:p>
            <w:r/>
            <w:r>
              <w:rPr>
                <w:b w:val="0"/>
                <w:sz w:val="13"/>
              </w:rPr>
              <w:t>MANAGE 3.2</w:t>
            </w:r>
          </w:p>
        </w:tc>
        <w:tc>
          <w:tcPr>
            <w:tcW w:type="dxa" w:w="4848"/>
            <w:vAlign w:val="center"/>
          </w:tcPr>
          <w:p>
            <w:r/>
            <w:r>
              <w:rPr>
                <w:b w:val="0"/>
                <w:sz w:val="13"/>
              </w:rPr>
              <w:t>MANAGE</w:t>
            </w:r>
          </w:p>
        </w:tc>
        <w:tc>
          <w:tcPr>
            <w:tcW w:type="dxa" w:w="4848"/>
            <w:vAlign w:val="center"/>
          </w:tcPr>
          <w:p>
            <w:r/>
            <w:r>
              <w:rPr>
                <w:b w:val="0"/>
                <w:sz w:val="13"/>
              </w:rPr>
              <w:t>Pre-trained models which are used for develop- ment are monitored as part of AI system regular monitoring and maintenance. Categories Subcategories Continued on next page NIST AI 100-1 AI RMF 1.0 Table 4: Categories and subcategories for the MANAGE function. (Continued) MANAGE 4: Risk treatments, including response and recovery, and communication plans for the identified and measured AI risks are documented and monitored regularly.</w:t>
            </w:r>
          </w:p>
        </w:tc>
      </w:tr>
      <w:tr>
        <w:tc>
          <w:tcPr>
            <w:tcW w:type="dxa" w:w="4848"/>
            <w:vAlign w:val="center"/>
            <w:shd w:fill="F5F7F9"/>
          </w:tcPr>
          <w:p>
            <w:r/>
            <w:r>
              <w:rPr>
                <w:b w:val="0"/>
                <w:sz w:val="13"/>
              </w:rPr>
              <w:t>MANAGE 4.1</w:t>
            </w:r>
          </w:p>
        </w:tc>
        <w:tc>
          <w:tcPr>
            <w:tcW w:type="dxa" w:w="4848"/>
            <w:vAlign w:val="center"/>
            <w:shd w:fill="F5F7F9"/>
          </w:tcPr>
          <w:p>
            <w:r/>
            <w:r>
              <w:rPr>
                <w:b w:val="0"/>
                <w:sz w:val="13"/>
              </w:rPr>
              <w:t>MANAGE</w:t>
            </w:r>
          </w:p>
        </w:tc>
        <w:tc>
          <w:tcPr>
            <w:tcW w:type="dxa" w:w="4848"/>
            <w:vAlign w:val="center"/>
            <w:shd w:fill="F5F7F9"/>
          </w:tcPr>
          <w:p>
            <w:r/>
            <w:r>
              <w:rPr>
                <w:b w:val="0"/>
                <w:sz w:val="13"/>
              </w:rPr>
              <w:t>Post-deployment AI system monitoring plans are implemented, including mechanisms for capturing and eval- uating input from users and other relevant AI actors, appeal and override, decommissioning, incident response, recovery, and change management.</w:t>
            </w:r>
          </w:p>
        </w:tc>
      </w:tr>
      <w:tr>
        <w:tc>
          <w:tcPr>
            <w:tcW w:type="dxa" w:w="4848"/>
            <w:vAlign w:val="center"/>
          </w:tcPr>
          <w:p>
            <w:r/>
            <w:r>
              <w:rPr>
                <w:b w:val="0"/>
                <w:sz w:val="13"/>
              </w:rPr>
              <w:t>MANAGE 4.2</w:t>
            </w:r>
          </w:p>
        </w:tc>
        <w:tc>
          <w:tcPr>
            <w:tcW w:type="dxa" w:w="4848"/>
            <w:vAlign w:val="center"/>
          </w:tcPr>
          <w:p>
            <w:r/>
            <w:r>
              <w:rPr>
                <w:b w:val="0"/>
                <w:sz w:val="13"/>
              </w:rPr>
              <w:t>MANAGE</w:t>
            </w:r>
          </w:p>
        </w:tc>
        <w:tc>
          <w:tcPr>
            <w:tcW w:type="dxa" w:w="4848"/>
            <w:vAlign w:val="center"/>
          </w:tcPr>
          <w:p>
            <w:r/>
            <w:r>
              <w:rPr>
                <w:b w:val="0"/>
                <w:sz w:val="13"/>
              </w:rPr>
              <w:t>Measurable activities for continual improvements are integrated into AI system updates and include regular engage- ment with interested parties, including relevant AI actors.</w:t>
            </w:r>
          </w:p>
        </w:tc>
      </w:tr>
      <w:tr>
        <w:tc>
          <w:tcPr>
            <w:tcW w:type="dxa" w:w="4848"/>
            <w:vAlign w:val="center"/>
            <w:shd w:fill="F5F7F9"/>
          </w:tcPr>
          <w:p>
            <w:r/>
            <w:r>
              <w:rPr>
                <w:b w:val="0"/>
                <w:sz w:val="13"/>
              </w:rPr>
              <w:t>MANAGE 4.3</w:t>
            </w:r>
          </w:p>
        </w:tc>
        <w:tc>
          <w:tcPr>
            <w:tcW w:type="dxa" w:w="4848"/>
            <w:vAlign w:val="center"/>
            <w:shd w:fill="F5F7F9"/>
          </w:tcPr>
          <w:p>
            <w:r/>
            <w:r>
              <w:rPr>
                <w:b w:val="0"/>
                <w:sz w:val="13"/>
              </w:rPr>
              <w:t>MANAGE</w:t>
            </w:r>
          </w:p>
        </w:tc>
        <w:tc>
          <w:tcPr>
            <w:tcW w:type="dxa" w:w="4848"/>
            <w:vAlign w:val="center"/>
            <w:shd w:fill="F5F7F9"/>
          </w:tcPr>
          <w:p>
            <w:r/>
            <w:r>
              <w:rPr>
                <w:b w:val="0"/>
                <w:sz w:val="13"/>
              </w:rPr>
              <w:t>Incidents and errors are communicated to relevant AI actors, including affected communities. Processes for track- ing, responding to, and recovering from incidents and errors are followed and documented. Categories Subcategories 6. AI RMF Profiles AI RMF use-case profiles are implementations of the AI RMF functions, categories, and subcategories for a specific setting or application based on the requirements, risk tolerance, and resources of the Framework user: for example, an AI RMF hiring profile or an AI RMF fair housing profile.</w:t>
            </w:r>
          </w:p>
        </w:tc>
      </w:tr>
    </w:tbl>
    <w:p>
      <w:r>
        <w:br w:type="page"/>
      </w:r>
    </w:p>
    <w:p>
      <w:pPr>
        <w:pStyle w:val="Heading1"/>
      </w:pPr>
      <w:r>
        <w:t>Annex D — Quality-Assurance Record</w:t>
      </w:r>
    </w:p>
    <w:tbl>
      <w:tblPr>
        <w:tblStyle w:val="TableGrid"/>
        <w:tblW w:type="auto" w:w="0"/>
        <w:jc w:val="center"/>
        <w:tblLook w:firstColumn="1" w:firstRow="1" w:lastColumn="0" w:lastRow="0" w:noHBand="0" w:noVBand="1" w:val="04A0"/>
      </w:tblPr>
      <w:tblGrid>
        <w:gridCol w:w="7272"/>
        <w:gridCol w:w="7272"/>
      </w:tblGrid>
      <w:tr>
        <w:tc>
          <w:tcPr>
            <w:tcW w:type="dxa" w:w="7272"/>
            <w:shd w:fill="163A5F"/>
            <w:vAlign w:val="center"/>
          </w:tcPr>
          <w:p>
            <w:r/>
            <w:r>
              <w:rPr>
                <w:b/>
                <w:color w:val="FFFFFF"/>
                <w:sz w:val="15"/>
              </w:rPr>
              <w:t>Check</w:t>
            </w:r>
          </w:p>
        </w:tc>
        <w:tc>
          <w:tcPr>
            <w:tcW w:type="dxa" w:w="7272"/>
            <w:shd w:fill="163A5F"/>
            <w:vAlign w:val="center"/>
          </w:tcPr>
          <w:p>
            <w:r/>
            <w:r>
              <w:rPr>
                <w:b/>
                <w:color w:val="FFFFFF"/>
                <w:sz w:val="15"/>
              </w:rPr>
              <w:t>Result</w:t>
            </w:r>
          </w:p>
        </w:tc>
      </w:tr>
      <w:tr>
        <w:tc>
          <w:tcPr>
            <w:tcW w:type="dxa" w:w="7272"/>
            <w:vAlign w:val="center"/>
          </w:tcPr>
          <w:p>
            <w:r/>
            <w:r>
              <w:rPr>
                <w:b w:val="0"/>
                <w:sz w:val="14"/>
              </w:rPr>
              <w:t>GAISSF control inventory</w:t>
            </w:r>
          </w:p>
        </w:tc>
        <w:tc>
          <w:tcPr>
            <w:tcW w:type="dxa" w:w="7272"/>
            <w:vAlign w:val="center"/>
          </w:tcPr>
          <w:p>
            <w:r/>
            <w:r>
              <w:rPr>
                <w:b w:val="0"/>
                <w:sz w:val="14"/>
              </w:rPr>
              <w:t>59 controls extracted from GAISSF-NOR-004 v1.0</w:t>
            </w:r>
          </w:p>
        </w:tc>
      </w:tr>
      <w:tr>
        <w:tc>
          <w:tcPr>
            <w:tcW w:type="dxa" w:w="7272"/>
            <w:vAlign w:val="center"/>
            <w:shd w:fill="F5F7F9"/>
          </w:tcPr>
          <w:p>
            <w:r/>
            <w:r>
              <w:rPr>
                <w:b w:val="0"/>
                <w:sz w:val="14"/>
              </w:rPr>
              <w:t>NIST subcategory inventory</w:t>
            </w:r>
          </w:p>
        </w:tc>
        <w:tc>
          <w:tcPr>
            <w:tcW w:type="dxa" w:w="7272"/>
            <w:vAlign w:val="center"/>
            <w:shd w:fill="F5F7F9"/>
          </w:tcPr>
          <w:p>
            <w:r/>
            <w:r>
              <w:rPr>
                <w:b w:val="0"/>
                <w:sz w:val="14"/>
              </w:rPr>
              <w:t>72 unique Core subcategories extracted from NIST AI 100-1</w:t>
            </w:r>
          </w:p>
        </w:tc>
      </w:tr>
      <w:tr>
        <w:tc>
          <w:tcPr>
            <w:tcW w:type="dxa" w:w="7272"/>
            <w:vAlign w:val="center"/>
          </w:tcPr>
          <w:p>
            <w:r/>
            <w:r>
              <w:rPr>
                <w:b w:val="0"/>
                <w:sz w:val="14"/>
              </w:rPr>
              <w:t>Bidirectional register</w:t>
            </w:r>
          </w:p>
        </w:tc>
        <w:tc>
          <w:tcPr>
            <w:tcW w:type="dxa" w:w="7272"/>
            <w:vAlign w:val="center"/>
          </w:tcPr>
          <w:p>
            <w:r/>
            <w:r>
              <w:rPr>
                <w:b w:val="0"/>
                <w:sz w:val="14"/>
              </w:rPr>
              <w:t>Completed</w:t>
            </w:r>
          </w:p>
        </w:tc>
      </w:tr>
      <w:tr>
        <w:tc>
          <w:tcPr>
            <w:tcW w:type="dxa" w:w="7272"/>
            <w:vAlign w:val="center"/>
            <w:shd w:fill="F5F7F9"/>
          </w:tcPr>
          <w:p>
            <w:r/>
            <w:r>
              <w:rPr>
                <w:b w:val="0"/>
                <w:sz w:val="14"/>
              </w:rPr>
              <w:t>Unsupported equivalence claims</w:t>
            </w:r>
          </w:p>
        </w:tc>
        <w:tc>
          <w:tcPr>
            <w:tcW w:type="dxa" w:w="7272"/>
            <w:vAlign w:val="center"/>
            <w:shd w:fill="F5F7F9"/>
          </w:tcPr>
          <w:p>
            <w:r/>
            <w:r>
              <w:rPr>
                <w:b w:val="0"/>
                <w:sz w:val="14"/>
              </w:rPr>
              <w:t>Removed</w:t>
            </w:r>
          </w:p>
        </w:tc>
      </w:tr>
      <w:tr>
        <w:tc>
          <w:tcPr>
            <w:tcW w:type="dxa" w:w="7272"/>
            <w:vAlign w:val="center"/>
          </w:tcPr>
          <w:p>
            <w:r/>
            <w:r>
              <w:rPr>
                <w:b w:val="0"/>
                <w:sz w:val="14"/>
              </w:rPr>
              <w:t>Playbook/Core distinction</w:t>
            </w:r>
          </w:p>
        </w:tc>
        <w:tc>
          <w:tcPr>
            <w:tcW w:type="dxa" w:w="7272"/>
            <w:vAlign w:val="center"/>
          </w:tcPr>
          <w:p>
            <w:r/>
            <w:r>
              <w:rPr>
                <w:b w:val="0"/>
                <w:sz w:val="14"/>
              </w:rPr>
              <w:t>Preserved</w:t>
            </w:r>
          </w:p>
        </w:tc>
      </w:tr>
      <w:tr>
        <w:tc>
          <w:tcPr>
            <w:tcW w:type="dxa" w:w="7272"/>
            <w:vAlign w:val="center"/>
            <w:shd w:fill="F5F7F9"/>
          </w:tcPr>
          <w:p>
            <w:r/>
            <w:r>
              <w:rPr>
                <w:b w:val="0"/>
                <w:sz w:val="14"/>
              </w:rPr>
              <w:t>GenAI Profile separation</w:t>
            </w:r>
          </w:p>
        </w:tc>
        <w:tc>
          <w:tcPr>
            <w:tcW w:type="dxa" w:w="7272"/>
            <w:vAlign w:val="center"/>
            <w:shd w:fill="F5F7F9"/>
          </w:tcPr>
          <w:p>
            <w:r/>
            <w:r>
              <w:rPr>
                <w:b w:val="0"/>
                <w:sz w:val="14"/>
              </w:rPr>
              <w:t>Preserved</w:t>
            </w:r>
          </w:p>
        </w:tc>
      </w:tr>
      <w:tr>
        <w:tc>
          <w:tcPr>
            <w:tcW w:type="dxa" w:w="7272"/>
            <w:vAlign w:val="center"/>
          </w:tcPr>
          <w:p>
            <w:r/>
            <w:r>
              <w:rPr>
                <w:b w:val="0"/>
                <w:sz w:val="14"/>
              </w:rPr>
              <w:t>Future revision caveat</w:t>
            </w:r>
          </w:p>
        </w:tc>
        <w:tc>
          <w:tcPr>
            <w:tcW w:type="dxa" w:w="7272"/>
            <w:vAlign w:val="center"/>
          </w:tcPr>
          <w:p>
            <w:r/>
            <w:r>
              <w:rPr>
                <w:b w:val="0"/>
                <w:sz w:val="14"/>
              </w:rPr>
              <w:t>Included</w:t>
            </w:r>
          </w:p>
        </w:tc>
      </w:tr>
      <w:tr>
        <w:tc>
          <w:tcPr>
            <w:tcW w:type="dxa" w:w="7272"/>
            <w:vAlign w:val="center"/>
            <w:shd w:fill="F5F7F9"/>
          </w:tcPr>
          <w:p>
            <w:r/>
            <w:r>
              <w:rPr>
                <w:b w:val="0"/>
                <w:sz w:val="14"/>
              </w:rPr>
              <w:t>Notably Absent discipline</w:t>
            </w:r>
          </w:p>
        </w:tc>
        <w:tc>
          <w:tcPr>
            <w:tcW w:type="dxa" w:w="7272"/>
            <w:vAlign w:val="center"/>
            <w:shd w:fill="F5F7F9"/>
          </w:tcPr>
          <w:p>
            <w:r/>
            <w:r>
              <w:rPr>
                <w:b w:val="0"/>
                <w:sz w:val="14"/>
              </w:rPr>
              <w:t>Included</w:t>
            </w:r>
          </w:p>
        </w:tc>
      </w:tr>
    </w:tbl>
    <w:p>
      <w:pPr>
        <w:pStyle w:val="Heading2"/>
      </w:pPr>
      <w:r>
        <w:t>Change Log</w:t>
      </w:r>
    </w:p>
    <w:tbl>
      <w:tblPr>
        <w:tblStyle w:val="TableGrid"/>
        <w:tblW w:type="auto" w:w="0"/>
        <w:jc w:val="center"/>
        <w:tblLook w:firstColumn="1" w:firstRow="1" w:lastColumn="0" w:lastRow="0" w:noHBand="0" w:noVBand="1" w:val="04A0"/>
      </w:tblPr>
      <w:tblGrid>
        <w:gridCol w:w="4848"/>
        <w:gridCol w:w="4848"/>
        <w:gridCol w:w="4848"/>
      </w:tblGrid>
      <w:tr>
        <w:tc>
          <w:tcPr>
            <w:tcW w:type="dxa" w:w="4848"/>
            <w:shd w:fill="163A5F"/>
            <w:vAlign w:val="center"/>
          </w:tcPr>
          <w:p>
            <w:r/>
            <w:r>
              <w:rPr>
                <w:b/>
                <w:color w:val="FFFFFF"/>
                <w:sz w:val="15"/>
              </w:rPr>
              <w:t>Version</w:t>
            </w:r>
          </w:p>
        </w:tc>
        <w:tc>
          <w:tcPr>
            <w:tcW w:type="dxa" w:w="4848"/>
            <w:shd w:fill="163A5F"/>
            <w:vAlign w:val="center"/>
          </w:tcPr>
          <w:p>
            <w:r/>
            <w:r>
              <w:rPr>
                <w:b/>
                <w:color w:val="FFFFFF"/>
                <w:sz w:val="15"/>
              </w:rPr>
              <w:t>Date</w:t>
            </w:r>
          </w:p>
        </w:tc>
        <w:tc>
          <w:tcPr>
            <w:tcW w:type="dxa" w:w="4848"/>
            <w:shd w:fill="163A5F"/>
            <w:vAlign w:val="center"/>
          </w:tcPr>
          <w:p>
            <w:r/>
            <w:r>
              <w:rPr>
                <w:b/>
                <w:color w:val="FFFFFF"/>
                <w:sz w:val="15"/>
              </w:rPr>
              <w:t>Change</w:t>
            </w:r>
          </w:p>
        </w:tc>
      </w:tr>
      <w:tr>
        <w:tc>
          <w:tcPr>
            <w:tcW w:type="dxa" w:w="4848"/>
            <w:vAlign w:val="center"/>
          </w:tcPr>
          <w:p>
            <w:r/>
            <w:r>
              <w:rPr>
                <w:b w:val="0"/>
                <w:sz w:val="14"/>
              </w:rPr>
              <w:t>1.0</w:t>
            </w:r>
          </w:p>
        </w:tc>
        <w:tc>
          <w:tcPr>
            <w:tcW w:type="dxa" w:w="4848"/>
            <w:vAlign w:val="center"/>
          </w:tcPr>
          <w:p>
            <w:r/>
            <w:r>
              <w:rPr>
                <w:b w:val="0"/>
                <w:sz w:val="14"/>
              </w:rPr>
              <w:t>29 June 2026</w:t>
            </w:r>
          </w:p>
        </w:tc>
        <w:tc>
          <w:tcPr>
            <w:tcW w:type="dxa" w:w="4848"/>
            <w:vAlign w:val="center"/>
          </w:tcPr>
          <w:p>
            <w:r/>
            <w:r>
              <w:rPr>
                <w:b w:val="0"/>
                <w:sz w:val="14"/>
              </w:rPr>
              <w:t>Initial publication candidate; complete bidirectional mapping and evidence-reuse guidance.</w:t>
            </w:r>
          </w:p>
        </w:tc>
      </w:tr>
    </w:tbl>
    <w:sectPr w:rsidR="00FC693F" w:rsidRPr="0006063C" w:rsidSect="00034616">
      <w:pgSz w:w="15840" w:h="12240" w:orient="landscape"/>
      <w:pgMar w:top="720" w:right="648" w:bottom="720" w:left="64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 2026 ODA3 Pvt Ltd | Version 1.0 | Informative crosswalk</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t>ODA3 Institute | CRO-022 | GAISSF–NIST AI RMF Mapping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163A5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b/>
      <w:bCs/>
      <w:color w:val="1F6B75"/>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5B6573"/>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color w:val="163A5F"/>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