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365D"/>
          <w:sz w:val="28"/>
        </w:rPr>
        <w:t>ODA3 Institute</w:t>
      </w:r>
    </w:p>
    <w:p>
      <w:pPr>
        <w:jc w:val="center"/>
      </w:pPr>
      <w:r>
        <w:rPr>
          <w:b/>
          <w:color w:val="17365D"/>
          <w:sz w:val="46"/>
        </w:rPr>
        <w:t>GAISSF-OWASP Top 10 for LLM Applications 2025 Mapping</w:t>
      </w:r>
    </w:p>
    <w:p>
      <w:pPr>
        <w:jc w:val="center"/>
      </w:pPr>
      <w:r>
        <w:rPr>
          <w:i/>
          <w:sz w:val="22"/>
        </w:rPr>
        <w:t>AI security risk and control crosswalk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41"/>
        <w:gridCol w:w="5141"/>
      </w:tblGrid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Document ID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CRO-024</w:t>
            </w:r>
          </w:p>
        </w:tc>
      </w:tr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Version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1.0</w:t>
            </w:r>
          </w:p>
        </w:tc>
      </w:tr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Publication Candidate</w:t>
            </w:r>
          </w:p>
        </w:tc>
      </w:tr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Classification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Crosswalk</w:t>
            </w:r>
          </w:p>
        </w:tc>
      </w:tr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Publication date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29 June 2026</w:t>
            </w:r>
          </w:p>
        </w:tc>
      </w:tr>
      <w:t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6"/>
              </w:rPr>
              <w:t>Publisher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6"/>
              </w:rPr>
              <w:t>ODA3 Institute</w:t>
            </w:r>
          </w:p>
        </w:tc>
      </w:tr>
    </w:tbl>
    <w:p/>
    <w:p>
      <w:pPr>
        <w:pStyle w:val="IntenseQuote"/>
      </w:pPr>
      <w:r>
        <w:t>Reliance notice: This document records analytical relationships only. It does not establish OWASP endorsement, certification, equivalence, vulnerability absence, legal compliance, or operating effectiveness.</w:t>
      </w:r>
    </w:p>
    <w:p>
      <w:pPr>
        <w:pStyle w:val="Heading1"/>
      </w:pPr>
      <w:r>
        <w:t>Document control and source baseline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27"/>
        <w:gridCol w:w="3427"/>
        <w:gridCol w:w="3427"/>
      </w:tblGrid>
      <w:tr>
        <w:trPr>
          <w:tblHeader w:val="true"/>
        </w:trPr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Source</w:t>
            </w:r>
          </w:p>
        </w:tc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Version / date</w:t>
            </w:r>
          </w:p>
        </w:tc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Role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GAISSF Framework Standard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GAISSF-NOR-001 v1.0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Normative framework and conformance baseline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GAISSF Control Catalogue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GAISSF-NOR-004 v1.0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Authoritative 59-control source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OWASP Top 10 for LLM Applications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2025 edition; 17 November 2024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4"/>
              </w:rPr>
              <w:t>Ten risk categories used as external mapping targets</w:t>
            </w:r>
          </w:p>
        </w:tc>
      </w:tr>
    </w:tbl>
    <w:p>
      <w:pPr>
        <w:pStyle w:val="Heading1"/>
      </w:pPr>
      <w:r>
        <w:t>1. Executive summary</w:t>
      </w:r>
    </w:p>
    <w:p>
      <w:r>
        <w:t>This crosswalk evaluates all 59 GAISSF v1.0 controls against the ten OWASP Top 10 for LLM Applications 2025 risk categories. It contains 59 forward mapping records and a complete ten-risk reverse coverage register.</w:t>
      </w:r>
    </w:p>
    <w:p>
      <w:r>
        <w:t>GAISSF supplies a broader auditable control architecture across model integrity, runtime security, agents, supply chain, content safety, governance, societal harm, regulatory alignment, and physical AI. OWASP supplies a concise vulnerability-oriented prioritization resource. The two artefacts are complementary but not equivalent.</w:t>
      </w:r>
    </w:p>
    <w:p>
      <w:pPr>
        <w:pStyle w:val="Heading1"/>
      </w:pPr>
      <w:r>
        <w:t>2. Purpose, scope and intended use</w:t>
      </w:r>
    </w:p>
    <w:p>
      <w:pPr>
        <w:pStyle w:val="ListBullet"/>
      </w:pPr>
      <w:r>
        <w:t>Support AI application threat modelling and control selection.</w:t>
      </w:r>
    </w:p>
    <w:p>
      <w:pPr>
        <w:pStyle w:val="ListBullet"/>
      </w:pPr>
      <w:r>
        <w:t>Identify reusable GAISSF evidence for OWASP-oriented reviews.</w:t>
      </w:r>
    </w:p>
    <w:p>
      <w:pPr>
        <w:pStyle w:val="ListBullet"/>
      </w:pPr>
      <w:r>
        <w:t>Expose residual implementation and testing gaps.</w:t>
      </w:r>
    </w:p>
    <w:p>
      <w:pPr>
        <w:pStyle w:val="ListBullet"/>
      </w:pPr>
      <w:r>
        <w:t>Support assessment planning without claiming OWASP certification or vulnerability elimination.</w:t>
      </w:r>
    </w:p>
    <w:p>
      <w:pPr>
        <w:pStyle w:val="Heading1"/>
      </w:pPr>
      <w:r>
        <w:t>3. Mapping methodology</w:t>
      </w:r>
    </w:p>
    <w:p>
      <w:r>
        <w:t>Mappings were made at GAISSF control level to OWASP risk-category level. Decisions considered shared attack surface, preventive and detective outcomes, lifecycle position, evidence expectations, and residual application-specific work. Similar terminology alone was not sufficient.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41"/>
        <w:gridCol w:w="5141"/>
      </w:tblGrid>
      <w:tr>
        <w:trPr>
          <w:tblHeader w:val="true"/>
        </w:trP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Code</w:t>
            </w:r>
          </w:p>
        </w:tc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Meaning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SP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Strong partial: substantial risk-reduction relationship; material implementation work remains.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P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Partial: meaningful overlap with unmatched elements.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S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Supporting: indirect or enabling contribution.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N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No material relationship.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O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Outside scope.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U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Unable to determine.</w:t>
            </w:r>
          </w:p>
        </w:tc>
      </w:tr>
    </w:tbl>
    <w:p>
      <w:pPr>
        <w:pStyle w:val="Heading1"/>
      </w:pPr>
      <w:r>
        <w:t>4. OWASP 2025 risk inventory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27"/>
        <w:gridCol w:w="3427"/>
        <w:gridCol w:w="3427"/>
      </w:tblGrid>
      <w:tr>
        <w:trPr>
          <w:tblHeader w:val="true"/>
        </w:trPr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Identifier</w:t>
            </w:r>
          </w:p>
        </w:tc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Risk</w:t>
            </w:r>
          </w:p>
        </w:tc>
        <w:tc>
          <w:tcPr>
            <w:tcW w:type="dxa" w:w="3427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Working summary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LLM01:2025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Prompt Injection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Crafted direct or indirect inputs can alter model behavior, bypass instructions, expose data, or trigger unauthorized actions.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LLM02:2025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Sensitive Information Disclosure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Models and applications can reveal confidential, personal, proprietary, credential, or otherwise sensitive information.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LLM03:2025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Supply Chain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Compromised models, datasets, components, services, dependencies, or provenance can undermine application security and integrity.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LLM04:2025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Data and Model Poisoning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Manipulated pre-training, fine-tuning, retrieval, embedding, or model data can introduce backdoors, bias, unsafe behavior, or integrity failures.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LLM05:2025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Improper Output Handling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Insufficient validation, sanitization, encoding, or contextual handling of model outputs can create downstream exploits.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LLM06:2025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Excessive Agency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Excessive functionality, permissions, autonomy, or insufficient human approval can allow harmful or unintended actions.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LLM07:2025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System Prompt Leakage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System prompts or embedded instructions may be exposed and reveal sensitive logic, controls, or operational context.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LLM08:2025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Vector and Embedding Weaknesses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Weaknesses in retrieval, vector stores, embeddings, access controls, segmentation, and data provenance can cause disclosure or manipulation.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LLM09:2025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Misinformation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Incorrect, fabricated, misleading, or insufficiently verified model outputs can undermine decisions and safety.</w:t>
            </w:r>
          </w:p>
        </w:tc>
      </w:tr>
      <w:tr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LLM10:2025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Unbounded Consumption</w:t>
            </w:r>
          </w:p>
        </w:tc>
        <w:tc>
          <w:tcPr>
            <w:tcW w:type="dxa" w:w="3427"/>
            <w:vAlign w:val="top"/>
          </w:tcPr>
          <w:p>
            <w:r/>
            <w:r>
              <w:rPr>
                <w:b w:val="0"/>
                <w:sz w:val="15"/>
              </w:rPr>
              <w:t>Uncontrolled model, token, tool, compute, or service consumption can cause denial of service, cost escalation, degradation, or theft-related abuse.</w:t>
            </w:r>
          </w:p>
        </w:tc>
      </w:tr>
    </w:tbl>
    <w:p>
      <w:pPr>
        <w:pStyle w:val="Heading1"/>
      </w:pPr>
      <w:r>
        <w:t>5. Reverse coverage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56"/>
        <w:gridCol w:w="2056"/>
        <w:gridCol w:w="2056"/>
        <w:gridCol w:w="2056"/>
        <w:gridCol w:w="2056"/>
      </w:tblGrid>
      <w:tr>
        <w:trPr>
          <w:tblHeader w:val="true"/>
        </w:trPr>
        <w:tc>
          <w:tcPr>
            <w:tcW w:type="dxa" w:w="2056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OWASP risk</w:t>
            </w:r>
          </w:p>
        </w:tc>
        <w:tc>
          <w:tcPr>
            <w:tcW w:type="dxa" w:w="2056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Mapped GAISSF controls</w:t>
            </w:r>
          </w:p>
        </w:tc>
        <w:tc>
          <w:tcPr>
            <w:tcW w:type="dxa" w:w="2056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Coverage</w:t>
            </w:r>
          </w:p>
        </w:tc>
        <w:tc>
          <w:tcPr>
            <w:tcW w:type="dxa" w:w="2056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Confidence</w:t>
            </w:r>
          </w:p>
        </w:tc>
        <w:tc>
          <w:tcPr>
            <w:tcW w:type="dxa" w:w="2056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Residual limitation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LLM01:2025 Prompt Injection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D1-CTL-03, D1-CTL-05, D1-CTL-06, D1-CTL-08, D2-CTL-01, D2-CTL-02, D2-CTL-03, D2-CTL-04, D2-CTL-05, D2-CTL-06, D6-CTL-02, D6-CTL-03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LLM02:2025 Sensitive Information Disclosure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D5-CTL-05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LLM03:2025 Supply Chain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D4-CTL-01, D4-CTL-02, D4-CTL-03, D4-CTL-04, D4-CTL-05, D4-CTL-06, D4-CTL-07, D6-CTL-06, D8-CTL-02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LLM04:2025 Data and Model Poisoning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D1-CTL-01, D1-CTL-04, D1-CTL-07, D1-CTL-09, D5-CTL-01, D5-CTL-02, D5-CTL-03, D5-CTL-04, D5-CTL-06, D8-CTL-03, D9-CTL-07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LLM05:2025 Improper Output Handling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LLM06:2025 Excessive Agency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D3-CTL-01, D3-CTL-02, D3-CTL-03, D3-CTL-04, D3-CTL-05, D3-CTL-06, D3-CTL-07, D6-CTL-01, D9-CTL-02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LLM07:2025 System Prompt Leakage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LLM08:2025 Vector and Embedding Weaknesses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D7-CTL-H01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LLM09:2025 Misinformation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D7-CTL-H03, D7-CTL-H04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  <w:tr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LLM10:2025 Unbounded Consumption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D1-CTL-02, D6-CTL-04, D6-CTL-07, D7-CTL-H02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Indirectly Supported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Low</w:t>
            </w:r>
          </w:p>
        </w:tc>
        <w:tc>
          <w:tcPr>
            <w:tcW w:type="dxa" w:w="2056"/>
            <w:vAlign w:val="top"/>
          </w:tcPr>
          <w:p>
            <w:r/>
            <w:r>
              <w:rPr>
                <w:b w:val="0"/>
                <w:sz w:val="13"/>
              </w:rPr>
              <w:t>OWASP risk exposure depends on architecture, implementation, threat context, testing depth, and operational effectiveness; documentary mapping alone cannot demonstrate mitigation.</w:t>
            </w:r>
          </w:p>
        </w:tc>
      </w:tr>
    </w:tbl>
    <w:p>
      <w:pPr>
        <w:pStyle w:val="Heading1"/>
      </w:pPr>
      <w:r>
        <w:t>6. Risk-by-risk analysis</w:t>
      </w:r>
    </w:p>
    <w:p>
      <w:pPr>
        <w:pStyle w:val="Heading2"/>
      </w:pPr>
      <w:r>
        <w:t>LLM01:2025 Prompt Injection</w:t>
      </w:r>
    </w:p>
    <w:p>
      <w:r>
        <w:t>Crafted direct or indirect inputs can alter model behavior, bypass instructions, expose data, or trigger unauthorized actions.</w:t>
      </w:r>
    </w:p>
    <w:p>
      <w:r>
        <w:t>Primary GAISSF controls: D1-CTL-03, D1-CTL-05, D1-CTL-06, D1-CTL-08, D2-CTL-01, D2-CTL-02, D2-CTL-03, D2-CTL-04, D2-CTL-05, D2-CTL-06, D6-CTL-02, D6-CTL-03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LLM02:2025 Sensitive Information Disclosure</w:t>
      </w:r>
    </w:p>
    <w:p>
      <w:r>
        <w:t>Models and applications can reveal confidential, personal, proprietary, credential, or otherwise sensitive information.</w:t>
      </w:r>
    </w:p>
    <w:p>
      <w:r>
        <w:t>Primary GAISSF controls: D5-CTL-05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LLM03:2025 Supply Chain</w:t>
      </w:r>
    </w:p>
    <w:p>
      <w:r>
        <w:t>Compromised models, datasets, components, services, dependencies, or provenance can undermine application security and integrity.</w:t>
      </w:r>
    </w:p>
    <w:p>
      <w:r>
        <w:t>Primary GAISSF controls: D4-CTL-01, D4-CTL-02, D4-CTL-03, D4-CTL-04, D4-CTL-05, D4-CTL-06, D4-CTL-07, D6-CTL-06, D8-CTL-02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LLM04:2025 Data and Model Poisoning</w:t>
      </w:r>
    </w:p>
    <w:p>
      <w:r>
        <w:t>Manipulated pre-training, fine-tuning, retrieval, embedding, or model data can introduce backdoors, bias, unsafe behavior, or integrity failures.</w:t>
      </w:r>
    </w:p>
    <w:p>
      <w:r>
        <w:t>Primary GAISSF controls: D1-CTL-01, D1-CTL-04, D1-CTL-07, D1-CTL-09, D5-CTL-01, D5-CTL-02, D5-CTL-03, D5-CTL-04, D5-CTL-06, D8-CTL-03, D9-CTL-07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LLM05:2025 Improper Output Handling</w:t>
      </w:r>
    </w:p>
    <w:p>
      <w:r>
        <w:t>Insufficient validation, sanitization, encoding, or contextual handling of model outputs can create downstream exploits.</w:t>
      </w:r>
    </w:p>
    <w:p>
      <w:r>
        <w:t xml:space="preserve">Primary GAISSF controls: 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LLM06:2025 Excessive Agency</w:t>
      </w:r>
    </w:p>
    <w:p>
      <w:r>
        <w:t>Excessive functionality, permissions, autonomy, or insufficient human approval can allow harmful or unintended actions.</w:t>
      </w:r>
    </w:p>
    <w:p>
      <w:r>
        <w:t>Primary GAISSF controls: D3-CTL-01, D3-CTL-02, D3-CTL-03, D3-CTL-04, D3-CTL-05, D3-CTL-06, D3-CTL-07, D6-CTL-01, D9-CTL-02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LLM07:2025 System Prompt Leakage</w:t>
      </w:r>
    </w:p>
    <w:p>
      <w:r>
        <w:t>System prompts or embedded instructions may be exposed and reveal sensitive logic, controls, or operational context.</w:t>
      </w:r>
    </w:p>
    <w:p>
      <w:r>
        <w:t xml:space="preserve">Primary GAISSF controls: 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LLM08:2025 Vector and Embedding Weaknesses</w:t>
      </w:r>
    </w:p>
    <w:p>
      <w:r>
        <w:t>Weaknesses in retrieval, vector stores, embeddings, access controls, segmentation, and data provenance can cause disclosure or manipulation.</w:t>
      </w:r>
    </w:p>
    <w:p>
      <w:r>
        <w:t>Primary GAISSF controls: D7-CTL-H01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LLM09:2025 Misinformation</w:t>
      </w:r>
    </w:p>
    <w:p>
      <w:r>
        <w:t>Incorrect, fabricated, misleading, or insufficiently verified model outputs can undermine decisions and safety.</w:t>
      </w:r>
    </w:p>
    <w:p>
      <w:r>
        <w:t>Primary GAISSF controls: D7-CTL-H03, D7-CTL-H04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2"/>
      </w:pPr>
      <w:r>
        <w:t>LLM10:2025 Unbounded Consumption</w:t>
      </w:r>
    </w:p>
    <w:p>
      <w:r>
        <w:t>Uncontrolled model, token, tool, compute, or service consumption can cause denial of service, cost escalation, degradation, or theft-related abuse.</w:t>
      </w:r>
    </w:p>
    <w:p>
      <w:r>
        <w:t>Primary GAISSF controls: D1-CTL-02, D6-CTL-04, D6-CTL-07, D7-CTL-H02</w:t>
      </w:r>
    </w:p>
    <w:p>
      <w:r>
        <w:t>Assessment conclusion: Indirectly Supported; confidence Low.</w:t>
      </w:r>
    </w:p>
    <w:p>
      <w:r>
        <w:t>Residual gap: OWASP risk exposure depends on architecture, implementation, threat context, testing depth, and operational effectiveness; documentary mapping alone cannot demonstrate mitigation.</w:t>
      </w:r>
    </w:p>
    <w:p>
      <w:pPr>
        <w:pStyle w:val="Heading1"/>
      </w:pPr>
      <w:r>
        <w:t>7. Evidence reuse guidance</w:t>
      </w:r>
    </w:p>
    <w:p>
      <w:pPr>
        <w:pStyle w:val="ListBullet"/>
      </w:pPr>
      <w:r>
        <w:t>Threat models and abuse-case registers</w:t>
      </w:r>
    </w:p>
    <w:p>
      <w:pPr>
        <w:pStyle w:val="ListBullet"/>
      </w:pPr>
      <w:r>
        <w:t>Prompt-injection and adversarial test results</w:t>
      </w:r>
    </w:p>
    <w:p>
      <w:pPr>
        <w:pStyle w:val="ListBullet"/>
      </w:pPr>
      <w:r>
        <w:t>Data classification and disclosure-control records</w:t>
      </w:r>
    </w:p>
    <w:p>
      <w:pPr>
        <w:pStyle w:val="ListBullet"/>
      </w:pPr>
      <w:r>
        <w:t>Supplier, model, dataset, and component provenance records</w:t>
      </w:r>
    </w:p>
    <w:p>
      <w:pPr>
        <w:pStyle w:val="ListBullet"/>
      </w:pPr>
      <w:r>
        <w:t>Poisoning and integrity validation reports</w:t>
      </w:r>
    </w:p>
    <w:p>
      <w:pPr>
        <w:pStyle w:val="ListBullet"/>
      </w:pPr>
      <w:r>
        <w:t>Output-validation and downstream-execution controls</w:t>
      </w:r>
    </w:p>
    <w:p>
      <w:pPr>
        <w:pStyle w:val="ListBullet"/>
      </w:pPr>
      <w:r>
        <w:t>Agent tool inventories, permission models, and human-approval records</w:t>
      </w:r>
    </w:p>
    <w:p>
      <w:pPr>
        <w:pStyle w:val="ListBullet"/>
      </w:pPr>
      <w:r>
        <w:t>RAG, vector-store, embedding, and tenant-isolation tests</w:t>
      </w:r>
    </w:p>
    <w:p>
      <w:pPr>
        <w:pStyle w:val="ListBullet"/>
      </w:pPr>
      <w:r>
        <w:t>Accuracy, grounding, provenance, and human-review evidence</w:t>
      </w:r>
    </w:p>
    <w:p>
      <w:pPr>
        <w:pStyle w:val="ListBullet"/>
      </w:pPr>
      <w:r>
        <w:t>Rate-limit, quota, cost-monitoring, availability, and abuse-detection records</w:t>
      </w:r>
    </w:p>
    <w:p>
      <w:pPr>
        <w:pStyle w:val="Heading1"/>
      </w:pPr>
      <w:r>
        <w:t>8. Limitations</w:t>
      </w:r>
    </w:p>
    <w:p>
      <w:pPr>
        <w:pStyle w:val="ListBullet"/>
      </w:pPr>
      <w:r>
        <w:t>Mapping is not OWASP endorsement, certification, equivalence, or proof of secure implementation.</w:t>
      </w:r>
    </w:p>
    <w:p>
      <w:pPr>
        <w:pStyle w:val="ListBullet"/>
      </w:pPr>
      <w:r>
        <w:t>OWASP Top 10 is a prioritized risk-awareness resource, not a complete security standard or exhaustive threat catalogue.</w:t>
      </w:r>
    </w:p>
    <w:p>
      <w:pPr>
        <w:pStyle w:val="ListBullet"/>
      </w:pPr>
      <w:r>
        <w:t>GAISSF controls can support multiple risks; actual mitigation depends on architecture, implementation, testing, monitoring, and evidence.</w:t>
      </w:r>
    </w:p>
    <w:p>
      <w:pPr>
        <w:pStyle w:val="ListBullet"/>
      </w:pPr>
      <w:r>
        <w:t>The crosswalk does not replace application threat modelling, penetration testing, red teaming, or secure software engineering.</w:t>
      </w:r>
    </w:p>
    <w:p>
      <w:pPr>
        <w:pStyle w:val="ListBullet"/>
      </w:pPr>
      <w:r>
        <w:t>Revalidation is required when GAISSF or OWASP source baselines change.</w:t>
      </w:r>
    </w:p>
    <w:p>
      <w:pPr>
        <w:pStyle w:val="Heading1"/>
      </w:pPr>
      <w:r>
        <w:t>9. Notably absent</w:t>
      </w:r>
    </w:p>
    <w:p>
      <w:pPr>
        <w:pStyle w:val="ListBullet"/>
      </w:pPr>
      <w:r>
        <w:t>No OWASP certification or endorsement mechanism for this crosswalk was identified.</w:t>
      </w:r>
    </w:p>
    <w:p>
      <w:pPr>
        <w:pStyle w:val="ListBullet"/>
      </w:pPr>
      <w:r>
        <w:t>No basis exists for claiming that documentary mapping proves a vulnerability is absent.</w:t>
      </w:r>
    </w:p>
    <w:p>
      <w:pPr>
        <w:pStyle w:val="ListBullet"/>
      </w:pPr>
      <w:r>
        <w:t>No basis exists for treating the Top 10 as an exhaustive security standard.</w:t>
      </w:r>
    </w:p>
    <w:p>
      <w:pPr>
        <w:pStyle w:val="ListBullet"/>
      </w:pPr>
      <w:r>
        <w:t>No universal compliance percentage, safe harbour, or automatic regulatory conclusion is asserted.</w:t>
      </w:r>
    </w:p>
    <w:p>
      <w:pPr>
        <w:pStyle w:val="Heading1"/>
      </w:pPr>
      <w:r>
        <w:t>Annex A - Complete GAISSF-to-OWASP mapping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69"/>
        <w:gridCol w:w="1469"/>
        <w:gridCol w:w="1469"/>
        <w:gridCol w:w="1469"/>
        <w:gridCol w:w="1469"/>
        <w:gridCol w:w="1469"/>
        <w:gridCol w:w="1469"/>
      </w:tblGrid>
      <w:tr>
        <w:trPr>
          <w:tblHeader w:val="true"/>
        </w:trPr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Record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GAISSF control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OWASP risk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Rel.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Confidence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Rationale</w:t>
            </w:r>
          </w:p>
        </w:tc>
        <w:tc>
          <w:tcPr>
            <w:tcW w:type="dxa" w:w="1469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Residual gap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D1-CTL-01 Dataset Provenance &amp; Poisoning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D1-CTL-01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D1-CTL-02 Model Extraction Resistance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LLM10:2025 Unbounded Consumption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D1-CTL-02 establishes AI-system controls or evidence that materially reduce exposure to LLM10:2025 Unbounded Consumption.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D1-CTL-03 Behavioral Drift Detection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D1-CTL-03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D1-CTL-04 Federated Learning Poisoning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D1-CTL-04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D1-CTL-05 Embedding Space Robustness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D1-CTL-06 Post-Quantum Model Signing &amp; Crypto Hardening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D1-CTL-06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D1-CTL-07 Lora/Adapter Integrity Verification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D1-CTL-07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D1-CTL-08 Model Merge Attack Detection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D1-CTL-08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CRO024-MAP-0009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D1-CTL-09 Quantization Backdoor Screening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D1-CTL-09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CRO024-MAP-0010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D2-CTL-01 Direct Prompt Injection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D2-CTL-01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D2-CTL-02 Indirect Prompt Injection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D2-CTL-02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D2-CTL-03 Jailbreak Resistance Testing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D2-CTL-03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D2-CTL-04 Multi-Modal Injection Defense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D2-CTL-04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D2-CTL-05 Function Call/Tool Call Injection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D2-CTL-06 Cross-Context Hijacking Mitigation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D2-CTL-06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D3-CTL-01 Least Agency Enforcement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D3-CTL-01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D3-CTL-02 Inter-Agent Communication Security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D3-CTL-02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D3-CTL-03 Agentic Prompt Chaining Detection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D3-CTL-03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CRO024-MAP-0019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D3-CTL-04 Embodied Ai Safety Controls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D3-CTL-04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CRO024-MAP-0020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D3-CTL-05 Multi-Agent Trust Chain Attestation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D3-CTL-05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D3-CTL-06 Persistent Memory Exfiltration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D3-CTL-06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D3-CTL-07 Secure Memory Lifecycle Management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D3-CTL-07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D4-CTL-01 Ai Bill Of Materials (Ai Bom) Maintenance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D4-CTL-01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D4-CTL-02 Model File &amp; Artifact Scanning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D4-CTL-02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D4-CTL-03 Model Hub &amp; Registry Vetting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D4-CTL-03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D4-CTL-04 Mcp Server Behavioral Monitoring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D4-CTL-04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D4-CTL-05 Third-Party Ai Api Security Assessment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D4-CTL-05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D4-CTL-06 Shadow Ai Discovery &amp; Governance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D4-CTL-06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CRO024-MAP-0029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D4-CTL-07 Ai Software Composition Analysis (Sca)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D4-CTL-07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CRO024-MAP-0030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D5-CTL-01 Harmful Content Blocking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D5-CTL-01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D5-CTL-02 Pii Leakage Prevention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D5-CTL-02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D5-CTL-03 Copyright Detection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D5-CTL-03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D5-CTL-04 Ai Watermarking Robustness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D5-CTL-04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D5-CTL-05 Privacy-By-Design Verification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LLM02:2025 Sensitive Information Disclosure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D5-CTL-05 establishes AI-system controls or evidence that materially reduce exposure to LLM02:2025 Sensitive Information Disclosure.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D5-CTL-06 Privacy-Preserving Ml Validation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D5-CTL-06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D6-CTL-01 Human-In-The-Loop For High-Risk Actions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D6-CTL-01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D6-CTL-02 Audit Trail Completeness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D6-CTL-02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D6-CTL-03 Ai Model Card Completeness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D6-CTL-03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CRO024-MAP-0039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D6-CTL-04 Ai Incident Response Readiness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LLM10:2025 Unbounded Consumption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D6-CTL-04 establishes AI-system controls or evidence that materially reduce exposure to LLM10:2025 Unbounded Consumption.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CRO024-MAP-0040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D6-CTL-05 Model Deprecation &amp; Decommissioning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D6-CTL-06 Third-Party Ai Vendor Governance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D6-CTL-06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D6-CTL-07 Ai Resilience &amp; Business Continuity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LLM10:2025 Unbounded Consumption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D6-CTL-07 establishes AI-system controls or evidence that materially reduce exposure to LLM10:2025 Unbounded Consumption.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D7-CTL-H01 Ai-Generated Phishing Simulation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LLM08:2025 Vector and Embedding Weaknesses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D7-CTL-H01 establishes AI-system controls or evidence that materially reduce exposure to LLM08:2025 Vector and Embedding Weaknesses.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D7-CTL-H02 Deepfake Detection Training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LLM10:2025 Unbounded Consumption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D7-CTL-H02 establishes AI-system controls or evidence that materially reduce exposure to LLM10:2025 Unbounded Consumption.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D7-CTL-H03 Out-Of-Band Authentication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LLM09:2025 Misinformation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D7-CTL-H03 establishes AI-system controls or evidence that materially reduce exposure to LLM09:2025 Misinformation.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D7-CTL-H04 Ai Social Engineering Ir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LLM09:2025 Misinformation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D7-CTL-H04 establishes AI-system controls or evidence that materially reduce exposure to LLM09:2025 Misinformation.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D7-CTL-H05 Ai-Enhanced External Attack Defense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D7-CTL-H05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D8-CTL-01 Eu Ai Act Risk Tier Mapping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D8-CTL-01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CRO024-MAP-0049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D8-CTL-02 Iso 42001 Gap Analysis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LLM03:2025 Supply Chain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D8-CTL-02 establishes AI-system controls or evidence that materially reduce exposure to LLM03:2025 Supply Chain.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CRO024-MAP-0050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D8-CTL-03 Gpai Technical Documentation Verification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D8-CTL-03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CRO024-MAP-0051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D8-CTL-04 Dora Ict Incident Reporting (Financial Sector)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D8-CTL-04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CRO024-MAP-0052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D8-CTL-05 Nist Sp 800-218A Compliance Check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D8-CTL-05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CRO024-MAP-0053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D9-CTL-01 Physical Harm Boundary Enforcement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D9-CTL-01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CRO024-MAP-0054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D9-CTL-02 Safe State And Graceful Degradation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LLM06:2025 Excessive Agency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D9-CTL-02 establishes AI-system controls or evidence that materially reduce exposure to LLM06:2025 Excessive Agency.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CRO024-MAP-0055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D9-CTL-03 Human Override And Emergency Stop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D9-CTL-03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CRO024-MAP-0056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D9-CTL-04 Cyber-Physical Attack Detection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D9-CTL-04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CRO024-MAP-0057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D9-CTL-05 Physical Environment Integrity Monitoring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D9-CTL-05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CRO024-MAP-0058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D9-CTL-06 Actuator Command Verification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LLM01:2025 Prompt Injection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D9-CTL-06 establishes AI-system controls or evidence that materially reduce exposure to LLM01:2025 Prompt Injection.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  <w:tr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CRO024-MAP-0059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D9-CTL-07 Physical Incident Evidence Preservation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LLM04:2025 Data and Model Poisoning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S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Low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GAISSF D9-CTL-07 establishes AI-system controls or evidence that materially reduce exposure to LLM04:2025 Data and Model Poisoning. The relationship is preventive or detective support; it is not proof that the vulnerability is absent.</w:t>
            </w:r>
          </w:p>
        </w:tc>
        <w:tc>
          <w:tcPr>
            <w:tcW w:type="dxa" w:w="1469"/>
            <w:vAlign w:val="top"/>
          </w:tcPr>
          <w:p>
            <w:r/>
            <w:r>
              <w:rPr>
                <w:b w:val="0"/>
                <w:sz w:val="11"/>
              </w:rPr>
              <w:t>Application-specific threat modelling, adversarial testing, implementation verification, and operating-effectiveness evidence remain necessary.</w:t>
            </w:r>
          </w:p>
        </w:tc>
      </w:tr>
    </w:tbl>
    <w:p>
      <w:pPr>
        <w:pStyle w:val="Heading1"/>
      </w:pPr>
      <w:r>
        <w:t>Annex B - Change and verification record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41"/>
        <w:gridCol w:w="5141"/>
      </w:tblGrid>
      <w:tr>
        <w:trPr>
          <w:tblHeader w:val="true"/>
        </w:trPr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Item</w:t>
            </w:r>
          </w:p>
        </w:tc>
        <w:tc>
          <w:tcPr>
            <w:tcW w:type="dxa" w:w="5141"/>
            <w:vAlign w:val="top"/>
            <w:shd w:fill="17365D"/>
          </w:tcPr>
          <w:p>
            <w:r/>
            <w:r>
              <w:rPr>
                <w:b/>
                <w:color w:val="FFFFFF"/>
                <w:sz w:val="14"/>
              </w:rPr>
              <w:t>Status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GAISSF controls inventoried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59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OWASP 2025 risks inventoried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10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Forward mappings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59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Reverse records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10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Old 2023/24 numbering mixed into baseline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No</w:t>
            </w:r>
          </w:p>
        </w:tc>
      </w:tr>
      <w:tr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Independent SME approval</w:t>
            </w:r>
          </w:p>
        </w:tc>
        <w:tc>
          <w:tcPr>
            <w:tcW w:type="dxa" w:w="5141"/>
            <w:vAlign w:val="top"/>
          </w:tcPr>
          <w:p>
            <w:r/>
            <w:r>
              <w:rPr>
                <w:b w:val="0"/>
                <w:sz w:val="14"/>
              </w:rPr>
              <w:t>Required before final publication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936" w:right="979" w:bottom="936" w:left="97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ODA3 Institute | CRO-024 | GAISSF-OWASP LLM Top 10 Mapping v1.0 | © 2026 ODA3 Pvt Ltd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7365D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