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17365D"/>
          <w:sz w:val="28"/>
        </w:rPr>
        <w:t>ODA3 Institute</w:t>
      </w:r>
    </w:p>
    <w:p>
      <w:pPr>
        <w:jc w:val="center"/>
      </w:pPr>
      <w:r>
        <w:rPr>
          <w:b/>
          <w:color w:val="17365D"/>
          <w:sz w:val="46"/>
        </w:rPr>
        <w:t>GAISSF-OWASP LLM Top 10 Mapping</w:t>
      </w:r>
    </w:p>
    <w:p>
      <w:pPr>
        <w:jc w:val="center"/>
      </w:pPr>
      <w:r>
        <w:rPr>
          <w:i/>
          <w:sz w:val="22"/>
        </w:rPr>
        <w:t>Website and executive summary</w:t>
      </w:r>
    </w:p>
    <w:p/>
    <w:tbl>
      <w:tblPr>
        <w:tblStyle w:val="TableGrid"/>
        <w:tblW w:type="auto" w:w="0"/>
        <w:jc w:val="center"/>
        <w:tblLook w:firstColumn="1" w:firstRow="1" w:lastColumn="0" w:lastRow="0" w:noHBand="0" w:noVBand="1" w:val="04A0"/>
      </w:tblPr>
      <w:tblGrid>
        <w:gridCol w:w="5141"/>
        <w:gridCol w:w="5141"/>
      </w:tblGrid>
      <w:tr>
        <w:tc>
          <w:tcPr>
            <w:tcW w:type="dxa" w:w="5141"/>
            <w:vAlign w:val="top"/>
            <w:shd w:fill="17365D"/>
          </w:tcPr>
          <w:p>
            <w:r/>
            <w:r>
              <w:rPr>
                <w:b/>
                <w:color w:val="FFFFFF"/>
                <w:sz w:val="16"/>
              </w:rPr>
              <w:t>Document ID</w:t>
            </w:r>
          </w:p>
        </w:tc>
        <w:tc>
          <w:tcPr>
            <w:tcW w:type="dxa" w:w="5141"/>
            <w:vAlign w:val="top"/>
          </w:tcPr>
          <w:p>
            <w:r/>
            <w:r>
              <w:rPr>
                <w:b w:val="0"/>
                <w:sz w:val="16"/>
              </w:rPr>
              <w:t>CRO-024</w:t>
            </w:r>
          </w:p>
        </w:tc>
      </w:tr>
      <w:tr>
        <w:tc>
          <w:tcPr>
            <w:tcW w:type="dxa" w:w="5141"/>
            <w:vAlign w:val="top"/>
            <w:shd w:fill="17365D"/>
          </w:tcPr>
          <w:p>
            <w:r/>
            <w:r>
              <w:rPr>
                <w:b/>
                <w:color w:val="FFFFFF"/>
                <w:sz w:val="16"/>
              </w:rPr>
              <w:t>Version</w:t>
            </w:r>
          </w:p>
        </w:tc>
        <w:tc>
          <w:tcPr>
            <w:tcW w:type="dxa" w:w="5141"/>
            <w:vAlign w:val="top"/>
          </w:tcPr>
          <w:p>
            <w:r/>
            <w:r>
              <w:rPr>
                <w:b w:val="0"/>
                <w:sz w:val="16"/>
              </w:rPr>
              <w:t>1.0</w:t>
            </w:r>
          </w:p>
        </w:tc>
      </w:tr>
      <w:tr>
        <w:tc>
          <w:tcPr>
            <w:tcW w:type="dxa" w:w="5141"/>
            <w:vAlign w:val="top"/>
            <w:shd w:fill="17365D"/>
          </w:tcPr>
          <w:p>
            <w:r/>
            <w:r>
              <w:rPr>
                <w:b/>
                <w:color w:val="FFFFFF"/>
                <w:sz w:val="16"/>
              </w:rPr>
              <w:t>Status</w:t>
            </w:r>
          </w:p>
        </w:tc>
        <w:tc>
          <w:tcPr>
            <w:tcW w:type="dxa" w:w="5141"/>
            <w:vAlign w:val="top"/>
          </w:tcPr>
          <w:p>
            <w:r/>
            <w:r>
              <w:rPr>
                <w:b w:val="0"/>
                <w:sz w:val="16"/>
              </w:rPr>
              <w:t>Publication Candidate</w:t>
            </w:r>
          </w:p>
        </w:tc>
      </w:tr>
      <w:tr>
        <w:tc>
          <w:tcPr>
            <w:tcW w:type="dxa" w:w="5141"/>
            <w:vAlign w:val="top"/>
            <w:shd w:fill="17365D"/>
          </w:tcPr>
          <w:p>
            <w:r/>
            <w:r>
              <w:rPr>
                <w:b/>
                <w:color w:val="FFFFFF"/>
                <w:sz w:val="16"/>
              </w:rPr>
              <w:t>Classification</w:t>
            </w:r>
          </w:p>
        </w:tc>
        <w:tc>
          <w:tcPr>
            <w:tcW w:type="dxa" w:w="5141"/>
            <w:vAlign w:val="top"/>
          </w:tcPr>
          <w:p>
            <w:r/>
            <w:r>
              <w:rPr>
                <w:b w:val="0"/>
                <w:sz w:val="16"/>
              </w:rPr>
              <w:t>Crosswalk</w:t>
            </w:r>
          </w:p>
        </w:tc>
      </w:tr>
      <w:tr>
        <w:tc>
          <w:tcPr>
            <w:tcW w:type="dxa" w:w="5141"/>
            <w:vAlign w:val="top"/>
            <w:shd w:fill="17365D"/>
          </w:tcPr>
          <w:p>
            <w:r/>
            <w:r>
              <w:rPr>
                <w:b/>
                <w:color w:val="FFFFFF"/>
                <w:sz w:val="16"/>
              </w:rPr>
              <w:t>Publication date</w:t>
            </w:r>
          </w:p>
        </w:tc>
        <w:tc>
          <w:tcPr>
            <w:tcW w:type="dxa" w:w="5141"/>
            <w:vAlign w:val="top"/>
          </w:tcPr>
          <w:p>
            <w:r/>
            <w:r>
              <w:rPr>
                <w:b w:val="0"/>
                <w:sz w:val="16"/>
              </w:rPr>
              <w:t>29 June 2026</w:t>
            </w:r>
          </w:p>
        </w:tc>
      </w:tr>
      <w:tr>
        <w:tc>
          <w:tcPr>
            <w:tcW w:type="dxa" w:w="5141"/>
            <w:vAlign w:val="top"/>
            <w:shd w:fill="17365D"/>
          </w:tcPr>
          <w:p>
            <w:r/>
            <w:r>
              <w:rPr>
                <w:b/>
                <w:color w:val="FFFFFF"/>
                <w:sz w:val="16"/>
              </w:rPr>
              <w:t>Publisher</w:t>
            </w:r>
          </w:p>
        </w:tc>
        <w:tc>
          <w:tcPr>
            <w:tcW w:type="dxa" w:w="5141"/>
            <w:vAlign w:val="top"/>
          </w:tcPr>
          <w:p>
            <w:r/>
            <w:r>
              <w:rPr>
                <w:b w:val="0"/>
                <w:sz w:val="16"/>
              </w:rPr>
              <w:t>ODA3 Institute</w:t>
            </w:r>
          </w:p>
        </w:tc>
      </w:tr>
    </w:tbl>
    <w:p/>
    <w:p>
      <w:pPr>
        <w:pStyle w:val="IntenseQuote"/>
      </w:pPr>
      <w:r>
        <w:t>Reliance notice: This document records analytical relationships only. It does not establish OWASP endorsement, certification, equivalence, vulnerability absence, legal compliance, or operating effectiveness.</w:t>
      </w:r>
    </w:p>
    <w:p>
      <w:pPr>
        <w:pStyle w:val="Heading1"/>
      </w:pPr>
      <w:r>
        <w:t>A practitioner crosswalk for LLM application security</w:t>
      </w:r>
    </w:p>
    <w:p>
      <w:r>
        <w:t>CRO-024 maps the complete GAISSF v1.0 control baseline to the OWASP Top 10 for LLM Applications 2025. It helps security, governance, engineering, and assurance teams connect prioritized LLM vulnerability classes to auditable controls and evidence.</w:t>
      </w:r>
    </w:p>
    <w:p>
      <w:pPr>
        <w:pStyle w:val="Heading1"/>
      </w:pPr>
      <w:r>
        <w:t>What the package contains</w:t>
      </w:r>
    </w:p>
    <w:p>
      <w:pPr>
        <w:pStyle w:val="ListBullet"/>
      </w:pPr>
      <w:r>
        <w:t>59 GAISSF controls assessed against all ten OWASP 2025 risk categories.</w:t>
      </w:r>
    </w:p>
    <w:p>
      <w:pPr>
        <w:pStyle w:val="ListBullet"/>
      </w:pPr>
      <w:r>
        <w:t>59 documented forward mapping relationships.</w:t>
      </w:r>
    </w:p>
    <w:p>
      <w:pPr>
        <w:pStyle w:val="ListBullet"/>
      </w:pPr>
      <w:r>
        <w:t>A complete OWASP-to-GAISSF reverse coverage register.</w:t>
      </w:r>
    </w:p>
    <w:p>
      <w:pPr>
        <w:pStyle w:val="ListBullet"/>
      </w:pPr>
      <w:r>
        <w:t>Residual-gap, evidence, confidence, and source-baseline fields.</w:t>
      </w:r>
    </w:p>
    <w:p>
      <w:pPr>
        <w:pStyle w:val="ListBullet"/>
      </w:pPr>
      <w:r>
        <w:t>DOCX, XLSX, Markdown, and JSON publication formats.</w:t>
      </w:r>
    </w:p>
    <w:p>
      <w:pPr>
        <w:pStyle w:val="Heading1"/>
      </w:pPr>
      <w:r>
        <w:t>Key interpretation</w:t>
      </w:r>
    </w:p>
    <w:p>
      <w:r>
        <w:t>OWASP identifies high-priority vulnerability classes. GAISSF supplies an auditable control and evidence architecture. Mapping supports control selection and assurance planning, but does not prove mitigation effectiveness or vulnerability absence.</w:t>
      </w:r>
    </w:p>
    <w:p>
      <w:pPr>
        <w:pStyle w:val="Heading1"/>
      </w:pPr>
      <w:r>
        <w:t>The ten OWASP 2025 risks</w:t>
      </w:r>
    </w:p>
    <w:tbl>
      <w:tblPr>
        <w:tblStyle w:val="TableGrid"/>
        <w:tblW w:type="auto" w:w="0"/>
        <w:jc w:val="center"/>
        <w:tblLook w:firstColumn="1" w:firstRow="1" w:lastColumn="0" w:lastRow="0" w:noHBand="0" w:noVBand="1" w:val="04A0"/>
      </w:tblPr>
      <w:tblGrid>
        <w:gridCol w:w="5141"/>
        <w:gridCol w:w="5141"/>
      </w:tblGrid>
      <w:tr>
        <w:trPr>
          <w:tblHeader w:val="true"/>
        </w:trPr>
        <w:tc>
          <w:tcPr>
            <w:tcW w:type="dxa" w:w="5141"/>
            <w:vAlign w:val="top"/>
            <w:shd w:fill="17365D"/>
          </w:tcPr>
          <w:p>
            <w:r/>
            <w:r>
              <w:rPr>
                <w:b/>
                <w:color w:val="FFFFFF"/>
                <w:sz w:val="14"/>
              </w:rPr>
              <w:t>ID</w:t>
            </w:r>
          </w:p>
        </w:tc>
        <w:tc>
          <w:tcPr>
            <w:tcW w:type="dxa" w:w="5141"/>
            <w:vAlign w:val="top"/>
            <w:shd w:fill="17365D"/>
          </w:tcPr>
          <w:p>
            <w:r/>
            <w:r>
              <w:rPr>
                <w:b/>
                <w:color w:val="FFFFFF"/>
                <w:sz w:val="14"/>
              </w:rPr>
              <w:t>Risk</w:t>
            </w:r>
          </w:p>
        </w:tc>
      </w:tr>
      <w:tr>
        <w:tc>
          <w:tcPr>
            <w:tcW w:type="dxa" w:w="5141"/>
            <w:vAlign w:val="top"/>
          </w:tcPr>
          <w:p>
            <w:r/>
            <w:r>
              <w:rPr>
                <w:b w:val="0"/>
                <w:sz w:val="16"/>
              </w:rPr>
              <w:t>LLM01:2025</w:t>
            </w:r>
          </w:p>
        </w:tc>
        <w:tc>
          <w:tcPr>
            <w:tcW w:type="dxa" w:w="5141"/>
            <w:vAlign w:val="top"/>
          </w:tcPr>
          <w:p>
            <w:r/>
            <w:r>
              <w:rPr>
                <w:b w:val="0"/>
                <w:sz w:val="16"/>
              </w:rPr>
              <w:t>Prompt Injection</w:t>
            </w:r>
          </w:p>
        </w:tc>
      </w:tr>
      <w:tr>
        <w:tc>
          <w:tcPr>
            <w:tcW w:type="dxa" w:w="5141"/>
            <w:vAlign w:val="top"/>
          </w:tcPr>
          <w:p>
            <w:r/>
            <w:r>
              <w:rPr>
                <w:b w:val="0"/>
                <w:sz w:val="16"/>
              </w:rPr>
              <w:t>LLM02:2025</w:t>
            </w:r>
          </w:p>
        </w:tc>
        <w:tc>
          <w:tcPr>
            <w:tcW w:type="dxa" w:w="5141"/>
            <w:vAlign w:val="top"/>
          </w:tcPr>
          <w:p>
            <w:r/>
            <w:r>
              <w:rPr>
                <w:b w:val="0"/>
                <w:sz w:val="16"/>
              </w:rPr>
              <w:t>Sensitive Information Disclosure</w:t>
            </w:r>
          </w:p>
        </w:tc>
      </w:tr>
      <w:tr>
        <w:tc>
          <w:tcPr>
            <w:tcW w:type="dxa" w:w="5141"/>
            <w:vAlign w:val="top"/>
          </w:tcPr>
          <w:p>
            <w:r/>
            <w:r>
              <w:rPr>
                <w:b w:val="0"/>
                <w:sz w:val="16"/>
              </w:rPr>
              <w:t>LLM03:2025</w:t>
            </w:r>
          </w:p>
        </w:tc>
        <w:tc>
          <w:tcPr>
            <w:tcW w:type="dxa" w:w="5141"/>
            <w:vAlign w:val="top"/>
          </w:tcPr>
          <w:p>
            <w:r/>
            <w:r>
              <w:rPr>
                <w:b w:val="0"/>
                <w:sz w:val="16"/>
              </w:rPr>
              <w:t>Supply Chain</w:t>
            </w:r>
          </w:p>
        </w:tc>
      </w:tr>
      <w:tr>
        <w:tc>
          <w:tcPr>
            <w:tcW w:type="dxa" w:w="5141"/>
            <w:vAlign w:val="top"/>
          </w:tcPr>
          <w:p>
            <w:r/>
            <w:r>
              <w:rPr>
                <w:b w:val="0"/>
                <w:sz w:val="16"/>
              </w:rPr>
              <w:t>LLM04:2025</w:t>
            </w:r>
          </w:p>
        </w:tc>
        <w:tc>
          <w:tcPr>
            <w:tcW w:type="dxa" w:w="5141"/>
            <w:vAlign w:val="top"/>
          </w:tcPr>
          <w:p>
            <w:r/>
            <w:r>
              <w:rPr>
                <w:b w:val="0"/>
                <w:sz w:val="16"/>
              </w:rPr>
              <w:t>Data and Model Poisoning</w:t>
            </w:r>
          </w:p>
        </w:tc>
      </w:tr>
      <w:tr>
        <w:tc>
          <w:tcPr>
            <w:tcW w:type="dxa" w:w="5141"/>
            <w:vAlign w:val="top"/>
          </w:tcPr>
          <w:p>
            <w:r/>
            <w:r>
              <w:rPr>
                <w:b w:val="0"/>
                <w:sz w:val="16"/>
              </w:rPr>
              <w:t>LLM05:2025</w:t>
            </w:r>
          </w:p>
        </w:tc>
        <w:tc>
          <w:tcPr>
            <w:tcW w:type="dxa" w:w="5141"/>
            <w:vAlign w:val="top"/>
          </w:tcPr>
          <w:p>
            <w:r/>
            <w:r>
              <w:rPr>
                <w:b w:val="0"/>
                <w:sz w:val="16"/>
              </w:rPr>
              <w:t>Improper Output Handling</w:t>
            </w:r>
          </w:p>
        </w:tc>
      </w:tr>
      <w:tr>
        <w:tc>
          <w:tcPr>
            <w:tcW w:type="dxa" w:w="5141"/>
            <w:vAlign w:val="top"/>
          </w:tcPr>
          <w:p>
            <w:r/>
            <w:r>
              <w:rPr>
                <w:b w:val="0"/>
                <w:sz w:val="16"/>
              </w:rPr>
              <w:t>LLM06:2025</w:t>
            </w:r>
          </w:p>
        </w:tc>
        <w:tc>
          <w:tcPr>
            <w:tcW w:type="dxa" w:w="5141"/>
            <w:vAlign w:val="top"/>
          </w:tcPr>
          <w:p>
            <w:r/>
            <w:r>
              <w:rPr>
                <w:b w:val="0"/>
                <w:sz w:val="16"/>
              </w:rPr>
              <w:t>Excessive Agency</w:t>
            </w:r>
          </w:p>
        </w:tc>
      </w:tr>
      <w:tr>
        <w:tc>
          <w:tcPr>
            <w:tcW w:type="dxa" w:w="5141"/>
            <w:vAlign w:val="top"/>
          </w:tcPr>
          <w:p>
            <w:r/>
            <w:r>
              <w:rPr>
                <w:b w:val="0"/>
                <w:sz w:val="16"/>
              </w:rPr>
              <w:t>LLM07:2025</w:t>
            </w:r>
          </w:p>
        </w:tc>
        <w:tc>
          <w:tcPr>
            <w:tcW w:type="dxa" w:w="5141"/>
            <w:vAlign w:val="top"/>
          </w:tcPr>
          <w:p>
            <w:r/>
            <w:r>
              <w:rPr>
                <w:b w:val="0"/>
                <w:sz w:val="16"/>
              </w:rPr>
              <w:t>System Prompt Leakage</w:t>
            </w:r>
          </w:p>
        </w:tc>
      </w:tr>
      <w:tr>
        <w:tc>
          <w:tcPr>
            <w:tcW w:type="dxa" w:w="5141"/>
            <w:vAlign w:val="top"/>
          </w:tcPr>
          <w:p>
            <w:r/>
            <w:r>
              <w:rPr>
                <w:b w:val="0"/>
                <w:sz w:val="16"/>
              </w:rPr>
              <w:t>LLM08:2025</w:t>
            </w:r>
          </w:p>
        </w:tc>
        <w:tc>
          <w:tcPr>
            <w:tcW w:type="dxa" w:w="5141"/>
            <w:vAlign w:val="top"/>
          </w:tcPr>
          <w:p>
            <w:r/>
            <w:r>
              <w:rPr>
                <w:b w:val="0"/>
                <w:sz w:val="16"/>
              </w:rPr>
              <w:t>Vector and Embedding Weaknesses</w:t>
            </w:r>
          </w:p>
        </w:tc>
      </w:tr>
      <w:tr>
        <w:tc>
          <w:tcPr>
            <w:tcW w:type="dxa" w:w="5141"/>
            <w:vAlign w:val="top"/>
          </w:tcPr>
          <w:p>
            <w:r/>
            <w:r>
              <w:rPr>
                <w:b w:val="0"/>
                <w:sz w:val="16"/>
              </w:rPr>
              <w:t>LLM09:2025</w:t>
            </w:r>
          </w:p>
        </w:tc>
        <w:tc>
          <w:tcPr>
            <w:tcW w:type="dxa" w:w="5141"/>
            <w:vAlign w:val="top"/>
          </w:tcPr>
          <w:p>
            <w:r/>
            <w:r>
              <w:rPr>
                <w:b w:val="0"/>
                <w:sz w:val="16"/>
              </w:rPr>
              <w:t>Misinformation</w:t>
            </w:r>
          </w:p>
        </w:tc>
      </w:tr>
      <w:tr>
        <w:tc>
          <w:tcPr>
            <w:tcW w:type="dxa" w:w="5141"/>
            <w:vAlign w:val="top"/>
          </w:tcPr>
          <w:p>
            <w:r/>
            <w:r>
              <w:rPr>
                <w:b w:val="0"/>
                <w:sz w:val="16"/>
              </w:rPr>
              <w:t>LLM10:2025</w:t>
            </w:r>
          </w:p>
        </w:tc>
        <w:tc>
          <w:tcPr>
            <w:tcW w:type="dxa" w:w="5141"/>
            <w:vAlign w:val="top"/>
          </w:tcPr>
          <w:p>
            <w:r/>
            <w:r>
              <w:rPr>
                <w:b w:val="0"/>
                <w:sz w:val="16"/>
              </w:rPr>
              <w:t>Unbounded Consumption</w:t>
            </w:r>
          </w:p>
        </w:tc>
      </w:tr>
    </w:tbl>
    <w:p>
      <w:pPr>
        <w:pStyle w:val="Heading1"/>
      </w:pPr>
      <w:r>
        <w:t>Appropriate uses</w:t>
      </w:r>
    </w:p>
    <w:p>
      <w:pPr>
        <w:pStyle w:val="ListBullet"/>
      </w:pPr>
      <w:r>
        <w:t>AI application threat modelling</w:t>
      </w:r>
    </w:p>
    <w:p>
      <w:pPr>
        <w:pStyle w:val="ListBullet"/>
      </w:pPr>
      <w:r>
        <w:t>Control selection and gap analysis</w:t>
      </w:r>
    </w:p>
    <w:p>
      <w:pPr>
        <w:pStyle w:val="ListBullet"/>
      </w:pPr>
      <w:r>
        <w:t>Evidence reuse and assessment scoping</w:t>
      </w:r>
    </w:p>
    <w:p>
      <w:pPr>
        <w:pStyle w:val="ListBullet"/>
      </w:pPr>
      <w:r>
        <w:t>Red-team and penetration-test planning</w:t>
      </w:r>
    </w:p>
    <w:p>
      <w:pPr>
        <w:pStyle w:val="ListBullet"/>
      </w:pPr>
      <w:r>
        <w:t>Board, risk, and assurance reporting</w:t>
      </w:r>
    </w:p>
    <w:p>
      <w:pPr>
        <w:pStyle w:val="Heading1"/>
      </w:pPr>
      <w:r>
        <w:t>Not established</w:t>
      </w:r>
    </w:p>
    <w:p>
      <w:pPr>
        <w:pStyle w:val="ListBullet"/>
      </w:pPr>
      <w:r>
        <w:t>OWASP endorsement or certification</w:t>
      </w:r>
    </w:p>
    <w:p>
      <w:pPr>
        <w:pStyle w:val="ListBullet"/>
      </w:pPr>
      <w:r>
        <w:t>Automatic GAISSF conformance</w:t>
      </w:r>
    </w:p>
    <w:p>
      <w:pPr>
        <w:pStyle w:val="ListBullet"/>
      </w:pPr>
      <w:r>
        <w:t>Proof that vulnerabilities are absent</w:t>
      </w:r>
    </w:p>
    <w:p>
      <w:pPr>
        <w:pStyle w:val="ListBullet"/>
      </w:pPr>
      <w:r>
        <w:t>A replacement for testing or secure engineering</w:t>
      </w:r>
    </w:p>
    <w:p>
      <w:pPr>
        <w:pStyle w:val="ListBullet"/>
      </w:pPr>
      <w:r>
        <w:t>Regulatory compliance or safe harbour</w:t>
      </w:r>
    </w:p>
    <w:sectPr w:rsidR="00FC693F" w:rsidRPr="0006063C" w:rsidSect="00034616">
      <w:footerReference w:type="default" r:id="rId9"/>
      <w:pgSz w:w="12240" w:h="15840"/>
      <w:pgMar w:top="936" w:right="979" w:bottom="936" w:left="97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t>ODA3 Institute | CRO-024 Website Summary | © 2026 ODA3 Pvt Ltd</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b/>
      <w:bCs/>
      <w:color w:val="17365D"/>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b/>
      <w:bCs/>
      <w:color w:val="17365D"/>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Display" w:hAnsi="Aptos Display"/>
      <w:b/>
      <w:bCs/>
      <w:color w:val="17365D"/>
      <w:sz w:val="20"/>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color w:val="17365D"/>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