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300"/>
        <w:jc w:val="center"/>
      </w:pPr>
      <w:r>
        <w:rPr>
          <w:b/>
          <w:color w:val="17324D"/>
          <w:sz w:val="60"/>
        </w:rPr>
        <w:t>GAISSF® v1.0</w:t>
      </w:r>
    </w:p>
    <w:p>
      <w:pPr>
        <w:jc w:val="center"/>
      </w:pPr>
      <w:r>
        <w:rPr>
          <w:b/>
          <w:color w:val="205B65"/>
          <w:sz w:val="50"/>
        </w:rPr>
        <w:t>Adoption Guide</w:t>
      </w:r>
    </w:p>
    <w:p>
      <w:pPr>
        <w:jc w:val="center"/>
      </w:pPr>
      <w:r>
        <w:rPr>
          <w:color w:val="4C6B7A"/>
          <w:sz w:val="24"/>
        </w:rPr>
        <w:t>Program Establishment, Governance and Implementation Planning</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736"/>
            <w:vAlign w:val="center"/>
            <w:shd w:fill="17324D"/>
          </w:tcPr>
          <w:p>
            <w:pPr>
              <w:spacing w:after="0"/>
            </w:pPr>
            <w:r/>
            <w:r>
              <w:rPr>
                <w:rFonts w:ascii="Aptos" w:hAnsi="Aptos"/>
                <w:b/>
                <w:color w:val="FFFFFF"/>
                <w:sz w:val="16"/>
              </w:rPr>
              <w:t>Field</w:t>
            </w:r>
          </w:p>
        </w:tc>
        <w:tc>
          <w:tcPr>
            <w:tcW w:type="dxa" w:w="6912"/>
            <w:vAlign w:val="center"/>
            <w:shd w:fill="17324D"/>
          </w:tcPr>
          <w:p>
            <w:pPr>
              <w:spacing w:after="0"/>
            </w:pPr>
            <w:r/>
            <w:r>
              <w:rPr>
                <w:rFonts w:ascii="Aptos" w:hAnsi="Aptos"/>
                <w:b/>
                <w:color w:val="FFFFFF"/>
                <w:sz w:val="16"/>
              </w:rPr>
              <w:t>Value</w:t>
            </w:r>
          </w:p>
        </w:tc>
      </w:tr>
      <w:tr>
        <w:trPr>
          <w:cantSplit/>
        </w:trPr>
        <w:tc>
          <w:tcPr>
            <w:tcW w:type="dxa" w:w="2736"/>
            <w:vAlign w:val="center"/>
          </w:tcPr>
          <w:p>
            <w:pPr>
              <w:spacing w:after="0"/>
            </w:pPr>
            <w:r/>
            <w:r>
              <w:rPr>
                <w:rFonts w:ascii="Aptos" w:hAnsi="Aptos"/>
                <w:b w:val="0"/>
                <w:sz w:val="15"/>
              </w:rPr>
              <w:t>Document ID</w:t>
            </w:r>
          </w:p>
        </w:tc>
        <w:tc>
          <w:tcPr>
            <w:tcW w:type="dxa" w:w="6912"/>
            <w:vAlign w:val="center"/>
          </w:tcPr>
          <w:p>
            <w:pPr>
              <w:spacing w:after="0"/>
            </w:pPr>
            <w:r/>
            <w:r>
              <w:rPr>
                <w:rFonts w:ascii="Aptos" w:hAnsi="Aptos"/>
                <w:b w:val="0"/>
                <w:sz w:val="15"/>
              </w:rPr>
              <w:t>GAISSF-IMP-009</w:t>
            </w:r>
          </w:p>
        </w:tc>
      </w:tr>
      <w:tr>
        <w:trPr>
          <w:cantSplit/>
        </w:trPr>
        <w:tc>
          <w:tcPr>
            <w:tcW w:type="dxa" w:w="2736"/>
            <w:vAlign w:val="center"/>
            <w:shd w:fill="F3F6F7"/>
          </w:tcPr>
          <w:p>
            <w:pPr>
              <w:spacing w:after="0"/>
            </w:pPr>
            <w:r/>
            <w:r>
              <w:rPr>
                <w:rFonts w:ascii="Aptos" w:hAnsi="Aptos"/>
                <w:b w:val="0"/>
                <w:sz w:val="15"/>
              </w:rPr>
              <w:t>Version</w:t>
            </w:r>
          </w:p>
        </w:tc>
        <w:tc>
          <w:tcPr>
            <w:tcW w:type="dxa" w:w="6912"/>
            <w:vAlign w:val="center"/>
            <w:shd w:fill="F3F6F7"/>
          </w:tcPr>
          <w:p>
            <w:pPr>
              <w:spacing w:after="0"/>
            </w:pPr>
            <w:r/>
            <w:r>
              <w:rPr>
                <w:rFonts w:ascii="Aptos" w:hAnsi="Aptos"/>
                <w:b w:val="0"/>
                <w:sz w:val="15"/>
              </w:rPr>
              <w:t>1.0</w:t>
            </w:r>
          </w:p>
        </w:tc>
      </w:tr>
      <w:tr>
        <w:trPr>
          <w:cantSplit/>
        </w:trPr>
        <w:tc>
          <w:tcPr>
            <w:tcW w:type="dxa" w:w="2736"/>
            <w:vAlign w:val="center"/>
          </w:tcPr>
          <w:p>
            <w:pPr>
              <w:spacing w:after="0"/>
            </w:pPr>
            <w:r/>
            <w:r>
              <w:rPr>
                <w:rFonts w:ascii="Aptos" w:hAnsi="Aptos"/>
                <w:b w:val="0"/>
                <w:sz w:val="15"/>
              </w:rPr>
              <w:t>Status</w:t>
            </w:r>
          </w:p>
        </w:tc>
        <w:tc>
          <w:tcPr>
            <w:tcW w:type="dxa" w:w="6912"/>
            <w:vAlign w:val="center"/>
          </w:tcPr>
          <w:p>
            <w:r>
              <w:t>Final Publication Edition</w:t>
            </w:r>
          </w:p>
        </w:tc>
      </w:tr>
      <w:tr>
        <w:trPr>
          <w:cantSplit/>
        </w:trPr>
        <w:tc>
          <w:tcPr>
            <w:tcW w:type="dxa" w:w="2736"/>
            <w:vAlign w:val="center"/>
            <w:shd w:fill="F3F6F7"/>
          </w:tcPr>
          <w:p>
            <w:pPr>
              <w:spacing w:after="0"/>
            </w:pPr>
            <w:r/>
            <w:r>
              <w:rPr>
                <w:rFonts w:ascii="Aptos" w:hAnsi="Aptos"/>
                <w:b w:val="0"/>
                <w:sz w:val="15"/>
              </w:rPr>
              <w:t>Classification</w:t>
            </w:r>
          </w:p>
        </w:tc>
        <w:tc>
          <w:tcPr>
            <w:tcW w:type="dxa" w:w="6912"/>
            <w:vAlign w:val="center"/>
            <w:shd w:fill="F3F6F7"/>
          </w:tcPr>
          <w:p>
            <w:pPr>
              <w:spacing w:after="0"/>
            </w:pPr>
            <w:r/>
            <w:r>
              <w:rPr>
                <w:rFonts w:ascii="Aptos" w:hAnsi="Aptos"/>
                <w:b w:val="0"/>
                <w:sz w:val="15"/>
              </w:rPr>
              <w:t>Implementation guidance — informative</w:t>
            </w:r>
          </w:p>
        </w:tc>
      </w:tr>
      <w:tr>
        <w:trPr>
          <w:cantSplit/>
        </w:trPr>
        <w:tc>
          <w:tcPr>
            <w:tcW w:type="dxa" w:w="2736"/>
            <w:vAlign w:val="center"/>
          </w:tcPr>
          <w:p>
            <w:pPr>
              <w:spacing w:after="0"/>
            </w:pPr>
            <w:r/>
            <w:r>
              <w:rPr>
                <w:rFonts w:ascii="Aptos" w:hAnsi="Aptos"/>
                <w:b w:val="0"/>
                <w:sz w:val="15"/>
              </w:rPr>
              <w:t>Publisher</w:t>
            </w:r>
          </w:p>
        </w:tc>
        <w:tc>
          <w:tcPr>
            <w:tcW w:type="dxa" w:w="6912"/>
            <w:vAlign w:val="center"/>
          </w:tcPr>
          <w:p>
            <w:pPr>
              <w:spacing w:after="0"/>
            </w:pPr>
            <w:r/>
            <w:r>
              <w:rPr>
                <w:rFonts w:ascii="Aptos" w:hAnsi="Aptos"/>
                <w:b w:val="0"/>
                <w:sz w:val="15"/>
              </w:rPr>
              <w:t>ODA3 Institute</w:t>
            </w:r>
          </w:p>
        </w:tc>
      </w:tr>
      <w:tr>
        <w:trPr>
          <w:cantSplit/>
        </w:trPr>
        <w:tc>
          <w:tcPr>
            <w:tcW w:type="dxa" w:w="2736"/>
            <w:vAlign w:val="center"/>
            <w:shd w:fill="F3F6F7"/>
          </w:tcPr>
          <w:p>
            <w:pPr>
              <w:spacing w:after="0"/>
            </w:pPr>
            <w:r/>
            <w:r>
              <w:rPr>
                <w:rFonts w:ascii="Aptos" w:hAnsi="Aptos"/>
                <w:b w:val="0"/>
                <w:sz w:val="15"/>
              </w:rPr>
              <w:t>Legal entity</w:t>
            </w:r>
          </w:p>
        </w:tc>
        <w:tc>
          <w:tcPr>
            <w:tcW w:type="dxa" w:w="6912"/>
            <w:vAlign w:val="center"/>
            <w:shd w:fill="F3F6F7"/>
          </w:tcPr>
          <w:p>
            <w:pPr>
              <w:spacing w:after="0"/>
            </w:pPr>
            <w:r/>
            <w:r>
              <w:rPr>
                <w:rFonts w:ascii="Aptos" w:hAnsi="Aptos"/>
                <w:b w:val="0"/>
                <w:sz w:val="15"/>
              </w:rPr>
              <w:t>ODA3 Pvt Ltd</w:t>
            </w:r>
          </w:p>
        </w:tc>
      </w:tr>
      <w:tr>
        <w:trPr>
          <w:cantSplit/>
        </w:trPr>
        <w:tc>
          <w:tcPr>
            <w:tcW w:type="dxa" w:w="2736"/>
            <w:vAlign w:val="center"/>
          </w:tcPr>
          <w:p>
            <w:pPr>
              <w:spacing w:after="0"/>
            </w:pPr>
            <w:r/>
            <w:r>
              <w:rPr>
                <w:rFonts w:ascii="Aptos" w:hAnsi="Aptos"/>
                <w:b w:val="0"/>
                <w:sz w:val="15"/>
              </w:rPr>
              <w:t>Authoritative normative source</w:t>
            </w:r>
          </w:p>
        </w:tc>
        <w:tc>
          <w:tcPr>
            <w:tcW w:type="dxa" w:w="6912"/>
            <w:vAlign w:val="center"/>
          </w:tcPr>
          <w:p>
            <w:pPr>
              <w:spacing w:after="0"/>
            </w:pPr>
            <w:r/>
            <w:r>
              <w:rPr>
                <w:rFonts w:ascii="Aptos" w:hAnsi="Aptos"/>
                <w:b w:val="0"/>
                <w:sz w:val="15"/>
              </w:rPr>
              <w:t>GAISSF-NOR-001</w:t>
            </w:r>
          </w:p>
        </w:tc>
      </w:tr>
      <w:tr>
        <w:trPr>
          <w:cantSplit/>
        </w:trPr>
        <w:tc>
          <w:tcPr>
            <w:tcW w:type="dxa" w:w="2736"/>
            <w:vAlign w:val="center"/>
            <w:shd w:fill="F3F6F7"/>
          </w:tcPr>
          <w:p>
            <w:pPr>
              <w:spacing w:after="0"/>
            </w:pPr>
            <w:r/>
            <w:r>
              <w:rPr>
                <w:rFonts w:ascii="Aptos" w:hAnsi="Aptos"/>
                <w:b w:val="0"/>
                <w:sz w:val="15"/>
              </w:rPr>
              <w:t>Control baseline</w:t>
            </w:r>
          </w:p>
        </w:tc>
        <w:tc>
          <w:tcPr>
            <w:tcW w:type="dxa" w:w="6912"/>
            <w:vAlign w:val="center"/>
            <w:shd w:fill="F3F6F7"/>
          </w:tcPr>
          <w:p>
            <w:pPr>
              <w:spacing w:after="0"/>
            </w:pPr>
            <w:r/>
            <w:r>
              <w:rPr>
                <w:rFonts w:ascii="Aptos" w:hAnsi="Aptos"/>
                <w:b w:val="0"/>
                <w:sz w:val="15"/>
              </w:rPr>
              <w:t>59 controls across nine domains</w:t>
            </w:r>
          </w:p>
        </w:tc>
      </w:tr>
      <w:tr>
        <w:trPr>
          <w:cantSplit/>
        </w:trPr>
        <w:tc>
          <w:tcPr>
            <w:tcW w:type="dxa" w:w="2736"/>
            <w:vAlign w:val="center"/>
          </w:tcPr>
          <w:p>
            <w:pPr>
              <w:spacing w:after="0"/>
            </w:pPr>
            <w:r/>
            <w:r>
              <w:rPr>
                <w:rFonts w:ascii="Aptos" w:hAnsi="Aptos"/>
                <w:b w:val="0"/>
                <w:sz w:val="15"/>
              </w:rPr>
              <w:t>Foundational profile</w:t>
            </w:r>
          </w:p>
        </w:tc>
        <w:tc>
          <w:tcPr>
            <w:tcW w:type="dxa" w:w="6912"/>
            <w:vAlign w:val="center"/>
          </w:tcPr>
          <w:p>
            <w:pPr>
              <w:spacing w:after="0"/>
            </w:pPr>
            <w:r/>
            <w:r>
              <w:rPr>
                <w:rFonts w:ascii="Aptos" w:hAnsi="Aptos"/>
                <w:b w:val="0"/>
                <w:sz w:val="15"/>
              </w:rPr>
              <w:t>52 controls, as enumerated in the authoritative GAISSF profile register</w:t>
            </w:r>
          </w:p>
        </w:tc>
      </w:tr>
      <w:tr>
        <w:trPr>
          <w:cantSplit/>
        </w:trPr>
        <w:tc>
          <w:tcPr>
            <w:tcW w:type="dxa" w:w="2736"/>
            <w:vAlign w:val="center"/>
            <w:shd w:fill="F3F6F7"/>
          </w:tcPr>
          <w:p>
            <w:pPr>
              <w:spacing w:after="0"/>
            </w:pPr>
            <w:r/>
            <w:r>
              <w:rPr>
                <w:rFonts w:ascii="Aptos" w:hAnsi="Aptos"/>
                <w:b w:val="0"/>
                <w:sz w:val="15"/>
              </w:rPr>
              <w:t>Publication date</w:t>
            </w:r>
          </w:p>
        </w:tc>
        <w:tc>
          <w:tcPr>
            <w:tcW w:type="dxa" w:w="6912"/>
            <w:vAlign w:val="center"/>
            <w:shd w:fill="F3F6F7"/>
          </w:tcPr>
          <w:p>
            <w:pPr>
              <w:spacing w:after="0"/>
            </w:pPr>
            <w:r/>
            <w:r>
              <w:rPr>
                <w:rFonts w:ascii="Aptos" w:hAnsi="Aptos"/>
                <w:b w:val="0"/>
                <w:sz w:val="15"/>
              </w:rPr>
              <w:t>29 June 2026</w:t>
            </w:r>
          </w:p>
        </w:tc>
      </w:tr>
    </w:tbl>
    <w:p/>
    <w:p>
      <w:pPr>
        <w:pStyle w:val="SmallNote"/>
        <w:jc w:val="center"/>
      </w:pPr>
      <w:r>
        <w:t>This guide supports adoption planning. It does not establish, amend or replace GAISSF requirements. GAISSF-NOR-001 and the controlled conformance profile prevail.</w:t>
      </w:r>
    </w:p>
    <w:p>
      <w:r/>
    </w:p>
    <w:p>
      <w:pPr>
        <w:pStyle w:val="Heading1"/>
      </w:pPr>
      <w:r>
        <w:t>Document Control</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736"/>
            <w:vAlign w:val="center"/>
            <w:shd w:fill="17324D"/>
          </w:tcPr>
          <w:p>
            <w:pPr>
              <w:spacing w:after="0"/>
            </w:pPr>
            <w:r/>
            <w:r>
              <w:rPr>
                <w:rFonts w:ascii="Aptos" w:hAnsi="Aptos"/>
                <w:b/>
                <w:color w:val="FFFFFF"/>
                <w:sz w:val="16"/>
              </w:rPr>
              <w:t>Attribute</w:t>
            </w:r>
          </w:p>
        </w:tc>
        <w:tc>
          <w:tcPr>
            <w:tcW w:type="dxa" w:w="6912"/>
            <w:vAlign w:val="center"/>
            <w:shd w:fill="17324D"/>
          </w:tcPr>
          <w:p>
            <w:pPr>
              <w:spacing w:after="0"/>
            </w:pPr>
            <w:r/>
            <w:r>
              <w:rPr>
                <w:rFonts w:ascii="Aptos" w:hAnsi="Aptos"/>
                <w:b/>
                <w:color w:val="FFFFFF"/>
                <w:sz w:val="16"/>
              </w:rPr>
              <w:t>Controlled value</w:t>
            </w:r>
          </w:p>
        </w:tc>
      </w:tr>
      <w:tr>
        <w:trPr>
          <w:cantSplit/>
        </w:trPr>
        <w:tc>
          <w:tcPr>
            <w:tcW w:type="dxa" w:w="2736"/>
            <w:vAlign w:val="center"/>
          </w:tcPr>
          <w:p>
            <w:pPr>
              <w:spacing w:after="0"/>
            </w:pPr>
            <w:r/>
            <w:r>
              <w:rPr>
                <w:rFonts w:ascii="Aptos" w:hAnsi="Aptos"/>
                <w:b w:val="0"/>
                <w:sz w:val="15"/>
              </w:rPr>
              <w:t>Title</w:t>
            </w:r>
          </w:p>
        </w:tc>
        <w:tc>
          <w:tcPr>
            <w:tcW w:type="dxa" w:w="6912"/>
            <w:vAlign w:val="center"/>
          </w:tcPr>
          <w:p>
            <w:pPr>
              <w:spacing w:after="0"/>
            </w:pPr>
            <w:r/>
            <w:r>
              <w:rPr>
                <w:rFonts w:ascii="Aptos" w:hAnsi="Aptos"/>
                <w:b w:val="0"/>
                <w:sz w:val="15"/>
              </w:rPr>
              <w:t>GAISSF® v1.0 Adoption Guide</w:t>
            </w:r>
          </w:p>
        </w:tc>
      </w:tr>
      <w:tr>
        <w:trPr>
          <w:cantSplit/>
        </w:trPr>
        <w:tc>
          <w:tcPr>
            <w:tcW w:type="dxa" w:w="2736"/>
            <w:vAlign w:val="center"/>
            <w:shd w:fill="F3F6F7"/>
          </w:tcPr>
          <w:p>
            <w:pPr>
              <w:spacing w:after="0"/>
            </w:pPr>
            <w:r/>
            <w:r>
              <w:rPr>
                <w:rFonts w:ascii="Aptos" w:hAnsi="Aptos"/>
                <w:b w:val="0"/>
                <w:sz w:val="15"/>
              </w:rPr>
              <w:t>Document ID</w:t>
            </w:r>
          </w:p>
        </w:tc>
        <w:tc>
          <w:tcPr>
            <w:tcW w:type="dxa" w:w="6912"/>
            <w:vAlign w:val="center"/>
            <w:shd w:fill="F3F6F7"/>
          </w:tcPr>
          <w:p>
            <w:pPr>
              <w:spacing w:after="0"/>
            </w:pPr>
            <w:r/>
            <w:r>
              <w:rPr>
                <w:rFonts w:ascii="Aptos" w:hAnsi="Aptos"/>
                <w:b w:val="0"/>
                <w:sz w:val="15"/>
              </w:rPr>
              <w:t>GAISSF-IMP-009</w:t>
            </w:r>
          </w:p>
        </w:tc>
      </w:tr>
      <w:tr>
        <w:trPr>
          <w:cantSplit/>
        </w:trPr>
        <w:tc>
          <w:tcPr>
            <w:tcW w:type="dxa" w:w="2736"/>
            <w:vAlign w:val="center"/>
          </w:tcPr>
          <w:p>
            <w:pPr>
              <w:spacing w:after="0"/>
            </w:pPr>
            <w:r/>
            <w:r>
              <w:rPr>
                <w:rFonts w:ascii="Aptos" w:hAnsi="Aptos"/>
                <w:b w:val="0"/>
                <w:sz w:val="15"/>
              </w:rPr>
              <w:t>Version</w:t>
            </w:r>
          </w:p>
        </w:tc>
        <w:tc>
          <w:tcPr>
            <w:tcW w:type="dxa" w:w="6912"/>
            <w:vAlign w:val="center"/>
          </w:tcPr>
          <w:p>
            <w:pPr>
              <w:spacing w:after="0"/>
            </w:pPr>
            <w:r/>
            <w:r>
              <w:rPr>
                <w:rFonts w:ascii="Aptos" w:hAnsi="Aptos"/>
                <w:b w:val="0"/>
                <w:sz w:val="15"/>
              </w:rPr>
              <w:t>1.0</w:t>
            </w:r>
          </w:p>
        </w:tc>
      </w:tr>
      <w:tr>
        <w:trPr>
          <w:cantSplit/>
        </w:trPr>
        <w:tc>
          <w:tcPr>
            <w:tcW w:type="dxa" w:w="2736"/>
            <w:vAlign w:val="center"/>
            <w:shd w:fill="F3F6F7"/>
          </w:tcPr>
          <w:p>
            <w:pPr>
              <w:spacing w:after="0"/>
            </w:pPr>
            <w:r/>
            <w:r>
              <w:rPr>
                <w:rFonts w:ascii="Aptos" w:hAnsi="Aptos"/>
                <w:b w:val="0"/>
                <w:sz w:val="15"/>
              </w:rPr>
              <w:t>Purpose</w:t>
            </w:r>
          </w:p>
        </w:tc>
        <w:tc>
          <w:tcPr>
            <w:tcW w:type="dxa" w:w="6912"/>
            <w:vAlign w:val="center"/>
            <w:shd w:fill="F3F6F7"/>
          </w:tcPr>
          <w:p>
            <w:pPr>
              <w:spacing w:after="0"/>
            </w:pPr>
            <w:r/>
            <w:r>
              <w:rPr>
                <w:rFonts w:ascii="Aptos" w:hAnsi="Aptos"/>
                <w:b w:val="0"/>
                <w:sz w:val="15"/>
              </w:rPr>
              <w:t>Guide organizations in establishing a GAISSF adoption program</w:t>
            </w:r>
          </w:p>
        </w:tc>
      </w:tr>
      <w:tr>
        <w:trPr>
          <w:cantSplit/>
        </w:trPr>
        <w:tc>
          <w:tcPr>
            <w:tcW w:type="dxa" w:w="2736"/>
            <w:vAlign w:val="center"/>
          </w:tcPr>
          <w:p>
            <w:pPr>
              <w:spacing w:after="0"/>
            </w:pPr>
            <w:r/>
            <w:r>
              <w:rPr>
                <w:rFonts w:ascii="Aptos" w:hAnsi="Aptos"/>
                <w:b w:val="0"/>
                <w:sz w:val="15"/>
              </w:rPr>
              <w:t>Primary audience</w:t>
            </w:r>
          </w:p>
        </w:tc>
        <w:tc>
          <w:tcPr>
            <w:tcW w:type="dxa" w:w="6912"/>
            <w:vAlign w:val="center"/>
          </w:tcPr>
          <w:p>
            <w:pPr>
              <w:spacing w:after="0"/>
            </w:pPr>
            <w:r/>
            <w:r>
              <w:rPr>
                <w:rFonts w:ascii="Aptos" w:hAnsi="Aptos"/>
                <w:b w:val="0"/>
                <w:sz w:val="15"/>
              </w:rPr>
              <w:t>Boards, executives, CISOs, AI governance leads, security architects, compliance, risk, legal, internal audit and program managers</w:t>
            </w:r>
          </w:p>
        </w:tc>
      </w:tr>
      <w:tr>
        <w:trPr>
          <w:cantSplit/>
        </w:trPr>
        <w:tc>
          <w:tcPr>
            <w:tcW w:type="dxa" w:w="2736"/>
            <w:vAlign w:val="center"/>
            <w:shd w:fill="F3F6F7"/>
          </w:tcPr>
          <w:p>
            <w:pPr>
              <w:spacing w:after="0"/>
            </w:pPr>
            <w:r/>
            <w:r>
              <w:rPr>
                <w:rFonts w:ascii="Aptos" w:hAnsi="Aptos"/>
                <w:b w:val="0"/>
                <w:sz w:val="15"/>
              </w:rPr>
              <w:t>Classification</w:t>
            </w:r>
          </w:p>
        </w:tc>
        <w:tc>
          <w:tcPr>
            <w:tcW w:type="dxa" w:w="6912"/>
            <w:vAlign w:val="center"/>
            <w:shd w:fill="F3F6F7"/>
          </w:tcPr>
          <w:p>
            <w:pPr>
              <w:spacing w:after="0"/>
            </w:pPr>
            <w:r/>
            <w:r>
              <w:rPr>
                <w:rFonts w:ascii="Aptos" w:hAnsi="Aptos"/>
                <w:b w:val="0"/>
                <w:sz w:val="15"/>
              </w:rPr>
              <w:t>Informative implementation guidance</w:t>
            </w:r>
          </w:p>
        </w:tc>
      </w:tr>
      <w:tr>
        <w:trPr>
          <w:cantSplit/>
        </w:trPr>
        <w:tc>
          <w:tcPr>
            <w:tcW w:type="dxa" w:w="2736"/>
            <w:vAlign w:val="center"/>
          </w:tcPr>
          <w:p>
            <w:pPr>
              <w:spacing w:after="0"/>
            </w:pPr>
            <w:r/>
            <w:r>
              <w:rPr>
                <w:rFonts w:ascii="Aptos" w:hAnsi="Aptos"/>
                <w:b w:val="0"/>
                <w:sz w:val="15"/>
              </w:rPr>
              <w:t>Dependencies</w:t>
            </w:r>
          </w:p>
        </w:tc>
        <w:tc>
          <w:tcPr>
            <w:tcW w:type="dxa" w:w="6912"/>
            <w:vAlign w:val="center"/>
          </w:tcPr>
          <w:p>
            <w:pPr>
              <w:spacing w:after="0"/>
            </w:pPr>
            <w:r/>
            <w:r>
              <w:rPr>
                <w:rFonts w:ascii="Aptos" w:hAnsi="Aptos"/>
                <w:b w:val="0"/>
                <w:sz w:val="15"/>
              </w:rPr>
              <w:t>GAISSF-NOR-001 through GAISSF-NOR-008</w:t>
            </w:r>
          </w:p>
        </w:tc>
      </w:tr>
      <w:tr>
        <w:trPr>
          <w:cantSplit/>
        </w:trPr>
        <w:tc>
          <w:tcPr>
            <w:tcW w:type="dxa" w:w="2736"/>
            <w:vAlign w:val="center"/>
            <w:shd w:fill="F3F6F7"/>
          </w:tcPr>
          <w:p>
            <w:pPr>
              <w:spacing w:after="0"/>
            </w:pPr>
            <w:r/>
            <w:r>
              <w:rPr>
                <w:rFonts w:ascii="Aptos" w:hAnsi="Aptos"/>
                <w:b w:val="0"/>
                <w:sz w:val="15"/>
              </w:rPr>
              <w:t>Precedence</w:t>
            </w:r>
          </w:p>
        </w:tc>
        <w:tc>
          <w:tcPr>
            <w:tcW w:type="dxa" w:w="6912"/>
            <w:vAlign w:val="center"/>
            <w:shd w:fill="F3F6F7"/>
          </w:tcPr>
          <w:p>
            <w:pPr>
              <w:spacing w:after="0"/>
            </w:pPr>
            <w:r/>
            <w:r>
              <w:rPr>
                <w:rFonts w:ascii="Aptos" w:hAnsi="Aptos"/>
                <w:b w:val="0"/>
                <w:sz w:val="15"/>
              </w:rPr>
              <w:t>GAISSF-NOR-001 and controlled profile records prevail</w:t>
            </w:r>
          </w:p>
        </w:tc>
      </w:tr>
      <w:tr>
        <w:trPr>
          <w:cantSplit/>
        </w:trPr>
        <w:tc>
          <w:tcPr>
            <w:tcW w:type="dxa" w:w="2736"/>
            <w:vAlign w:val="center"/>
          </w:tcPr>
          <w:p>
            <w:pPr>
              <w:spacing w:after="0"/>
            </w:pPr>
            <w:r/>
            <w:r>
              <w:rPr>
                <w:rFonts w:ascii="Aptos" w:hAnsi="Aptos"/>
                <w:b w:val="0"/>
                <w:sz w:val="15"/>
              </w:rPr>
              <w:t>Distribution</w:t>
            </w:r>
          </w:p>
        </w:tc>
        <w:tc>
          <w:tcPr>
            <w:tcW w:type="dxa" w:w="6912"/>
            <w:vAlign w:val="center"/>
          </w:tcPr>
          <w:p>
            <w:pPr>
              <w:spacing w:after="0"/>
            </w:pPr>
            <w:r/>
            <w:r>
              <w:rPr>
                <w:rFonts w:ascii="Aptos" w:hAnsi="Aptos"/>
                <w:b w:val="0"/>
                <w:sz w:val="15"/>
              </w:rPr>
              <w:t>Public — Website and GitHub</w:t>
            </w:r>
          </w:p>
        </w:tc>
      </w:tr>
    </w:tbl>
    <w:p/>
    <w:p>
      <w:pPr>
        <w:pStyle w:val="Heading1"/>
      </w:pPr>
      <w:r>
        <w:t>Copyright, Licensing and Legal Notices</w:t>
      </w:r>
    </w:p>
    <w:p>
      <w:r>
        <w:t>© 2026 ODA3 Pvt Ltd. Published market-facing by ODA3 Institute.</w:t>
      </w:r>
    </w:p>
    <w:p>
      <w:r>
        <w:t>GAISSF® is used as a framework mark. Third-party names and marks remain the property of their respective owners.</w:t>
      </w:r>
    </w:p>
    <w:p>
      <w:r>
        <w:t>This guide does not constitute legal, regulatory, safety, engineering, certification or audit advice.</w:t>
      </w:r>
      <w:r>
        <w:t xml:space="preserve"> It does not create a legal safe harbour, establish a legal standard of care, or determine statutory compliance in any jurisdiction.</w:t>
      </w:r>
    </w:p>
    <w:p>
      <w:r>
        <w:t>Adoption of GAISSF does not by itself establish legal compliance, certification eligibility, system safety, security, fairness, reliability or absence of harmful outcomes.</w:t>
      </w:r>
    </w:p>
    <w:p>
      <w:pPr>
        <w:pStyle w:val="Heading1"/>
      </w:pPr>
      <w:r>
        <w:t>Foreword</w:t>
      </w:r>
    </w:p>
    <w:p>
      <w:r>
        <w:t>GAISSF adoption is a program of governance, engineering, evidence and assurance—not a document-acquisition exercise. Organizations obtain value when control ownership, operating processes, technical validation and executive risk decisions are integrated into normal business and system lifecycle practices.</w:t>
      </w:r>
    </w:p>
    <w:p>
      <w:pPr>
        <w:pStyle w:val="Heading1"/>
      </w:pPr>
      <w:r>
        <w:t>1. Purpose and Scope</w:t>
      </w:r>
    </w:p>
    <w:p>
      <w:r>
        <w:t>This guide provides a structured method for planning and establishing a GAISSF adoption program. It covers sponsorship, scope, governance, resourcing, control ownership, gap assessment, evidence architecture, remediation, internal assurance, certification readiness and continuing operation.</w:t>
      </w:r>
    </w:p>
    <w:p>
      <w:r>
        <w:t>The guide applies to enterprise-wide, business-unit, service, platform, product and AI-system adoption. Organizations should tailor the sequence to their size, sector, jurisdiction, deployment model and risk exposure.</w:t>
      </w:r>
    </w:p>
    <w:p>
      <w:pPr>
        <w:pStyle w:val="Heading1"/>
      </w:pPr>
      <w:r>
        <w:t>2. Adoption Principles</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880"/>
            <w:vAlign w:val="center"/>
            <w:shd w:fill="17324D"/>
          </w:tcPr>
          <w:p>
            <w:pPr>
              <w:spacing w:after="0"/>
            </w:pPr>
            <w:r/>
            <w:r>
              <w:rPr>
                <w:rFonts w:ascii="Aptos" w:hAnsi="Aptos"/>
                <w:b/>
                <w:color w:val="FFFFFF"/>
                <w:sz w:val="16"/>
              </w:rPr>
              <w:t>Principle</w:t>
            </w:r>
          </w:p>
        </w:tc>
        <w:tc>
          <w:tcPr>
            <w:tcW w:type="dxa" w:w="6768"/>
            <w:vAlign w:val="center"/>
            <w:shd w:fill="17324D"/>
          </w:tcPr>
          <w:p>
            <w:pPr>
              <w:spacing w:after="0"/>
            </w:pPr>
            <w:r/>
            <w:r>
              <w:rPr>
                <w:rFonts w:ascii="Aptos" w:hAnsi="Aptos"/>
                <w:b/>
                <w:color w:val="FFFFFF"/>
                <w:sz w:val="16"/>
              </w:rPr>
              <w:t>Adoption meaning</w:t>
            </w:r>
          </w:p>
        </w:tc>
      </w:tr>
      <w:tr>
        <w:trPr>
          <w:cantSplit/>
        </w:trPr>
        <w:tc>
          <w:tcPr>
            <w:tcW w:type="dxa" w:w="2880"/>
            <w:vAlign w:val="center"/>
          </w:tcPr>
          <w:p>
            <w:pPr>
              <w:spacing w:after="0"/>
            </w:pPr>
            <w:r/>
            <w:r>
              <w:rPr>
                <w:rFonts w:ascii="Aptos" w:hAnsi="Aptos"/>
                <w:b w:val="0"/>
                <w:sz w:val="15"/>
              </w:rPr>
              <w:t>Authoritative-source discipline</w:t>
            </w:r>
          </w:p>
        </w:tc>
        <w:tc>
          <w:tcPr>
            <w:tcW w:type="dxa" w:w="6768"/>
            <w:vAlign w:val="center"/>
          </w:tcPr>
          <w:p>
            <w:pPr>
              <w:spacing w:after="0"/>
            </w:pPr>
            <w:r/>
            <w:r>
              <w:rPr>
                <w:rFonts w:ascii="Aptos" w:hAnsi="Aptos"/>
                <w:b w:val="0"/>
                <w:sz w:val="15"/>
              </w:rPr>
              <w:t>Use NOR-001 and the controlled 59-control catalogue as the source of requirements. Do not re-author controls in local language without traceability.</w:t>
            </w:r>
          </w:p>
        </w:tc>
      </w:tr>
      <w:tr>
        <w:trPr>
          <w:cantSplit/>
        </w:trPr>
        <w:tc>
          <w:tcPr>
            <w:tcW w:type="dxa" w:w="2880"/>
            <w:vAlign w:val="center"/>
            <w:shd w:fill="F3F6F7"/>
          </w:tcPr>
          <w:p>
            <w:pPr>
              <w:spacing w:after="0"/>
            </w:pPr>
            <w:r/>
            <w:r>
              <w:rPr>
                <w:rFonts w:ascii="Aptos" w:hAnsi="Aptos"/>
                <w:b w:val="0"/>
                <w:sz w:val="15"/>
              </w:rPr>
              <w:t>Scope before scoring</w:t>
            </w:r>
          </w:p>
        </w:tc>
        <w:tc>
          <w:tcPr>
            <w:tcW w:type="dxa" w:w="6768"/>
            <w:vAlign w:val="center"/>
            <w:shd w:fill="F3F6F7"/>
          </w:tcPr>
          <w:p>
            <w:pPr>
              <w:spacing w:after="0"/>
            </w:pPr>
            <w:r/>
            <w:r>
              <w:rPr>
                <w:rFonts w:ascii="Aptos" w:hAnsi="Aptos"/>
                <w:b w:val="0"/>
                <w:sz w:val="15"/>
              </w:rPr>
              <w:t>Define organizational, system, geographic, lifecycle and supplier boundaries before assessing conformance.</w:t>
            </w:r>
          </w:p>
        </w:tc>
      </w:tr>
      <w:tr>
        <w:trPr>
          <w:cantSplit/>
        </w:trPr>
        <w:tc>
          <w:tcPr>
            <w:tcW w:type="dxa" w:w="2880"/>
            <w:vAlign w:val="center"/>
          </w:tcPr>
          <w:p>
            <w:pPr>
              <w:spacing w:after="0"/>
            </w:pPr>
            <w:r/>
            <w:r>
              <w:rPr>
                <w:rFonts w:ascii="Aptos" w:hAnsi="Aptos"/>
                <w:b w:val="0"/>
                <w:sz w:val="15"/>
              </w:rPr>
              <w:t>Risk-based but not optional-by-preference</w:t>
            </w:r>
          </w:p>
        </w:tc>
        <w:tc>
          <w:tcPr>
            <w:tcW w:type="dxa" w:w="6768"/>
            <w:vAlign w:val="center"/>
          </w:tcPr>
          <w:p>
            <w:pPr>
              <w:spacing w:after="0"/>
            </w:pPr>
            <w:r/>
            <w:r>
              <w:rPr>
                <w:rFonts w:ascii="Aptos" w:hAnsi="Aptos"/>
                <w:b w:val="0"/>
                <w:sz w:val="15"/>
              </w:rPr>
              <w:t>Apply the controlled conformance profile and document justified exceptions; do not select only convenient controls.</w:t>
            </w:r>
          </w:p>
        </w:tc>
      </w:tr>
      <w:tr>
        <w:trPr>
          <w:cantSplit/>
        </w:trPr>
        <w:tc>
          <w:tcPr>
            <w:tcW w:type="dxa" w:w="2880"/>
            <w:vAlign w:val="center"/>
            <w:shd w:fill="F3F6F7"/>
          </w:tcPr>
          <w:p>
            <w:pPr>
              <w:spacing w:after="0"/>
            </w:pPr>
            <w:r/>
            <w:r>
              <w:rPr>
                <w:rFonts w:ascii="Aptos" w:hAnsi="Aptos"/>
                <w:b w:val="0"/>
                <w:sz w:val="15"/>
              </w:rPr>
              <w:t>Evidence over assertion</w:t>
            </w:r>
          </w:p>
        </w:tc>
        <w:tc>
          <w:tcPr>
            <w:tcW w:type="dxa" w:w="6768"/>
            <w:vAlign w:val="center"/>
            <w:shd w:fill="F3F6F7"/>
          </w:tcPr>
          <w:p>
            <w:pPr>
              <w:spacing w:after="0"/>
            </w:pPr>
            <w:r/>
            <w:r>
              <w:rPr>
                <w:rFonts w:ascii="Aptos" w:hAnsi="Aptos"/>
                <w:b w:val="0"/>
                <w:sz w:val="15"/>
              </w:rPr>
              <w:t>Require operating evidence showing that controls function in the assessed scope.</w:t>
            </w:r>
          </w:p>
        </w:tc>
      </w:tr>
      <w:tr>
        <w:trPr>
          <w:cantSplit/>
        </w:trPr>
        <w:tc>
          <w:tcPr>
            <w:tcW w:type="dxa" w:w="2880"/>
            <w:vAlign w:val="center"/>
          </w:tcPr>
          <w:p>
            <w:pPr>
              <w:spacing w:after="0"/>
            </w:pPr>
            <w:r/>
            <w:r>
              <w:rPr>
                <w:rFonts w:ascii="Aptos" w:hAnsi="Aptos"/>
                <w:b w:val="0"/>
                <w:sz w:val="15"/>
              </w:rPr>
              <w:t>Cross-functional ownership</w:t>
            </w:r>
          </w:p>
        </w:tc>
        <w:tc>
          <w:tcPr>
            <w:tcW w:type="dxa" w:w="6768"/>
            <w:vAlign w:val="center"/>
          </w:tcPr>
          <w:p>
            <w:pPr>
              <w:spacing w:after="0"/>
            </w:pPr>
            <w:r/>
            <w:r>
              <w:rPr>
                <w:rFonts w:ascii="Aptos" w:hAnsi="Aptos"/>
                <w:b w:val="0"/>
                <w:sz w:val="15"/>
              </w:rPr>
              <w:t>Distribute accountability across governance, security, engineering, data, privacy, safety, legal, procurement and audit.</w:t>
            </w:r>
          </w:p>
        </w:tc>
      </w:tr>
      <w:tr>
        <w:trPr>
          <w:cantSplit/>
        </w:trPr>
        <w:tc>
          <w:tcPr>
            <w:tcW w:type="dxa" w:w="2880"/>
            <w:vAlign w:val="center"/>
            <w:shd w:fill="F3F6F7"/>
          </w:tcPr>
          <w:p>
            <w:pPr>
              <w:spacing w:after="0"/>
            </w:pPr>
            <w:r/>
            <w:r>
              <w:rPr>
                <w:rFonts w:ascii="Aptos" w:hAnsi="Aptos"/>
                <w:b w:val="0"/>
                <w:sz w:val="15"/>
              </w:rPr>
              <w:t>Integration over parallel bureaucracy</w:t>
            </w:r>
          </w:p>
        </w:tc>
        <w:tc>
          <w:tcPr>
            <w:tcW w:type="dxa" w:w="6768"/>
            <w:vAlign w:val="center"/>
            <w:shd w:fill="F3F6F7"/>
          </w:tcPr>
          <w:p>
            <w:pPr>
              <w:spacing w:after="0"/>
            </w:pPr>
            <w:r/>
            <w:r>
              <w:rPr>
                <w:rFonts w:ascii="Aptos" w:hAnsi="Aptos"/>
                <w:b w:val="0"/>
                <w:sz w:val="15"/>
              </w:rPr>
              <w:t>Embed GAISSF into existing management systems, development workflows, risk processes and assurance mechanisms.</w:t>
            </w:r>
          </w:p>
        </w:tc>
      </w:tr>
      <w:tr>
        <w:trPr>
          <w:cantSplit/>
        </w:trPr>
        <w:tc>
          <w:tcPr>
            <w:tcW w:type="dxa" w:w="2880"/>
            <w:vAlign w:val="center"/>
          </w:tcPr>
          <w:p>
            <w:pPr>
              <w:spacing w:after="0"/>
            </w:pPr>
            <w:r/>
            <w:r>
              <w:rPr>
                <w:rFonts w:ascii="Aptos" w:hAnsi="Aptos"/>
                <w:b w:val="0"/>
                <w:sz w:val="15"/>
              </w:rPr>
              <w:t>Continuous operation</w:t>
            </w:r>
          </w:p>
        </w:tc>
        <w:tc>
          <w:tcPr>
            <w:tcW w:type="dxa" w:w="6768"/>
            <w:vAlign w:val="center"/>
          </w:tcPr>
          <w:p>
            <w:pPr>
              <w:spacing w:after="0"/>
            </w:pPr>
            <w:r/>
            <w:r>
              <w:rPr>
                <w:rFonts w:ascii="Aptos" w:hAnsi="Aptos"/>
                <w:b w:val="0"/>
                <w:sz w:val="15"/>
              </w:rPr>
              <w:t>Treat adoption as an operating system with monitoring, review and improvement—not a one-time project.</w:t>
            </w:r>
          </w:p>
        </w:tc>
      </w:tr>
    </w:tbl>
    <w:p/>
    <w:p>
      <w:pPr>
        <w:pStyle w:val="Heading1"/>
      </w:pPr>
      <w:r>
        <w:t>3. Adoption Outcomes</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2160"/>
            <w:vAlign w:val="center"/>
            <w:shd w:fill="17324D"/>
          </w:tcPr>
          <w:p>
            <w:pPr>
              <w:spacing w:after="0"/>
            </w:pPr>
            <w:r/>
            <w:r>
              <w:rPr>
                <w:rFonts w:ascii="Aptos" w:hAnsi="Aptos"/>
                <w:b/>
                <w:color w:val="FFFFFF"/>
                <w:sz w:val="16"/>
              </w:rPr>
              <w:t>Outcome</w:t>
            </w:r>
          </w:p>
        </w:tc>
        <w:tc>
          <w:tcPr>
            <w:tcW w:type="dxa" w:w="4320"/>
            <w:vAlign w:val="center"/>
            <w:shd w:fill="17324D"/>
          </w:tcPr>
          <w:p>
            <w:pPr>
              <w:spacing w:after="0"/>
            </w:pPr>
            <w:r/>
            <w:r>
              <w:rPr>
                <w:rFonts w:ascii="Aptos" w:hAnsi="Aptos"/>
                <w:b/>
                <w:color w:val="FFFFFF"/>
                <w:sz w:val="16"/>
              </w:rPr>
              <w:t>What good looks like</w:t>
            </w:r>
          </w:p>
        </w:tc>
        <w:tc>
          <w:tcPr>
            <w:tcW w:type="dxa" w:w="3168"/>
            <w:vAlign w:val="center"/>
            <w:shd w:fill="17324D"/>
          </w:tcPr>
          <w:p>
            <w:pPr>
              <w:spacing w:after="0"/>
            </w:pPr>
            <w:r/>
            <w:r>
              <w:rPr>
                <w:rFonts w:ascii="Aptos" w:hAnsi="Aptos"/>
                <w:b/>
                <w:color w:val="FFFFFF"/>
                <w:sz w:val="16"/>
              </w:rPr>
              <w:t>Evidence</w:t>
            </w:r>
          </w:p>
        </w:tc>
      </w:tr>
      <w:tr>
        <w:trPr>
          <w:cantSplit/>
        </w:trPr>
        <w:tc>
          <w:tcPr>
            <w:tcW w:type="dxa" w:w="2160"/>
            <w:vAlign w:val="center"/>
          </w:tcPr>
          <w:p>
            <w:pPr>
              <w:spacing w:after="0"/>
            </w:pPr>
            <w:r/>
            <w:r>
              <w:rPr>
                <w:rFonts w:ascii="Aptos" w:hAnsi="Aptos"/>
                <w:b w:val="0"/>
                <w:sz w:val="15"/>
              </w:rPr>
              <w:t>Governance established</w:t>
            </w:r>
          </w:p>
        </w:tc>
        <w:tc>
          <w:tcPr>
            <w:tcW w:type="dxa" w:w="4320"/>
            <w:vAlign w:val="center"/>
          </w:tcPr>
          <w:p>
            <w:pPr>
              <w:spacing w:after="0"/>
            </w:pPr>
            <w:r/>
            <w:r>
              <w:rPr>
                <w:rFonts w:ascii="Aptos" w:hAnsi="Aptos"/>
                <w:b w:val="0"/>
                <w:sz w:val="15"/>
              </w:rPr>
              <w:t>Executive sponsor, steering body, decision rights and escalation routes are active</w:t>
            </w:r>
          </w:p>
        </w:tc>
        <w:tc>
          <w:tcPr>
            <w:tcW w:type="dxa" w:w="3168"/>
            <w:vAlign w:val="center"/>
          </w:tcPr>
          <w:p>
            <w:pPr>
              <w:spacing w:after="0"/>
            </w:pPr>
            <w:r/>
            <w:r>
              <w:rPr>
                <w:rFonts w:ascii="Aptos" w:hAnsi="Aptos"/>
                <w:b w:val="0"/>
                <w:sz w:val="15"/>
              </w:rPr>
              <w:t>Charter, minutes, risk decisions</w:t>
            </w:r>
          </w:p>
        </w:tc>
      </w:tr>
      <w:tr>
        <w:trPr>
          <w:cantSplit/>
        </w:trPr>
        <w:tc>
          <w:tcPr>
            <w:tcW w:type="dxa" w:w="2160"/>
            <w:vAlign w:val="center"/>
            <w:shd w:fill="F3F6F7"/>
          </w:tcPr>
          <w:p>
            <w:pPr>
              <w:spacing w:after="0"/>
            </w:pPr>
            <w:r/>
            <w:r>
              <w:rPr>
                <w:rFonts w:ascii="Aptos" w:hAnsi="Aptos"/>
                <w:b w:val="0"/>
                <w:sz w:val="15"/>
              </w:rPr>
              <w:t>Scope controlled</w:t>
            </w:r>
          </w:p>
        </w:tc>
        <w:tc>
          <w:tcPr>
            <w:tcW w:type="dxa" w:w="4320"/>
            <w:vAlign w:val="center"/>
            <w:shd w:fill="F3F6F7"/>
          </w:tcPr>
          <w:p>
            <w:pPr>
              <w:spacing w:after="0"/>
            </w:pPr>
            <w:r/>
            <w:r>
              <w:rPr>
                <w:rFonts w:ascii="Aptos" w:hAnsi="Aptos"/>
                <w:b w:val="0"/>
                <w:sz w:val="15"/>
              </w:rPr>
              <w:t>In-scope systems, business units, suppliers and locations are enumerated</w:t>
            </w:r>
          </w:p>
        </w:tc>
        <w:tc>
          <w:tcPr>
            <w:tcW w:type="dxa" w:w="3168"/>
            <w:vAlign w:val="center"/>
            <w:shd w:fill="F3F6F7"/>
          </w:tcPr>
          <w:p>
            <w:pPr>
              <w:spacing w:after="0"/>
            </w:pPr>
            <w:r/>
            <w:r>
              <w:rPr>
                <w:rFonts w:ascii="Aptos" w:hAnsi="Aptos"/>
                <w:b w:val="0"/>
                <w:sz w:val="15"/>
              </w:rPr>
              <w:t>Scope statement, inventory, architecture diagrams</w:t>
            </w:r>
          </w:p>
        </w:tc>
      </w:tr>
      <w:tr>
        <w:trPr>
          <w:cantSplit/>
        </w:trPr>
        <w:tc>
          <w:tcPr>
            <w:tcW w:type="dxa" w:w="2160"/>
            <w:vAlign w:val="center"/>
          </w:tcPr>
          <w:p>
            <w:pPr>
              <w:spacing w:after="0"/>
            </w:pPr>
            <w:r/>
            <w:r>
              <w:rPr>
                <w:rFonts w:ascii="Aptos" w:hAnsi="Aptos"/>
                <w:b w:val="0"/>
                <w:sz w:val="15"/>
              </w:rPr>
              <w:t>Controls owned</w:t>
            </w:r>
          </w:p>
        </w:tc>
        <w:tc>
          <w:tcPr>
            <w:tcW w:type="dxa" w:w="4320"/>
            <w:vAlign w:val="center"/>
          </w:tcPr>
          <w:p>
            <w:pPr>
              <w:spacing w:after="0"/>
            </w:pPr>
            <w:r/>
            <w:r>
              <w:rPr>
                <w:rFonts w:ascii="Aptos" w:hAnsi="Aptos"/>
                <w:b w:val="0"/>
                <w:sz w:val="15"/>
              </w:rPr>
              <w:t>Each applicable control has accountable and operating owners</w:t>
            </w:r>
          </w:p>
        </w:tc>
        <w:tc>
          <w:tcPr>
            <w:tcW w:type="dxa" w:w="3168"/>
            <w:vAlign w:val="center"/>
          </w:tcPr>
          <w:p>
            <w:pPr>
              <w:spacing w:after="0"/>
            </w:pPr>
            <w:r/>
            <w:r>
              <w:rPr>
                <w:rFonts w:ascii="Aptos" w:hAnsi="Aptos"/>
                <w:b w:val="0"/>
                <w:sz w:val="15"/>
              </w:rPr>
              <w:t>RACI, control register</w:t>
            </w:r>
          </w:p>
        </w:tc>
      </w:tr>
      <w:tr>
        <w:trPr>
          <w:cantSplit/>
        </w:trPr>
        <w:tc>
          <w:tcPr>
            <w:tcW w:type="dxa" w:w="2160"/>
            <w:vAlign w:val="center"/>
            <w:shd w:fill="F3F6F7"/>
          </w:tcPr>
          <w:p>
            <w:pPr>
              <w:spacing w:after="0"/>
            </w:pPr>
            <w:r/>
            <w:r>
              <w:rPr>
                <w:rFonts w:ascii="Aptos" w:hAnsi="Aptos"/>
                <w:b w:val="0"/>
                <w:sz w:val="15"/>
              </w:rPr>
              <w:t>Gaps understood</w:t>
            </w:r>
          </w:p>
        </w:tc>
        <w:tc>
          <w:tcPr>
            <w:tcW w:type="dxa" w:w="4320"/>
            <w:vAlign w:val="center"/>
            <w:shd w:fill="F3F6F7"/>
          </w:tcPr>
          <w:p>
            <w:pPr>
              <w:spacing w:after="0"/>
            </w:pPr>
            <w:r/>
            <w:r>
              <w:rPr>
                <w:rFonts w:ascii="Aptos" w:hAnsi="Aptos"/>
                <w:b w:val="0"/>
                <w:sz w:val="15"/>
              </w:rPr>
              <w:t>Design and operating gaps are recorded and prioritized</w:t>
            </w:r>
          </w:p>
        </w:tc>
        <w:tc>
          <w:tcPr>
            <w:tcW w:type="dxa" w:w="3168"/>
            <w:vAlign w:val="center"/>
            <w:shd w:fill="F3F6F7"/>
          </w:tcPr>
          <w:p>
            <w:pPr>
              <w:spacing w:after="0"/>
            </w:pPr>
            <w:r/>
            <w:r>
              <w:rPr>
                <w:rFonts w:ascii="Aptos" w:hAnsi="Aptos"/>
                <w:b w:val="0"/>
                <w:sz w:val="15"/>
              </w:rPr>
              <w:t>Gap assessment, risk ratings</w:t>
            </w:r>
          </w:p>
        </w:tc>
      </w:tr>
      <w:tr>
        <w:trPr>
          <w:cantSplit/>
        </w:trPr>
        <w:tc>
          <w:tcPr>
            <w:tcW w:type="dxa" w:w="2160"/>
            <w:vAlign w:val="center"/>
          </w:tcPr>
          <w:p>
            <w:pPr>
              <w:spacing w:after="0"/>
            </w:pPr>
            <w:r/>
            <w:r>
              <w:rPr>
                <w:rFonts w:ascii="Aptos" w:hAnsi="Aptos"/>
                <w:b w:val="0"/>
                <w:sz w:val="15"/>
              </w:rPr>
              <w:t>Evidence managed</w:t>
            </w:r>
          </w:p>
        </w:tc>
        <w:tc>
          <w:tcPr>
            <w:tcW w:type="dxa" w:w="4320"/>
            <w:vAlign w:val="center"/>
          </w:tcPr>
          <w:p>
            <w:pPr>
              <w:spacing w:after="0"/>
            </w:pPr>
            <w:r/>
            <w:r>
              <w:rPr>
                <w:rFonts w:ascii="Aptos" w:hAnsi="Aptos"/>
                <w:b w:val="0"/>
                <w:sz w:val="15"/>
              </w:rPr>
              <w:t>Evidence is indexed, current, traceable and reviewable</w:t>
            </w:r>
          </w:p>
        </w:tc>
        <w:tc>
          <w:tcPr>
            <w:tcW w:type="dxa" w:w="3168"/>
            <w:vAlign w:val="center"/>
          </w:tcPr>
          <w:p>
            <w:pPr>
              <w:spacing w:after="0"/>
            </w:pPr>
            <w:r/>
            <w:r>
              <w:rPr>
                <w:rFonts w:ascii="Aptos" w:hAnsi="Aptos"/>
                <w:b w:val="0"/>
                <w:sz w:val="15"/>
              </w:rPr>
              <w:t>Evidence repository and index</w:t>
            </w:r>
          </w:p>
        </w:tc>
      </w:tr>
      <w:tr>
        <w:trPr>
          <w:cantSplit/>
        </w:trPr>
        <w:tc>
          <w:tcPr>
            <w:tcW w:type="dxa" w:w="2160"/>
            <w:vAlign w:val="center"/>
            <w:shd w:fill="F3F6F7"/>
          </w:tcPr>
          <w:p>
            <w:pPr>
              <w:spacing w:after="0"/>
            </w:pPr>
            <w:r/>
            <w:r>
              <w:rPr>
                <w:rFonts w:ascii="Aptos" w:hAnsi="Aptos"/>
                <w:b w:val="0"/>
                <w:sz w:val="15"/>
              </w:rPr>
              <w:t>Remediation funded</w:t>
            </w:r>
          </w:p>
        </w:tc>
        <w:tc>
          <w:tcPr>
            <w:tcW w:type="dxa" w:w="4320"/>
            <w:vAlign w:val="center"/>
            <w:shd w:fill="F3F6F7"/>
          </w:tcPr>
          <w:p>
            <w:pPr>
              <w:spacing w:after="0"/>
            </w:pPr>
            <w:r/>
            <w:r>
              <w:rPr>
                <w:rFonts w:ascii="Aptos" w:hAnsi="Aptos"/>
                <w:b w:val="0"/>
                <w:sz w:val="15"/>
              </w:rPr>
              <w:t>Corrective actions have owners, dates and resources</w:t>
            </w:r>
          </w:p>
        </w:tc>
        <w:tc>
          <w:tcPr>
            <w:tcW w:type="dxa" w:w="3168"/>
            <w:vAlign w:val="center"/>
            <w:shd w:fill="F3F6F7"/>
          </w:tcPr>
          <w:p>
            <w:pPr>
              <w:spacing w:after="0"/>
            </w:pPr>
            <w:r/>
            <w:r>
              <w:rPr>
                <w:rFonts w:ascii="Aptos" w:hAnsi="Aptos"/>
                <w:b w:val="0"/>
                <w:sz w:val="15"/>
              </w:rPr>
              <w:t>Approved roadmap, budget, action log</w:t>
            </w:r>
          </w:p>
        </w:tc>
      </w:tr>
      <w:tr>
        <w:trPr>
          <w:cantSplit/>
        </w:trPr>
        <w:tc>
          <w:tcPr>
            <w:tcW w:type="dxa" w:w="2160"/>
            <w:vAlign w:val="center"/>
          </w:tcPr>
          <w:p>
            <w:pPr>
              <w:spacing w:after="0"/>
            </w:pPr>
            <w:r/>
            <w:r>
              <w:rPr>
                <w:rFonts w:ascii="Aptos" w:hAnsi="Aptos"/>
                <w:b w:val="0"/>
                <w:sz w:val="15"/>
              </w:rPr>
              <w:t>Assurance operating</w:t>
            </w:r>
          </w:p>
        </w:tc>
        <w:tc>
          <w:tcPr>
            <w:tcW w:type="dxa" w:w="4320"/>
            <w:vAlign w:val="center"/>
          </w:tcPr>
          <w:p>
            <w:pPr>
              <w:spacing w:after="0"/>
            </w:pPr>
            <w:r/>
            <w:r>
              <w:rPr>
                <w:rFonts w:ascii="Aptos" w:hAnsi="Aptos"/>
                <w:b w:val="0"/>
                <w:sz w:val="15"/>
              </w:rPr>
              <w:t>Internal testing and management review are recurring</w:t>
            </w:r>
          </w:p>
        </w:tc>
        <w:tc>
          <w:tcPr>
            <w:tcW w:type="dxa" w:w="3168"/>
            <w:vAlign w:val="center"/>
          </w:tcPr>
          <w:p>
            <w:pPr>
              <w:spacing w:after="0"/>
            </w:pPr>
            <w:r/>
            <w:r>
              <w:rPr>
                <w:rFonts w:ascii="Aptos" w:hAnsi="Aptos"/>
                <w:b w:val="0"/>
                <w:sz w:val="15"/>
              </w:rPr>
              <w:t>Test results, audit reports, review records</w:t>
            </w:r>
          </w:p>
        </w:tc>
      </w:tr>
      <w:tr>
        <w:trPr>
          <w:cantSplit/>
        </w:trPr>
        <w:tc>
          <w:tcPr>
            <w:tcW w:type="dxa" w:w="2160"/>
            <w:vAlign w:val="center"/>
            <w:shd w:fill="F3F6F7"/>
          </w:tcPr>
          <w:p>
            <w:pPr>
              <w:spacing w:after="0"/>
            </w:pPr>
            <w:r/>
            <w:r>
              <w:rPr>
                <w:rFonts w:ascii="Aptos" w:hAnsi="Aptos"/>
                <w:b w:val="0"/>
                <w:sz w:val="15"/>
              </w:rPr>
              <w:t>Certification decision informed</w:t>
            </w:r>
          </w:p>
        </w:tc>
        <w:tc>
          <w:tcPr>
            <w:tcW w:type="dxa" w:w="4320"/>
            <w:vAlign w:val="center"/>
            <w:shd w:fill="F3F6F7"/>
          </w:tcPr>
          <w:p>
            <w:pPr>
              <w:spacing w:after="0"/>
            </w:pPr>
            <w:r/>
            <w:r>
              <w:rPr>
                <w:rFonts w:ascii="Aptos" w:hAnsi="Aptos"/>
                <w:b w:val="0"/>
                <w:sz w:val="15"/>
              </w:rPr>
              <w:t>Scope, readiness, cost and residual risks are understood</w:t>
            </w:r>
          </w:p>
        </w:tc>
        <w:tc>
          <w:tcPr>
            <w:tcW w:type="dxa" w:w="3168"/>
            <w:vAlign w:val="center"/>
            <w:shd w:fill="F3F6F7"/>
          </w:tcPr>
          <w:p>
            <w:pPr>
              <w:spacing w:after="0"/>
            </w:pPr>
            <w:r/>
            <w:r>
              <w:rPr>
                <w:rFonts w:ascii="Aptos" w:hAnsi="Aptos"/>
                <w:b w:val="0"/>
                <w:sz w:val="15"/>
              </w:rPr>
              <w:t>Readiness report and executive approval</w:t>
            </w:r>
          </w:p>
        </w:tc>
      </w:tr>
    </w:tbl>
    <w:p/>
    <w:p>
      <w:pPr>
        <w:pStyle w:val="Heading1"/>
      </w:pPr>
      <w:r>
        <w:t>4. Adoption Lifecycle</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448"/>
            <w:vAlign w:val="center"/>
            <w:shd w:fill="17324D"/>
          </w:tcPr>
          <w:p>
            <w:pPr>
              <w:spacing w:after="0"/>
            </w:pPr>
            <w:r/>
            <w:r>
              <w:rPr>
                <w:rFonts w:ascii="Aptos" w:hAnsi="Aptos"/>
                <w:b/>
                <w:color w:val="FFFFFF"/>
                <w:sz w:val="16"/>
              </w:rPr>
              <w:t>Phase</w:t>
            </w:r>
          </w:p>
        </w:tc>
        <w:tc>
          <w:tcPr>
            <w:tcW w:type="dxa" w:w="7200"/>
            <w:vAlign w:val="center"/>
            <w:shd w:fill="17324D"/>
          </w:tcPr>
          <w:p>
            <w:pPr>
              <w:spacing w:after="0"/>
            </w:pPr>
            <w:r/>
            <w:r>
              <w:rPr>
                <w:rFonts w:ascii="Aptos" w:hAnsi="Aptos"/>
                <w:b/>
                <w:color w:val="FFFFFF"/>
                <w:sz w:val="16"/>
              </w:rPr>
              <w:t>Primary purpose</w:t>
            </w:r>
          </w:p>
        </w:tc>
      </w:tr>
      <w:tr>
        <w:trPr>
          <w:cantSplit/>
        </w:trPr>
        <w:tc>
          <w:tcPr>
            <w:tcW w:type="dxa" w:w="2448"/>
            <w:vAlign w:val="center"/>
          </w:tcPr>
          <w:p>
            <w:pPr>
              <w:spacing w:after="0"/>
            </w:pPr>
            <w:r/>
            <w:r>
              <w:rPr>
                <w:rFonts w:ascii="Aptos" w:hAnsi="Aptos"/>
                <w:b w:val="0"/>
                <w:sz w:val="15"/>
              </w:rPr>
              <w:t>Phase 0 — Mobilize</w:t>
            </w:r>
          </w:p>
        </w:tc>
        <w:tc>
          <w:tcPr>
            <w:tcW w:type="dxa" w:w="7200"/>
            <w:vAlign w:val="center"/>
          </w:tcPr>
          <w:p>
            <w:pPr>
              <w:spacing w:after="0"/>
            </w:pPr>
            <w:r/>
            <w:r>
              <w:rPr>
                <w:rFonts w:ascii="Aptos" w:hAnsi="Aptos"/>
                <w:b w:val="0"/>
                <w:sz w:val="15"/>
              </w:rPr>
              <w:t>Confirm sponsor, mandate, strategic objective and program lead.</w:t>
            </w:r>
          </w:p>
        </w:tc>
      </w:tr>
      <w:tr>
        <w:trPr>
          <w:cantSplit/>
        </w:trPr>
        <w:tc>
          <w:tcPr>
            <w:tcW w:type="dxa" w:w="2448"/>
            <w:vAlign w:val="center"/>
            <w:shd w:fill="F3F6F7"/>
          </w:tcPr>
          <w:p>
            <w:pPr>
              <w:spacing w:after="0"/>
            </w:pPr>
            <w:r/>
            <w:r>
              <w:rPr>
                <w:rFonts w:ascii="Aptos" w:hAnsi="Aptos"/>
                <w:b w:val="0"/>
                <w:sz w:val="15"/>
              </w:rPr>
              <w:t>Phase 1 — Discover</w:t>
            </w:r>
          </w:p>
        </w:tc>
        <w:tc>
          <w:tcPr>
            <w:tcW w:type="dxa" w:w="7200"/>
            <w:vAlign w:val="center"/>
            <w:shd w:fill="F3F6F7"/>
          </w:tcPr>
          <w:p>
            <w:pPr>
              <w:spacing w:after="0"/>
            </w:pPr>
            <w:r/>
            <w:r>
              <w:rPr>
                <w:rFonts w:ascii="Aptos" w:hAnsi="Aptos"/>
                <w:b w:val="0"/>
                <w:sz w:val="15"/>
              </w:rPr>
              <w:t>Inventory AI systems, services, models, data, suppliers and jurisdictions.</w:t>
            </w:r>
          </w:p>
        </w:tc>
      </w:tr>
      <w:tr>
        <w:trPr>
          <w:cantSplit/>
        </w:trPr>
        <w:tc>
          <w:tcPr>
            <w:tcW w:type="dxa" w:w="2448"/>
            <w:vAlign w:val="center"/>
          </w:tcPr>
          <w:p>
            <w:pPr>
              <w:spacing w:after="0"/>
            </w:pPr>
            <w:r/>
            <w:r>
              <w:rPr>
                <w:rFonts w:ascii="Aptos" w:hAnsi="Aptos"/>
                <w:b w:val="0"/>
                <w:sz w:val="15"/>
              </w:rPr>
              <w:t>Phase 2 — Scope</w:t>
            </w:r>
          </w:p>
        </w:tc>
        <w:tc>
          <w:tcPr>
            <w:tcW w:type="dxa" w:w="7200"/>
            <w:vAlign w:val="center"/>
          </w:tcPr>
          <w:p>
            <w:pPr>
              <w:spacing w:after="0"/>
            </w:pPr>
            <w:r/>
            <w:r>
              <w:rPr>
                <w:rFonts w:ascii="Aptos" w:hAnsi="Aptos"/>
                <w:b w:val="0"/>
                <w:sz w:val="15"/>
              </w:rPr>
              <w:t>Define assessment boundary, conformance target and applicable profiles.</w:t>
            </w:r>
          </w:p>
        </w:tc>
      </w:tr>
      <w:tr>
        <w:trPr>
          <w:cantSplit/>
        </w:trPr>
        <w:tc>
          <w:tcPr>
            <w:tcW w:type="dxa" w:w="2448"/>
            <w:vAlign w:val="center"/>
            <w:shd w:fill="F3F6F7"/>
          </w:tcPr>
          <w:p>
            <w:pPr>
              <w:spacing w:after="0"/>
            </w:pPr>
            <w:r/>
            <w:r>
              <w:rPr>
                <w:rFonts w:ascii="Aptos" w:hAnsi="Aptos"/>
                <w:b w:val="0"/>
                <w:sz w:val="15"/>
              </w:rPr>
              <w:t>Phase 3 — Govern</w:t>
            </w:r>
          </w:p>
        </w:tc>
        <w:tc>
          <w:tcPr>
            <w:tcW w:type="dxa" w:w="7200"/>
            <w:vAlign w:val="center"/>
            <w:shd w:fill="F3F6F7"/>
          </w:tcPr>
          <w:p>
            <w:pPr>
              <w:spacing w:after="0"/>
            </w:pPr>
            <w:r/>
            <w:r>
              <w:rPr>
                <w:rFonts w:ascii="Aptos" w:hAnsi="Aptos"/>
                <w:b w:val="0"/>
                <w:sz w:val="15"/>
              </w:rPr>
              <w:t>Establish decision rights, control ownership and reporting.</w:t>
            </w:r>
          </w:p>
        </w:tc>
      </w:tr>
      <w:tr>
        <w:trPr>
          <w:cantSplit/>
        </w:trPr>
        <w:tc>
          <w:tcPr>
            <w:tcW w:type="dxa" w:w="2448"/>
            <w:vAlign w:val="center"/>
          </w:tcPr>
          <w:p>
            <w:pPr>
              <w:spacing w:after="0"/>
            </w:pPr>
            <w:r/>
            <w:r>
              <w:rPr>
                <w:rFonts w:ascii="Aptos" w:hAnsi="Aptos"/>
                <w:b w:val="0"/>
                <w:sz w:val="15"/>
              </w:rPr>
              <w:t>Phase 4 — Assess</w:t>
            </w:r>
          </w:p>
        </w:tc>
        <w:tc>
          <w:tcPr>
            <w:tcW w:type="dxa" w:w="7200"/>
            <w:vAlign w:val="center"/>
          </w:tcPr>
          <w:p>
            <w:pPr>
              <w:spacing w:after="0"/>
            </w:pPr>
            <w:r/>
            <w:r>
              <w:rPr>
                <w:rFonts w:ascii="Aptos" w:hAnsi="Aptos"/>
                <w:b w:val="0"/>
                <w:sz w:val="15"/>
              </w:rPr>
              <w:t>Perform control-by-control design and operating-effectiveness assessment.</w:t>
            </w:r>
          </w:p>
        </w:tc>
      </w:tr>
      <w:tr>
        <w:trPr>
          <w:cantSplit/>
        </w:trPr>
        <w:tc>
          <w:tcPr>
            <w:tcW w:type="dxa" w:w="2448"/>
            <w:vAlign w:val="center"/>
            <w:shd w:fill="F3F6F7"/>
          </w:tcPr>
          <w:p>
            <w:pPr>
              <w:spacing w:after="0"/>
            </w:pPr>
            <w:r/>
            <w:r>
              <w:rPr>
                <w:rFonts w:ascii="Aptos" w:hAnsi="Aptos"/>
                <w:b w:val="0"/>
                <w:sz w:val="15"/>
              </w:rPr>
              <w:t>Phase 5 — Remediate</w:t>
            </w:r>
          </w:p>
        </w:tc>
        <w:tc>
          <w:tcPr>
            <w:tcW w:type="dxa" w:w="7200"/>
            <w:vAlign w:val="center"/>
            <w:shd w:fill="F3F6F7"/>
          </w:tcPr>
          <w:p>
            <w:pPr>
              <w:spacing w:after="0"/>
            </w:pPr>
            <w:r/>
            <w:r>
              <w:rPr>
                <w:rFonts w:ascii="Aptos" w:hAnsi="Aptos"/>
                <w:b w:val="0"/>
                <w:sz w:val="15"/>
              </w:rPr>
              <w:t>Prioritize and implement corrective actions.</w:t>
            </w:r>
          </w:p>
        </w:tc>
      </w:tr>
      <w:tr>
        <w:trPr>
          <w:cantSplit/>
        </w:trPr>
        <w:tc>
          <w:tcPr>
            <w:tcW w:type="dxa" w:w="2448"/>
            <w:vAlign w:val="center"/>
          </w:tcPr>
          <w:p>
            <w:pPr>
              <w:spacing w:after="0"/>
            </w:pPr>
            <w:r/>
            <w:r>
              <w:rPr>
                <w:rFonts w:ascii="Aptos" w:hAnsi="Aptos"/>
                <w:b w:val="0"/>
                <w:sz w:val="15"/>
              </w:rPr>
              <w:t>Phase 6 — Evidence</w:t>
            </w:r>
          </w:p>
        </w:tc>
        <w:tc>
          <w:tcPr>
            <w:tcW w:type="dxa" w:w="7200"/>
            <w:vAlign w:val="center"/>
          </w:tcPr>
          <w:p>
            <w:pPr>
              <w:spacing w:after="0"/>
            </w:pPr>
            <w:r/>
            <w:r>
              <w:rPr>
                <w:rFonts w:ascii="Aptos" w:hAnsi="Aptos"/>
                <w:b w:val="0"/>
                <w:sz w:val="15"/>
              </w:rPr>
              <w:t>Build certification-grade evidence packages and traceability.</w:t>
            </w:r>
          </w:p>
        </w:tc>
      </w:tr>
      <w:tr>
        <w:trPr>
          <w:cantSplit/>
        </w:trPr>
        <w:tc>
          <w:tcPr>
            <w:tcW w:type="dxa" w:w="2448"/>
            <w:vAlign w:val="center"/>
            <w:shd w:fill="F3F6F7"/>
          </w:tcPr>
          <w:p>
            <w:pPr>
              <w:spacing w:after="0"/>
            </w:pPr>
            <w:r/>
            <w:r>
              <w:rPr>
                <w:rFonts w:ascii="Aptos" w:hAnsi="Aptos"/>
                <w:b w:val="0"/>
                <w:sz w:val="15"/>
              </w:rPr>
              <w:t>Phase 7 — Assure</w:t>
            </w:r>
          </w:p>
        </w:tc>
        <w:tc>
          <w:tcPr>
            <w:tcW w:type="dxa" w:w="7200"/>
            <w:vAlign w:val="center"/>
            <w:shd w:fill="F3F6F7"/>
          </w:tcPr>
          <w:p>
            <w:pPr>
              <w:spacing w:after="0"/>
            </w:pPr>
            <w:r/>
            <w:r>
              <w:rPr>
                <w:rFonts w:ascii="Aptos" w:hAnsi="Aptos"/>
                <w:b w:val="0"/>
                <w:sz w:val="15"/>
              </w:rPr>
              <w:t>Conduct internal validation, independent review and readiness assessment.</w:t>
            </w:r>
          </w:p>
        </w:tc>
      </w:tr>
      <w:tr>
        <w:trPr>
          <w:cantSplit/>
        </w:trPr>
        <w:tc>
          <w:tcPr>
            <w:tcW w:type="dxa" w:w="2448"/>
            <w:vAlign w:val="center"/>
          </w:tcPr>
          <w:p>
            <w:pPr>
              <w:spacing w:after="0"/>
            </w:pPr>
            <w:r/>
            <w:r>
              <w:rPr>
                <w:rFonts w:ascii="Aptos" w:hAnsi="Aptos"/>
                <w:b w:val="0"/>
                <w:sz w:val="15"/>
              </w:rPr>
              <w:t>Phase 8 — Certify or Attest</w:t>
            </w:r>
          </w:p>
        </w:tc>
        <w:tc>
          <w:tcPr>
            <w:tcW w:type="dxa" w:w="7200"/>
            <w:vAlign w:val="center"/>
          </w:tcPr>
          <w:p>
            <w:pPr>
              <w:spacing w:after="0"/>
            </w:pPr>
            <w:r/>
            <w:r>
              <w:rPr>
                <w:rFonts w:ascii="Aptos" w:hAnsi="Aptos"/>
                <w:b w:val="0"/>
                <w:sz w:val="15"/>
              </w:rPr>
              <w:t>Pursue external assessment where appropriate.</w:t>
            </w:r>
          </w:p>
        </w:tc>
      </w:tr>
      <w:tr>
        <w:trPr>
          <w:cantSplit/>
        </w:trPr>
        <w:tc>
          <w:tcPr>
            <w:tcW w:type="dxa" w:w="2448"/>
            <w:vAlign w:val="center"/>
            <w:shd w:fill="F3F6F7"/>
          </w:tcPr>
          <w:p>
            <w:pPr>
              <w:spacing w:after="0"/>
            </w:pPr>
            <w:r/>
            <w:r>
              <w:rPr>
                <w:rFonts w:ascii="Aptos" w:hAnsi="Aptos"/>
                <w:b w:val="0"/>
                <w:sz w:val="15"/>
              </w:rPr>
              <w:t>Phase 9 — Sustain</w:t>
            </w:r>
          </w:p>
        </w:tc>
        <w:tc>
          <w:tcPr>
            <w:tcW w:type="dxa" w:w="7200"/>
            <w:vAlign w:val="center"/>
            <w:shd w:fill="F3F6F7"/>
          </w:tcPr>
          <w:p>
            <w:pPr>
              <w:spacing w:after="0"/>
            </w:pPr>
            <w:r/>
            <w:r>
              <w:rPr>
                <w:rFonts w:ascii="Aptos" w:hAnsi="Aptos"/>
                <w:b w:val="0"/>
                <w:sz w:val="15"/>
              </w:rPr>
              <w:t>Monitor change, threats, performance, exceptions and continued conformance.</w:t>
            </w:r>
          </w:p>
        </w:tc>
      </w:tr>
    </w:tbl>
    <w:p/>
    <w:p>
      <w:pPr>
        <w:pStyle w:val="Heading1"/>
      </w:pPr>
      <w:r>
        <w:t>5. Phase 0 — Mobilize the Program</w:t>
      </w:r>
    </w:p>
    <w:p>
      <w:pPr>
        <w:pStyle w:val="Heading2"/>
      </w:pPr>
      <w:r>
        <w:t>5.1 Establish the mandate</w:t>
      </w:r>
    </w:p>
    <w:p>
      <w:pPr>
        <w:pStyle w:val="ListBullet"/>
      </w:pPr>
      <w:r>
        <w:t>Define the business reason for adoption: assurance, customer requirement, regulatory readiness, risk reduction, market access or internal standardization.</w:t>
      </w:r>
    </w:p>
    <w:p>
      <w:pPr>
        <w:pStyle w:val="ListBullet"/>
      </w:pPr>
      <w:r>
        <w:t>Name an executive sponsor with authority over scope, funding and cross-functional participation.</w:t>
      </w:r>
    </w:p>
    <w:p>
      <w:pPr>
        <w:pStyle w:val="ListBullet"/>
      </w:pPr>
      <w:r>
        <w:t>Appoint a program lead responsible for coordination, traceability and reporting.</w:t>
      </w:r>
    </w:p>
    <w:p>
      <w:pPr>
        <w:pStyle w:val="ListBullet"/>
      </w:pPr>
      <w:r>
        <w:t>Approve a program charter stating objectives, boundaries, assumptions, exclusions and intended certification outcome.</w:t>
      </w:r>
    </w:p>
    <w:p>
      <w:pPr>
        <w:pStyle w:val="Heading2"/>
      </w:pPr>
      <w:r>
        <w:t>5.2 Program charter minimum content</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304"/>
            <w:vAlign w:val="center"/>
            <w:shd w:fill="17324D"/>
          </w:tcPr>
          <w:p>
            <w:pPr>
              <w:spacing w:after="0"/>
            </w:pPr>
            <w:r/>
            <w:r>
              <w:rPr>
                <w:rFonts w:ascii="Aptos" w:hAnsi="Aptos"/>
                <w:b/>
                <w:color w:val="FFFFFF"/>
                <w:sz w:val="16"/>
              </w:rPr>
              <w:t>Charter field</w:t>
            </w:r>
          </w:p>
        </w:tc>
        <w:tc>
          <w:tcPr>
            <w:tcW w:type="dxa" w:w="7344"/>
            <w:vAlign w:val="center"/>
            <w:shd w:fill="17324D"/>
          </w:tcPr>
          <w:p>
            <w:pPr>
              <w:spacing w:after="0"/>
            </w:pPr>
            <w:r/>
            <w:r>
              <w:rPr>
                <w:rFonts w:ascii="Aptos" w:hAnsi="Aptos"/>
                <w:b/>
                <w:color w:val="FFFFFF"/>
                <w:sz w:val="16"/>
              </w:rPr>
              <w:t>Minimum content</w:t>
            </w:r>
          </w:p>
        </w:tc>
      </w:tr>
      <w:tr>
        <w:trPr>
          <w:cantSplit/>
        </w:trPr>
        <w:tc>
          <w:tcPr>
            <w:tcW w:type="dxa" w:w="2304"/>
            <w:vAlign w:val="center"/>
          </w:tcPr>
          <w:p>
            <w:pPr>
              <w:spacing w:after="0"/>
            </w:pPr>
            <w:r/>
            <w:r>
              <w:rPr>
                <w:rFonts w:ascii="Aptos" w:hAnsi="Aptos"/>
                <w:b w:val="0"/>
                <w:sz w:val="15"/>
              </w:rPr>
              <w:t>Purpose</w:t>
            </w:r>
          </w:p>
        </w:tc>
        <w:tc>
          <w:tcPr>
            <w:tcW w:type="dxa" w:w="7344"/>
            <w:vAlign w:val="center"/>
          </w:tcPr>
          <w:p>
            <w:pPr>
              <w:spacing w:after="0"/>
            </w:pPr>
            <w:r/>
            <w:r>
              <w:rPr>
                <w:rFonts w:ascii="Aptos" w:hAnsi="Aptos"/>
                <w:b w:val="0"/>
                <w:sz w:val="15"/>
              </w:rPr>
              <w:t>Why GAISSF is being adopted</w:t>
            </w:r>
          </w:p>
        </w:tc>
      </w:tr>
      <w:tr>
        <w:trPr>
          <w:cantSplit/>
        </w:trPr>
        <w:tc>
          <w:tcPr>
            <w:tcW w:type="dxa" w:w="2304"/>
            <w:vAlign w:val="center"/>
            <w:shd w:fill="F3F6F7"/>
          </w:tcPr>
          <w:p>
            <w:pPr>
              <w:spacing w:after="0"/>
            </w:pPr>
            <w:r/>
            <w:r>
              <w:rPr>
                <w:rFonts w:ascii="Aptos" w:hAnsi="Aptos"/>
                <w:b w:val="0"/>
                <w:sz w:val="15"/>
              </w:rPr>
              <w:t>Target outcome</w:t>
            </w:r>
          </w:p>
        </w:tc>
        <w:tc>
          <w:tcPr>
            <w:tcW w:type="dxa" w:w="7344"/>
            <w:vAlign w:val="center"/>
            <w:shd w:fill="F3F6F7"/>
          </w:tcPr>
          <w:p>
            <w:pPr>
              <w:spacing w:after="0"/>
            </w:pPr>
            <w:r/>
            <w:r>
              <w:rPr>
                <w:rFonts w:ascii="Aptos" w:hAnsi="Aptos"/>
                <w:b w:val="0"/>
                <w:sz w:val="15"/>
              </w:rPr>
              <w:t>Internal conformance, customer assurance, certification or staged adoption</w:t>
            </w:r>
          </w:p>
        </w:tc>
      </w:tr>
      <w:tr>
        <w:trPr>
          <w:cantSplit/>
        </w:trPr>
        <w:tc>
          <w:tcPr>
            <w:tcW w:type="dxa" w:w="2304"/>
            <w:vAlign w:val="center"/>
          </w:tcPr>
          <w:p>
            <w:pPr>
              <w:spacing w:after="0"/>
            </w:pPr>
            <w:r/>
            <w:r>
              <w:rPr>
                <w:rFonts w:ascii="Aptos" w:hAnsi="Aptos"/>
                <w:b w:val="0"/>
                <w:sz w:val="15"/>
              </w:rPr>
              <w:t>Initial scope</w:t>
            </w:r>
          </w:p>
        </w:tc>
        <w:tc>
          <w:tcPr>
            <w:tcW w:type="dxa" w:w="7344"/>
            <w:vAlign w:val="center"/>
          </w:tcPr>
          <w:p>
            <w:pPr>
              <w:spacing w:after="0"/>
            </w:pPr>
            <w:r/>
            <w:r>
              <w:rPr>
                <w:rFonts w:ascii="Aptos" w:hAnsi="Aptos"/>
                <w:b w:val="0"/>
                <w:sz w:val="15"/>
              </w:rPr>
              <w:t>Business units, systems, regions and lifecycle stages</w:t>
            </w:r>
          </w:p>
        </w:tc>
      </w:tr>
      <w:tr>
        <w:trPr>
          <w:cantSplit/>
        </w:trPr>
        <w:tc>
          <w:tcPr>
            <w:tcW w:type="dxa" w:w="2304"/>
            <w:vAlign w:val="center"/>
            <w:shd w:fill="F3F6F7"/>
          </w:tcPr>
          <w:p>
            <w:pPr>
              <w:spacing w:after="0"/>
            </w:pPr>
            <w:r/>
            <w:r>
              <w:rPr>
                <w:rFonts w:ascii="Aptos" w:hAnsi="Aptos"/>
                <w:b w:val="0"/>
                <w:sz w:val="15"/>
              </w:rPr>
              <w:t>Authority</w:t>
            </w:r>
          </w:p>
        </w:tc>
        <w:tc>
          <w:tcPr>
            <w:tcW w:type="dxa" w:w="7344"/>
            <w:vAlign w:val="center"/>
            <w:shd w:fill="F3F6F7"/>
          </w:tcPr>
          <w:p>
            <w:pPr>
              <w:spacing w:after="0"/>
            </w:pPr>
            <w:r/>
            <w:r>
              <w:rPr>
                <w:rFonts w:ascii="Aptos" w:hAnsi="Aptos"/>
                <w:b w:val="0"/>
                <w:sz w:val="15"/>
              </w:rPr>
              <w:t>Sponsor and decision rights</w:t>
            </w:r>
          </w:p>
        </w:tc>
      </w:tr>
      <w:tr>
        <w:trPr>
          <w:cantSplit/>
        </w:trPr>
        <w:tc>
          <w:tcPr>
            <w:tcW w:type="dxa" w:w="2304"/>
            <w:vAlign w:val="center"/>
          </w:tcPr>
          <w:p>
            <w:pPr>
              <w:spacing w:after="0"/>
            </w:pPr>
            <w:r/>
            <w:r>
              <w:rPr>
                <w:rFonts w:ascii="Aptos" w:hAnsi="Aptos"/>
                <w:b w:val="0"/>
                <w:sz w:val="15"/>
              </w:rPr>
              <w:t>Governance</w:t>
            </w:r>
          </w:p>
        </w:tc>
        <w:tc>
          <w:tcPr>
            <w:tcW w:type="dxa" w:w="7344"/>
            <w:vAlign w:val="center"/>
          </w:tcPr>
          <w:p>
            <w:pPr>
              <w:spacing w:after="0"/>
            </w:pPr>
            <w:r/>
            <w:r>
              <w:rPr>
                <w:rFonts w:ascii="Aptos" w:hAnsi="Aptos"/>
                <w:b w:val="0"/>
                <w:sz w:val="15"/>
              </w:rPr>
              <w:t>Steering body and reporting cadence</w:t>
            </w:r>
          </w:p>
        </w:tc>
      </w:tr>
      <w:tr>
        <w:trPr>
          <w:cantSplit/>
        </w:trPr>
        <w:tc>
          <w:tcPr>
            <w:tcW w:type="dxa" w:w="2304"/>
            <w:vAlign w:val="center"/>
            <w:shd w:fill="F3F6F7"/>
          </w:tcPr>
          <w:p>
            <w:pPr>
              <w:spacing w:after="0"/>
            </w:pPr>
            <w:r/>
            <w:r>
              <w:rPr>
                <w:rFonts w:ascii="Aptos" w:hAnsi="Aptos"/>
                <w:b w:val="0"/>
                <w:sz w:val="15"/>
              </w:rPr>
              <w:t>Resources</w:t>
            </w:r>
          </w:p>
        </w:tc>
        <w:tc>
          <w:tcPr>
            <w:tcW w:type="dxa" w:w="7344"/>
            <w:vAlign w:val="center"/>
            <w:shd w:fill="F3F6F7"/>
          </w:tcPr>
          <w:p>
            <w:pPr>
              <w:spacing w:after="0"/>
            </w:pPr>
            <w:r/>
            <w:r>
              <w:rPr>
                <w:rFonts w:ascii="Aptos" w:hAnsi="Aptos"/>
                <w:b w:val="0"/>
                <w:sz w:val="15"/>
              </w:rPr>
              <w:t>Core team, subject-matter support and budget</w:t>
            </w:r>
          </w:p>
        </w:tc>
      </w:tr>
      <w:tr>
        <w:trPr>
          <w:cantSplit/>
        </w:trPr>
        <w:tc>
          <w:tcPr>
            <w:tcW w:type="dxa" w:w="2304"/>
            <w:vAlign w:val="center"/>
          </w:tcPr>
          <w:p>
            <w:pPr>
              <w:spacing w:after="0"/>
            </w:pPr>
            <w:r/>
            <w:r>
              <w:rPr>
                <w:rFonts w:ascii="Aptos" w:hAnsi="Aptos"/>
                <w:b w:val="0"/>
                <w:sz w:val="15"/>
              </w:rPr>
              <w:t>Milestones</w:t>
            </w:r>
          </w:p>
        </w:tc>
        <w:tc>
          <w:tcPr>
            <w:tcW w:type="dxa" w:w="7344"/>
            <w:vAlign w:val="center"/>
          </w:tcPr>
          <w:p>
            <w:pPr>
              <w:spacing w:after="0"/>
            </w:pPr>
            <w:r/>
            <w:r>
              <w:rPr>
                <w:rFonts w:ascii="Aptos" w:hAnsi="Aptos"/>
                <w:b w:val="0"/>
                <w:sz w:val="15"/>
              </w:rPr>
              <w:t>Assessment, remediation, evidence and assurance checkpoints</w:t>
            </w:r>
          </w:p>
        </w:tc>
      </w:tr>
      <w:tr>
        <w:trPr>
          <w:cantSplit/>
        </w:trPr>
        <w:tc>
          <w:tcPr>
            <w:tcW w:type="dxa" w:w="2304"/>
            <w:vAlign w:val="center"/>
            <w:shd w:fill="F3F6F7"/>
          </w:tcPr>
          <w:p>
            <w:pPr>
              <w:spacing w:after="0"/>
            </w:pPr>
            <w:r/>
            <w:r>
              <w:rPr>
                <w:rFonts w:ascii="Aptos" w:hAnsi="Aptos"/>
                <w:b w:val="0"/>
                <w:sz w:val="15"/>
              </w:rPr>
              <w:t>Dependencies</w:t>
            </w:r>
          </w:p>
        </w:tc>
        <w:tc>
          <w:tcPr>
            <w:tcW w:type="dxa" w:w="7344"/>
            <w:vAlign w:val="center"/>
            <w:shd w:fill="F3F6F7"/>
          </w:tcPr>
          <w:p>
            <w:pPr>
              <w:spacing w:after="0"/>
            </w:pPr>
            <w:r/>
            <w:r>
              <w:rPr>
                <w:rFonts w:ascii="Aptos" w:hAnsi="Aptos"/>
                <w:b w:val="0"/>
                <w:sz w:val="15"/>
              </w:rPr>
              <w:t>Legal, procurement, engineering, tooling and supplier constraints</w:t>
            </w:r>
          </w:p>
        </w:tc>
      </w:tr>
      <w:tr>
        <w:trPr>
          <w:cantSplit/>
        </w:trPr>
        <w:tc>
          <w:tcPr>
            <w:tcW w:type="dxa" w:w="2304"/>
            <w:vAlign w:val="center"/>
          </w:tcPr>
          <w:p>
            <w:pPr>
              <w:spacing w:after="0"/>
            </w:pPr>
            <w:r/>
            <w:r>
              <w:rPr>
                <w:rFonts w:ascii="Aptos" w:hAnsi="Aptos"/>
                <w:b w:val="0"/>
                <w:sz w:val="15"/>
              </w:rPr>
              <w:t>Success criteria</w:t>
            </w:r>
          </w:p>
        </w:tc>
        <w:tc>
          <w:tcPr>
            <w:tcW w:type="dxa" w:w="7344"/>
            <w:vAlign w:val="center"/>
          </w:tcPr>
          <w:p>
            <w:pPr>
              <w:spacing w:after="0"/>
            </w:pPr>
            <w:r/>
            <w:r>
              <w:rPr>
                <w:rFonts w:ascii="Aptos" w:hAnsi="Aptos"/>
                <w:b w:val="0"/>
                <w:sz w:val="15"/>
              </w:rPr>
              <w:t>Measurable adoption and readiness outcomes</w:t>
            </w:r>
          </w:p>
        </w:tc>
      </w:tr>
    </w:tbl>
    <w:p/>
    <w:p>
      <w:pPr>
        <w:pStyle w:val="Heading1"/>
      </w:pPr>
      <w:r>
        <w:t>6. Phase 1 — Discover the Environment</w:t>
      </w:r>
    </w:p>
    <w:p>
      <w:r>
        <w:t>Discovery shall produce an evidence-backed view of the AI estate. The inventory should include internally developed systems, embedded AI functions, third-party services, foundation-model dependencies, agentic components and physical-AI deployments.</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304"/>
            <w:vAlign w:val="center"/>
            <w:shd w:fill="17324D"/>
          </w:tcPr>
          <w:p>
            <w:pPr>
              <w:spacing w:after="0"/>
            </w:pPr>
            <w:r/>
            <w:r>
              <w:rPr>
                <w:rFonts w:ascii="Aptos" w:hAnsi="Aptos"/>
                <w:b/>
                <w:color w:val="FFFFFF"/>
                <w:sz w:val="16"/>
              </w:rPr>
              <w:t>Inventory field</w:t>
            </w:r>
          </w:p>
        </w:tc>
        <w:tc>
          <w:tcPr>
            <w:tcW w:type="dxa" w:w="7344"/>
            <w:vAlign w:val="center"/>
            <w:shd w:fill="17324D"/>
          </w:tcPr>
          <w:p>
            <w:pPr>
              <w:spacing w:after="0"/>
            </w:pPr>
            <w:r/>
            <w:r>
              <w:rPr>
                <w:rFonts w:ascii="Aptos" w:hAnsi="Aptos"/>
                <w:b/>
                <w:color w:val="FFFFFF"/>
                <w:sz w:val="16"/>
              </w:rPr>
              <w:t>Example content</w:t>
            </w:r>
          </w:p>
        </w:tc>
      </w:tr>
      <w:tr>
        <w:trPr>
          <w:cantSplit/>
        </w:trPr>
        <w:tc>
          <w:tcPr>
            <w:tcW w:type="dxa" w:w="2304"/>
            <w:vAlign w:val="center"/>
          </w:tcPr>
          <w:p>
            <w:pPr>
              <w:spacing w:after="0"/>
            </w:pPr>
            <w:r/>
            <w:r>
              <w:rPr>
                <w:rFonts w:ascii="Aptos" w:hAnsi="Aptos"/>
                <w:b w:val="0"/>
                <w:sz w:val="15"/>
              </w:rPr>
              <w:t>System identifier</w:t>
            </w:r>
          </w:p>
        </w:tc>
        <w:tc>
          <w:tcPr>
            <w:tcW w:type="dxa" w:w="7344"/>
            <w:vAlign w:val="center"/>
          </w:tcPr>
          <w:p>
            <w:pPr>
              <w:spacing w:after="0"/>
            </w:pPr>
            <w:r/>
            <w:r>
              <w:rPr>
                <w:rFonts w:ascii="Aptos" w:hAnsi="Aptos"/>
                <w:b w:val="0"/>
                <w:sz w:val="15"/>
              </w:rPr>
              <w:t>Unique name and owner</w:t>
            </w:r>
          </w:p>
        </w:tc>
      </w:tr>
      <w:tr>
        <w:trPr>
          <w:cantSplit/>
        </w:trPr>
        <w:tc>
          <w:tcPr>
            <w:tcW w:type="dxa" w:w="2304"/>
            <w:vAlign w:val="center"/>
            <w:shd w:fill="F3F6F7"/>
          </w:tcPr>
          <w:p>
            <w:pPr>
              <w:spacing w:after="0"/>
            </w:pPr>
            <w:r/>
            <w:r>
              <w:rPr>
                <w:rFonts w:ascii="Aptos" w:hAnsi="Aptos"/>
                <w:b w:val="0"/>
                <w:sz w:val="15"/>
              </w:rPr>
              <w:t>Purpose and users</w:t>
            </w:r>
          </w:p>
        </w:tc>
        <w:tc>
          <w:tcPr>
            <w:tcW w:type="dxa" w:w="7344"/>
            <w:vAlign w:val="center"/>
            <w:shd w:fill="F3F6F7"/>
          </w:tcPr>
          <w:p>
            <w:pPr>
              <w:spacing w:after="0"/>
            </w:pPr>
            <w:r/>
            <w:r>
              <w:rPr>
                <w:rFonts w:ascii="Aptos" w:hAnsi="Aptos"/>
                <w:b w:val="0"/>
                <w:sz w:val="15"/>
              </w:rPr>
              <w:t>Business objective, users and affected persons</w:t>
            </w:r>
          </w:p>
        </w:tc>
      </w:tr>
      <w:tr>
        <w:trPr>
          <w:cantSplit/>
        </w:trPr>
        <w:tc>
          <w:tcPr>
            <w:tcW w:type="dxa" w:w="2304"/>
            <w:vAlign w:val="center"/>
          </w:tcPr>
          <w:p>
            <w:pPr>
              <w:spacing w:after="0"/>
            </w:pPr>
            <w:r/>
            <w:r>
              <w:rPr>
                <w:rFonts w:ascii="Aptos" w:hAnsi="Aptos"/>
                <w:b w:val="0"/>
                <w:sz w:val="15"/>
              </w:rPr>
              <w:t>Model dependency</w:t>
            </w:r>
          </w:p>
        </w:tc>
        <w:tc>
          <w:tcPr>
            <w:tcW w:type="dxa" w:w="7344"/>
            <w:vAlign w:val="center"/>
          </w:tcPr>
          <w:p>
            <w:pPr>
              <w:spacing w:after="0"/>
            </w:pPr>
            <w:r/>
            <w:r>
              <w:rPr>
                <w:rFonts w:ascii="Aptos" w:hAnsi="Aptos"/>
                <w:b w:val="0"/>
                <w:sz w:val="15"/>
              </w:rPr>
              <w:t>Model name, provider, version and deployment type</w:t>
            </w:r>
          </w:p>
        </w:tc>
      </w:tr>
      <w:tr>
        <w:trPr>
          <w:cantSplit/>
        </w:trPr>
        <w:tc>
          <w:tcPr>
            <w:tcW w:type="dxa" w:w="2304"/>
            <w:vAlign w:val="center"/>
            <w:shd w:fill="F3F6F7"/>
          </w:tcPr>
          <w:p>
            <w:pPr>
              <w:spacing w:after="0"/>
            </w:pPr>
            <w:r/>
            <w:r>
              <w:rPr>
                <w:rFonts w:ascii="Aptos" w:hAnsi="Aptos"/>
                <w:b w:val="0"/>
                <w:sz w:val="15"/>
              </w:rPr>
              <w:t>Data</w:t>
            </w:r>
          </w:p>
        </w:tc>
        <w:tc>
          <w:tcPr>
            <w:tcW w:type="dxa" w:w="7344"/>
            <w:vAlign w:val="center"/>
            <w:shd w:fill="F3F6F7"/>
          </w:tcPr>
          <w:p>
            <w:pPr>
              <w:spacing w:after="0"/>
            </w:pPr>
            <w:r/>
            <w:r>
              <w:rPr>
                <w:rFonts w:ascii="Aptos" w:hAnsi="Aptos"/>
                <w:b w:val="0"/>
                <w:sz w:val="15"/>
              </w:rPr>
              <w:t>Training, tuning, retrieval and operational data categories</w:t>
            </w:r>
          </w:p>
        </w:tc>
      </w:tr>
      <w:tr>
        <w:trPr>
          <w:cantSplit/>
        </w:trPr>
        <w:tc>
          <w:tcPr>
            <w:tcW w:type="dxa" w:w="2304"/>
            <w:vAlign w:val="center"/>
          </w:tcPr>
          <w:p>
            <w:pPr>
              <w:spacing w:after="0"/>
            </w:pPr>
            <w:r/>
            <w:r>
              <w:rPr>
                <w:rFonts w:ascii="Aptos" w:hAnsi="Aptos"/>
                <w:b w:val="0"/>
                <w:sz w:val="15"/>
              </w:rPr>
              <w:t>Interfaces</w:t>
            </w:r>
          </w:p>
        </w:tc>
        <w:tc>
          <w:tcPr>
            <w:tcW w:type="dxa" w:w="7344"/>
            <w:vAlign w:val="center"/>
          </w:tcPr>
          <w:p>
            <w:pPr>
              <w:spacing w:after="0"/>
            </w:pPr>
            <w:r/>
            <w:r>
              <w:rPr>
                <w:rFonts w:ascii="Aptos" w:hAnsi="Aptos"/>
                <w:b w:val="0"/>
                <w:sz w:val="15"/>
              </w:rPr>
              <w:t>APIs, tools, agents, plugins, external actions and downstream systems</w:t>
            </w:r>
          </w:p>
        </w:tc>
      </w:tr>
      <w:tr>
        <w:trPr>
          <w:cantSplit/>
        </w:trPr>
        <w:tc>
          <w:tcPr>
            <w:tcW w:type="dxa" w:w="2304"/>
            <w:vAlign w:val="center"/>
            <w:shd w:fill="F3F6F7"/>
          </w:tcPr>
          <w:p>
            <w:pPr>
              <w:spacing w:after="0"/>
            </w:pPr>
            <w:r/>
            <w:r>
              <w:rPr>
                <w:rFonts w:ascii="Aptos" w:hAnsi="Aptos"/>
                <w:b w:val="0"/>
                <w:sz w:val="15"/>
              </w:rPr>
              <w:t>Deployment</w:t>
            </w:r>
          </w:p>
        </w:tc>
        <w:tc>
          <w:tcPr>
            <w:tcW w:type="dxa" w:w="7344"/>
            <w:vAlign w:val="center"/>
            <w:shd w:fill="F3F6F7"/>
          </w:tcPr>
          <w:p>
            <w:pPr>
              <w:spacing w:after="0"/>
            </w:pPr>
            <w:r/>
            <w:r>
              <w:rPr>
                <w:rFonts w:ascii="Aptos" w:hAnsi="Aptos"/>
                <w:b w:val="0"/>
                <w:sz w:val="15"/>
              </w:rPr>
              <w:t>Cloud, on-premises, edge, mobile, embedded or cyber-physical</w:t>
            </w:r>
          </w:p>
        </w:tc>
      </w:tr>
      <w:tr>
        <w:trPr>
          <w:cantSplit/>
        </w:trPr>
        <w:tc>
          <w:tcPr>
            <w:tcW w:type="dxa" w:w="2304"/>
            <w:vAlign w:val="center"/>
          </w:tcPr>
          <w:p>
            <w:pPr>
              <w:spacing w:after="0"/>
            </w:pPr>
            <w:r/>
            <w:r>
              <w:rPr>
                <w:rFonts w:ascii="Aptos" w:hAnsi="Aptos"/>
                <w:b w:val="0"/>
                <w:sz w:val="15"/>
              </w:rPr>
              <w:t>Criticality</w:t>
            </w:r>
          </w:p>
        </w:tc>
        <w:tc>
          <w:tcPr>
            <w:tcW w:type="dxa" w:w="7344"/>
            <w:vAlign w:val="center"/>
          </w:tcPr>
          <w:p>
            <w:pPr>
              <w:spacing w:after="0"/>
            </w:pPr>
            <w:r/>
            <w:r>
              <w:rPr>
                <w:rFonts w:ascii="Aptos" w:hAnsi="Aptos"/>
                <w:b w:val="0"/>
                <w:sz w:val="15"/>
              </w:rPr>
              <w:t>Safety, financial, legal, operational and reputational impact</w:t>
            </w:r>
          </w:p>
        </w:tc>
      </w:tr>
      <w:tr>
        <w:trPr>
          <w:cantSplit/>
        </w:trPr>
        <w:tc>
          <w:tcPr>
            <w:tcW w:type="dxa" w:w="2304"/>
            <w:vAlign w:val="center"/>
            <w:shd w:fill="F3F6F7"/>
          </w:tcPr>
          <w:p>
            <w:pPr>
              <w:spacing w:after="0"/>
            </w:pPr>
            <w:r/>
            <w:r>
              <w:rPr>
                <w:rFonts w:ascii="Aptos" w:hAnsi="Aptos"/>
                <w:b w:val="0"/>
                <w:sz w:val="15"/>
              </w:rPr>
              <w:t>Jurisdictions</w:t>
            </w:r>
          </w:p>
        </w:tc>
        <w:tc>
          <w:tcPr>
            <w:tcW w:type="dxa" w:w="7344"/>
            <w:vAlign w:val="center"/>
            <w:shd w:fill="F3F6F7"/>
          </w:tcPr>
          <w:p>
            <w:pPr>
              <w:spacing w:after="0"/>
            </w:pPr>
            <w:r/>
            <w:r>
              <w:rPr>
                <w:rFonts w:ascii="Aptos" w:hAnsi="Aptos"/>
                <w:b w:val="0"/>
                <w:sz w:val="15"/>
              </w:rPr>
              <w:t>Countries, regions and sector regimes</w:t>
            </w:r>
          </w:p>
        </w:tc>
      </w:tr>
      <w:tr>
        <w:trPr>
          <w:cantSplit/>
        </w:trPr>
        <w:tc>
          <w:tcPr>
            <w:tcW w:type="dxa" w:w="2304"/>
            <w:vAlign w:val="center"/>
          </w:tcPr>
          <w:p>
            <w:pPr>
              <w:spacing w:after="0"/>
            </w:pPr>
            <w:r/>
            <w:r>
              <w:rPr>
                <w:rFonts w:ascii="Aptos" w:hAnsi="Aptos"/>
                <w:b w:val="0"/>
                <w:sz w:val="15"/>
              </w:rPr>
              <w:t>Suppliers</w:t>
            </w:r>
          </w:p>
        </w:tc>
        <w:tc>
          <w:tcPr>
            <w:tcW w:type="dxa" w:w="7344"/>
            <w:vAlign w:val="center"/>
          </w:tcPr>
          <w:p>
            <w:pPr>
              <w:spacing w:after="0"/>
            </w:pPr>
            <w:r/>
            <w:r>
              <w:rPr>
                <w:rFonts w:ascii="Aptos" w:hAnsi="Aptos"/>
                <w:b w:val="0"/>
                <w:sz w:val="15"/>
              </w:rPr>
              <w:t>Model, data, hosting, evaluation and integration providers</w:t>
            </w:r>
          </w:p>
        </w:tc>
      </w:tr>
      <w:tr>
        <w:trPr>
          <w:cantSplit/>
        </w:trPr>
        <w:tc>
          <w:tcPr>
            <w:tcW w:type="dxa" w:w="2304"/>
            <w:vAlign w:val="center"/>
            <w:shd w:fill="F3F6F7"/>
          </w:tcPr>
          <w:p>
            <w:pPr>
              <w:spacing w:after="0"/>
            </w:pPr>
            <w:r/>
            <w:r>
              <w:rPr>
                <w:rFonts w:ascii="Aptos" w:hAnsi="Aptos"/>
                <w:b w:val="0"/>
                <w:sz w:val="15"/>
              </w:rPr>
              <w:t>Lifecycle status</w:t>
            </w:r>
          </w:p>
        </w:tc>
        <w:tc>
          <w:tcPr>
            <w:tcW w:type="dxa" w:w="7344"/>
            <w:vAlign w:val="center"/>
            <w:shd w:fill="F3F6F7"/>
          </w:tcPr>
          <w:p>
            <w:pPr>
              <w:spacing w:after="0"/>
            </w:pPr>
            <w:r/>
            <w:r>
              <w:rPr>
                <w:rFonts w:ascii="Aptos" w:hAnsi="Aptos"/>
                <w:b w:val="0"/>
                <w:sz w:val="15"/>
              </w:rPr>
              <w:t>Design, test, pilot, production, suspended or retired</w:t>
            </w:r>
          </w:p>
        </w:tc>
      </w:tr>
    </w:tbl>
    <w:p/>
    <w:p>
      <w:pPr>
        <w:pStyle w:val="Heading1"/>
      </w:pPr>
      <w:r>
        <w:t>7. Phase 2 — Define Scope and Conformance Target</w:t>
      </w:r>
    </w:p>
    <w:p>
      <w:pPr>
        <w:pStyle w:val="Heading2"/>
      </w:pPr>
      <w:r>
        <w:t>7.1 Scope dimensions</w:t>
      </w:r>
    </w:p>
    <w:p>
      <w:pPr>
        <w:pStyle w:val="ListBullet"/>
      </w:pPr>
      <w:r>
        <w:t>Organizational boundary: legal entities, functions, sites and shared services.</w:t>
      </w:r>
    </w:p>
    <w:p>
      <w:pPr>
        <w:pStyle w:val="ListBullet"/>
      </w:pPr>
      <w:r>
        <w:t>System boundary: AI components, applications, infrastructure, interfaces and data flows.</w:t>
      </w:r>
    </w:p>
    <w:p>
      <w:pPr>
        <w:pStyle w:val="ListBullet"/>
      </w:pPr>
      <w:r>
        <w:t>Lifecycle boundary: acquisition, design, training, testing, deployment, monitoring and retirement.</w:t>
      </w:r>
    </w:p>
    <w:p>
      <w:pPr>
        <w:pStyle w:val="ListBullet"/>
      </w:pPr>
      <w:r>
        <w:t>Geographic boundary: jurisdictions and data-transfer locations.</w:t>
      </w:r>
    </w:p>
    <w:p>
      <w:pPr>
        <w:pStyle w:val="ListBullet"/>
      </w:pPr>
      <w:r>
        <w:t>Supplier boundary: outsourced services and inherited controls.</w:t>
      </w:r>
    </w:p>
    <w:p>
      <w:pPr>
        <w:pStyle w:val="ListBullet"/>
      </w:pPr>
      <w:r>
        <w:t>Certification boundary: what will and will not appear on a certificate or assurance statement.</w:t>
      </w:r>
    </w:p>
    <w:p>
      <w:pPr>
        <w:pStyle w:val="Heading2"/>
      </w:pPr>
      <w:r>
        <w:t>7.2 Conformance target</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1728"/>
            <w:vAlign w:val="center"/>
            <w:shd w:fill="17324D"/>
          </w:tcPr>
          <w:p>
            <w:pPr>
              <w:spacing w:after="0"/>
            </w:pPr>
            <w:r/>
            <w:r>
              <w:rPr>
                <w:rFonts w:ascii="Aptos" w:hAnsi="Aptos"/>
                <w:b/>
                <w:color w:val="FFFFFF"/>
                <w:sz w:val="16"/>
              </w:rPr>
              <w:t>Target</w:t>
            </w:r>
          </w:p>
        </w:tc>
        <w:tc>
          <w:tcPr>
            <w:tcW w:type="dxa" w:w="3168"/>
            <w:vAlign w:val="center"/>
            <w:shd w:fill="17324D"/>
          </w:tcPr>
          <w:p>
            <w:pPr>
              <w:spacing w:after="0"/>
            </w:pPr>
            <w:r/>
            <w:r>
              <w:rPr>
                <w:rFonts w:ascii="Aptos" w:hAnsi="Aptos"/>
                <w:b/>
                <w:color w:val="FFFFFF"/>
                <w:sz w:val="16"/>
              </w:rPr>
              <w:t>Use</w:t>
            </w:r>
          </w:p>
        </w:tc>
        <w:tc>
          <w:tcPr>
            <w:tcW w:type="dxa" w:w="4752"/>
            <w:vAlign w:val="center"/>
            <w:shd w:fill="17324D"/>
          </w:tcPr>
          <w:p>
            <w:pPr>
              <w:spacing w:after="0"/>
            </w:pPr>
            <w:r/>
            <w:r>
              <w:rPr>
                <w:rFonts w:ascii="Aptos" w:hAnsi="Aptos"/>
                <w:b/>
                <w:color w:val="FFFFFF"/>
                <w:sz w:val="16"/>
              </w:rPr>
              <w:t>Adoption implication</w:t>
            </w:r>
          </w:p>
        </w:tc>
      </w:tr>
      <w:tr>
        <w:trPr>
          <w:cantSplit/>
        </w:trPr>
        <w:tc>
          <w:tcPr>
            <w:tcW w:type="dxa" w:w="1728"/>
            <w:vAlign w:val="center"/>
          </w:tcPr>
          <w:p>
            <w:pPr>
              <w:spacing w:after="0"/>
            </w:pPr>
            <w:r/>
            <w:r>
              <w:rPr>
                <w:rFonts w:ascii="Aptos" w:hAnsi="Aptos"/>
                <w:b w:val="0"/>
                <w:sz w:val="15"/>
              </w:rPr>
              <w:t>Foundational</w:t>
            </w:r>
          </w:p>
        </w:tc>
        <w:tc>
          <w:tcPr>
            <w:tcW w:type="dxa" w:w="3168"/>
            <w:vAlign w:val="center"/>
          </w:tcPr>
          <w:p>
            <w:pPr>
              <w:spacing w:after="0"/>
            </w:pPr>
            <w:r/>
            <w:r>
              <w:rPr>
                <w:rFonts w:ascii="Aptos" w:hAnsi="Aptos"/>
                <w:b w:val="0"/>
                <w:sz w:val="15"/>
              </w:rPr>
              <w:t>Initial controlled baseline</w:t>
            </w:r>
          </w:p>
        </w:tc>
        <w:tc>
          <w:tcPr>
            <w:tcW w:type="dxa" w:w="4752"/>
            <w:vAlign w:val="center"/>
          </w:tcPr>
          <w:p>
            <w:pPr>
              <w:spacing w:after="0"/>
            </w:pPr>
            <w:r/>
            <w:r>
              <w:rPr>
                <w:rFonts w:ascii="Aptos" w:hAnsi="Aptos"/>
                <w:b w:val="0"/>
                <w:sz w:val="15"/>
              </w:rPr>
              <w:t>Assess the canonical 52-control profile exactly as enumerated in the controlled profile register.</w:t>
            </w:r>
          </w:p>
        </w:tc>
      </w:tr>
      <w:tr>
        <w:trPr>
          <w:cantSplit/>
        </w:trPr>
        <w:tc>
          <w:tcPr>
            <w:tcW w:type="dxa" w:w="1728"/>
            <w:vAlign w:val="center"/>
            <w:shd w:fill="F3F6F7"/>
          </w:tcPr>
          <w:p>
            <w:pPr>
              <w:spacing w:after="0"/>
            </w:pPr>
            <w:r/>
            <w:r>
              <w:rPr>
                <w:rFonts w:ascii="Aptos" w:hAnsi="Aptos"/>
                <w:b w:val="0"/>
                <w:sz w:val="15"/>
              </w:rPr>
              <w:t>Operational</w:t>
            </w:r>
          </w:p>
        </w:tc>
        <w:tc>
          <w:tcPr>
            <w:tcW w:type="dxa" w:w="3168"/>
            <w:vAlign w:val="center"/>
            <w:shd w:fill="F3F6F7"/>
          </w:tcPr>
          <w:p>
            <w:pPr>
              <w:spacing w:after="0"/>
            </w:pPr>
            <w:r/>
            <w:r>
              <w:rPr>
                <w:rFonts w:ascii="Aptos" w:hAnsi="Aptos"/>
                <w:b w:val="0"/>
                <w:sz w:val="15"/>
              </w:rPr>
              <w:t>Full operating framework</w:t>
            </w:r>
          </w:p>
        </w:tc>
        <w:tc>
          <w:tcPr>
            <w:tcW w:type="dxa" w:w="4752"/>
            <w:vAlign w:val="center"/>
            <w:shd w:fill="F3F6F7"/>
          </w:tcPr>
          <w:p>
            <w:pPr>
              <w:spacing w:after="0"/>
            </w:pPr>
            <w:r/>
            <w:r>
              <w:rPr>
                <w:rFonts w:ascii="Aptos" w:hAnsi="Aptos"/>
                <w:b w:val="0"/>
                <w:sz w:val="15"/>
              </w:rPr>
              <w:t>Assess all 59 controls and demonstrate consistent operation.</w:t>
            </w:r>
          </w:p>
        </w:tc>
      </w:tr>
      <w:tr>
        <w:trPr>
          <w:cantSplit/>
        </w:trPr>
        <w:tc>
          <w:tcPr>
            <w:tcW w:type="dxa" w:w="1728"/>
            <w:vAlign w:val="center"/>
          </w:tcPr>
          <w:p>
            <w:pPr>
              <w:spacing w:after="0"/>
            </w:pPr>
            <w:r/>
            <w:r>
              <w:rPr>
                <w:rFonts w:ascii="Aptos" w:hAnsi="Aptos"/>
                <w:b w:val="0"/>
                <w:sz w:val="15"/>
              </w:rPr>
              <w:t>Optimized</w:t>
            </w:r>
          </w:p>
        </w:tc>
        <w:tc>
          <w:tcPr>
            <w:tcW w:type="dxa" w:w="3168"/>
            <w:vAlign w:val="center"/>
          </w:tcPr>
          <w:p>
            <w:pPr>
              <w:spacing w:after="0"/>
            </w:pPr>
            <w:r/>
            <w:r>
              <w:rPr>
                <w:rFonts w:ascii="Aptos" w:hAnsi="Aptos"/>
                <w:b w:val="0"/>
                <w:sz w:val="15"/>
              </w:rPr>
              <w:t>Advanced assurance and continuous monitoring</w:t>
            </w:r>
          </w:p>
        </w:tc>
        <w:tc>
          <w:tcPr>
            <w:tcW w:type="dxa" w:w="4752"/>
            <w:vAlign w:val="center"/>
          </w:tcPr>
          <w:p>
            <w:pPr>
              <w:spacing w:after="0"/>
            </w:pPr>
            <w:r/>
            <w:r>
              <w:rPr>
                <w:rFonts w:ascii="Aptos" w:hAnsi="Aptos"/>
                <w:b w:val="0"/>
                <w:sz w:val="15"/>
              </w:rPr>
              <w:t>Assess all 59 controls plus continuous-monitoring and improvement expectations.</w:t>
            </w:r>
          </w:p>
        </w:tc>
      </w:tr>
      <w:tr>
        <w:trPr>
          <w:cantSplit/>
        </w:trPr>
        <w:tc>
          <w:tcPr>
            <w:tcW w:type="dxa" w:w="1728"/>
            <w:vAlign w:val="center"/>
            <w:shd w:fill="F3F6F7"/>
          </w:tcPr>
          <w:p>
            <w:pPr>
              <w:spacing w:after="0"/>
            </w:pPr>
            <w:r/>
            <w:r>
              <w:rPr>
                <w:rFonts w:ascii="Aptos" w:hAnsi="Aptos"/>
                <w:b w:val="0"/>
                <w:sz w:val="15"/>
              </w:rPr>
              <w:t>Sector profile</w:t>
            </w:r>
          </w:p>
        </w:tc>
        <w:tc>
          <w:tcPr>
            <w:tcW w:type="dxa" w:w="3168"/>
            <w:vAlign w:val="center"/>
            <w:shd w:fill="F3F6F7"/>
          </w:tcPr>
          <w:p>
            <w:pPr>
              <w:spacing w:after="0"/>
            </w:pPr>
            <w:r/>
            <w:r>
              <w:rPr>
                <w:rFonts w:ascii="Aptos" w:hAnsi="Aptos"/>
                <w:b w:val="0"/>
                <w:sz w:val="15"/>
              </w:rPr>
              <w:t>Additional sector or jurisdiction obligations</w:t>
            </w:r>
          </w:p>
        </w:tc>
        <w:tc>
          <w:tcPr>
            <w:tcW w:type="dxa" w:w="4752"/>
            <w:vAlign w:val="center"/>
            <w:shd w:fill="F3F6F7"/>
          </w:tcPr>
          <w:p>
            <w:pPr>
              <w:spacing w:after="0"/>
            </w:pPr>
            <w:r/>
            <w:r>
              <w:rPr>
                <w:rFonts w:ascii="Aptos" w:hAnsi="Aptos"/>
                <w:b w:val="0"/>
                <w:sz w:val="15"/>
              </w:rPr>
              <w:t>Apply additively; it does not replace the base profile.</w:t>
            </w:r>
          </w:p>
        </w:tc>
      </w:tr>
    </w:tbl>
    <w:p/>
    <w:p>
      <w:pPr>
        <w:pStyle w:val="SmallNote"/>
      </w:pPr>
      <w:r>
        <w:t>Important: the Foundational profile is not equivalent to excluding the D9 domain. The controlled profile register shall be used to identify the seven exclusions and the 52 included controls.</w:t>
      </w:r>
    </w:p>
    <w:p>
      <w:pPr>
        <w:pStyle w:val="Heading2"/>
      </w:pPr>
      <w:r>
        <w:t>7.3 Scope statement template</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304"/>
            <w:vAlign w:val="center"/>
            <w:shd w:fill="17324D"/>
          </w:tcPr>
          <w:p>
            <w:pPr>
              <w:spacing w:after="0"/>
            </w:pPr>
            <w:r/>
            <w:r>
              <w:rPr>
                <w:rFonts w:ascii="Aptos" w:hAnsi="Aptos"/>
                <w:b/>
                <w:color w:val="FFFFFF"/>
                <w:sz w:val="16"/>
              </w:rPr>
              <w:t>Field</w:t>
            </w:r>
          </w:p>
        </w:tc>
        <w:tc>
          <w:tcPr>
            <w:tcW w:type="dxa" w:w="7344"/>
            <w:vAlign w:val="center"/>
            <w:shd w:fill="17324D"/>
          </w:tcPr>
          <w:p>
            <w:pPr>
              <w:spacing w:after="0"/>
            </w:pPr>
            <w:r/>
            <w:r>
              <w:rPr>
                <w:rFonts w:ascii="Aptos" w:hAnsi="Aptos"/>
                <w:b/>
                <w:color w:val="FFFFFF"/>
                <w:sz w:val="16"/>
              </w:rPr>
              <w:t>Illustrative entry</w:t>
            </w:r>
          </w:p>
        </w:tc>
      </w:tr>
      <w:tr>
        <w:trPr>
          <w:cantSplit/>
        </w:trPr>
        <w:tc>
          <w:tcPr>
            <w:tcW w:type="dxa" w:w="2304"/>
            <w:vAlign w:val="center"/>
          </w:tcPr>
          <w:p>
            <w:pPr>
              <w:spacing w:after="0"/>
            </w:pPr>
            <w:r/>
            <w:r>
              <w:rPr>
                <w:rFonts w:ascii="Aptos" w:hAnsi="Aptos"/>
                <w:b w:val="0"/>
                <w:sz w:val="15"/>
              </w:rPr>
              <w:t>Organization</w:t>
            </w:r>
          </w:p>
        </w:tc>
        <w:tc>
          <w:tcPr>
            <w:tcW w:type="dxa" w:w="7344"/>
            <w:vAlign w:val="center"/>
          </w:tcPr>
          <w:p>
            <w:pPr>
              <w:spacing w:after="0"/>
            </w:pPr>
            <w:r/>
            <w:r>
              <w:rPr>
                <w:rFonts w:ascii="Aptos" w:hAnsi="Aptos"/>
                <w:b w:val="0"/>
                <w:sz w:val="15"/>
              </w:rPr>
              <w:t>Example enterprise and named business unit</w:t>
            </w:r>
          </w:p>
        </w:tc>
      </w:tr>
      <w:tr>
        <w:trPr>
          <w:cantSplit/>
        </w:trPr>
        <w:tc>
          <w:tcPr>
            <w:tcW w:type="dxa" w:w="2304"/>
            <w:vAlign w:val="center"/>
            <w:shd w:fill="F3F6F7"/>
          </w:tcPr>
          <w:p>
            <w:pPr>
              <w:spacing w:after="0"/>
            </w:pPr>
            <w:r/>
            <w:r>
              <w:rPr>
                <w:rFonts w:ascii="Aptos" w:hAnsi="Aptos"/>
                <w:b w:val="0"/>
                <w:sz w:val="15"/>
              </w:rPr>
              <w:t>Systems</w:t>
            </w:r>
          </w:p>
        </w:tc>
        <w:tc>
          <w:tcPr>
            <w:tcW w:type="dxa" w:w="7344"/>
            <w:vAlign w:val="center"/>
            <w:shd w:fill="F3F6F7"/>
          </w:tcPr>
          <w:p>
            <w:pPr>
              <w:spacing w:after="0"/>
            </w:pPr>
            <w:r/>
            <w:r>
              <w:rPr>
                <w:rFonts w:ascii="Aptos" w:hAnsi="Aptos"/>
                <w:b w:val="0"/>
                <w:sz w:val="15"/>
              </w:rPr>
              <w:t>Named AI services and supporting platforms</w:t>
            </w:r>
          </w:p>
        </w:tc>
      </w:tr>
      <w:tr>
        <w:trPr>
          <w:cantSplit/>
        </w:trPr>
        <w:tc>
          <w:tcPr>
            <w:tcW w:type="dxa" w:w="2304"/>
            <w:vAlign w:val="center"/>
          </w:tcPr>
          <w:p>
            <w:pPr>
              <w:spacing w:after="0"/>
            </w:pPr>
            <w:r/>
            <w:r>
              <w:rPr>
                <w:rFonts w:ascii="Aptos" w:hAnsi="Aptos"/>
                <w:b w:val="0"/>
                <w:sz w:val="15"/>
              </w:rPr>
              <w:t>Locations</w:t>
            </w:r>
          </w:p>
        </w:tc>
        <w:tc>
          <w:tcPr>
            <w:tcW w:type="dxa" w:w="7344"/>
            <w:vAlign w:val="center"/>
          </w:tcPr>
          <w:p>
            <w:pPr>
              <w:spacing w:after="0"/>
            </w:pPr>
            <w:r/>
            <w:r>
              <w:rPr>
                <w:rFonts w:ascii="Aptos" w:hAnsi="Aptos"/>
                <w:b w:val="0"/>
                <w:sz w:val="15"/>
              </w:rPr>
              <w:t>Specified regions and hosting environments</w:t>
            </w:r>
          </w:p>
        </w:tc>
      </w:tr>
      <w:tr>
        <w:trPr>
          <w:cantSplit/>
        </w:trPr>
        <w:tc>
          <w:tcPr>
            <w:tcW w:type="dxa" w:w="2304"/>
            <w:vAlign w:val="center"/>
            <w:shd w:fill="F3F6F7"/>
          </w:tcPr>
          <w:p>
            <w:pPr>
              <w:spacing w:after="0"/>
            </w:pPr>
            <w:r/>
            <w:r>
              <w:rPr>
                <w:rFonts w:ascii="Aptos" w:hAnsi="Aptos"/>
                <w:b w:val="0"/>
                <w:sz w:val="15"/>
              </w:rPr>
              <w:t>Lifecycle</w:t>
            </w:r>
          </w:p>
        </w:tc>
        <w:tc>
          <w:tcPr>
            <w:tcW w:type="dxa" w:w="7344"/>
            <w:vAlign w:val="center"/>
            <w:shd w:fill="F3F6F7"/>
          </w:tcPr>
          <w:p>
            <w:pPr>
              <w:spacing w:after="0"/>
            </w:pPr>
            <w:r/>
            <w:r>
              <w:rPr>
                <w:rFonts w:ascii="Aptos" w:hAnsi="Aptos"/>
                <w:b w:val="0"/>
                <w:sz w:val="15"/>
              </w:rPr>
              <w:t>Development through production operation</w:t>
            </w:r>
          </w:p>
        </w:tc>
      </w:tr>
      <w:tr>
        <w:trPr>
          <w:cantSplit/>
        </w:trPr>
        <w:tc>
          <w:tcPr>
            <w:tcW w:type="dxa" w:w="2304"/>
            <w:vAlign w:val="center"/>
          </w:tcPr>
          <w:p>
            <w:pPr>
              <w:spacing w:after="0"/>
            </w:pPr>
            <w:r/>
            <w:r>
              <w:rPr>
                <w:rFonts w:ascii="Aptos" w:hAnsi="Aptos"/>
                <w:b w:val="0"/>
                <w:sz w:val="15"/>
              </w:rPr>
              <w:t>Suppliers</w:t>
            </w:r>
          </w:p>
        </w:tc>
        <w:tc>
          <w:tcPr>
            <w:tcW w:type="dxa" w:w="7344"/>
            <w:vAlign w:val="center"/>
          </w:tcPr>
          <w:p>
            <w:pPr>
              <w:spacing w:after="0"/>
            </w:pPr>
            <w:r/>
            <w:r>
              <w:rPr>
                <w:rFonts w:ascii="Aptos" w:hAnsi="Aptos"/>
                <w:b w:val="0"/>
                <w:sz w:val="15"/>
              </w:rPr>
              <w:t>Named critical providers and inherited-control boundaries</w:t>
            </w:r>
          </w:p>
        </w:tc>
      </w:tr>
      <w:tr>
        <w:trPr>
          <w:cantSplit/>
        </w:trPr>
        <w:tc>
          <w:tcPr>
            <w:tcW w:type="dxa" w:w="2304"/>
            <w:vAlign w:val="center"/>
            <w:shd w:fill="F3F6F7"/>
          </w:tcPr>
          <w:p>
            <w:pPr>
              <w:spacing w:after="0"/>
            </w:pPr>
            <w:r/>
            <w:r>
              <w:rPr>
                <w:rFonts w:ascii="Aptos" w:hAnsi="Aptos"/>
                <w:b w:val="0"/>
                <w:sz w:val="15"/>
              </w:rPr>
              <w:t>Profile</w:t>
            </w:r>
          </w:p>
        </w:tc>
        <w:tc>
          <w:tcPr>
            <w:tcW w:type="dxa" w:w="7344"/>
            <w:vAlign w:val="center"/>
            <w:shd w:fill="F3F6F7"/>
          </w:tcPr>
          <w:p>
            <w:pPr>
              <w:spacing w:after="0"/>
            </w:pPr>
            <w:r/>
            <w:r>
              <w:rPr>
                <w:rFonts w:ascii="Aptos" w:hAnsi="Aptos"/>
                <w:b w:val="0"/>
                <w:sz w:val="15"/>
              </w:rPr>
              <w:t>Foundational / Operational / Optimized plus sector profiles</w:t>
            </w:r>
          </w:p>
        </w:tc>
      </w:tr>
      <w:tr>
        <w:trPr>
          <w:cantSplit/>
        </w:trPr>
        <w:tc>
          <w:tcPr>
            <w:tcW w:type="dxa" w:w="2304"/>
            <w:vAlign w:val="center"/>
          </w:tcPr>
          <w:p>
            <w:pPr>
              <w:spacing w:after="0"/>
            </w:pPr>
            <w:r/>
            <w:r>
              <w:rPr>
                <w:rFonts w:ascii="Aptos" w:hAnsi="Aptos"/>
                <w:b w:val="0"/>
                <w:sz w:val="15"/>
              </w:rPr>
              <w:t>Exclusions</w:t>
            </w:r>
          </w:p>
        </w:tc>
        <w:tc>
          <w:tcPr>
            <w:tcW w:type="dxa" w:w="7344"/>
            <w:vAlign w:val="center"/>
          </w:tcPr>
          <w:p>
            <w:pPr>
              <w:spacing w:after="0"/>
            </w:pPr>
            <w:r/>
            <w:r>
              <w:rPr>
                <w:rFonts w:ascii="Aptos" w:hAnsi="Aptos"/>
                <w:b w:val="0"/>
                <w:sz w:val="15"/>
              </w:rPr>
              <w:t>Explicitly justified and approved</w:t>
            </w:r>
          </w:p>
        </w:tc>
      </w:tr>
      <w:tr>
        <w:trPr>
          <w:cantSplit/>
        </w:trPr>
        <w:tc>
          <w:tcPr>
            <w:tcW w:type="dxa" w:w="2304"/>
            <w:vAlign w:val="center"/>
            <w:shd w:fill="F3F6F7"/>
          </w:tcPr>
          <w:p>
            <w:pPr>
              <w:spacing w:after="0"/>
            </w:pPr>
            <w:r/>
            <w:r>
              <w:rPr>
                <w:rFonts w:ascii="Aptos" w:hAnsi="Aptos"/>
                <w:b w:val="0"/>
                <w:sz w:val="15"/>
              </w:rPr>
              <w:t>Assessment period</w:t>
            </w:r>
          </w:p>
        </w:tc>
        <w:tc>
          <w:tcPr>
            <w:tcW w:type="dxa" w:w="7344"/>
            <w:vAlign w:val="center"/>
            <w:shd w:fill="F3F6F7"/>
          </w:tcPr>
          <w:p>
            <w:pPr>
              <w:spacing w:after="0"/>
            </w:pPr>
            <w:r/>
            <w:r>
              <w:rPr>
                <w:rFonts w:ascii="Aptos" w:hAnsi="Aptos"/>
                <w:b w:val="0"/>
                <w:sz w:val="15"/>
              </w:rPr>
              <w:t>Evidence period and cut-off date</w:t>
            </w:r>
          </w:p>
        </w:tc>
      </w:tr>
    </w:tbl>
    <w:p/>
    <w:p>
      <w:pPr>
        <w:pStyle w:val="Heading1"/>
      </w:pPr>
      <w:r>
        <w:t>8. Phase 3 — Establish Governance</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448"/>
            <w:vAlign w:val="center"/>
            <w:shd w:fill="17324D"/>
          </w:tcPr>
          <w:p>
            <w:pPr>
              <w:spacing w:after="0"/>
            </w:pPr>
            <w:r/>
            <w:r>
              <w:rPr>
                <w:rFonts w:ascii="Aptos" w:hAnsi="Aptos"/>
                <w:b/>
                <w:color w:val="FFFFFF"/>
                <w:sz w:val="16"/>
              </w:rPr>
              <w:t>Role</w:t>
            </w:r>
          </w:p>
        </w:tc>
        <w:tc>
          <w:tcPr>
            <w:tcW w:type="dxa" w:w="7200"/>
            <w:vAlign w:val="center"/>
            <w:shd w:fill="17324D"/>
          </w:tcPr>
          <w:p>
            <w:pPr>
              <w:spacing w:after="0"/>
            </w:pPr>
            <w:r/>
            <w:r>
              <w:rPr>
                <w:rFonts w:ascii="Aptos" w:hAnsi="Aptos"/>
                <w:b/>
                <w:color w:val="FFFFFF"/>
                <w:sz w:val="16"/>
              </w:rPr>
              <w:t>Primary accountability</w:t>
            </w:r>
          </w:p>
        </w:tc>
      </w:tr>
      <w:tr>
        <w:trPr>
          <w:cantSplit/>
        </w:trPr>
        <w:tc>
          <w:tcPr>
            <w:tcW w:type="dxa" w:w="2448"/>
            <w:vAlign w:val="center"/>
          </w:tcPr>
          <w:p>
            <w:pPr>
              <w:spacing w:after="0"/>
            </w:pPr>
            <w:r/>
            <w:r>
              <w:rPr>
                <w:rFonts w:ascii="Aptos" w:hAnsi="Aptos"/>
                <w:b w:val="0"/>
                <w:sz w:val="15"/>
              </w:rPr>
              <w:t>Board or risk committee</w:t>
            </w:r>
          </w:p>
        </w:tc>
        <w:tc>
          <w:tcPr>
            <w:tcW w:type="dxa" w:w="7200"/>
            <w:vAlign w:val="center"/>
          </w:tcPr>
          <w:p>
            <w:pPr>
              <w:spacing w:after="0"/>
            </w:pPr>
            <w:r/>
            <w:r>
              <w:rPr>
                <w:rFonts w:ascii="Aptos" w:hAnsi="Aptos"/>
                <w:b w:val="0"/>
                <w:sz w:val="15"/>
              </w:rPr>
              <w:t>Oversight of material AI risk and assurance</w:t>
            </w:r>
          </w:p>
        </w:tc>
      </w:tr>
      <w:tr>
        <w:trPr>
          <w:cantSplit/>
        </w:trPr>
        <w:tc>
          <w:tcPr>
            <w:tcW w:type="dxa" w:w="2448"/>
            <w:vAlign w:val="center"/>
            <w:shd w:fill="F3F6F7"/>
          </w:tcPr>
          <w:p>
            <w:pPr>
              <w:spacing w:after="0"/>
            </w:pPr>
            <w:r/>
            <w:r>
              <w:rPr>
                <w:rFonts w:ascii="Aptos" w:hAnsi="Aptos"/>
                <w:b w:val="0"/>
                <w:sz w:val="15"/>
              </w:rPr>
              <w:t>Executive sponsor</w:t>
            </w:r>
          </w:p>
        </w:tc>
        <w:tc>
          <w:tcPr>
            <w:tcW w:type="dxa" w:w="7200"/>
            <w:vAlign w:val="center"/>
            <w:shd w:fill="F3F6F7"/>
          </w:tcPr>
          <w:p>
            <w:pPr>
              <w:spacing w:after="0"/>
            </w:pPr>
            <w:r/>
            <w:r>
              <w:rPr>
                <w:rFonts w:ascii="Aptos" w:hAnsi="Aptos"/>
                <w:b w:val="0"/>
                <w:sz w:val="15"/>
              </w:rPr>
              <w:t>Mandate, resources, escalation and residual-risk acceptance</w:t>
            </w:r>
          </w:p>
        </w:tc>
      </w:tr>
      <w:tr>
        <w:trPr>
          <w:cantSplit/>
        </w:trPr>
        <w:tc>
          <w:tcPr>
            <w:tcW w:type="dxa" w:w="2448"/>
            <w:vAlign w:val="center"/>
          </w:tcPr>
          <w:p>
            <w:pPr>
              <w:spacing w:after="0"/>
            </w:pPr>
            <w:r/>
            <w:r>
              <w:rPr>
                <w:rFonts w:ascii="Aptos" w:hAnsi="Aptos"/>
                <w:b w:val="0"/>
                <w:sz w:val="15"/>
              </w:rPr>
              <w:t>GAISSF steering committee</w:t>
            </w:r>
          </w:p>
        </w:tc>
        <w:tc>
          <w:tcPr>
            <w:tcW w:type="dxa" w:w="7200"/>
            <w:vAlign w:val="center"/>
          </w:tcPr>
          <w:p>
            <w:pPr>
              <w:spacing w:after="0"/>
            </w:pPr>
            <w:r/>
            <w:r>
              <w:rPr>
                <w:rFonts w:ascii="Aptos" w:hAnsi="Aptos"/>
                <w:b w:val="0"/>
                <w:sz w:val="15"/>
              </w:rPr>
              <w:t>Cross-functional decisions and progress control</w:t>
            </w:r>
          </w:p>
        </w:tc>
      </w:tr>
      <w:tr>
        <w:trPr>
          <w:cantSplit/>
        </w:trPr>
        <w:tc>
          <w:tcPr>
            <w:tcW w:type="dxa" w:w="2448"/>
            <w:vAlign w:val="center"/>
            <w:shd w:fill="F3F6F7"/>
          </w:tcPr>
          <w:p>
            <w:pPr>
              <w:spacing w:after="0"/>
            </w:pPr>
            <w:r/>
            <w:r>
              <w:rPr>
                <w:rFonts w:ascii="Aptos" w:hAnsi="Aptos"/>
                <w:b w:val="0"/>
                <w:sz w:val="15"/>
              </w:rPr>
              <w:t>Program lead</w:t>
            </w:r>
          </w:p>
        </w:tc>
        <w:tc>
          <w:tcPr>
            <w:tcW w:type="dxa" w:w="7200"/>
            <w:vAlign w:val="center"/>
            <w:shd w:fill="F3F6F7"/>
          </w:tcPr>
          <w:p>
            <w:pPr>
              <w:spacing w:after="0"/>
            </w:pPr>
            <w:r/>
            <w:r>
              <w:rPr>
                <w:rFonts w:ascii="Aptos" w:hAnsi="Aptos"/>
                <w:b w:val="0"/>
                <w:sz w:val="15"/>
              </w:rPr>
              <w:t>Plan, dependencies, traceability and reporting</w:t>
            </w:r>
          </w:p>
        </w:tc>
      </w:tr>
      <w:tr>
        <w:trPr>
          <w:cantSplit/>
        </w:trPr>
        <w:tc>
          <w:tcPr>
            <w:tcW w:type="dxa" w:w="2448"/>
            <w:vAlign w:val="center"/>
          </w:tcPr>
          <w:p>
            <w:pPr>
              <w:spacing w:after="0"/>
            </w:pPr>
            <w:r/>
            <w:r>
              <w:rPr>
                <w:rFonts w:ascii="Aptos" w:hAnsi="Aptos"/>
                <w:b w:val="0"/>
                <w:sz w:val="15"/>
              </w:rPr>
              <w:t>Control owner</w:t>
            </w:r>
          </w:p>
        </w:tc>
        <w:tc>
          <w:tcPr>
            <w:tcW w:type="dxa" w:w="7200"/>
            <w:vAlign w:val="center"/>
          </w:tcPr>
          <w:p>
            <w:pPr>
              <w:spacing w:after="0"/>
            </w:pPr>
            <w:r/>
            <w:r>
              <w:rPr>
                <w:rFonts w:ascii="Aptos" w:hAnsi="Aptos"/>
                <w:b w:val="0"/>
                <w:sz w:val="15"/>
              </w:rPr>
              <w:t>Design and accountability for control effectiveness</w:t>
            </w:r>
          </w:p>
        </w:tc>
      </w:tr>
      <w:tr>
        <w:trPr>
          <w:cantSplit/>
        </w:trPr>
        <w:tc>
          <w:tcPr>
            <w:tcW w:type="dxa" w:w="2448"/>
            <w:vAlign w:val="center"/>
            <w:shd w:fill="F3F6F7"/>
          </w:tcPr>
          <w:p>
            <w:pPr>
              <w:spacing w:after="0"/>
            </w:pPr>
            <w:r/>
            <w:r>
              <w:rPr>
                <w:rFonts w:ascii="Aptos" w:hAnsi="Aptos"/>
                <w:b w:val="0"/>
                <w:sz w:val="15"/>
              </w:rPr>
              <w:t>Control operator</w:t>
            </w:r>
          </w:p>
        </w:tc>
        <w:tc>
          <w:tcPr>
            <w:tcW w:type="dxa" w:w="7200"/>
            <w:vAlign w:val="center"/>
            <w:shd w:fill="F3F6F7"/>
          </w:tcPr>
          <w:p>
            <w:pPr>
              <w:spacing w:after="0"/>
            </w:pPr>
            <w:r/>
            <w:r>
              <w:rPr>
                <w:rFonts w:ascii="Aptos" w:hAnsi="Aptos"/>
                <w:b w:val="0"/>
                <w:sz w:val="15"/>
              </w:rPr>
              <w:t>Day-to-day execution and evidence generation</w:t>
            </w:r>
          </w:p>
        </w:tc>
      </w:tr>
      <w:tr>
        <w:trPr>
          <w:cantSplit/>
        </w:trPr>
        <w:tc>
          <w:tcPr>
            <w:tcW w:type="dxa" w:w="2448"/>
            <w:vAlign w:val="center"/>
          </w:tcPr>
          <w:p>
            <w:pPr>
              <w:spacing w:after="0"/>
            </w:pPr>
            <w:r/>
            <w:r>
              <w:rPr>
                <w:rFonts w:ascii="Aptos" w:hAnsi="Aptos"/>
                <w:b w:val="0"/>
                <w:sz w:val="15"/>
              </w:rPr>
              <w:t>System owner</w:t>
            </w:r>
          </w:p>
        </w:tc>
        <w:tc>
          <w:tcPr>
            <w:tcW w:type="dxa" w:w="7200"/>
            <w:vAlign w:val="center"/>
          </w:tcPr>
          <w:p>
            <w:pPr>
              <w:spacing w:after="0"/>
            </w:pPr>
            <w:r/>
            <w:r>
              <w:rPr>
                <w:rFonts w:ascii="Aptos" w:hAnsi="Aptos"/>
                <w:b w:val="0"/>
                <w:sz w:val="15"/>
              </w:rPr>
              <w:t>System risk, lifecycle and supplier decisions</w:t>
            </w:r>
          </w:p>
        </w:tc>
      </w:tr>
      <w:tr>
        <w:trPr>
          <w:cantSplit/>
        </w:trPr>
        <w:tc>
          <w:tcPr>
            <w:tcW w:type="dxa" w:w="2448"/>
            <w:vAlign w:val="center"/>
            <w:shd w:fill="F3F6F7"/>
          </w:tcPr>
          <w:p>
            <w:pPr>
              <w:spacing w:after="0"/>
            </w:pPr>
            <w:r/>
            <w:r>
              <w:rPr>
                <w:rFonts w:ascii="Aptos" w:hAnsi="Aptos"/>
                <w:b w:val="0"/>
                <w:sz w:val="15"/>
              </w:rPr>
              <w:t>Legal and compliance</w:t>
            </w:r>
          </w:p>
        </w:tc>
        <w:tc>
          <w:tcPr>
            <w:tcW w:type="dxa" w:w="7200"/>
            <w:vAlign w:val="center"/>
            <w:shd w:fill="F3F6F7"/>
          </w:tcPr>
          <w:p>
            <w:pPr>
              <w:spacing w:after="0"/>
            </w:pPr>
            <w:r/>
            <w:r>
              <w:rPr>
                <w:rFonts w:ascii="Aptos" w:hAnsi="Aptos"/>
                <w:b w:val="0"/>
                <w:sz w:val="15"/>
              </w:rPr>
              <w:t>Applicable obligations and legal interpretation</w:t>
            </w:r>
          </w:p>
        </w:tc>
      </w:tr>
      <w:tr>
        <w:trPr>
          <w:cantSplit/>
        </w:trPr>
        <w:tc>
          <w:tcPr>
            <w:tcW w:type="dxa" w:w="2448"/>
            <w:vAlign w:val="center"/>
          </w:tcPr>
          <w:p>
            <w:pPr>
              <w:spacing w:after="0"/>
            </w:pPr>
            <w:r/>
            <w:r>
              <w:rPr>
                <w:rFonts w:ascii="Aptos" w:hAnsi="Aptos"/>
                <w:b w:val="0"/>
                <w:sz w:val="15"/>
              </w:rPr>
              <w:t>Internal audit / assurance</w:t>
            </w:r>
          </w:p>
        </w:tc>
        <w:tc>
          <w:tcPr>
            <w:tcW w:type="dxa" w:w="7200"/>
            <w:vAlign w:val="center"/>
          </w:tcPr>
          <w:p>
            <w:pPr>
              <w:spacing w:after="0"/>
            </w:pPr>
            <w:r/>
            <w:r>
              <w:rPr>
                <w:rFonts w:ascii="Aptos" w:hAnsi="Aptos"/>
                <w:b w:val="0"/>
                <w:sz w:val="15"/>
              </w:rPr>
              <w:t>Independent challenge and testing</w:t>
            </w:r>
          </w:p>
        </w:tc>
      </w:tr>
      <w:tr>
        <w:trPr>
          <w:cantSplit/>
        </w:trPr>
        <w:tc>
          <w:tcPr>
            <w:tcW w:type="dxa" w:w="2448"/>
            <w:vAlign w:val="center"/>
            <w:shd w:fill="F3F6F7"/>
          </w:tcPr>
          <w:p>
            <w:pPr>
              <w:spacing w:after="0"/>
            </w:pPr>
            <w:r/>
            <w:r>
              <w:rPr>
                <w:rFonts w:ascii="Aptos" w:hAnsi="Aptos"/>
                <w:b w:val="0"/>
                <w:sz w:val="15"/>
              </w:rPr>
              <w:t>Certification liaison</w:t>
            </w:r>
          </w:p>
        </w:tc>
        <w:tc>
          <w:tcPr>
            <w:tcW w:type="dxa" w:w="7200"/>
            <w:vAlign w:val="center"/>
            <w:shd w:fill="F3F6F7"/>
          </w:tcPr>
          <w:p>
            <w:pPr>
              <w:spacing w:after="0"/>
            </w:pPr>
            <w:r/>
            <w:r>
              <w:rPr>
                <w:rFonts w:ascii="Aptos" w:hAnsi="Aptos"/>
                <w:b w:val="0"/>
                <w:sz w:val="15"/>
              </w:rPr>
              <w:t>Assessment coordination and controlled representations</w:t>
            </w:r>
          </w:p>
        </w:tc>
      </w:tr>
    </w:tbl>
    <w:p/>
    <w:p>
      <w:pPr>
        <w:pStyle w:val="Heading1"/>
      </w:pPr>
      <w:r>
        <w:t>9. Phase 4 — Conduct the Baseline Assessment</w:t>
      </w:r>
    </w:p>
    <w:p>
      <w:r>
        <w:t>Assessment should distinguish control design, implementation, operation and effectiveness. A policy alone does not demonstrate operation.</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1872"/>
            <w:vAlign w:val="center"/>
            <w:shd w:fill="17324D"/>
          </w:tcPr>
          <w:p>
            <w:pPr>
              <w:spacing w:after="0"/>
            </w:pPr>
            <w:r/>
            <w:r>
              <w:rPr>
                <w:rFonts w:ascii="Aptos" w:hAnsi="Aptos"/>
                <w:b/>
                <w:color w:val="FFFFFF"/>
                <w:sz w:val="16"/>
              </w:rPr>
              <w:t>Rating</w:t>
            </w:r>
          </w:p>
        </w:tc>
        <w:tc>
          <w:tcPr>
            <w:tcW w:type="dxa" w:w="3888"/>
            <w:vAlign w:val="center"/>
            <w:shd w:fill="17324D"/>
          </w:tcPr>
          <w:p>
            <w:pPr>
              <w:spacing w:after="0"/>
            </w:pPr>
            <w:r/>
            <w:r>
              <w:rPr>
                <w:rFonts w:ascii="Aptos" w:hAnsi="Aptos"/>
                <w:b/>
                <w:color w:val="FFFFFF"/>
                <w:sz w:val="16"/>
              </w:rPr>
              <w:t>Meaning</w:t>
            </w:r>
          </w:p>
        </w:tc>
        <w:tc>
          <w:tcPr>
            <w:tcW w:type="dxa" w:w="3888"/>
            <w:vAlign w:val="center"/>
            <w:shd w:fill="17324D"/>
          </w:tcPr>
          <w:p>
            <w:pPr>
              <w:spacing w:after="0"/>
            </w:pPr>
            <w:r/>
            <w:r>
              <w:rPr>
                <w:rFonts w:ascii="Aptos" w:hAnsi="Aptos"/>
                <w:b/>
                <w:color w:val="FFFFFF"/>
                <w:sz w:val="16"/>
              </w:rPr>
              <w:t>Typical evidence</w:t>
            </w:r>
          </w:p>
        </w:tc>
      </w:tr>
      <w:tr>
        <w:trPr>
          <w:cantSplit/>
        </w:trPr>
        <w:tc>
          <w:tcPr>
            <w:tcW w:type="dxa" w:w="1872"/>
            <w:vAlign w:val="center"/>
          </w:tcPr>
          <w:p>
            <w:pPr>
              <w:spacing w:after="0"/>
            </w:pPr>
            <w:r/>
            <w:r>
              <w:rPr>
                <w:rFonts w:ascii="Aptos" w:hAnsi="Aptos"/>
                <w:b w:val="0"/>
                <w:sz w:val="15"/>
              </w:rPr>
              <w:t>Not applicable</w:t>
            </w:r>
          </w:p>
        </w:tc>
        <w:tc>
          <w:tcPr>
            <w:tcW w:type="dxa" w:w="3888"/>
            <w:vAlign w:val="center"/>
          </w:tcPr>
          <w:p>
            <w:pPr>
              <w:spacing w:after="0"/>
            </w:pPr>
            <w:r/>
            <w:r>
              <w:rPr>
                <w:rFonts w:ascii="Aptos" w:hAnsi="Aptos"/>
                <w:b w:val="0"/>
                <w:sz w:val="15"/>
              </w:rPr>
              <w:t>Excluded only through controlled applicability rules or approved scope rationale</w:t>
            </w:r>
          </w:p>
        </w:tc>
        <w:tc>
          <w:tcPr>
            <w:tcW w:type="dxa" w:w="3888"/>
            <w:vAlign w:val="center"/>
          </w:tcPr>
          <w:p>
            <w:pPr>
              <w:spacing w:after="0"/>
            </w:pPr>
            <w:r/>
            <w:r>
              <w:rPr>
                <w:rFonts w:ascii="Aptos" w:hAnsi="Aptos"/>
                <w:b w:val="0"/>
                <w:sz w:val="15"/>
              </w:rPr>
              <w:t>Applicability decision and approval</w:t>
            </w:r>
          </w:p>
        </w:tc>
      </w:tr>
      <w:tr>
        <w:trPr>
          <w:cantSplit/>
        </w:trPr>
        <w:tc>
          <w:tcPr>
            <w:tcW w:type="dxa" w:w="1872"/>
            <w:vAlign w:val="center"/>
            <w:shd w:fill="F3F6F7"/>
          </w:tcPr>
          <w:p>
            <w:pPr>
              <w:spacing w:after="0"/>
            </w:pPr>
            <w:r/>
            <w:r>
              <w:rPr>
                <w:rFonts w:ascii="Aptos" w:hAnsi="Aptos"/>
                <w:b w:val="0"/>
                <w:sz w:val="15"/>
              </w:rPr>
              <w:t>Not implemented</w:t>
            </w:r>
          </w:p>
        </w:tc>
        <w:tc>
          <w:tcPr>
            <w:tcW w:type="dxa" w:w="3888"/>
            <w:vAlign w:val="center"/>
            <w:shd w:fill="F3F6F7"/>
          </w:tcPr>
          <w:p>
            <w:pPr>
              <w:spacing w:after="0"/>
            </w:pPr>
            <w:r/>
            <w:r>
              <w:rPr>
                <w:rFonts w:ascii="Aptos" w:hAnsi="Aptos"/>
                <w:b w:val="0"/>
                <w:sz w:val="15"/>
              </w:rPr>
              <w:t>No adequate control design or operation</w:t>
            </w:r>
          </w:p>
        </w:tc>
        <w:tc>
          <w:tcPr>
            <w:tcW w:type="dxa" w:w="3888"/>
            <w:vAlign w:val="center"/>
            <w:shd w:fill="F3F6F7"/>
          </w:tcPr>
          <w:p>
            <w:pPr>
              <w:spacing w:after="0"/>
            </w:pPr>
            <w:r/>
            <w:r>
              <w:rPr>
                <w:rFonts w:ascii="Aptos" w:hAnsi="Aptos"/>
                <w:b w:val="0"/>
                <w:sz w:val="15"/>
              </w:rPr>
              <w:t>Gap record</w:t>
            </w:r>
          </w:p>
        </w:tc>
      </w:tr>
      <w:tr>
        <w:trPr>
          <w:cantSplit/>
        </w:trPr>
        <w:tc>
          <w:tcPr>
            <w:tcW w:type="dxa" w:w="1872"/>
            <w:vAlign w:val="center"/>
          </w:tcPr>
          <w:p>
            <w:pPr>
              <w:spacing w:after="0"/>
            </w:pPr>
            <w:r/>
            <w:r>
              <w:rPr>
                <w:rFonts w:ascii="Aptos" w:hAnsi="Aptos"/>
                <w:b w:val="0"/>
                <w:sz w:val="15"/>
              </w:rPr>
              <w:t>Designed</w:t>
            </w:r>
          </w:p>
        </w:tc>
        <w:tc>
          <w:tcPr>
            <w:tcW w:type="dxa" w:w="3888"/>
            <w:vAlign w:val="center"/>
          </w:tcPr>
          <w:p>
            <w:pPr>
              <w:spacing w:after="0"/>
            </w:pPr>
            <w:r/>
            <w:r>
              <w:rPr>
                <w:rFonts w:ascii="Aptos" w:hAnsi="Aptos"/>
                <w:b w:val="0"/>
                <w:sz w:val="15"/>
              </w:rPr>
              <w:t>Control is documented but not fully operating</w:t>
            </w:r>
          </w:p>
        </w:tc>
        <w:tc>
          <w:tcPr>
            <w:tcW w:type="dxa" w:w="3888"/>
            <w:vAlign w:val="center"/>
          </w:tcPr>
          <w:p>
            <w:pPr>
              <w:spacing w:after="0"/>
            </w:pPr>
            <w:r/>
            <w:r>
              <w:rPr>
                <w:rFonts w:ascii="Aptos" w:hAnsi="Aptos"/>
                <w:b w:val="0"/>
                <w:sz w:val="15"/>
              </w:rPr>
              <w:t>Policy, procedure, design record</w:t>
            </w:r>
          </w:p>
        </w:tc>
      </w:tr>
      <w:tr>
        <w:trPr>
          <w:cantSplit/>
        </w:trPr>
        <w:tc>
          <w:tcPr>
            <w:tcW w:type="dxa" w:w="1872"/>
            <w:vAlign w:val="center"/>
            <w:shd w:fill="F3F6F7"/>
          </w:tcPr>
          <w:p>
            <w:pPr>
              <w:spacing w:after="0"/>
            </w:pPr>
            <w:r/>
            <w:r>
              <w:rPr>
                <w:rFonts w:ascii="Aptos" w:hAnsi="Aptos"/>
                <w:b w:val="0"/>
                <w:sz w:val="15"/>
              </w:rPr>
              <w:t>Implemented</w:t>
            </w:r>
          </w:p>
        </w:tc>
        <w:tc>
          <w:tcPr>
            <w:tcW w:type="dxa" w:w="3888"/>
            <w:vAlign w:val="center"/>
            <w:shd w:fill="F3F6F7"/>
          </w:tcPr>
          <w:p>
            <w:pPr>
              <w:spacing w:after="0"/>
            </w:pPr>
            <w:r/>
            <w:r>
              <w:rPr>
                <w:rFonts w:ascii="Aptos" w:hAnsi="Aptos"/>
                <w:b w:val="0"/>
                <w:sz w:val="15"/>
              </w:rPr>
              <w:t>Mechanism exists but evidence period is insufficient or inconsistent</w:t>
            </w:r>
          </w:p>
        </w:tc>
        <w:tc>
          <w:tcPr>
            <w:tcW w:type="dxa" w:w="3888"/>
            <w:vAlign w:val="center"/>
            <w:shd w:fill="F3F6F7"/>
          </w:tcPr>
          <w:p>
            <w:pPr>
              <w:spacing w:after="0"/>
            </w:pPr>
            <w:r/>
            <w:r>
              <w:rPr>
                <w:rFonts w:ascii="Aptos" w:hAnsi="Aptos"/>
                <w:b w:val="0"/>
                <w:sz w:val="15"/>
              </w:rPr>
              <w:t>Configuration, deployment record</w:t>
            </w:r>
          </w:p>
        </w:tc>
      </w:tr>
      <w:tr>
        <w:trPr>
          <w:cantSplit/>
        </w:trPr>
        <w:tc>
          <w:tcPr>
            <w:tcW w:type="dxa" w:w="1872"/>
            <w:vAlign w:val="center"/>
          </w:tcPr>
          <w:p>
            <w:pPr>
              <w:spacing w:after="0"/>
            </w:pPr>
            <w:r/>
            <w:r>
              <w:rPr>
                <w:rFonts w:ascii="Aptos" w:hAnsi="Aptos"/>
                <w:b w:val="0"/>
                <w:sz w:val="15"/>
              </w:rPr>
              <w:t>Operating</w:t>
            </w:r>
          </w:p>
        </w:tc>
        <w:tc>
          <w:tcPr>
            <w:tcW w:type="dxa" w:w="3888"/>
            <w:vAlign w:val="center"/>
          </w:tcPr>
          <w:p>
            <w:pPr>
              <w:spacing w:after="0"/>
            </w:pPr>
            <w:r/>
            <w:r>
              <w:rPr>
                <w:rFonts w:ascii="Aptos" w:hAnsi="Aptos"/>
                <w:b w:val="0"/>
                <w:sz w:val="15"/>
              </w:rPr>
              <w:t>Control operates consistently in the assessed scope</w:t>
            </w:r>
          </w:p>
        </w:tc>
        <w:tc>
          <w:tcPr>
            <w:tcW w:type="dxa" w:w="3888"/>
            <w:vAlign w:val="center"/>
          </w:tcPr>
          <w:p>
            <w:pPr>
              <w:spacing w:after="0"/>
            </w:pPr>
            <w:r/>
            <w:r>
              <w:rPr>
                <w:rFonts w:ascii="Aptos" w:hAnsi="Aptos"/>
                <w:b w:val="0"/>
                <w:sz w:val="15"/>
              </w:rPr>
              <w:t>Logs, tickets, reviews, test outputs</w:t>
            </w:r>
          </w:p>
        </w:tc>
      </w:tr>
      <w:tr>
        <w:trPr>
          <w:cantSplit/>
        </w:trPr>
        <w:tc>
          <w:tcPr>
            <w:tcW w:type="dxa" w:w="1872"/>
            <w:vAlign w:val="center"/>
            <w:shd w:fill="F3F6F7"/>
          </w:tcPr>
          <w:p>
            <w:pPr>
              <w:spacing w:after="0"/>
            </w:pPr>
            <w:r/>
            <w:r>
              <w:rPr>
                <w:rFonts w:ascii="Aptos" w:hAnsi="Aptos"/>
                <w:b w:val="0"/>
                <w:sz w:val="15"/>
              </w:rPr>
              <w:t>Effective</w:t>
            </w:r>
          </w:p>
        </w:tc>
        <w:tc>
          <w:tcPr>
            <w:tcW w:type="dxa" w:w="3888"/>
            <w:vAlign w:val="center"/>
            <w:shd w:fill="F3F6F7"/>
          </w:tcPr>
          <w:p>
            <w:pPr>
              <w:spacing w:after="0"/>
            </w:pPr>
            <w:r/>
            <w:r>
              <w:rPr>
                <w:rFonts w:ascii="Aptos" w:hAnsi="Aptos"/>
                <w:b w:val="0"/>
                <w:sz w:val="15"/>
              </w:rPr>
              <w:t>Control demonstrably reduces the intended risk and passes assurance testing</w:t>
            </w:r>
          </w:p>
        </w:tc>
        <w:tc>
          <w:tcPr>
            <w:tcW w:type="dxa" w:w="3888"/>
            <w:vAlign w:val="center"/>
            <w:shd w:fill="F3F6F7"/>
          </w:tcPr>
          <w:p>
            <w:pPr>
              <w:spacing w:after="0"/>
            </w:pPr>
            <w:r/>
            <w:r>
              <w:rPr>
                <w:rFonts w:ascii="Aptos" w:hAnsi="Aptos"/>
                <w:b w:val="0"/>
                <w:sz w:val="15"/>
              </w:rPr>
              <w:t>Outcome metrics, independent validation</w:t>
            </w:r>
          </w:p>
        </w:tc>
      </w:tr>
    </w:tbl>
    <w:p/>
    <w:p>
      <w:pPr>
        <w:pStyle w:val="Heading2"/>
      </w:pPr>
      <w:r>
        <w:t>9.1 Assessment method</w:t>
      </w:r>
    </w:p>
    <w:p>
      <w:pPr>
        <w:pStyle w:val="ListNumber"/>
      </w:pPr>
      <w:r>
        <w:t>Review the exact control statement and objective.</w:t>
      </w:r>
    </w:p>
    <w:p>
      <w:pPr>
        <w:pStyle w:val="ListNumber"/>
      </w:pPr>
      <w:r>
        <w:t>Confirm applicability to the defined scope.</w:t>
      </w:r>
    </w:p>
    <w:p>
      <w:pPr>
        <w:pStyle w:val="ListNumber"/>
      </w:pPr>
      <w:r>
        <w:t>Identify required control owners and operators.</w:t>
      </w:r>
    </w:p>
    <w:p>
      <w:pPr>
        <w:pStyle w:val="ListNumber"/>
      </w:pPr>
      <w:r>
        <w:t>Inspect design documentation and implementation records.</w:t>
      </w:r>
    </w:p>
    <w:p>
      <w:pPr>
        <w:pStyle w:val="ListNumber"/>
      </w:pPr>
      <w:r>
        <w:t>Sample operating evidence across the assessment period.</w:t>
      </w:r>
    </w:p>
    <w:p>
      <w:pPr>
        <w:pStyle w:val="ListNumber"/>
      </w:pPr>
      <w:r>
        <w:t>Test technical and procedural operation where applicable.</w:t>
      </w:r>
    </w:p>
    <w:p>
      <w:pPr>
        <w:pStyle w:val="ListNumber"/>
      </w:pPr>
      <w:r>
        <w:t>Record gaps, risks, dependencies and conflicting evidence.</w:t>
      </w:r>
    </w:p>
    <w:p>
      <w:pPr>
        <w:pStyle w:val="ListNumber"/>
      </w:pPr>
      <w:r>
        <w:t>Assign corrective action and target date.</w:t>
      </w:r>
    </w:p>
    <w:p>
      <w:pPr>
        <w:pStyle w:val="Heading1"/>
      </w:pPr>
      <w:r>
        <w:t>10. Phase 5 — Build the Remediation Roadmap</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1728"/>
            <w:vAlign w:val="center"/>
            <w:shd w:fill="17324D"/>
          </w:tcPr>
          <w:p>
            <w:pPr>
              <w:spacing w:after="0"/>
            </w:pPr>
            <w:r/>
            <w:r>
              <w:rPr>
                <w:rFonts w:ascii="Aptos" w:hAnsi="Aptos"/>
                <w:b/>
                <w:color w:val="FFFFFF"/>
                <w:sz w:val="16"/>
              </w:rPr>
              <w:t>Priority</w:t>
            </w:r>
          </w:p>
        </w:tc>
        <w:tc>
          <w:tcPr>
            <w:tcW w:type="dxa" w:w="3888"/>
            <w:vAlign w:val="center"/>
            <w:shd w:fill="17324D"/>
          </w:tcPr>
          <w:p>
            <w:pPr>
              <w:spacing w:after="0"/>
            </w:pPr>
            <w:r/>
            <w:r>
              <w:rPr>
                <w:rFonts w:ascii="Aptos" w:hAnsi="Aptos"/>
                <w:b/>
                <w:color w:val="FFFFFF"/>
                <w:sz w:val="16"/>
              </w:rPr>
              <w:t>Criteria</w:t>
            </w:r>
          </w:p>
        </w:tc>
        <w:tc>
          <w:tcPr>
            <w:tcW w:type="dxa" w:w="4032"/>
            <w:vAlign w:val="center"/>
            <w:shd w:fill="17324D"/>
          </w:tcPr>
          <w:p>
            <w:pPr>
              <w:spacing w:after="0"/>
            </w:pPr>
            <w:r/>
            <w:r>
              <w:rPr>
                <w:rFonts w:ascii="Aptos" w:hAnsi="Aptos"/>
                <w:b/>
                <w:color w:val="FFFFFF"/>
                <w:sz w:val="16"/>
              </w:rPr>
              <w:t>Expected treatment</w:t>
            </w:r>
          </w:p>
        </w:tc>
      </w:tr>
      <w:tr>
        <w:trPr>
          <w:cantSplit/>
        </w:trPr>
        <w:tc>
          <w:tcPr>
            <w:tcW w:type="dxa" w:w="1728"/>
            <w:vAlign w:val="center"/>
          </w:tcPr>
          <w:p>
            <w:pPr>
              <w:spacing w:after="0"/>
            </w:pPr>
            <w:r/>
            <w:r>
              <w:rPr>
                <w:rFonts w:ascii="Aptos" w:hAnsi="Aptos"/>
                <w:b w:val="0"/>
                <w:sz w:val="15"/>
              </w:rPr>
              <w:t>P0 — Immediate</w:t>
            </w:r>
          </w:p>
        </w:tc>
        <w:tc>
          <w:tcPr>
            <w:tcW w:type="dxa" w:w="3888"/>
            <w:vAlign w:val="center"/>
          </w:tcPr>
          <w:p>
            <w:pPr>
              <w:spacing w:after="0"/>
            </w:pPr>
            <w:r/>
            <w:r>
              <w:rPr>
                <w:rFonts w:ascii="Aptos" w:hAnsi="Aptos"/>
                <w:b w:val="0"/>
                <w:sz w:val="15"/>
              </w:rPr>
              <w:t>Material safety, legal, security or uncontrolled production exposure</w:t>
            </w:r>
          </w:p>
        </w:tc>
        <w:tc>
          <w:tcPr>
            <w:tcW w:type="dxa" w:w="4032"/>
            <w:vAlign w:val="center"/>
          </w:tcPr>
          <w:p>
            <w:pPr>
              <w:spacing w:after="0"/>
            </w:pPr>
            <w:r/>
            <w:r>
              <w:rPr>
                <w:rFonts w:ascii="Aptos" w:hAnsi="Aptos"/>
                <w:b w:val="0"/>
                <w:sz w:val="15"/>
              </w:rPr>
              <w:t>Contain, suspend or restrict operation; executive escalation</w:t>
            </w:r>
          </w:p>
        </w:tc>
      </w:tr>
      <w:tr>
        <w:trPr>
          <w:cantSplit/>
        </w:trPr>
        <w:tc>
          <w:tcPr>
            <w:tcW w:type="dxa" w:w="1728"/>
            <w:vAlign w:val="center"/>
            <w:shd w:fill="F3F6F7"/>
          </w:tcPr>
          <w:p>
            <w:pPr>
              <w:spacing w:after="0"/>
            </w:pPr>
            <w:r/>
            <w:r>
              <w:rPr>
                <w:rFonts w:ascii="Aptos" w:hAnsi="Aptos"/>
                <w:b w:val="0"/>
                <w:sz w:val="15"/>
              </w:rPr>
              <w:t>P1 — Critical</w:t>
            </w:r>
          </w:p>
        </w:tc>
        <w:tc>
          <w:tcPr>
            <w:tcW w:type="dxa" w:w="3888"/>
            <w:vAlign w:val="center"/>
            <w:shd w:fill="F3F6F7"/>
          </w:tcPr>
          <w:p>
            <w:pPr>
              <w:spacing w:after="0"/>
            </w:pPr>
            <w:r/>
            <w:r>
              <w:rPr>
                <w:rFonts w:ascii="Aptos" w:hAnsi="Aptos"/>
                <w:b w:val="0"/>
                <w:sz w:val="15"/>
              </w:rPr>
              <w:t>Major control absence affecting certification or material risk</w:t>
            </w:r>
          </w:p>
        </w:tc>
        <w:tc>
          <w:tcPr>
            <w:tcW w:type="dxa" w:w="4032"/>
            <w:vAlign w:val="center"/>
            <w:shd w:fill="F3F6F7"/>
          </w:tcPr>
          <w:p>
            <w:pPr>
              <w:spacing w:after="0"/>
            </w:pPr>
            <w:r/>
            <w:r>
              <w:rPr>
                <w:rFonts w:ascii="Aptos" w:hAnsi="Aptos"/>
                <w:b w:val="0"/>
                <w:sz w:val="15"/>
              </w:rPr>
              <w:t>Funded remediation with executive tracking</w:t>
            </w:r>
          </w:p>
        </w:tc>
      </w:tr>
      <w:tr>
        <w:trPr>
          <w:cantSplit/>
        </w:trPr>
        <w:tc>
          <w:tcPr>
            <w:tcW w:type="dxa" w:w="1728"/>
            <w:vAlign w:val="center"/>
          </w:tcPr>
          <w:p>
            <w:pPr>
              <w:spacing w:after="0"/>
            </w:pPr>
            <w:r/>
            <w:r>
              <w:rPr>
                <w:rFonts w:ascii="Aptos" w:hAnsi="Aptos"/>
                <w:b w:val="0"/>
                <w:sz w:val="15"/>
              </w:rPr>
              <w:t>P2 — High</w:t>
            </w:r>
          </w:p>
        </w:tc>
        <w:tc>
          <w:tcPr>
            <w:tcW w:type="dxa" w:w="3888"/>
            <w:vAlign w:val="center"/>
          </w:tcPr>
          <w:p>
            <w:pPr>
              <w:spacing w:after="0"/>
            </w:pPr>
            <w:r/>
            <w:r>
              <w:rPr>
                <w:rFonts w:ascii="Aptos" w:hAnsi="Aptos"/>
                <w:b w:val="0"/>
                <w:sz w:val="15"/>
              </w:rPr>
              <w:t>Significant design or operating weakness</w:t>
            </w:r>
          </w:p>
        </w:tc>
        <w:tc>
          <w:tcPr>
            <w:tcW w:type="dxa" w:w="4032"/>
            <w:vAlign w:val="center"/>
          </w:tcPr>
          <w:p>
            <w:pPr>
              <w:spacing w:after="0"/>
            </w:pPr>
            <w:r/>
            <w:r>
              <w:rPr>
                <w:rFonts w:ascii="Aptos" w:hAnsi="Aptos"/>
                <w:b w:val="0"/>
                <w:sz w:val="15"/>
              </w:rPr>
              <w:t>Time-bound corrective action</w:t>
            </w:r>
          </w:p>
        </w:tc>
      </w:tr>
      <w:tr>
        <w:trPr>
          <w:cantSplit/>
        </w:trPr>
        <w:tc>
          <w:tcPr>
            <w:tcW w:type="dxa" w:w="1728"/>
            <w:vAlign w:val="center"/>
            <w:shd w:fill="F3F6F7"/>
          </w:tcPr>
          <w:p>
            <w:pPr>
              <w:spacing w:after="0"/>
            </w:pPr>
            <w:r/>
            <w:r>
              <w:rPr>
                <w:rFonts w:ascii="Aptos" w:hAnsi="Aptos"/>
                <w:b w:val="0"/>
                <w:sz w:val="15"/>
              </w:rPr>
              <w:t>P3 — Moderate</w:t>
            </w:r>
          </w:p>
        </w:tc>
        <w:tc>
          <w:tcPr>
            <w:tcW w:type="dxa" w:w="3888"/>
            <w:vAlign w:val="center"/>
            <w:shd w:fill="F3F6F7"/>
          </w:tcPr>
          <w:p>
            <w:pPr>
              <w:spacing w:after="0"/>
            </w:pPr>
            <w:r/>
            <w:r>
              <w:rPr>
                <w:rFonts w:ascii="Aptos" w:hAnsi="Aptos"/>
                <w:b w:val="0"/>
                <w:sz w:val="15"/>
              </w:rPr>
              <w:t>Partial implementation or evidence weakness</w:t>
            </w:r>
          </w:p>
        </w:tc>
        <w:tc>
          <w:tcPr>
            <w:tcW w:type="dxa" w:w="4032"/>
            <w:vAlign w:val="center"/>
            <w:shd w:fill="F3F6F7"/>
          </w:tcPr>
          <w:p>
            <w:pPr>
              <w:spacing w:after="0"/>
            </w:pPr>
            <w:r/>
            <w:r>
              <w:rPr>
                <w:rFonts w:ascii="Aptos" w:hAnsi="Aptos"/>
                <w:b w:val="0"/>
                <w:sz w:val="15"/>
              </w:rPr>
              <w:t>Planned improvement</w:t>
            </w:r>
          </w:p>
        </w:tc>
      </w:tr>
      <w:tr>
        <w:trPr>
          <w:cantSplit/>
        </w:trPr>
        <w:tc>
          <w:tcPr>
            <w:tcW w:type="dxa" w:w="1728"/>
            <w:vAlign w:val="center"/>
          </w:tcPr>
          <w:p>
            <w:pPr>
              <w:spacing w:after="0"/>
            </w:pPr>
            <w:r/>
            <w:r>
              <w:rPr>
                <w:rFonts w:ascii="Aptos" w:hAnsi="Aptos"/>
                <w:b w:val="0"/>
                <w:sz w:val="15"/>
              </w:rPr>
              <w:t>P4 — Low</w:t>
            </w:r>
          </w:p>
        </w:tc>
        <w:tc>
          <w:tcPr>
            <w:tcW w:type="dxa" w:w="3888"/>
            <w:vAlign w:val="center"/>
          </w:tcPr>
          <w:p>
            <w:pPr>
              <w:spacing w:after="0"/>
            </w:pPr>
            <w:r/>
            <w:r>
              <w:rPr>
                <w:rFonts w:ascii="Aptos" w:hAnsi="Aptos"/>
                <w:b w:val="0"/>
                <w:sz w:val="15"/>
              </w:rPr>
              <w:t>Documentation, efficiency or optimization issue</w:t>
            </w:r>
          </w:p>
        </w:tc>
        <w:tc>
          <w:tcPr>
            <w:tcW w:type="dxa" w:w="4032"/>
            <w:vAlign w:val="center"/>
          </w:tcPr>
          <w:p>
            <w:pPr>
              <w:spacing w:after="0"/>
            </w:pPr>
            <w:r/>
            <w:r>
              <w:rPr>
                <w:rFonts w:ascii="Aptos" w:hAnsi="Aptos"/>
                <w:b w:val="0"/>
                <w:sz w:val="15"/>
              </w:rPr>
              <w:t>Normal improvement backlog</w:t>
            </w:r>
          </w:p>
        </w:tc>
      </w:tr>
    </w:tbl>
    <w:p/>
    <w:p>
      <w:pPr>
        <w:pStyle w:val="Heading2"/>
      </w:pPr>
      <w:r>
        <w:t>10.1 Roadmap fields</w:t>
      </w:r>
    </w:p>
    <w:p>
      <w:pPr>
        <w:pStyle w:val="ListBullet"/>
      </w:pPr>
      <w:r>
        <w:t>Control ID and finding ID</w:t>
      </w:r>
    </w:p>
    <w:p>
      <w:pPr>
        <w:pStyle w:val="ListBullet"/>
      </w:pPr>
      <w:r>
        <w:t>Risk statement and affected scope</w:t>
      </w:r>
    </w:p>
    <w:p>
      <w:pPr>
        <w:pStyle w:val="ListBullet"/>
      </w:pPr>
      <w:r>
        <w:t>Root cause</w:t>
      </w:r>
    </w:p>
    <w:p>
      <w:pPr>
        <w:pStyle w:val="ListBullet"/>
      </w:pPr>
      <w:r>
        <w:t>Interim containment</w:t>
      </w:r>
    </w:p>
    <w:p>
      <w:pPr>
        <w:pStyle w:val="ListBullet"/>
      </w:pPr>
      <w:r>
        <w:t>Corrective action</w:t>
      </w:r>
    </w:p>
    <w:p>
      <w:pPr>
        <w:pStyle w:val="ListBullet"/>
      </w:pPr>
      <w:r>
        <w:t>Accountable owner</w:t>
      </w:r>
    </w:p>
    <w:p>
      <w:pPr>
        <w:pStyle w:val="ListBullet"/>
      </w:pPr>
      <w:r>
        <w:t>Resources and dependencies</w:t>
      </w:r>
    </w:p>
    <w:p>
      <w:pPr>
        <w:pStyle w:val="ListBullet"/>
      </w:pPr>
      <w:r>
        <w:t>Target date</w:t>
      </w:r>
    </w:p>
    <w:p>
      <w:pPr>
        <w:pStyle w:val="ListBullet"/>
      </w:pPr>
      <w:r>
        <w:t>Validation method</w:t>
      </w:r>
    </w:p>
    <w:p>
      <w:pPr>
        <w:pStyle w:val="ListBullet"/>
      </w:pPr>
      <w:r>
        <w:t>Closure evidence</w:t>
      </w:r>
    </w:p>
    <w:p>
      <w:pPr>
        <w:pStyle w:val="Heading1"/>
      </w:pPr>
      <w:r>
        <w:t>11. Phase 6 — Establish the Evidence Architecture</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1872"/>
            <w:vAlign w:val="center"/>
            <w:shd w:fill="17324D"/>
          </w:tcPr>
          <w:p>
            <w:pPr>
              <w:spacing w:after="0"/>
            </w:pPr>
            <w:r/>
            <w:r>
              <w:rPr>
                <w:rFonts w:ascii="Aptos" w:hAnsi="Aptos"/>
                <w:b/>
                <w:color w:val="FFFFFF"/>
                <w:sz w:val="16"/>
              </w:rPr>
              <w:t>Evidence class</w:t>
            </w:r>
          </w:p>
        </w:tc>
        <w:tc>
          <w:tcPr>
            <w:tcW w:type="dxa" w:w="3744"/>
            <w:vAlign w:val="center"/>
            <w:shd w:fill="17324D"/>
          </w:tcPr>
          <w:p>
            <w:pPr>
              <w:spacing w:after="0"/>
            </w:pPr>
            <w:r/>
            <w:r>
              <w:rPr>
                <w:rFonts w:ascii="Aptos" w:hAnsi="Aptos"/>
                <w:b/>
                <w:color w:val="FFFFFF"/>
                <w:sz w:val="16"/>
              </w:rPr>
              <w:t>Examples</w:t>
            </w:r>
          </w:p>
        </w:tc>
        <w:tc>
          <w:tcPr>
            <w:tcW w:type="dxa" w:w="4032"/>
            <w:vAlign w:val="center"/>
            <w:shd w:fill="17324D"/>
          </w:tcPr>
          <w:p>
            <w:pPr>
              <w:spacing w:after="0"/>
            </w:pPr>
            <w:r/>
            <w:r>
              <w:rPr>
                <w:rFonts w:ascii="Aptos" w:hAnsi="Aptos"/>
                <w:b/>
                <w:color w:val="FFFFFF"/>
                <w:sz w:val="16"/>
              </w:rPr>
              <w:t>Quality expectation</w:t>
            </w:r>
          </w:p>
        </w:tc>
      </w:tr>
      <w:tr>
        <w:trPr>
          <w:cantSplit/>
        </w:trPr>
        <w:tc>
          <w:tcPr>
            <w:tcW w:type="dxa" w:w="1872"/>
            <w:vAlign w:val="center"/>
          </w:tcPr>
          <w:p>
            <w:pPr>
              <w:spacing w:after="0"/>
            </w:pPr>
            <w:r/>
            <w:r>
              <w:rPr>
                <w:rFonts w:ascii="Aptos" w:hAnsi="Aptos"/>
                <w:b w:val="0"/>
                <w:sz w:val="15"/>
              </w:rPr>
              <w:t>Governance</w:t>
            </w:r>
          </w:p>
        </w:tc>
        <w:tc>
          <w:tcPr>
            <w:tcW w:type="dxa" w:w="3744"/>
            <w:vAlign w:val="center"/>
          </w:tcPr>
          <w:p>
            <w:pPr>
              <w:spacing w:after="0"/>
            </w:pPr>
            <w:r/>
            <w:r>
              <w:rPr>
                <w:rFonts w:ascii="Aptos" w:hAnsi="Aptos"/>
                <w:b w:val="0"/>
                <w:sz w:val="15"/>
              </w:rPr>
              <w:t>Charters, approvals, meeting minutes, risk decisions</w:t>
            </w:r>
          </w:p>
        </w:tc>
        <w:tc>
          <w:tcPr>
            <w:tcW w:type="dxa" w:w="4032"/>
            <w:vAlign w:val="center"/>
          </w:tcPr>
          <w:p>
            <w:pPr>
              <w:spacing w:after="0"/>
            </w:pPr>
            <w:r/>
            <w:r>
              <w:rPr>
                <w:rFonts w:ascii="Aptos" w:hAnsi="Aptos"/>
                <w:b w:val="0"/>
                <w:sz w:val="15"/>
              </w:rPr>
              <w:t>Signed, dated and scope-linked</w:t>
            </w:r>
          </w:p>
        </w:tc>
      </w:tr>
      <w:tr>
        <w:trPr>
          <w:cantSplit/>
        </w:trPr>
        <w:tc>
          <w:tcPr>
            <w:tcW w:type="dxa" w:w="1872"/>
            <w:vAlign w:val="center"/>
            <w:shd w:fill="F3F6F7"/>
          </w:tcPr>
          <w:p>
            <w:pPr>
              <w:spacing w:after="0"/>
            </w:pPr>
            <w:r/>
            <w:r>
              <w:rPr>
                <w:rFonts w:ascii="Aptos" w:hAnsi="Aptos"/>
                <w:b w:val="0"/>
                <w:sz w:val="15"/>
              </w:rPr>
              <w:t>Design</w:t>
            </w:r>
          </w:p>
        </w:tc>
        <w:tc>
          <w:tcPr>
            <w:tcW w:type="dxa" w:w="3744"/>
            <w:vAlign w:val="center"/>
            <w:shd w:fill="F3F6F7"/>
          </w:tcPr>
          <w:p>
            <w:pPr>
              <w:spacing w:after="0"/>
            </w:pPr>
            <w:r/>
            <w:r>
              <w:rPr>
                <w:rFonts w:ascii="Aptos" w:hAnsi="Aptos"/>
                <w:b w:val="0"/>
                <w:sz w:val="15"/>
              </w:rPr>
              <w:t>Policies, procedures, architectures, threat models</w:t>
            </w:r>
          </w:p>
        </w:tc>
        <w:tc>
          <w:tcPr>
            <w:tcW w:type="dxa" w:w="4032"/>
            <w:vAlign w:val="center"/>
            <w:shd w:fill="F3F6F7"/>
          </w:tcPr>
          <w:p>
            <w:pPr>
              <w:spacing w:after="0"/>
            </w:pPr>
            <w:r/>
            <w:r>
              <w:rPr>
                <w:rFonts w:ascii="Aptos" w:hAnsi="Aptos"/>
                <w:b w:val="0"/>
                <w:sz w:val="15"/>
              </w:rPr>
              <w:t>Controlled version and owner</w:t>
            </w:r>
          </w:p>
        </w:tc>
      </w:tr>
      <w:tr>
        <w:trPr>
          <w:cantSplit/>
        </w:trPr>
        <w:tc>
          <w:tcPr>
            <w:tcW w:type="dxa" w:w="1872"/>
            <w:vAlign w:val="center"/>
          </w:tcPr>
          <w:p>
            <w:pPr>
              <w:spacing w:after="0"/>
            </w:pPr>
            <w:r/>
            <w:r>
              <w:rPr>
                <w:rFonts w:ascii="Aptos" w:hAnsi="Aptos"/>
                <w:b w:val="0"/>
                <w:sz w:val="15"/>
              </w:rPr>
              <w:t>Technical</w:t>
            </w:r>
          </w:p>
        </w:tc>
        <w:tc>
          <w:tcPr>
            <w:tcW w:type="dxa" w:w="3744"/>
            <w:vAlign w:val="center"/>
          </w:tcPr>
          <w:p>
            <w:pPr>
              <w:spacing w:after="0"/>
            </w:pPr>
            <w:r/>
            <w:r>
              <w:rPr>
                <w:rFonts w:ascii="Aptos" w:hAnsi="Aptos"/>
                <w:b w:val="0"/>
                <w:sz w:val="15"/>
              </w:rPr>
              <w:t>Configurations, test outputs, scans, model evaluations</w:t>
            </w:r>
          </w:p>
        </w:tc>
        <w:tc>
          <w:tcPr>
            <w:tcW w:type="dxa" w:w="4032"/>
            <w:vAlign w:val="center"/>
          </w:tcPr>
          <w:p>
            <w:pPr>
              <w:spacing w:after="0"/>
            </w:pPr>
            <w:r/>
            <w:r>
              <w:rPr>
                <w:rFonts w:ascii="Aptos" w:hAnsi="Aptos"/>
                <w:b w:val="0"/>
                <w:sz w:val="15"/>
              </w:rPr>
              <w:t>Reproducible and attributable</w:t>
            </w:r>
          </w:p>
        </w:tc>
      </w:tr>
      <w:tr>
        <w:trPr>
          <w:cantSplit/>
        </w:trPr>
        <w:tc>
          <w:tcPr>
            <w:tcW w:type="dxa" w:w="1872"/>
            <w:vAlign w:val="center"/>
            <w:shd w:fill="F3F6F7"/>
          </w:tcPr>
          <w:p>
            <w:pPr>
              <w:spacing w:after="0"/>
            </w:pPr>
            <w:r/>
            <w:r>
              <w:rPr>
                <w:rFonts w:ascii="Aptos" w:hAnsi="Aptos"/>
                <w:b w:val="0"/>
                <w:sz w:val="15"/>
              </w:rPr>
              <w:t>Operational</w:t>
            </w:r>
          </w:p>
        </w:tc>
        <w:tc>
          <w:tcPr>
            <w:tcW w:type="dxa" w:w="3744"/>
            <w:vAlign w:val="center"/>
            <w:shd w:fill="F3F6F7"/>
          </w:tcPr>
          <w:p>
            <w:pPr>
              <w:spacing w:after="0"/>
            </w:pPr>
            <w:r/>
            <w:r>
              <w:rPr>
                <w:rFonts w:ascii="Aptos" w:hAnsi="Aptos"/>
                <w:b w:val="0"/>
                <w:sz w:val="15"/>
              </w:rPr>
              <w:t>Logs, tickets, review records, monitoring outputs</w:t>
            </w:r>
          </w:p>
        </w:tc>
        <w:tc>
          <w:tcPr>
            <w:tcW w:type="dxa" w:w="4032"/>
            <w:vAlign w:val="center"/>
            <w:shd w:fill="F3F6F7"/>
          </w:tcPr>
          <w:p>
            <w:pPr>
              <w:spacing w:after="0"/>
            </w:pPr>
            <w:r/>
            <w:r>
              <w:rPr>
                <w:rFonts w:ascii="Aptos" w:hAnsi="Aptos"/>
                <w:b w:val="0"/>
                <w:sz w:val="15"/>
              </w:rPr>
              <w:t>Representative across the evidence period</w:t>
            </w:r>
          </w:p>
        </w:tc>
      </w:tr>
      <w:tr>
        <w:trPr>
          <w:cantSplit/>
        </w:trPr>
        <w:tc>
          <w:tcPr>
            <w:tcW w:type="dxa" w:w="1872"/>
            <w:vAlign w:val="center"/>
          </w:tcPr>
          <w:p>
            <w:pPr>
              <w:spacing w:after="0"/>
            </w:pPr>
            <w:r/>
            <w:r>
              <w:rPr>
                <w:rFonts w:ascii="Aptos" w:hAnsi="Aptos"/>
                <w:b w:val="0"/>
                <w:sz w:val="15"/>
              </w:rPr>
              <w:t>Supplier</w:t>
            </w:r>
          </w:p>
        </w:tc>
        <w:tc>
          <w:tcPr>
            <w:tcW w:type="dxa" w:w="3744"/>
            <w:vAlign w:val="center"/>
          </w:tcPr>
          <w:p>
            <w:pPr>
              <w:spacing w:after="0"/>
            </w:pPr>
            <w:r/>
            <w:r>
              <w:rPr>
                <w:rFonts w:ascii="Aptos" w:hAnsi="Aptos"/>
                <w:b w:val="0"/>
                <w:sz w:val="15"/>
              </w:rPr>
              <w:t>Contracts, attestations, due diligence, service reports</w:t>
            </w:r>
          </w:p>
        </w:tc>
        <w:tc>
          <w:tcPr>
            <w:tcW w:type="dxa" w:w="4032"/>
            <w:vAlign w:val="center"/>
          </w:tcPr>
          <w:p>
            <w:pPr>
              <w:spacing w:after="0"/>
            </w:pPr>
            <w:r/>
            <w:r>
              <w:rPr>
                <w:rFonts w:ascii="Aptos" w:hAnsi="Aptos"/>
                <w:b w:val="0"/>
                <w:sz w:val="15"/>
              </w:rPr>
              <w:t>Current and linked to inherited controls</w:t>
            </w:r>
          </w:p>
        </w:tc>
      </w:tr>
      <w:tr>
        <w:trPr>
          <w:cantSplit/>
        </w:trPr>
        <w:tc>
          <w:tcPr>
            <w:tcW w:type="dxa" w:w="1872"/>
            <w:vAlign w:val="center"/>
            <w:shd w:fill="F3F6F7"/>
          </w:tcPr>
          <w:p>
            <w:pPr>
              <w:spacing w:after="0"/>
            </w:pPr>
            <w:r/>
            <w:r>
              <w:rPr>
                <w:rFonts w:ascii="Aptos" w:hAnsi="Aptos"/>
                <w:b w:val="0"/>
                <w:sz w:val="15"/>
              </w:rPr>
              <w:t>Corrective action</w:t>
            </w:r>
          </w:p>
        </w:tc>
        <w:tc>
          <w:tcPr>
            <w:tcW w:type="dxa" w:w="3744"/>
            <w:vAlign w:val="center"/>
            <w:shd w:fill="F3F6F7"/>
          </w:tcPr>
          <w:p>
            <w:pPr>
              <w:spacing w:after="0"/>
            </w:pPr>
            <w:r/>
            <w:r>
              <w:rPr>
                <w:rFonts w:ascii="Aptos" w:hAnsi="Aptos"/>
                <w:b w:val="0"/>
                <w:sz w:val="15"/>
              </w:rPr>
              <w:t>Finding records, fixes, validation and closure approval</w:t>
            </w:r>
          </w:p>
        </w:tc>
        <w:tc>
          <w:tcPr>
            <w:tcW w:type="dxa" w:w="4032"/>
            <w:vAlign w:val="center"/>
            <w:shd w:fill="F3F6F7"/>
          </w:tcPr>
          <w:p>
            <w:pPr>
              <w:spacing w:after="0"/>
            </w:pPr>
            <w:r/>
            <w:r>
              <w:rPr>
                <w:rFonts w:ascii="Aptos" w:hAnsi="Aptos"/>
                <w:b w:val="0"/>
                <w:sz w:val="15"/>
              </w:rPr>
              <w:t>Traceable from issue to verified closure</w:t>
            </w:r>
          </w:p>
        </w:tc>
      </w:tr>
    </w:tbl>
    <w:p/>
    <w:p>
      <w:pPr>
        <w:pStyle w:val="Heading2"/>
      </w:pPr>
      <w:r>
        <w:t>11.1 Evidence index minimum fields</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016"/>
            <w:vAlign w:val="center"/>
            <w:shd w:fill="17324D"/>
          </w:tcPr>
          <w:p>
            <w:pPr>
              <w:spacing w:after="0"/>
            </w:pPr>
            <w:r/>
            <w:r>
              <w:rPr>
                <w:rFonts w:ascii="Aptos" w:hAnsi="Aptos"/>
                <w:b/>
                <w:color w:val="FFFFFF"/>
                <w:sz w:val="16"/>
              </w:rPr>
              <w:t>Field</w:t>
            </w:r>
          </w:p>
        </w:tc>
        <w:tc>
          <w:tcPr>
            <w:tcW w:type="dxa" w:w="7632"/>
            <w:vAlign w:val="center"/>
            <w:shd w:fill="17324D"/>
          </w:tcPr>
          <w:p>
            <w:pPr>
              <w:spacing w:after="0"/>
            </w:pPr>
            <w:r/>
            <w:r>
              <w:rPr>
                <w:rFonts w:ascii="Aptos" w:hAnsi="Aptos"/>
                <w:b/>
                <w:color w:val="FFFFFF"/>
                <w:sz w:val="16"/>
              </w:rPr>
              <w:t>Description</w:t>
            </w:r>
          </w:p>
        </w:tc>
      </w:tr>
      <w:tr>
        <w:trPr>
          <w:cantSplit/>
        </w:trPr>
        <w:tc>
          <w:tcPr>
            <w:tcW w:type="dxa" w:w="2016"/>
            <w:vAlign w:val="center"/>
          </w:tcPr>
          <w:p>
            <w:pPr>
              <w:spacing w:after="0"/>
            </w:pPr>
            <w:r/>
            <w:r>
              <w:rPr>
                <w:rFonts w:ascii="Aptos" w:hAnsi="Aptos"/>
                <w:b w:val="0"/>
                <w:sz w:val="15"/>
              </w:rPr>
              <w:t>Evidence ID</w:t>
            </w:r>
          </w:p>
        </w:tc>
        <w:tc>
          <w:tcPr>
            <w:tcW w:type="dxa" w:w="7632"/>
            <w:vAlign w:val="center"/>
          </w:tcPr>
          <w:p>
            <w:pPr>
              <w:spacing w:after="0"/>
            </w:pPr>
            <w:r/>
            <w:r>
              <w:rPr>
                <w:rFonts w:ascii="Aptos" w:hAnsi="Aptos"/>
                <w:b w:val="0"/>
                <w:sz w:val="15"/>
              </w:rPr>
              <w:t>Unique identifier</w:t>
            </w:r>
          </w:p>
        </w:tc>
      </w:tr>
      <w:tr>
        <w:trPr>
          <w:cantSplit/>
        </w:trPr>
        <w:tc>
          <w:tcPr>
            <w:tcW w:type="dxa" w:w="2016"/>
            <w:vAlign w:val="center"/>
            <w:shd w:fill="F3F6F7"/>
          </w:tcPr>
          <w:p>
            <w:pPr>
              <w:spacing w:after="0"/>
            </w:pPr>
            <w:r/>
            <w:r>
              <w:rPr>
                <w:rFonts w:ascii="Aptos" w:hAnsi="Aptos"/>
                <w:b w:val="0"/>
                <w:sz w:val="15"/>
              </w:rPr>
              <w:t>Control ID</w:t>
            </w:r>
          </w:p>
        </w:tc>
        <w:tc>
          <w:tcPr>
            <w:tcW w:type="dxa" w:w="7632"/>
            <w:vAlign w:val="center"/>
            <w:shd w:fill="F3F6F7"/>
          </w:tcPr>
          <w:p>
            <w:pPr>
              <w:spacing w:after="0"/>
            </w:pPr>
            <w:r/>
            <w:r>
              <w:rPr>
                <w:rFonts w:ascii="Aptos" w:hAnsi="Aptos"/>
                <w:b w:val="0"/>
                <w:sz w:val="15"/>
              </w:rPr>
              <w:t>Mapped GAISSF control</w:t>
            </w:r>
          </w:p>
        </w:tc>
      </w:tr>
      <w:tr>
        <w:trPr>
          <w:cantSplit/>
        </w:trPr>
        <w:tc>
          <w:tcPr>
            <w:tcW w:type="dxa" w:w="2016"/>
            <w:vAlign w:val="center"/>
          </w:tcPr>
          <w:p>
            <w:pPr>
              <w:spacing w:after="0"/>
            </w:pPr>
            <w:r/>
            <w:r>
              <w:rPr>
                <w:rFonts w:ascii="Aptos" w:hAnsi="Aptos"/>
                <w:b w:val="0"/>
                <w:sz w:val="15"/>
              </w:rPr>
              <w:t>Scope element</w:t>
            </w:r>
          </w:p>
        </w:tc>
        <w:tc>
          <w:tcPr>
            <w:tcW w:type="dxa" w:w="7632"/>
            <w:vAlign w:val="center"/>
          </w:tcPr>
          <w:p>
            <w:pPr>
              <w:spacing w:after="0"/>
            </w:pPr>
            <w:r/>
            <w:r>
              <w:rPr>
                <w:rFonts w:ascii="Aptos" w:hAnsi="Aptos"/>
                <w:b w:val="0"/>
                <w:sz w:val="15"/>
              </w:rPr>
              <w:t>System, business unit, supplier or location</w:t>
            </w:r>
          </w:p>
        </w:tc>
      </w:tr>
      <w:tr>
        <w:trPr>
          <w:cantSplit/>
        </w:trPr>
        <w:tc>
          <w:tcPr>
            <w:tcW w:type="dxa" w:w="2016"/>
            <w:vAlign w:val="center"/>
            <w:shd w:fill="F3F6F7"/>
          </w:tcPr>
          <w:p>
            <w:pPr>
              <w:spacing w:after="0"/>
            </w:pPr>
            <w:r/>
            <w:r>
              <w:rPr>
                <w:rFonts w:ascii="Aptos" w:hAnsi="Aptos"/>
                <w:b w:val="0"/>
                <w:sz w:val="15"/>
              </w:rPr>
              <w:t>Owner</w:t>
            </w:r>
          </w:p>
        </w:tc>
        <w:tc>
          <w:tcPr>
            <w:tcW w:type="dxa" w:w="7632"/>
            <w:vAlign w:val="center"/>
            <w:shd w:fill="F3F6F7"/>
          </w:tcPr>
          <w:p>
            <w:pPr>
              <w:spacing w:after="0"/>
            </w:pPr>
            <w:r/>
            <w:r>
              <w:rPr>
                <w:rFonts w:ascii="Aptos" w:hAnsi="Aptos"/>
                <w:b w:val="0"/>
                <w:sz w:val="15"/>
              </w:rPr>
              <w:t>Evidence custodian</w:t>
            </w:r>
          </w:p>
        </w:tc>
      </w:tr>
      <w:tr>
        <w:trPr>
          <w:cantSplit/>
        </w:trPr>
        <w:tc>
          <w:tcPr>
            <w:tcW w:type="dxa" w:w="2016"/>
            <w:vAlign w:val="center"/>
          </w:tcPr>
          <w:p>
            <w:pPr>
              <w:spacing w:after="0"/>
            </w:pPr>
            <w:r/>
            <w:r>
              <w:rPr>
                <w:rFonts w:ascii="Aptos" w:hAnsi="Aptos"/>
                <w:b w:val="0"/>
                <w:sz w:val="15"/>
              </w:rPr>
              <w:t>Period</w:t>
            </w:r>
          </w:p>
        </w:tc>
        <w:tc>
          <w:tcPr>
            <w:tcW w:type="dxa" w:w="7632"/>
            <w:vAlign w:val="center"/>
          </w:tcPr>
          <w:p>
            <w:pPr>
              <w:spacing w:after="0"/>
            </w:pPr>
            <w:r/>
            <w:r>
              <w:rPr>
                <w:rFonts w:ascii="Aptos" w:hAnsi="Aptos"/>
                <w:b w:val="0"/>
                <w:sz w:val="15"/>
              </w:rPr>
              <w:t>Date range represented</w:t>
            </w:r>
          </w:p>
        </w:tc>
      </w:tr>
      <w:tr>
        <w:trPr>
          <w:cantSplit/>
        </w:trPr>
        <w:tc>
          <w:tcPr>
            <w:tcW w:type="dxa" w:w="2016"/>
            <w:vAlign w:val="center"/>
            <w:shd w:fill="F3F6F7"/>
          </w:tcPr>
          <w:p>
            <w:pPr>
              <w:spacing w:after="0"/>
            </w:pPr>
            <w:r/>
            <w:r>
              <w:rPr>
                <w:rFonts w:ascii="Aptos" w:hAnsi="Aptos"/>
                <w:b w:val="0"/>
                <w:sz w:val="15"/>
              </w:rPr>
              <w:t>Source</w:t>
            </w:r>
          </w:p>
        </w:tc>
        <w:tc>
          <w:tcPr>
            <w:tcW w:type="dxa" w:w="7632"/>
            <w:vAlign w:val="center"/>
            <w:shd w:fill="F3F6F7"/>
          </w:tcPr>
          <w:p>
            <w:pPr>
              <w:spacing w:after="0"/>
            </w:pPr>
            <w:r/>
            <w:r>
              <w:rPr>
                <w:rFonts w:ascii="Aptos" w:hAnsi="Aptos"/>
                <w:b w:val="0"/>
                <w:sz w:val="15"/>
              </w:rPr>
              <w:t>System or process of origin</w:t>
            </w:r>
          </w:p>
        </w:tc>
      </w:tr>
      <w:tr>
        <w:trPr>
          <w:cantSplit/>
        </w:trPr>
        <w:tc>
          <w:tcPr>
            <w:tcW w:type="dxa" w:w="2016"/>
            <w:vAlign w:val="center"/>
          </w:tcPr>
          <w:p>
            <w:pPr>
              <w:spacing w:after="0"/>
            </w:pPr>
            <w:r/>
            <w:r>
              <w:rPr>
                <w:rFonts w:ascii="Aptos" w:hAnsi="Aptos"/>
                <w:b w:val="0"/>
                <w:sz w:val="15"/>
              </w:rPr>
              <w:t>Integrity</w:t>
            </w:r>
          </w:p>
        </w:tc>
        <w:tc>
          <w:tcPr>
            <w:tcW w:type="dxa" w:w="7632"/>
            <w:vAlign w:val="center"/>
          </w:tcPr>
          <w:p>
            <w:pPr>
              <w:spacing w:after="0"/>
            </w:pPr>
            <w:r/>
            <w:r>
              <w:rPr>
                <w:rFonts w:ascii="Aptos" w:hAnsi="Aptos"/>
                <w:b w:val="0"/>
                <w:sz w:val="15"/>
              </w:rPr>
              <w:t>Hash, signature or repository control where appropriate</w:t>
            </w:r>
          </w:p>
        </w:tc>
      </w:tr>
      <w:tr>
        <w:trPr>
          <w:cantSplit/>
        </w:trPr>
        <w:tc>
          <w:tcPr>
            <w:tcW w:type="dxa" w:w="2016"/>
            <w:vAlign w:val="center"/>
            <w:shd w:fill="F3F6F7"/>
          </w:tcPr>
          <w:p>
            <w:pPr>
              <w:spacing w:after="0"/>
            </w:pPr>
            <w:r/>
            <w:r>
              <w:rPr>
                <w:rFonts w:ascii="Aptos" w:hAnsi="Aptos"/>
                <w:b w:val="0"/>
                <w:sz w:val="15"/>
              </w:rPr>
              <w:t>Status</w:t>
            </w:r>
          </w:p>
        </w:tc>
        <w:tc>
          <w:tcPr>
            <w:tcW w:type="dxa" w:w="7632"/>
            <w:vAlign w:val="center"/>
            <w:shd w:fill="F3F6F7"/>
          </w:tcPr>
          <w:p>
            <w:pPr>
              <w:spacing w:after="0"/>
            </w:pPr>
            <w:r/>
            <w:r>
              <w:rPr>
                <w:rFonts w:ascii="Aptos" w:hAnsi="Aptos"/>
                <w:b w:val="0"/>
                <w:sz w:val="15"/>
              </w:rPr>
              <w:t>Draft, approved, expired or superseded</w:t>
            </w:r>
          </w:p>
        </w:tc>
      </w:tr>
      <w:tr>
        <w:trPr>
          <w:cantSplit/>
        </w:trPr>
        <w:tc>
          <w:tcPr>
            <w:tcW w:type="dxa" w:w="2016"/>
            <w:vAlign w:val="center"/>
          </w:tcPr>
          <w:p>
            <w:pPr>
              <w:spacing w:after="0"/>
            </w:pPr>
            <w:r/>
            <w:r>
              <w:rPr>
                <w:rFonts w:ascii="Aptos" w:hAnsi="Aptos"/>
                <w:b w:val="0"/>
                <w:sz w:val="15"/>
              </w:rPr>
              <w:t>Location</w:t>
            </w:r>
          </w:p>
        </w:tc>
        <w:tc>
          <w:tcPr>
            <w:tcW w:type="dxa" w:w="7632"/>
            <w:vAlign w:val="center"/>
          </w:tcPr>
          <w:p>
            <w:pPr>
              <w:spacing w:after="0"/>
            </w:pPr>
            <w:r/>
            <w:r>
              <w:rPr>
                <w:rFonts w:ascii="Aptos" w:hAnsi="Aptos"/>
                <w:b w:val="0"/>
                <w:sz w:val="15"/>
              </w:rPr>
              <w:t>Controlled repository path</w:t>
            </w:r>
          </w:p>
        </w:tc>
      </w:tr>
      <w:tr>
        <w:trPr>
          <w:cantSplit/>
        </w:trPr>
        <w:tc>
          <w:tcPr>
            <w:tcW w:type="dxa" w:w="2016"/>
            <w:vAlign w:val="center"/>
            <w:shd w:fill="F3F6F7"/>
          </w:tcPr>
          <w:p>
            <w:pPr>
              <w:spacing w:after="0"/>
            </w:pPr>
            <w:r/>
            <w:r>
              <w:rPr>
                <w:rFonts w:ascii="Aptos" w:hAnsi="Aptos"/>
                <w:b w:val="0"/>
                <w:sz w:val="15"/>
              </w:rPr>
              <w:t>Limitations</w:t>
            </w:r>
          </w:p>
        </w:tc>
        <w:tc>
          <w:tcPr>
            <w:tcW w:type="dxa" w:w="7632"/>
            <w:vAlign w:val="center"/>
            <w:shd w:fill="F3F6F7"/>
          </w:tcPr>
          <w:p>
            <w:pPr>
              <w:spacing w:after="0"/>
            </w:pPr>
            <w:r/>
            <w:r>
              <w:rPr>
                <w:rFonts w:ascii="Aptos" w:hAnsi="Aptos"/>
                <w:b w:val="0"/>
                <w:sz w:val="15"/>
              </w:rPr>
              <w:t>Known gaps, sampling limits or assumptions</w:t>
            </w:r>
          </w:p>
        </w:tc>
      </w:tr>
    </w:tbl>
    <w:p/>
    <w:p>
      <w:pPr>
        <w:pStyle w:val="Heading1"/>
      </w:pPr>
      <w:r>
        <w:t>12. Phase 7 — Internal Assurance and Readiness</w:t>
      </w:r>
    </w:p>
    <w:p>
      <w:pPr>
        <w:pStyle w:val="ListNumber"/>
      </w:pPr>
      <w:r>
        <w:t>Perform a document and traceability review.</w:t>
      </w:r>
    </w:p>
    <w:p>
      <w:pPr>
        <w:pStyle w:val="ListNumber"/>
      </w:pPr>
      <w:r>
        <w:t>Re-test high-risk technical controls.</w:t>
      </w:r>
    </w:p>
    <w:p>
      <w:pPr>
        <w:pStyle w:val="ListNumber"/>
      </w:pPr>
      <w:r>
        <w:t>Verify the complete Statement of Applicability.</w:t>
      </w:r>
    </w:p>
    <w:p>
      <w:pPr>
        <w:pStyle w:val="ListNumber"/>
      </w:pPr>
      <w:r>
        <w:t>Confirm evidence-period sufficiency.</w:t>
      </w:r>
    </w:p>
    <w:p>
      <w:pPr>
        <w:pStyle w:val="ListNumber"/>
      </w:pPr>
      <w:r>
        <w:t>Review open exceptions and residual-risk acceptance.</w:t>
      </w:r>
    </w:p>
    <w:p>
      <w:pPr>
        <w:pStyle w:val="ListNumber"/>
      </w:pPr>
      <w:r>
        <w:t>Validate that public claims match the assessed scope.</w:t>
      </w:r>
    </w:p>
    <w:p>
      <w:pPr>
        <w:pStyle w:val="ListNumber"/>
      </w:pPr>
      <w:r>
        <w:t>Conduct management review and readiness decision.</w:t>
      </w:r>
    </w:p>
    <w:p>
      <w:pPr>
        <w:pStyle w:val="Heading2"/>
      </w:pPr>
      <w:r>
        <w:t>12.1 Readiness decision criteria</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304"/>
            <w:vAlign w:val="center"/>
            <w:shd w:fill="17324D"/>
          </w:tcPr>
          <w:p>
            <w:pPr>
              <w:spacing w:after="0"/>
            </w:pPr>
            <w:r/>
            <w:r>
              <w:rPr>
                <w:rFonts w:ascii="Aptos" w:hAnsi="Aptos"/>
                <w:b/>
                <w:color w:val="FFFFFF"/>
                <w:sz w:val="16"/>
              </w:rPr>
              <w:t>Decision</w:t>
            </w:r>
          </w:p>
        </w:tc>
        <w:tc>
          <w:tcPr>
            <w:tcW w:type="dxa" w:w="7344"/>
            <w:vAlign w:val="center"/>
            <w:shd w:fill="17324D"/>
          </w:tcPr>
          <w:p>
            <w:pPr>
              <w:spacing w:after="0"/>
            </w:pPr>
            <w:r/>
            <w:r>
              <w:rPr>
                <w:rFonts w:ascii="Aptos" w:hAnsi="Aptos"/>
                <w:b/>
                <w:color w:val="FFFFFF"/>
                <w:sz w:val="16"/>
              </w:rPr>
              <w:t>Criteria</w:t>
            </w:r>
          </w:p>
        </w:tc>
      </w:tr>
      <w:tr>
        <w:trPr>
          <w:cantSplit/>
        </w:trPr>
        <w:tc>
          <w:tcPr>
            <w:tcW w:type="dxa" w:w="2304"/>
            <w:vAlign w:val="center"/>
          </w:tcPr>
          <w:p>
            <w:pPr>
              <w:spacing w:after="0"/>
            </w:pPr>
            <w:r/>
            <w:r>
              <w:rPr>
                <w:rFonts w:ascii="Aptos" w:hAnsi="Aptos"/>
                <w:b w:val="0"/>
                <w:sz w:val="15"/>
              </w:rPr>
              <w:t>Proceed</w:t>
            </w:r>
          </w:p>
        </w:tc>
        <w:tc>
          <w:tcPr>
            <w:tcW w:type="dxa" w:w="7344"/>
            <w:vAlign w:val="center"/>
          </w:tcPr>
          <w:p>
            <w:pPr>
              <w:spacing w:after="0"/>
            </w:pPr>
            <w:r/>
            <w:r>
              <w:rPr>
                <w:rFonts w:ascii="Aptos" w:hAnsi="Aptos"/>
                <w:b w:val="0"/>
                <w:sz w:val="15"/>
              </w:rPr>
              <w:t>No unresolved major nonconformities; evidence is sufficient; scope is stable</w:t>
            </w:r>
          </w:p>
        </w:tc>
      </w:tr>
      <w:tr>
        <w:trPr>
          <w:cantSplit/>
        </w:trPr>
        <w:tc>
          <w:tcPr>
            <w:tcW w:type="dxa" w:w="2304"/>
            <w:vAlign w:val="center"/>
            <w:shd w:fill="F3F6F7"/>
          </w:tcPr>
          <w:p>
            <w:pPr>
              <w:spacing w:after="0"/>
            </w:pPr>
            <w:r/>
            <w:r>
              <w:rPr>
                <w:rFonts w:ascii="Aptos" w:hAnsi="Aptos"/>
                <w:b w:val="0"/>
                <w:sz w:val="15"/>
              </w:rPr>
              <w:t>Proceed conditionally</w:t>
            </w:r>
          </w:p>
        </w:tc>
        <w:tc>
          <w:tcPr>
            <w:tcW w:type="dxa" w:w="7344"/>
            <w:vAlign w:val="center"/>
            <w:shd w:fill="F3F6F7"/>
          </w:tcPr>
          <w:p>
            <w:pPr>
              <w:spacing w:after="0"/>
            </w:pPr>
            <w:r/>
            <w:r>
              <w:rPr>
                <w:rFonts w:ascii="Aptos" w:hAnsi="Aptos"/>
                <w:b w:val="0"/>
                <w:sz w:val="15"/>
              </w:rPr>
              <w:t>Limited minor issues with approved closure plan and no material misstatement risk</w:t>
            </w:r>
          </w:p>
        </w:tc>
      </w:tr>
      <w:tr>
        <w:trPr>
          <w:cantSplit/>
        </w:trPr>
        <w:tc>
          <w:tcPr>
            <w:tcW w:type="dxa" w:w="2304"/>
            <w:vAlign w:val="center"/>
          </w:tcPr>
          <w:p>
            <w:pPr>
              <w:spacing w:after="0"/>
            </w:pPr>
            <w:r/>
            <w:r>
              <w:rPr>
                <w:rFonts w:ascii="Aptos" w:hAnsi="Aptos"/>
                <w:b w:val="0"/>
                <w:sz w:val="15"/>
              </w:rPr>
              <w:t>Defer</w:t>
            </w:r>
          </w:p>
        </w:tc>
        <w:tc>
          <w:tcPr>
            <w:tcW w:type="dxa" w:w="7344"/>
            <w:vAlign w:val="center"/>
          </w:tcPr>
          <w:p>
            <w:pPr>
              <w:spacing w:after="0"/>
            </w:pPr>
            <w:r/>
            <w:r>
              <w:rPr>
                <w:rFonts w:ascii="Aptos" w:hAnsi="Aptos"/>
                <w:b w:val="0"/>
                <w:sz w:val="15"/>
              </w:rPr>
              <w:t>Evidence period, scope stability or remediation is insufficient</w:t>
            </w:r>
          </w:p>
        </w:tc>
      </w:tr>
      <w:tr>
        <w:trPr>
          <w:cantSplit/>
        </w:trPr>
        <w:tc>
          <w:tcPr>
            <w:tcW w:type="dxa" w:w="2304"/>
            <w:vAlign w:val="center"/>
            <w:shd w:fill="F3F6F7"/>
          </w:tcPr>
          <w:p>
            <w:pPr>
              <w:spacing w:after="0"/>
            </w:pPr>
            <w:r/>
            <w:r>
              <w:rPr>
                <w:rFonts w:ascii="Aptos" w:hAnsi="Aptos"/>
                <w:b w:val="0"/>
                <w:sz w:val="15"/>
              </w:rPr>
              <w:t>Stop and contain</w:t>
            </w:r>
          </w:p>
        </w:tc>
        <w:tc>
          <w:tcPr>
            <w:tcW w:type="dxa" w:w="7344"/>
            <w:vAlign w:val="center"/>
            <w:shd w:fill="F3F6F7"/>
          </w:tcPr>
          <w:p>
            <w:pPr>
              <w:spacing w:after="0"/>
            </w:pPr>
            <w:r/>
            <w:r>
              <w:rPr>
                <w:rFonts w:ascii="Aptos" w:hAnsi="Aptos"/>
                <w:b w:val="0"/>
                <w:sz w:val="15"/>
              </w:rPr>
              <w:t>Material uncontrolled risk or invalid certification representation</w:t>
            </w:r>
          </w:p>
        </w:tc>
      </w:tr>
    </w:tbl>
    <w:p/>
    <w:p>
      <w:pPr>
        <w:pStyle w:val="Heading1"/>
      </w:pPr>
      <w:r>
        <w:t>13. Phase 8 — External Assessment and Certification</w:t>
      </w:r>
    </w:p>
    <w:p>
      <w:r>
        <w:t>Organizations seeking certification should establish a single controlled interface for assessor requests, evidence transfer, finding management and public claims.</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160"/>
            <w:vAlign w:val="center"/>
            <w:shd w:fill="17324D"/>
          </w:tcPr>
          <w:p>
            <w:pPr>
              <w:spacing w:after="0"/>
            </w:pPr>
            <w:r/>
            <w:r>
              <w:rPr>
                <w:rFonts w:ascii="Aptos" w:hAnsi="Aptos"/>
                <w:b/>
                <w:color w:val="FFFFFF"/>
                <w:sz w:val="16"/>
              </w:rPr>
              <w:t>Preparation area</w:t>
            </w:r>
          </w:p>
        </w:tc>
        <w:tc>
          <w:tcPr>
            <w:tcW w:type="dxa" w:w="7488"/>
            <w:vAlign w:val="center"/>
            <w:shd w:fill="17324D"/>
          </w:tcPr>
          <w:p>
            <w:pPr>
              <w:spacing w:after="0"/>
            </w:pPr>
            <w:r/>
            <w:r>
              <w:rPr>
                <w:rFonts w:ascii="Aptos" w:hAnsi="Aptos"/>
                <w:b/>
                <w:color w:val="FFFFFF"/>
                <w:sz w:val="16"/>
              </w:rPr>
              <w:t>Required action</w:t>
            </w:r>
          </w:p>
        </w:tc>
      </w:tr>
      <w:tr>
        <w:trPr>
          <w:cantSplit/>
        </w:trPr>
        <w:tc>
          <w:tcPr>
            <w:tcW w:type="dxa" w:w="2160"/>
            <w:vAlign w:val="center"/>
          </w:tcPr>
          <w:p>
            <w:pPr>
              <w:spacing w:after="0"/>
            </w:pPr>
            <w:r/>
            <w:r>
              <w:rPr>
                <w:rFonts w:ascii="Aptos" w:hAnsi="Aptos"/>
                <w:b w:val="0"/>
                <w:sz w:val="15"/>
              </w:rPr>
              <w:t>Scope</w:t>
            </w:r>
          </w:p>
        </w:tc>
        <w:tc>
          <w:tcPr>
            <w:tcW w:type="dxa" w:w="7488"/>
            <w:vAlign w:val="center"/>
          </w:tcPr>
          <w:p>
            <w:pPr>
              <w:spacing w:after="0"/>
            </w:pPr>
            <w:r/>
            <w:r>
              <w:rPr>
                <w:rFonts w:ascii="Aptos" w:hAnsi="Aptos"/>
                <w:b w:val="0"/>
                <w:sz w:val="15"/>
              </w:rPr>
              <w:t>Freeze and approve the certification boundary</w:t>
            </w:r>
          </w:p>
        </w:tc>
      </w:tr>
      <w:tr>
        <w:trPr>
          <w:cantSplit/>
        </w:trPr>
        <w:tc>
          <w:tcPr>
            <w:tcW w:type="dxa" w:w="2160"/>
            <w:vAlign w:val="center"/>
            <w:shd w:fill="F3F6F7"/>
          </w:tcPr>
          <w:p>
            <w:pPr>
              <w:spacing w:after="0"/>
            </w:pPr>
            <w:r/>
            <w:r>
              <w:rPr>
                <w:rFonts w:ascii="Aptos" w:hAnsi="Aptos"/>
                <w:b w:val="0"/>
                <w:sz w:val="15"/>
              </w:rPr>
              <w:t>Evidence</w:t>
            </w:r>
          </w:p>
        </w:tc>
        <w:tc>
          <w:tcPr>
            <w:tcW w:type="dxa" w:w="7488"/>
            <w:vAlign w:val="center"/>
            <w:shd w:fill="F3F6F7"/>
          </w:tcPr>
          <w:p>
            <w:pPr>
              <w:spacing w:after="0"/>
            </w:pPr>
            <w:r/>
            <w:r>
              <w:rPr>
                <w:rFonts w:ascii="Aptos" w:hAnsi="Aptos"/>
                <w:b w:val="0"/>
                <w:sz w:val="15"/>
              </w:rPr>
              <w:t>Provide indexed, current and authenticated evidence</w:t>
            </w:r>
          </w:p>
        </w:tc>
      </w:tr>
      <w:tr>
        <w:trPr>
          <w:cantSplit/>
        </w:trPr>
        <w:tc>
          <w:tcPr>
            <w:tcW w:type="dxa" w:w="2160"/>
            <w:vAlign w:val="center"/>
          </w:tcPr>
          <w:p>
            <w:pPr>
              <w:spacing w:after="0"/>
            </w:pPr>
            <w:r/>
            <w:r>
              <w:rPr>
                <w:rFonts w:ascii="Aptos" w:hAnsi="Aptos"/>
                <w:b w:val="0"/>
                <w:sz w:val="15"/>
              </w:rPr>
              <w:t>Sampling</w:t>
            </w:r>
          </w:p>
        </w:tc>
        <w:tc>
          <w:tcPr>
            <w:tcW w:type="dxa" w:w="7488"/>
            <w:vAlign w:val="center"/>
          </w:tcPr>
          <w:p>
            <w:pPr>
              <w:spacing w:after="0"/>
            </w:pPr>
            <w:r/>
            <w:r>
              <w:rPr>
                <w:rFonts w:ascii="Aptos" w:hAnsi="Aptos"/>
                <w:b w:val="0"/>
                <w:sz w:val="15"/>
              </w:rPr>
              <w:t>Identify populations and support reproducible sampling</w:t>
            </w:r>
          </w:p>
        </w:tc>
      </w:tr>
      <w:tr>
        <w:trPr>
          <w:cantSplit/>
        </w:trPr>
        <w:tc>
          <w:tcPr>
            <w:tcW w:type="dxa" w:w="2160"/>
            <w:vAlign w:val="center"/>
            <w:shd w:fill="F3F6F7"/>
          </w:tcPr>
          <w:p>
            <w:pPr>
              <w:spacing w:after="0"/>
            </w:pPr>
            <w:r/>
            <w:r>
              <w:rPr>
                <w:rFonts w:ascii="Aptos" w:hAnsi="Aptos"/>
                <w:b w:val="0"/>
                <w:sz w:val="15"/>
              </w:rPr>
              <w:t>Personnel</w:t>
            </w:r>
          </w:p>
        </w:tc>
        <w:tc>
          <w:tcPr>
            <w:tcW w:type="dxa" w:w="7488"/>
            <w:vAlign w:val="center"/>
            <w:shd w:fill="F3F6F7"/>
          </w:tcPr>
          <w:p>
            <w:pPr>
              <w:spacing w:after="0"/>
            </w:pPr>
            <w:r/>
            <w:r>
              <w:rPr>
                <w:rFonts w:ascii="Aptos" w:hAnsi="Aptos"/>
                <w:b w:val="0"/>
                <w:sz w:val="15"/>
              </w:rPr>
              <w:t>Make control owners and operators available</w:t>
            </w:r>
          </w:p>
        </w:tc>
      </w:tr>
      <w:tr>
        <w:trPr>
          <w:cantSplit/>
        </w:trPr>
        <w:tc>
          <w:tcPr>
            <w:tcW w:type="dxa" w:w="2160"/>
            <w:vAlign w:val="center"/>
          </w:tcPr>
          <w:p>
            <w:pPr>
              <w:spacing w:after="0"/>
            </w:pPr>
            <w:r/>
            <w:r>
              <w:rPr>
                <w:rFonts w:ascii="Aptos" w:hAnsi="Aptos"/>
                <w:b w:val="0"/>
                <w:sz w:val="15"/>
              </w:rPr>
              <w:t>Findings</w:t>
            </w:r>
          </w:p>
        </w:tc>
        <w:tc>
          <w:tcPr>
            <w:tcW w:type="dxa" w:w="7488"/>
            <w:vAlign w:val="center"/>
          </w:tcPr>
          <w:p>
            <w:pPr>
              <w:spacing w:after="0"/>
            </w:pPr>
            <w:r/>
            <w:r>
              <w:rPr>
                <w:rFonts w:ascii="Aptos" w:hAnsi="Aptos"/>
                <w:b w:val="0"/>
                <w:sz w:val="15"/>
              </w:rPr>
              <w:t>Use controlled correction and corrective-action workflow</w:t>
            </w:r>
          </w:p>
        </w:tc>
      </w:tr>
      <w:tr>
        <w:trPr>
          <w:cantSplit/>
        </w:trPr>
        <w:tc>
          <w:tcPr>
            <w:tcW w:type="dxa" w:w="2160"/>
            <w:vAlign w:val="center"/>
            <w:shd w:fill="F3F6F7"/>
          </w:tcPr>
          <w:p>
            <w:pPr>
              <w:spacing w:after="0"/>
            </w:pPr>
            <w:r/>
            <w:r>
              <w:rPr>
                <w:rFonts w:ascii="Aptos" w:hAnsi="Aptos"/>
                <w:b w:val="0"/>
                <w:sz w:val="15"/>
              </w:rPr>
              <w:t>Appeals</w:t>
            </w:r>
          </w:p>
        </w:tc>
        <w:tc>
          <w:tcPr>
            <w:tcW w:type="dxa" w:w="7488"/>
            <w:vAlign w:val="center"/>
            <w:shd w:fill="F3F6F7"/>
          </w:tcPr>
          <w:p>
            <w:pPr>
              <w:spacing w:after="0"/>
            </w:pPr>
            <w:r/>
            <w:r>
              <w:rPr>
                <w:rFonts w:ascii="Aptos" w:hAnsi="Aptos"/>
                <w:b w:val="0"/>
                <w:sz w:val="15"/>
              </w:rPr>
              <w:t>Use the certification program’s controlled appeals route</w:t>
            </w:r>
          </w:p>
        </w:tc>
      </w:tr>
      <w:tr>
        <w:trPr>
          <w:cantSplit/>
        </w:trPr>
        <w:tc>
          <w:tcPr>
            <w:tcW w:type="dxa" w:w="2160"/>
            <w:vAlign w:val="center"/>
          </w:tcPr>
          <w:p>
            <w:pPr>
              <w:spacing w:after="0"/>
            </w:pPr>
            <w:r/>
            <w:r>
              <w:rPr>
                <w:rFonts w:ascii="Aptos" w:hAnsi="Aptos"/>
                <w:b w:val="0"/>
                <w:sz w:val="15"/>
              </w:rPr>
              <w:t>Claims</w:t>
            </w:r>
          </w:p>
        </w:tc>
        <w:tc>
          <w:tcPr>
            <w:tcW w:type="dxa" w:w="7488"/>
            <w:vAlign w:val="center"/>
          </w:tcPr>
          <w:p>
            <w:pPr>
              <w:spacing w:after="0"/>
            </w:pPr>
            <w:r/>
            <w:r>
              <w:rPr>
                <w:rFonts w:ascii="Aptos" w:hAnsi="Aptos"/>
                <w:b w:val="0"/>
                <w:sz w:val="15"/>
              </w:rPr>
              <w:t>Approve certificate wording, marks and public statements</w:t>
            </w:r>
          </w:p>
        </w:tc>
      </w:tr>
    </w:tbl>
    <w:p/>
    <w:p>
      <w:pPr>
        <w:pStyle w:val="Heading1"/>
      </w:pPr>
      <w:r>
        <w:t>14. Phase 9 — Sustain Adoption</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448"/>
            <w:vAlign w:val="center"/>
            <w:shd w:fill="17324D"/>
          </w:tcPr>
          <w:p>
            <w:pPr>
              <w:spacing w:after="0"/>
            </w:pPr>
            <w:r/>
            <w:r>
              <w:rPr>
                <w:rFonts w:ascii="Aptos" w:hAnsi="Aptos"/>
                <w:b/>
                <w:color w:val="FFFFFF"/>
                <w:sz w:val="16"/>
              </w:rPr>
              <w:t>Operating mechanism</w:t>
            </w:r>
          </w:p>
        </w:tc>
        <w:tc>
          <w:tcPr>
            <w:tcW w:type="dxa" w:w="7200"/>
            <w:vAlign w:val="center"/>
            <w:shd w:fill="17324D"/>
          </w:tcPr>
          <w:p>
            <w:pPr>
              <w:spacing w:after="0"/>
            </w:pPr>
            <w:r/>
            <w:r>
              <w:rPr>
                <w:rFonts w:ascii="Aptos" w:hAnsi="Aptos"/>
                <w:b/>
                <w:color w:val="FFFFFF"/>
                <w:sz w:val="16"/>
              </w:rPr>
              <w:t>Minimum activity</w:t>
            </w:r>
          </w:p>
        </w:tc>
      </w:tr>
      <w:tr>
        <w:trPr>
          <w:cantSplit/>
        </w:trPr>
        <w:tc>
          <w:tcPr>
            <w:tcW w:type="dxa" w:w="2448"/>
            <w:vAlign w:val="center"/>
          </w:tcPr>
          <w:p>
            <w:pPr>
              <w:spacing w:after="0"/>
            </w:pPr>
            <w:r/>
            <w:r>
              <w:rPr>
                <w:rFonts w:ascii="Aptos" w:hAnsi="Aptos"/>
                <w:b w:val="0"/>
                <w:sz w:val="15"/>
              </w:rPr>
              <w:t>Change monitoring</w:t>
            </w:r>
          </w:p>
        </w:tc>
        <w:tc>
          <w:tcPr>
            <w:tcW w:type="dxa" w:w="7200"/>
            <w:vAlign w:val="center"/>
          </w:tcPr>
          <w:p>
            <w:pPr>
              <w:spacing w:after="0"/>
            </w:pPr>
            <w:r/>
            <w:r>
              <w:rPr>
                <w:rFonts w:ascii="Aptos" w:hAnsi="Aptos"/>
                <w:b w:val="0"/>
                <w:sz w:val="15"/>
              </w:rPr>
              <w:t>Assess system, supplier, legal and threat changes</w:t>
            </w:r>
          </w:p>
        </w:tc>
      </w:tr>
      <w:tr>
        <w:trPr>
          <w:cantSplit/>
        </w:trPr>
        <w:tc>
          <w:tcPr>
            <w:tcW w:type="dxa" w:w="2448"/>
            <w:vAlign w:val="center"/>
            <w:shd w:fill="F3F6F7"/>
          </w:tcPr>
          <w:p>
            <w:pPr>
              <w:spacing w:after="0"/>
            </w:pPr>
            <w:r/>
            <w:r>
              <w:rPr>
                <w:rFonts w:ascii="Aptos" w:hAnsi="Aptos"/>
                <w:b w:val="0"/>
                <w:sz w:val="15"/>
              </w:rPr>
              <w:t>Control monitoring</w:t>
            </w:r>
          </w:p>
        </w:tc>
        <w:tc>
          <w:tcPr>
            <w:tcW w:type="dxa" w:w="7200"/>
            <w:vAlign w:val="center"/>
            <w:shd w:fill="F3F6F7"/>
          </w:tcPr>
          <w:p>
            <w:pPr>
              <w:spacing w:after="0"/>
            </w:pPr>
            <w:r/>
            <w:r>
              <w:rPr>
                <w:rFonts w:ascii="Aptos" w:hAnsi="Aptos"/>
                <w:b w:val="0"/>
                <w:sz w:val="15"/>
              </w:rPr>
              <w:t>Track failures, exceptions and performance indicators</w:t>
            </w:r>
          </w:p>
        </w:tc>
      </w:tr>
      <w:tr>
        <w:trPr>
          <w:cantSplit/>
        </w:trPr>
        <w:tc>
          <w:tcPr>
            <w:tcW w:type="dxa" w:w="2448"/>
            <w:vAlign w:val="center"/>
          </w:tcPr>
          <w:p>
            <w:pPr>
              <w:spacing w:after="0"/>
            </w:pPr>
            <w:r/>
            <w:r>
              <w:rPr>
                <w:rFonts w:ascii="Aptos" w:hAnsi="Aptos"/>
                <w:b w:val="0"/>
                <w:sz w:val="15"/>
              </w:rPr>
              <w:t>Management review</w:t>
            </w:r>
          </w:p>
        </w:tc>
        <w:tc>
          <w:tcPr>
            <w:tcW w:type="dxa" w:w="7200"/>
            <w:vAlign w:val="center"/>
          </w:tcPr>
          <w:p>
            <w:pPr>
              <w:spacing w:after="0"/>
            </w:pPr>
            <w:r/>
            <w:r>
              <w:rPr>
                <w:rFonts w:ascii="Aptos" w:hAnsi="Aptos"/>
                <w:b w:val="0"/>
                <w:sz w:val="15"/>
              </w:rPr>
              <w:t>Review status, risks, resources and improvement</w:t>
            </w:r>
          </w:p>
        </w:tc>
      </w:tr>
      <w:tr>
        <w:trPr>
          <w:cantSplit/>
        </w:trPr>
        <w:tc>
          <w:tcPr>
            <w:tcW w:type="dxa" w:w="2448"/>
            <w:vAlign w:val="center"/>
            <w:shd w:fill="F3F6F7"/>
          </w:tcPr>
          <w:p>
            <w:pPr>
              <w:spacing w:after="0"/>
            </w:pPr>
            <w:r/>
            <w:r>
              <w:rPr>
                <w:rFonts w:ascii="Aptos" w:hAnsi="Aptos"/>
                <w:b w:val="0"/>
                <w:sz w:val="15"/>
              </w:rPr>
              <w:t>Internal assurance</w:t>
            </w:r>
          </w:p>
        </w:tc>
        <w:tc>
          <w:tcPr>
            <w:tcW w:type="dxa" w:w="7200"/>
            <w:vAlign w:val="center"/>
            <w:shd w:fill="F3F6F7"/>
          </w:tcPr>
          <w:p>
            <w:pPr>
              <w:spacing w:after="0"/>
            </w:pPr>
            <w:r/>
            <w:r>
              <w:rPr>
                <w:rFonts w:ascii="Aptos" w:hAnsi="Aptos"/>
                <w:b w:val="0"/>
                <w:sz w:val="15"/>
              </w:rPr>
              <w:t>Retest controls based on risk and change</w:t>
            </w:r>
          </w:p>
        </w:tc>
      </w:tr>
      <w:tr>
        <w:trPr>
          <w:cantSplit/>
        </w:trPr>
        <w:tc>
          <w:tcPr>
            <w:tcW w:type="dxa" w:w="2448"/>
            <w:vAlign w:val="center"/>
          </w:tcPr>
          <w:p>
            <w:pPr>
              <w:spacing w:after="0"/>
            </w:pPr>
            <w:r/>
            <w:r>
              <w:rPr>
                <w:rFonts w:ascii="Aptos" w:hAnsi="Aptos"/>
                <w:b w:val="0"/>
                <w:sz w:val="15"/>
              </w:rPr>
              <w:t>Evidence maintenance</w:t>
            </w:r>
          </w:p>
        </w:tc>
        <w:tc>
          <w:tcPr>
            <w:tcW w:type="dxa" w:w="7200"/>
            <w:vAlign w:val="center"/>
          </w:tcPr>
          <w:p>
            <w:pPr>
              <w:spacing w:after="0"/>
            </w:pPr>
            <w:r/>
            <w:r>
              <w:rPr>
                <w:rFonts w:ascii="Aptos" w:hAnsi="Aptos"/>
                <w:b w:val="0"/>
                <w:sz w:val="15"/>
              </w:rPr>
              <w:t>Refresh expired and superseded evidence</w:t>
            </w:r>
          </w:p>
        </w:tc>
      </w:tr>
      <w:tr>
        <w:trPr>
          <w:cantSplit/>
        </w:trPr>
        <w:tc>
          <w:tcPr>
            <w:tcW w:type="dxa" w:w="2448"/>
            <w:vAlign w:val="center"/>
            <w:shd w:fill="F3F6F7"/>
          </w:tcPr>
          <w:p>
            <w:pPr>
              <w:spacing w:after="0"/>
            </w:pPr>
            <w:r/>
            <w:r>
              <w:rPr>
                <w:rFonts w:ascii="Aptos" w:hAnsi="Aptos"/>
                <w:b w:val="0"/>
                <w:sz w:val="15"/>
              </w:rPr>
              <w:t>Training</w:t>
            </w:r>
          </w:p>
        </w:tc>
        <w:tc>
          <w:tcPr>
            <w:tcW w:type="dxa" w:w="7200"/>
            <w:vAlign w:val="center"/>
            <w:shd w:fill="F3F6F7"/>
          </w:tcPr>
          <w:p>
            <w:pPr>
              <w:spacing w:after="0"/>
            </w:pPr>
            <w:r/>
            <w:r>
              <w:rPr>
                <w:rFonts w:ascii="Aptos" w:hAnsi="Aptos"/>
                <w:b w:val="0"/>
                <w:sz w:val="15"/>
              </w:rPr>
              <w:t>Maintain role-based competence</w:t>
            </w:r>
          </w:p>
        </w:tc>
      </w:tr>
      <w:tr>
        <w:trPr>
          <w:cantSplit/>
        </w:trPr>
        <w:tc>
          <w:tcPr>
            <w:tcW w:type="dxa" w:w="2448"/>
            <w:vAlign w:val="center"/>
          </w:tcPr>
          <w:p>
            <w:pPr>
              <w:spacing w:after="0"/>
            </w:pPr>
            <w:r/>
            <w:r>
              <w:rPr>
                <w:rFonts w:ascii="Aptos" w:hAnsi="Aptos"/>
                <w:b w:val="0"/>
                <w:sz w:val="15"/>
              </w:rPr>
              <w:t>Incident learning</w:t>
            </w:r>
          </w:p>
        </w:tc>
        <w:tc>
          <w:tcPr>
            <w:tcW w:type="dxa" w:w="7200"/>
            <w:vAlign w:val="center"/>
          </w:tcPr>
          <w:p>
            <w:pPr>
              <w:spacing w:after="0"/>
            </w:pPr>
            <w:r/>
            <w:r>
              <w:rPr>
                <w:rFonts w:ascii="Aptos" w:hAnsi="Aptos"/>
                <w:b w:val="0"/>
                <w:sz w:val="15"/>
              </w:rPr>
              <w:t>Feed incidents and near misses into controls</w:t>
            </w:r>
          </w:p>
        </w:tc>
      </w:tr>
      <w:tr>
        <w:trPr>
          <w:cantSplit/>
        </w:trPr>
        <w:tc>
          <w:tcPr>
            <w:tcW w:type="dxa" w:w="2448"/>
            <w:vAlign w:val="center"/>
            <w:shd w:fill="F3F6F7"/>
          </w:tcPr>
          <w:p>
            <w:pPr>
              <w:spacing w:after="0"/>
            </w:pPr>
            <w:r/>
            <w:r>
              <w:rPr>
                <w:rFonts w:ascii="Aptos" w:hAnsi="Aptos"/>
                <w:b w:val="0"/>
                <w:sz w:val="15"/>
              </w:rPr>
              <w:t>Release management</w:t>
            </w:r>
          </w:p>
        </w:tc>
        <w:tc>
          <w:tcPr>
            <w:tcW w:type="dxa" w:w="7200"/>
            <w:vAlign w:val="center"/>
            <w:shd w:fill="F3F6F7"/>
          </w:tcPr>
          <w:p>
            <w:pPr>
              <w:spacing w:after="0"/>
            </w:pPr>
            <w:r/>
            <w:r>
              <w:rPr>
                <w:rFonts w:ascii="Aptos" w:hAnsi="Aptos"/>
                <w:b w:val="0"/>
                <w:sz w:val="15"/>
              </w:rPr>
              <w:t>Assess new GAISSF versions and migration impact</w:t>
            </w:r>
          </w:p>
        </w:tc>
      </w:tr>
    </w:tbl>
    <w:p/>
    <w:p>
      <w:pPr>
        <w:pStyle w:val="Heading1"/>
      </w:pPr>
      <w:r>
        <w:t>15. Adoption Roadmap</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1728"/>
            <w:vAlign w:val="center"/>
            <w:shd w:fill="17324D"/>
          </w:tcPr>
          <w:p>
            <w:pPr>
              <w:spacing w:after="0"/>
            </w:pPr>
            <w:r/>
            <w:r>
              <w:rPr>
                <w:rFonts w:ascii="Aptos" w:hAnsi="Aptos"/>
                <w:b/>
                <w:color w:val="FFFFFF"/>
                <w:sz w:val="16"/>
              </w:rPr>
              <w:t>Time horizon</w:t>
            </w:r>
          </w:p>
        </w:tc>
        <w:tc>
          <w:tcPr>
            <w:tcW w:type="dxa" w:w="4320"/>
            <w:vAlign w:val="center"/>
            <w:shd w:fill="17324D"/>
          </w:tcPr>
          <w:p>
            <w:pPr>
              <w:spacing w:after="0"/>
            </w:pPr>
            <w:r/>
            <w:r>
              <w:rPr>
                <w:rFonts w:ascii="Aptos" w:hAnsi="Aptos"/>
                <w:b/>
                <w:color w:val="FFFFFF"/>
                <w:sz w:val="16"/>
              </w:rPr>
              <w:t>Primary activities</w:t>
            </w:r>
          </w:p>
        </w:tc>
        <w:tc>
          <w:tcPr>
            <w:tcW w:type="dxa" w:w="3600"/>
            <w:vAlign w:val="center"/>
            <w:shd w:fill="17324D"/>
          </w:tcPr>
          <w:p>
            <w:pPr>
              <w:spacing w:after="0"/>
            </w:pPr>
            <w:r/>
            <w:r>
              <w:rPr>
                <w:rFonts w:ascii="Aptos" w:hAnsi="Aptos"/>
                <w:b/>
                <w:color w:val="FFFFFF"/>
                <w:sz w:val="16"/>
              </w:rPr>
              <w:t>Deliverables</w:t>
            </w:r>
          </w:p>
        </w:tc>
      </w:tr>
      <w:tr>
        <w:trPr>
          <w:cantSplit/>
        </w:trPr>
        <w:tc>
          <w:tcPr>
            <w:tcW w:type="dxa" w:w="1728"/>
            <w:vAlign w:val="center"/>
          </w:tcPr>
          <w:p>
            <w:pPr>
              <w:spacing w:after="0"/>
            </w:pPr>
            <w:r/>
            <w:r>
              <w:rPr>
                <w:rFonts w:ascii="Aptos" w:hAnsi="Aptos"/>
                <w:b w:val="0"/>
                <w:sz w:val="15"/>
              </w:rPr>
              <w:t>Days 0-30</w:t>
            </w:r>
          </w:p>
        </w:tc>
        <w:tc>
          <w:tcPr>
            <w:tcW w:type="dxa" w:w="4320"/>
            <w:vAlign w:val="center"/>
          </w:tcPr>
          <w:p>
            <w:pPr>
              <w:spacing w:after="0"/>
            </w:pPr>
            <w:r/>
            <w:r>
              <w:rPr>
                <w:rFonts w:ascii="Aptos" w:hAnsi="Aptos"/>
                <w:b w:val="0"/>
                <w:sz w:val="15"/>
              </w:rPr>
              <w:t>Mobilize, inventory, initial scope, sponsor and charter</w:t>
            </w:r>
          </w:p>
        </w:tc>
        <w:tc>
          <w:tcPr>
            <w:tcW w:type="dxa" w:w="3600"/>
            <w:vAlign w:val="center"/>
          </w:tcPr>
          <w:p>
            <w:pPr>
              <w:spacing w:after="0"/>
            </w:pPr>
            <w:r/>
            <w:r>
              <w:rPr>
                <w:rFonts w:ascii="Aptos" w:hAnsi="Aptos"/>
                <w:b w:val="0"/>
                <w:sz w:val="15"/>
              </w:rPr>
              <w:t>Program charter, inventory, draft scope</w:t>
            </w:r>
          </w:p>
        </w:tc>
      </w:tr>
      <w:tr>
        <w:trPr>
          <w:cantSplit/>
        </w:trPr>
        <w:tc>
          <w:tcPr>
            <w:tcW w:type="dxa" w:w="1728"/>
            <w:vAlign w:val="center"/>
            <w:shd w:fill="F3F6F7"/>
          </w:tcPr>
          <w:p>
            <w:pPr>
              <w:spacing w:after="0"/>
            </w:pPr>
            <w:r/>
            <w:r>
              <w:rPr>
                <w:rFonts w:ascii="Aptos" w:hAnsi="Aptos"/>
                <w:b w:val="0"/>
                <w:sz w:val="15"/>
              </w:rPr>
              <w:t>Days 31-60</w:t>
            </w:r>
          </w:p>
        </w:tc>
        <w:tc>
          <w:tcPr>
            <w:tcW w:type="dxa" w:w="4320"/>
            <w:vAlign w:val="center"/>
            <w:shd w:fill="F3F6F7"/>
          </w:tcPr>
          <w:p>
            <w:pPr>
              <w:spacing w:after="0"/>
            </w:pPr>
            <w:r/>
            <w:r>
              <w:rPr>
                <w:rFonts w:ascii="Aptos" w:hAnsi="Aptos"/>
                <w:b w:val="0"/>
                <w:sz w:val="15"/>
              </w:rPr>
              <w:t>Governance, profile selection, baseline assessment</w:t>
            </w:r>
          </w:p>
        </w:tc>
        <w:tc>
          <w:tcPr>
            <w:tcW w:type="dxa" w:w="3600"/>
            <w:vAlign w:val="center"/>
            <w:shd w:fill="F3F6F7"/>
          </w:tcPr>
          <w:p>
            <w:pPr>
              <w:spacing w:after="0"/>
            </w:pPr>
            <w:r/>
            <w:r>
              <w:rPr>
                <w:rFonts w:ascii="Aptos" w:hAnsi="Aptos"/>
                <w:b w:val="0"/>
                <w:sz w:val="15"/>
              </w:rPr>
              <w:t>RACI, SoA, gap register</w:t>
            </w:r>
          </w:p>
        </w:tc>
      </w:tr>
      <w:tr>
        <w:trPr>
          <w:cantSplit/>
        </w:trPr>
        <w:tc>
          <w:tcPr>
            <w:tcW w:type="dxa" w:w="1728"/>
            <w:vAlign w:val="center"/>
          </w:tcPr>
          <w:p>
            <w:pPr>
              <w:spacing w:after="0"/>
            </w:pPr>
            <w:r/>
            <w:r>
              <w:rPr>
                <w:rFonts w:ascii="Aptos" w:hAnsi="Aptos"/>
                <w:b w:val="0"/>
                <w:sz w:val="15"/>
              </w:rPr>
              <w:t>Days 61-90</w:t>
            </w:r>
          </w:p>
        </w:tc>
        <w:tc>
          <w:tcPr>
            <w:tcW w:type="dxa" w:w="4320"/>
            <w:vAlign w:val="center"/>
          </w:tcPr>
          <w:p>
            <w:pPr>
              <w:spacing w:after="0"/>
            </w:pPr>
            <w:r/>
            <w:r>
              <w:rPr>
                <w:rFonts w:ascii="Aptos" w:hAnsi="Aptos"/>
                <w:b w:val="0"/>
                <w:sz w:val="15"/>
              </w:rPr>
              <w:t>Prioritized remediation and evidence architecture</w:t>
            </w:r>
          </w:p>
        </w:tc>
        <w:tc>
          <w:tcPr>
            <w:tcW w:type="dxa" w:w="3600"/>
            <w:vAlign w:val="center"/>
          </w:tcPr>
          <w:p>
            <w:pPr>
              <w:spacing w:after="0"/>
            </w:pPr>
            <w:r/>
            <w:r>
              <w:rPr>
                <w:rFonts w:ascii="Aptos" w:hAnsi="Aptos"/>
                <w:b w:val="0"/>
                <w:sz w:val="15"/>
              </w:rPr>
              <w:t>Roadmap, evidence index, dashboards</w:t>
            </w:r>
          </w:p>
        </w:tc>
      </w:tr>
      <w:tr>
        <w:trPr>
          <w:cantSplit/>
        </w:trPr>
        <w:tc>
          <w:tcPr>
            <w:tcW w:type="dxa" w:w="1728"/>
            <w:vAlign w:val="center"/>
            <w:shd w:fill="F3F6F7"/>
          </w:tcPr>
          <w:p>
            <w:pPr>
              <w:spacing w:after="0"/>
            </w:pPr>
            <w:r/>
            <w:r>
              <w:rPr>
                <w:rFonts w:ascii="Aptos" w:hAnsi="Aptos"/>
                <w:b w:val="0"/>
                <w:sz w:val="15"/>
              </w:rPr>
              <w:t>Months 4-6</w:t>
            </w:r>
          </w:p>
        </w:tc>
        <w:tc>
          <w:tcPr>
            <w:tcW w:type="dxa" w:w="4320"/>
            <w:vAlign w:val="center"/>
            <w:shd w:fill="F3F6F7"/>
          </w:tcPr>
          <w:p>
            <w:pPr>
              <w:spacing w:after="0"/>
            </w:pPr>
            <w:r/>
            <w:r>
              <w:rPr>
                <w:rFonts w:ascii="Aptos" w:hAnsi="Aptos"/>
                <w:b w:val="0"/>
                <w:sz w:val="15"/>
              </w:rPr>
              <w:t>Implement critical controls and internal assurance</w:t>
            </w:r>
          </w:p>
        </w:tc>
        <w:tc>
          <w:tcPr>
            <w:tcW w:type="dxa" w:w="3600"/>
            <w:vAlign w:val="center"/>
            <w:shd w:fill="F3F6F7"/>
          </w:tcPr>
          <w:p>
            <w:pPr>
              <w:spacing w:after="0"/>
            </w:pPr>
            <w:r/>
            <w:r>
              <w:rPr>
                <w:rFonts w:ascii="Aptos" w:hAnsi="Aptos"/>
                <w:b w:val="0"/>
                <w:sz w:val="15"/>
              </w:rPr>
              <w:t>Operating evidence, test results, review records</w:t>
            </w:r>
          </w:p>
        </w:tc>
      </w:tr>
      <w:tr>
        <w:trPr>
          <w:cantSplit/>
        </w:trPr>
        <w:tc>
          <w:tcPr>
            <w:tcW w:type="dxa" w:w="1728"/>
            <w:vAlign w:val="center"/>
          </w:tcPr>
          <w:p>
            <w:pPr>
              <w:spacing w:after="0"/>
            </w:pPr>
            <w:r/>
            <w:r>
              <w:rPr>
                <w:rFonts w:ascii="Aptos" w:hAnsi="Aptos"/>
                <w:b w:val="0"/>
                <w:sz w:val="15"/>
              </w:rPr>
              <w:t>Months 7-9</w:t>
            </w:r>
          </w:p>
        </w:tc>
        <w:tc>
          <w:tcPr>
            <w:tcW w:type="dxa" w:w="4320"/>
            <w:vAlign w:val="center"/>
          </w:tcPr>
          <w:p>
            <w:pPr>
              <w:spacing w:after="0"/>
            </w:pPr>
            <w:r/>
            <w:r>
              <w:rPr>
                <w:rFonts w:ascii="Aptos" w:hAnsi="Aptos"/>
                <w:b w:val="0"/>
                <w:sz w:val="15"/>
              </w:rPr>
              <w:t>Close high-priority gaps and stabilize operation</w:t>
            </w:r>
          </w:p>
        </w:tc>
        <w:tc>
          <w:tcPr>
            <w:tcW w:type="dxa" w:w="3600"/>
            <w:vAlign w:val="center"/>
          </w:tcPr>
          <w:p>
            <w:pPr>
              <w:spacing w:after="0"/>
            </w:pPr>
            <w:r/>
            <w:r>
              <w:rPr>
                <w:rFonts w:ascii="Aptos" w:hAnsi="Aptos"/>
                <w:b w:val="0"/>
                <w:sz w:val="15"/>
              </w:rPr>
              <w:t>Corrective-action closure, readiness report</w:t>
            </w:r>
          </w:p>
        </w:tc>
      </w:tr>
      <w:tr>
        <w:trPr>
          <w:cantSplit/>
        </w:trPr>
        <w:tc>
          <w:tcPr>
            <w:tcW w:type="dxa" w:w="1728"/>
            <w:vAlign w:val="center"/>
            <w:shd w:fill="F3F6F7"/>
          </w:tcPr>
          <w:p>
            <w:pPr>
              <w:spacing w:after="0"/>
            </w:pPr>
            <w:r/>
            <w:r>
              <w:rPr>
                <w:rFonts w:ascii="Aptos" w:hAnsi="Aptos"/>
                <w:b w:val="0"/>
                <w:sz w:val="15"/>
              </w:rPr>
              <w:t>Months 10-12</w:t>
            </w:r>
          </w:p>
        </w:tc>
        <w:tc>
          <w:tcPr>
            <w:tcW w:type="dxa" w:w="4320"/>
            <w:vAlign w:val="center"/>
            <w:shd w:fill="F3F6F7"/>
          </w:tcPr>
          <w:p>
            <w:pPr>
              <w:spacing w:after="0"/>
            </w:pPr>
            <w:r/>
            <w:r>
              <w:rPr>
                <w:rFonts w:ascii="Aptos" w:hAnsi="Aptos"/>
                <w:b w:val="0"/>
                <w:sz w:val="15"/>
              </w:rPr>
              <w:t>External assessment or sustained internal conformance</w:t>
            </w:r>
          </w:p>
        </w:tc>
        <w:tc>
          <w:tcPr>
            <w:tcW w:type="dxa" w:w="3600"/>
            <w:vAlign w:val="center"/>
            <w:shd w:fill="F3F6F7"/>
          </w:tcPr>
          <w:p>
            <w:pPr>
              <w:spacing w:after="0"/>
            </w:pPr>
            <w:r/>
            <w:r>
              <w:rPr>
                <w:rFonts w:ascii="Aptos" w:hAnsi="Aptos"/>
                <w:b w:val="0"/>
                <w:sz w:val="15"/>
              </w:rPr>
              <w:t>Assessment package, certification decision</w:t>
            </w:r>
          </w:p>
        </w:tc>
      </w:tr>
    </w:tbl>
    <w:p/>
    <w:p>
      <w:pPr>
        <w:pStyle w:val="SmallNote"/>
      </w:pPr>
      <w:r>
        <w:t>Time horizons are illustrative. Actual duration depends on scope, maturity, evidence availability, supplier dependencies and remediation complexity.</w:t>
      </w:r>
    </w:p>
    <w:p>
      <w:pPr>
        <w:pStyle w:val="Heading1"/>
      </w:pPr>
      <w:r>
        <w:t>16. Program Metrics</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2880"/>
            <w:vAlign w:val="center"/>
            <w:shd w:fill="17324D"/>
          </w:tcPr>
          <w:p>
            <w:pPr>
              <w:spacing w:after="0"/>
            </w:pPr>
            <w:r/>
            <w:r>
              <w:rPr>
                <w:rFonts w:ascii="Aptos" w:hAnsi="Aptos"/>
                <w:b/>
                <w:color w:val="FFFFFF"/>
                <w:sz w:val="16"/>
              </w:rPr>
              <w:t>Metric</w:t>
            </w:r>
          </w:p>
        </w:tc>
        <w:tc>
          <w:tcPr>
            <w:tcW w:type="dxa" w:w="3600"/>
            <w:vAlign w:val="center"/>
            <w:shd w:fill="17324D"/>
          </w:tcPr>
          <w:p>
            <w:pPr>
              <w:spacing w:after="0"/>
            </w:pPr>
            <w:r/>
            <w:r>
              <w:rPr>
                <w:rFonts w:ascii="Aptos" w:hAnsi="Aptos"/>
                <w:b/>
                <w:color w:val="FFFFFF"/>
                <w:sz w:val="16"/>
              </w:rPr>
              <w:t>Interpretation</w:t>
            </w:r>
          </w:p>
        </w:tc>
        <w:tc>
          <w:tcPr>
            <w:tcW w:type="dxa" w:w="3168"/>
            <w:vAlign w:val="center"/>
            <w:shd w:fill="17324D"/>
          </w:tcPr>
          <w:p>
            <w:pPr>
              <w:spacing w:after="0"/>
            </w:pPr>
            <w:r/>
            <w:r>
              <w:rPr>
                <w:rFonts w:ascii="Aptos" w:hAnsi="Aptos"/>
                <w:b/>
                <w:color w:val="FFFFFF"/>
                <w:sz w:val="16"/>
              </w:rPr>
              <w:t>Caution</w:t>
            </w:r>
          </w:p>
        </w:tc>
      </w:tr>
      <w:tr>
        <w:trPr>
          <w:cantSplit/>
        </w:trPr>
        <w:tc>
          <w:tcPr>
            <w:tcW w:type="dxa" w:w="2880"/>
            <w:vAlign w:val="center"/>
          </w:tcPr>
          <w:p>
            <w:pPr>
              <w:spacing w:after="0"/>
            </w:pPr>
            <w:r/>
            <w:r>
              <w:rPr>
                <w:rFonts w:ascii="Aptos" w:hAnsi="Aptos"/>
                <w:b w:val="0"/>
                <w:sz w:val="15"/>
              </w:rPr>
              <w:t>Applicable controls with assigned owner</w:t>
            </w:r>
          </w:p>
        </w:tc>
        <w:tc>
          <w:tcPr>
            <w:tcW w:type="dxa" w:w="3600"/>
            <w:vAlign w:val="center"/>
          </w:tcPr>
          <w:p>
            <w:pPr>
              <w:spacing w:after="0"/>
            </w:pPr>
            <w:r/>
            <w:r>
              <w:rPr>
                <w:rFonts w:ascii="Aptos" w:hAnsi="Aptos"/>
                <w:b w:val="0"/>
                <w:sz w:val="15"/>
              </w:rPr>
              <w:t>Ownership completeness</w:t>
            </w:r>
          </w:p>
        </w:tc>
        <w:tc>
          <w:tcPr>
            <w:tcW w:type="dxa" w:w="3168"/>
            <w:vAlign w:val="center"/>
          </w:tcPr>
          <w:p>
            <w:pPr>
              <w:spacing w:after="0"/>
            </w:pPr>
            <w:r/>
            <w:r>
              <w:rPr>
                <w:rFonts w:ascii="Aptos" w:hAnsi="Aptos"/>
                <w:b w:val="0"/>
                <w:sz w:val="15"/>
              </w:rPr>
              <w:t>Does not prove operation</w:t>
            </w:r>
          </w:p>
        </w:tc>
      </w:tr>
      <w:tr>
        <w:trPr>
          <w:cantSplit/>
        </w:trPr>
        <w:tc>
          <w:tcPr>
            <w:tcW w:type="dxa" w:w="2880"/>
            <w:vAlign w:val="center"/>
            <w:shd w:fill="F3F6F7"/>
          </w:tcPr>
          <w:p>
            <w:pPr>
              <w:spacing w:after="0"/>
            </w:pPr>
            <w:r/>
            <w:r>
              <w:rPr>
                <w:rFonts w:ascii="Aptos" w:hAnsi="Aptos"/>
                <w:b w:val="0"/>
                <w:sz w:val="15"/>
              </w:rPr>
              <w:t>Controls with current operating evidence</w:t>
            </w:r>
          </w:p>
        </w:tc>
        <w:tc>
          <w:tcPr>
            <w:tcW w:type="dxa" w:w="3600"/>
            <w:vAlign w:val="center"/>
            <w:shd w:fill="F3F6F7"/>
          </w:tcPr>
          <w:p>
            <w:pPr>
              <w:spacing w:after="0"/>
            </w:pPr>
            <w:r/>
            <w:r>
              <w:rPr>
                <w:rFonts w:ascii="Aptos" w:hAnsi="Aptos"/>
                <w:b w:val="0"/>
                <w:sz w:val="15"/>
              </w:rPr>
              <w:t>Evidence coverage</w:t>
            </w:r>
          </w:p>
        </w:tc>
        <w:tc>
          <w:tcPr>
            <w:tcW w:type="dxa" w:w="3168"/>
            <w:vAlign w:val="center"/>
            <w:shd w:fill="F3F6F7"/>
          </w:tcPr>
          <w:p>
            <w:pPr>
              <w:spacing w:after="0"/>
            </w:pPr>
            <w:r/>
            <w:r>
              <w:rPr>
                <w:rFonts w:ascii="Aptos" w:hAnsi="Aptos"/>
                <w:b w:val="0"/>
                <w:sz w:val="15"/>
              </w:rPr>
              <w:t>Quality matters more than count</w:t>
            </w:r>
          </w:p>
        </w:tc>
      </w:tr>
      <w:tr>
        <w:trPr>
          <w:cantSplit/>
        </w:trPr>
        <w:tc>
          <w:tcPr>
            <w:tcW w:type="dxa" w:w="2880"/>
            <w:vAlign w:val="center"/>
          </w:tcPr>
          <w:p>
            <w:pPr>
              <w:spacing w:after="0"/>
            </w:pPr>
            <w:r/>
            <w:r>
              <w:rPr>
                <w:rFonts w:ascii="Aptos" w:hAnsi="Aptos"/>
                <w:b w:val="0"/>
                <w:sz w:val="15"/>
              </w:rPr>
              <w:t>Open major findings</w:t>
            </w:r>
          </w:p>
        </w:tc>
        <w:tc>
          <w:tcPr>
            <w:tcW w:type="dxa" w:w="3600"/>
            <w:vAlign w:val="center"/>
          </w:tcPr>
          <w:p>
            <w:pPr>
              <w:spacing w:after="0"/>
            </w:pPr>
            <w:r/>
            <w:r>
              <w:rPr>
                <w:rFonts w:ascii="Aptos" w:hAnsi="Aptos"/>
                <w:b w:val="0"/>
                <w:sz w:val="15"/>
              </w:rPr>
              <w:t>Material readiness risk</w:t>
            </w:r>
          </w:p>
        </w:tc>
        <w:tc>
          <w:tcPr>
            <w:tcW w:type="dxa" w:w="3168"/>
            <w:vAlign w:val="center"/>
          </w:tcPr>
          <w:p>
            <w:pPr>
              <w:spacing w:after="0"/>
            </w:pPr>
            <w:r/>
            <w:r>
              <w:rPr>
                <w:rFonts w:ascii="Aptos" w:hAnsi="Aptos"/>
                <w:b w:val="0"/>
                <w:sz w:val="15"/>
              </w:rPr>
              <w:t>Track age and exposure</w:t>
            </w:r>
          </w:p>
        </w:tc>
      </w:tr>
      <w:tr>
        <w:trPr>
          <w:cantSplit/>
        </w:trPr>
        <w:tc>
          <w:tcPr>
            <w:tcW w:type="dxa" w:w="2880"/>
            <w:vAlign w:val="center"/>
            <w:shd w:fill="F3F6F7"/>
          </w:tcPr>
          <w:p>
            <w:pPr>
              <w:spacing w:after="0"/>
            </w:pPr>
            <w:r/>
            <w:r>
              <w:rPr>
                <w:rFonts w:ascii="Aptos" w:hAnsi="Aptos"/>
                <w:b w:val="0"/>
                <w:sz w:val="15"/>
              </w:rPr>
              <w:t>Corrective actions overdue</w:t>
            </w:r>
          </w:p>
        </w:tc>
        <w:tc>
          <w:tcPr>
            <w:tcW w:type="dxa" w:w="3600"/>
            <w:vAlign w:val="center"/>
            <w:shd w:fill="F3F6F7"/>
          </w:tcPr>
          <w:p>
            <w:pPr>
              <w:spacing w:after="0"/>
            </w:pPr>
            <w:r/>
            <w:r>
              <w:rPr>
                <w:rFonts w:ascii="Aptos" w:hAnsi="Aptos"/>
                <w:b w:val="0"/>
                <w:sz w:val="15"/>
              </w:rPr>
              <w:t>Execution weakness</w:t>
            </w:r>
          </w:p>
        </w:tc>
        <w:tc>
          <w:tcPr>
            <w:tcW w:type="dxa" w:w="3168"/>
            <w:vAlign w:val="center"/>
            <w:shd w:fill="F3F6F7"/>
          </w:tcPr>
          <w:p>
            <w:pPr>
              <w:spacing w:after="0"/>
            </w:pPr>
            <w:r/>
            <w:r>
              <w:rPr>
                <w:rFonts w:ascii="Aptos" w:hAnsi="Aptos"/>
                <w:b w:val="0"/>
                <w:sz w:val="15"/>
              </w:rPr>
              <w:t>Consider dependency causes</w:t>
            </w:r>
          </w:p>
        </w:tc>
      </w:tr>
      <w:tr>
        <w:trPr>
          <w:cantSplit/>
        </w:trPr>
        <w:tc>
          <w:tcPr>
            <w:tcW w:type="dxa" w:w="2880"/>
            <w:vAlign w:val="center"/>
          </w:tcPr>
          <w:p>
            <w:pPr>
              <w:spacing w:after="0"/>
            </w:pPr>
            <w:r/>
            <w:r>
              <w:rPr>
                <w:rFonts w:ascii="Aptos" w:hAnsi="Aptos"/>
                <w:b w:val="0"/>
                <w:sz w:val="15"/>
              </w:rPr>
              <w:t>Exceptions nearing expiry</w:t>
            </w:r>
          </w:p>
        </w:tc>
        <w:tc>
          <w:tcPr>
            <w:tcW w:type="dxa" w:w="3600"/>
            <w:vAlign w:val="center"/>
          </w:tcPr>
          <w:p>
            <w:pPr>
              <w:spacing w:after="0"/>
            </w:pPr>
            <w:r/>
            <w:r>
              <w:rPr>
                <w:rFonts w:ascii="Aptos" w:hAnsi="Aptos"/>
                <w:b w:val="0"/>
                <w:sz w:val="15"/>
              </w:rPr>
              <w:t>Residual-risk exposure</w:t>
            </w:r>
          </w:p>
        </w:tc>
        <w:tc>
          <w:tcPr>
            <w:tcW w:type="dxa" w:w="3168"/>
            <w:vAlign w:val="center"/>
          </w:tcPr>
          <w:p>
            <w:pPr>
              <w:spacing w:after="0"/>
            </w:pPr>
            <w:r/>
            <w:r>
              <w:rPr>
                <w:rFonts w:ascii="Aptos" w:hAnsi="Aptos"/>
                <w:b w:val="0"/>
                <w:sz w:val="15"/>
              </w:rPr>
              <w:t>Require review before extension</w:t>
            </w:r>
          </w:p>
        </w:tc>
      </w:tr>
      <w:tr>
        <w:trPr>
          <w:cantSplit/>
        </w:trPr>
        <w:tc>
          <w:tcPr>
            <w:tcW w:type="dxa" w:w="2880"/>
            <w:vAlign w:val="center"/>
            <w:shd w:fill="F3F6F7"/>
          </w:tcPr>
          <w:p>
            <w:pPr>
              <w:spacing w:after="0"/>
            </w:pPr>
            <w:r/>
            <w:r>
              <w:rPr>
                <w:rFonts w:ascii="Aptos" w:hAnsi="Aptos"/>
                <w:b w:val="0"/>
                <w:sz w:val="15"/>
              </w:rPr>
              <w:t>Systems inventoried</w:t>
            </w:r>
          </w:p>
        </w:tc>
        <w:tc>
          <w:tcPr>
            <w:tcW w:type="dxa" w:w="3600"/>
            <w:vAlign w:val="center"/>
            <w:shd w:fill="F3F6F7"/>
          </w:tcPr>
          <w:p>
            <w:pPr>
              <w:spacing w:after="0"/>
            </w:pPr>
            <w:r/>
            <w:r>
              <w:rPr>
                <w:rFonts w:ascii="Aptos" w:hAnsi="Aptos"/>
                <w:b w:val="0"/>
                <w:sz w:val="15"/>
              </w:rPr>
              <w:t>Discovery completeness</w:t>
            </w:r>
          </w:p>
        </w:tc>
        <w:tc>
          <w:tcPr>
            <w:tcW w:type="dxa" w:w="3168"/>
            <w:vAlign w:val="center"/>
            <w:shd w:fill="F3F6F7"/>
          </w:tcPr>
          <w:p>
            <w:pPr>
              <w:spacing w:after="0"/>
            </w:pPr>
            <w:r/>
            <w:r>
              <w:rPr>
                <w:rFonts w:ascii="Aptos" w:hAnsi="Aptos"/>
                <w:b w:val="0"/>
                <w:sz w:val="15"/>
              </w:rPr>
              <w:t>Shadow AI may remain</w:t>
            </w:r>
          </w:p>
        </w:tc>
      </w:tr>
      <w:tr>
        <w:trPr>
          <w:cantSplit/>
        </w:trPr>
        <w:tc>
          <w:tcPr>
            <w:tcW w:type="dxa" w:w="2880"/>
            <w:vAlign w:val="center"/>
          </w:tcPr>
          <w:p>
            <w:pPr>
              <w:spacing w:after="0"/>
            </w:pPr>
            <w:r/>
            <w:r>
              <w:rPr>
                <w:rFonts w:ascii="Aptos" w:hAnsi="Aptos"/>
                <w:b w:val="0"/>
                <w:sz w:val="15"/>
              </w:rPr>
              <w:t>Supplier evidence coverage</w:t>
            </w:r>
          </w:p>
        </w:tc>
        <w:tc>
          <w:tcPr>
            <w:tcW w:type="dxa" w:w="3600"/>
            <w:vAlign w:val="center"/>
          </w:tcPr>
          <w:p>
            <w:pPr>
              <w:spacing w:after="0"/>
            </w:pPr>
            <w:r/>
            <w:r>
              <w:rPr>
                <w:rFonts w:ascii="Aptos" w:hAnsi="Aptos"/>
                <w:b w:val="0"/>
                <w:sz w:val="15"/>
              </w:rPr>
              <w:t>Third-party assurance</w:t>
            </w:r>
          </w:p>
        </w:tc>
        <w:tc>
          <w:tcPr>
            <w:tcW w:type="dxa" w:w="3168"/>
            <w:vAlign w:val="center"/>
          </w:tcPr>
          <w:p>
            <w:pPr>
              <w:spacing w:after="0"/>
            </w:pPr>
            <w:r/>
            <w:r>
              <w:rPr>
                <w:rFonts w:ascii="Aptos" w:hAnsi="Aptos"/>
                <w:b w:val="0"/>
                <w:sz w:val="15"/>
              </w:rPr>
              <w:t>Attestations may be insufficient</w:t>
            </w:r>
          </w:p>
        </w:tc>
      </w:tr>
      <w:tr>
        <w:trPr>
          <w:cantSplit/>
        </w:trPr>
        <w:tc>
          <w:tcPr>
            <w:tcW w:type="dxa" w:w="2880"/>
            <w:vAlign w:val="center"/>
            <w:shd w:fill="F3F6F7"/>
          </w:tcPr>
          <w:p>
            <w:pPr>
              <w:spacing w:after="0"/>
            </w:pPr>
            <w:r/>
            <w:r>
              <w:rPr>
                <w:rFonts w:ascii="Aptos" w:hAnsi="Aptos"/>
                <w:b w:val="0"/>
                <w:sz w:val="15"/>
              </w:rPr>
              <w:t>Control retest pass rate</w:t>
            </w:r>
          </w:p>
        </w:tc>
        <w:tc>
          <w:tcPr>
            <w:tcW w:type="dxa" w:w="3600"/>
            <w:vAlign w:val="center"/>
            <w:shd w:fill="F3F6F7"/>
          </w:tcPr>
          <w:p>
            <w:pPr>
              <w:spacing w:after="0"/>
            </w:pPr>
            <w:r/>
            <w:r>
              <w:rPr>
                <w:rFonts w:ascii="Aptos" w:hAnsi="Aptos"/>
                <w:b w:val="0"/>
                <w:sz w:val="15"/>
              </w:rPr>
              <w:t>Operational stability</w:t>
            </w:r>
          </w:p>
        </w:tc>
        <w:tc>
          <w:tcPr>
            <w:tcW w:type="dxa" w:w="3168"/>
            <w:vAlign w:val="center"/>
            <w:shd w:fill="F3F6F7"/>
          </w:tcPr>
          <w:p>
            <w:pPr>
              <w:spacing w:after="0"/>
            </w:pPr>
            <w:r/>
            <w:r>
              <w:rPr>
                <w:rFonts w:ascii="Aptos" w:hAnsi="Aptos"/>
                <w:b w:val="0"/>
                <w:sz w:val="15"/>
              </w:rPr>
              <w:t>Avoid masking high-impact failures</w:t>
            </w:r>
          </w:p>
        </w:tc>
      </w:tr>
    </w:tbl>
    <w:p/>
    <w:p>
      <w:pPr>
        <w:pStyle w:val="Heading1"/>
      </w:pPr>
      <w:r>
        <w:t>17. Common Adoption Failure Modes</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2448"/>
            <w:vAlign w:val="center"/>
            <w:shd w:fill="17324D"/>
          </w:tcPr>
          <w:p>
            <w:pPr>
              <w:spacing w:after="0"/>
            </w:pPr>
            <w:r/>
            <w:r>
              <w:rPr>
                <w:rFonts w:ascii="Aptos" w:hAnsi="Aptos"/>
                <w:b/>
                <w:color w:val="FFFFFF"/>
                <w:sz w:val="16"/>
              </w:rPr>
              <w:t>Failure mode</w:t>
            </w:r>
          </w:p>
        </w:tc>
        <w:tc>
          <w:tcPr>
            <w:tcW w:type="dxa" w:w="3312"/>
            <w:vAlign w:val="center"/>
            <w:shd w:fill="17324D"/>
          </w:tcPr>
          <w:p>
            <w:pPr>
              <w:spacing w:after="0"/>
            </w:pPr>
            <w:r/>
            <w:r>
              <w:rPr>
                <w:rFonts w:ascii="Aptos" w:hAnsi="Aptos"/>
                <w:b/>
                <w:color w:val="FFFFFF"/>
                <w:sz w:val="16"/>
              </w:rPr>
              <w:t>Why it fails</w:t>
            </w:r>
          </w:p>
        </w:tc>
        <w:tc>
          <w:tcPr>
            <w:tcW w:type="dxa" w:w="3888"/>
            <w:vAlign w:val="center"/>
            <w:shd w:fill="17324D"/>
          </w:tcPr>
          <w:p>
            <w:pPr>
              <w:spacing w:after="0"/>
            </w:pPr>
            <w:r/>
            <w:r>
              <w:rPr>
                <w:rFonts w:ascii="Aptos" w:hAnsi="Aptos"/>
                <w:b/>
                <w:color w:val="FFFFFF"/>
                <w:sz w:val="16"/>
              </w:rPr>
              <w:t>Corrective response</w:t>
            </w:r>
          </w:p>
        </w:tc>
      </w:tr>
      <w:tr>
        <w:trPr>
          <w:cantSplit/>
        </w:trPr>
        <w:tc>
          <w:tcPr>
            <w:tcW w:type="dxa" w:w="2448"/>
            <w:vAlign w:val="center"/>
          </w:tcPr>
          <w:p>
            <w:pPr>
              <w:spacing w:after="0"/>
            </w:pPr>
            <w:r/>
            <w:r>
              <w:rPr>
                <w:rFonts w:ascii="Aptos" w:hAnsi="Aptos"/>
                <w:b w:val="0"/>
                <w:sz w:val="15"/>
              </w:rPr>
              <w:t>Treating GAISSF as a checklist</w:t>
            </w:r>
          </w:p>
        </w:tc>
        <w:tc>
          <w:tcPr>
            <w:tcW w:type="dxa" w:w="3312"/>
            <w:vAlign w:val="center"/>
          </w:tcPr>
          <w:p>
            <w:pPr>
              <w:spacing w:after="0"/>
            </w:pPr>
            <w:r/>
            <w:r>
              <w:rPr>
                <w:rFonts w:ascii="Aptos" w:hAnsi="Aptos"/>
                <w:b w:val="0"/>
                <w:sz w:val="15"/>
              </w:rPr>
              <w:t>Ignores scope, operation and evidence</w:t>
            </w:r>
          </w:p>
        </w:tc>
        <w:tc>
          <w:tcPr>
            <w:tcW w:type="dxa" w:w="3888"/>
            <w:vAlign w:val="center"/>
          </w:tcPr>
          <w:p>
            <w:pPr>
              <w:spacing w:after="0"/>
            </w:pPr>
            <w:r/>
            <w:r>
              <w:rPr>
                <w:rFonts w:ascii="Aptos" w:hAnsi="Aptos"/>
                <w:b w:val="0"/>
                <w:sz w:val="15"/>
              </w:rPr>
              <w:t>Establish control ownership and testing</w:t>
            </w:r>
          </w:p>
        </w:tc>
      </w:tr>
      <w:tr>
        <w:trPr>
          <w:cantSplit/>
        </w:trPr>
        <w:tc>
          <w:tcPr>
            <w:tcW w:type="dxa" w:w="2448"/>
            <w:vAlign w:val="center"/>
            <w:shd w:fill="F3F6F7"/>
          </w:tcPr>
          <w:p>
            <w:pPr>
              <w:spacing w:after="0"/>
            </w:pPr>
            <w:r/>
            <w:r>
              <w:rPr>
                <w:rFonts w:ascii="Aptos" w:hAnsi="Aptos"/>
                <w:b w:val="0"/>
                <w:sz w:val="15"/>
              </w:rPr>
              <w:t>Starting with certification</w:t>
            </w:r>
          </w:p>
        </w:tc>
        <w:tc>
          <w:tcPr>
            <w:tcW w:type="dxa" w:w="3312"/>
            <w:vAlign w:val="center"/>
            <w:shd w:fill="F3F6F7"/>
          </w:tcPr>
          <w:p>
            <w:pPr>
              <w:spacing w:after="0"/>
            </w:pPr>
            <w:r/>
            <w:r>
              <w:rPr>
                <w:rFonts w:ascii="Aptos" w:hAnsi="Aptos"/>
                <w:b w:val="0"/>
                <w:sz w:val="15"/>
              </w:rPr>
              <w:t>Creates evidence scramble and unstable scope</w:t>
            </w:r>
          </w:p>
        </w:tc>
        <w:tc>
          <w:tcPr>
            <w:tcW w:type="dxa" w:w="3888"/>
            <w:vAlign w:val="center"/>
            <w:shd w:fill="F3F6F7"/>
          </w:tcPr>
          <w:p>
            <w:pPr>
              <w:spacing w:after="0"/>
            </w:pPr>
            <w:r/>
            <w:r>
              <w:rPr>
                <w:rFonts w:ascii="Aptos" w:hAnsi="Aptos"/>
                <w:b w:val="0"/>
                <w:sz w:val="15"/>
              </w:rPr>
              <w:t>Build operating capability first</w:t>
            </w:r>
          </w:p>
        </w:tc>
      </w:tr>
      <w:tr>
        <w:trPr>
          <w:cantSplit/>
        </w:trPr>
        <w:tc>
          <w:tcPr>
            <w:tcW w:type="dxa" w:w="2448"/>
            <w:vAlign w:val="center"/>
          </w:tcPr>
          <w:p>
            <w:pPr>
              <w:spacing w:after="0"/>
            </w:pPr>
            <w:r/>
            <w:r>
              <w:rPr>
                <w:rFonts w:ascii="Aptos" w:hAnsi="Aptos"/>
                <w:b w:val="0"/>
                <w:sz w:val="15"/>
              </w:rPr>
              <w:t>Copying control text into policy</w:t>
            </w:r>
          </w:p>
        </w:tc>
        <w:tc>
          <w:tcPr>
            <w:tcW w:type="dxa" w:w="3312"/>
            <w:vAlign w:val="center"/>
          </w:tcPr>
          <w:p>
            <w:pPr>
              <w:spacing w:after="0"/>
            </w:pPr>
            <w:r/>
            <w:r>
              <w:rPr>
                <w:rFonts w:ascii="Aptos" w:hAnsi="Aptos"/>
                <w:b w:val="0"/>
                <w:sz w:val="15"/>
              </w:rPr>
              <w:t>Produces paper conformance</w:t>
            </w:r>
          </w:p>
        </w:tc>
        <w:tc>
          <w:tcPr>
            <w:tcW w:type="dxa" w:w="3888"/>
            <w:vAlign w:val="center"/>
          </w:tcPr>
          <w:p>
            <w:pPr>
              <w:spacing w:after="0"/>
            </w:pPr>
            <w:r/>
            <w:r>
              <w:rPr>
                <w:rFonts w:ascii="Aptos" w:hAnsi="Aptos"/>
                <w:b w:val="0"/>
                <w:sz w:val="15"/>
              </w:rPr>
              <w:t>Connect requirements to systems and workflows</w:t>
            </w:r>
          </w:p>
        </w:tc>
      </w:tr>
      <w:tr>
        <w:trPr>
          <w:cantSplit/>
        </w:trPr>
        <w:tc>
          <w:tcPr>
            <w:tcW w:type="dxa" w:w="2448"/>
            <w:vAlign w:val="center"/>
            <w:shd w:fill="F3F6F7"/>
          </w:tcPr>
          <w:p>
            <w:pPr>
              <w:spacing w:after="0"/>
            </w:pPr>
            <w:r/>
            <w:r>
              <w:rPr>
                <w:rFonts w:ascii="Aptos" w:hAnsi="Aptos"/>
                <w:b w:val="0"/>
                <w:sz w:val="15"/>
              </w:rPr>
              <w:t>Using maturity to offset failures</w:t>
            </w:r>
          </w:p>
        </w:tc>
        <w:tc>
          <w:tcPr>
            <w:tcW w:type="dxa" w:w="3312"/>
            <w:vAlign w:val="center"/>
            <w:shd w:fill="F3F6F7"/>
          </w:tcPr>
          <w:p>
            <w:pPr>
              <w:spacing w:after="0"/>
            </w:pPr>
            <w:r/>
            <w:r>
              <w:rPr>
                <w:rFonts w:ascii="Aptos" w:hAnsi="Aptos"/>
                <w:b w:val="0"/>
                <w:sz w:val="15"/>
              </w:rPr>
              <w:t>Masks unmet mandatory controls</w:t>
            </w:r>
          </w:p>
        </w:tc>
        <w:tc>
          <w:tcPr>
            <w:tcW w:type="dxa" w:w="3888"/>
            <w:vAlign w:val="center"/>
            <w:shd w:fill="F3F6F7"/>
          </w:tcPr>
          <w:p>
            <w:pPr>
              <w:spacing w:after="0"/>
            </w:pPr>
            <w:r/>
            <w:r>
              <w:rPr>
                <w:rFonts w:ascii="Aptos" w:hAnsi="Aptos"/>
                <w:b w:val="0"/>
                <w:sz w:val="15"/>
              </w:rPr>
              <w:t>Separate maturity from conformance</w:t>
            </w:r>
          </w:p>
        </w:tc>
      </w:tr>
      <w:tr>
        <w:trPr>
          <w:cantSplit/>
        </w:trPr>
        <w:tc>
          <w:tcPr>
            <w:tcW w:type="dxa" w:w="2448"/>
            <w:vAlign w:val="center"/>
          </w:tcPr>
          <w:p>
            <w:pPr>
              <w:spacing w:after="0"/>
            </w:pPr>
            <w:r/>
            <w:r>
              <w:rPr>
                <w:rFonts w:ascii="Aptos" w:hAnsi="Aptos"/>
                <w:b w:val="0"/>
                <w:sz w:val="15"/>
              </w:rPr>
              <w:t>Ignoring suppliers</w:t>
            </w:r>
          </w:p>
        </w:tc>
        <w:tc>
          <w:tcPr>
            <w:tcW w:type="dxa" w:w="3312"/>
            <w:vAlign w:val="center"/>
          </w:tcPr>
          <w:p>
            <w:pPr>
              <w:spacing w:after="0"/>
            </w:pPr>
            <w:r/>
            <w:r>
              <w:rPr>
                <w:rFonts w:ascii="Aptos" w:hAnsi="Aptos"/>
                <w:b w:val="0"/>
                <w:sz w:val="15"/>
              </w:rPr>
              <w:t>Leaves inherited risks unassessed</w:t>
            </w:r>
          </w:p>
        </w:tc>
        <w:tc>
          <w:tcPr>
            <w:tcW w:type="dxa" w:w="3888"/>
            <w:vAlign w:val="center"/>
          </w:tcPr>
          <w:p>
            <w:pPr>
              <w:spacing w:after="0"/>
            </w:pPr>
            <w:r/>
            <w:r>
              <w:rPr>
                <w:rFonts w:ascii="Aptos" w:hAnsi="Aptos"/>
                <w:b w:val="0"/>
                <w:sz w:val="15"/>
              </w:rPr>
              <w:t>Define supplier boundaries and evidence</w:t>
            </w:r>
          </w:p>
        </w:tc>
      </w:tr>
      <w:tr>
        <w:trPr>
          <w:cantSplit/>
        </w:trPr>
        <w:tc>
          <w:tcPr>
            <w:tcW w:type="dxa" w:w="2448"/>
            <w:vAlign w:val="center"/>
            <w:shd w:fill="F3F6F7"/>
          </w:tcPr>
          <w:p>
            <w:pPr>
              <w:spacing w:after="0"/>
            </w:pPr>
            <w:r/>
            <w:r>
              <w:rPr>
                <w:rFonts w:ascii="Aptos" w:hAnsi="Aptos"/>
                <w:b w:val="0"/>
                <w:sz w:val="15"/>
              </w:rPr>
              <w:t>Over-scoping the first release</w:t>
            </w:r>
          </w:p>
        </w:tc>
        <w:tc>
          <w:tcPr>
            <w:tcW w:type="dxa" w:w="3312"/>
            <w:vAlign w:val="center"/>
            <w:shd w:fill="F3F6F7"/>
          </w:tcPr>
          <w:p>
            <w:pPr>
              <w:spacing w:after="0"/>
            </w:pPr>
            <w:r/>
            <w:r>
              <w:rPr>
                <w:rFonts w:ascii="Aptos" w:hAnsi="Aptos"/>
                <w:b w:val="0"/>
                <w:sz w:val="15"/>
              </w:rPr>
              <w:t>Creates unmanageable remediation</w:t>
            </w:r>
          </w:p>
        </w:tc>
        <w:tc>
          <w:tcPr>
            <w:tcW w:type="dxa" w:w="3888"/>
            <w:vAlign w:val="center"/>
            <w:shd w:fill="F3F6F7"/>
          </w:tcPr>
          <w:p>
            <w:pPr>
              <w:spacing w:after="0"/>
            </w:pPr>
            <w:r/>
            <w:r>
              <w:rPr>
                <w:rFonts w:ascii="Aptos" w:hAnsi="Aptos"/>
                <w:b w:val="0"/>
                <w:sz w:val="15"/>
              </w:rPr>
              <w:t>Use a defensible staged scope</w:t>
            </w:r>
          </w:p>
        </w:tc>
      </w:tr>
      <w:tr>
        <w:trPr>
          <w:cantSplit/>
        </w:trPr>
        <w:tc>
          <w:tcPr>
            <w:tcW w:type="dxa" w:w="2448"/>
            <w:vAlign w:val="center"/>
          </w:tcPr>
          <w:p>
            <w:pPr>
              <w:spacing w:after="0"/>
            </w:pPr>
            <w:r/>
            <w:r>
              <w:rPr>
                <w:rFonts w:ascii="Aptos" w:hAnsi="Aptos"/>
                <w:b w:val="0"/>
                <w:sz w:val="15"/>
              </w:rPr>
              <w:t>Under-scoping interfaces</w:t>
            </w:r>
          </w:p>
        </w:tc>
        <w:tc>
          <w:tcPr>
            <w:tcW w:type="dxa" w:w="3312"/>
            <w:vAlign w:val="center"/>
          </w:tcPr>
          <w:p>
            <w:pPr>
              <w:spacing w:after="0"/>
            </w:pPr>
            <w:r/>
            <w:r>
              <w:rPr>
                <w:rFonts w:ascii="Aptos" w:hAnsi="Aptos"/>
                <w:b w:val="0"/>
                <w:sz w:val="15"/>
              </w:rPr>
              <w:t>Excludes material dependencies</w:t>
            </w:r>
          </w:p>
        </w:tc>
        <w:tc>
          <w:tcPr>
            <w:tcW w:type="dxa" w:w="3888"/>
            <w:vAlign w:val="center"/>
          </w:tcPr>
          <w:p>
            <w:pPr>
              <w:spacing w:after="0"/>
            </w:pPr>
            <w:r/>
            <w:r>
              <w:rPr>
                <w:rFonts w:ascii="Aptos" w:hAnsi="Aptos"/>
                <w:b w:val="0"/>
                <w:sz w:val="15"/>
              </w:rPr>
              <w:t>Include data flows, tools, agents and external actions</w:t>
            </w:r>
          </w:p>
        </w:tc>
      </w:tr>
      <w:tr>
        <w:trPr>
          <w:cantSplit/>
        </w:trPr>
        <w:tc>
          <w:tcPr>
            <w:tcW w:type="dxa" w:w="2448"/>
            <w:vAlign w:val="center"/>
            <w:shd w:fill="F3F6F7"/>
          </w:tcPr>
          <w:p>
            <w:pPr>
              <w:spacing w:after="0"/>
            </w:pPr>
            <w:r/>
            <w:r>
              <w:rPr>
                <w:rFonts w:ascii="Aptos" w:hAnsi="Aptos"/>
                <w:b w:val="0"/>
                <w:sz w:val="15"/>
              </w:rPr>
              <w:t>Relying on self-attestation only</w:t>
            </w:r>
          </w:p>
        </w:tc>
        <w:tc>
          <w:tcPr>
            <w:tcW w:type="dxa" w:w="3312"/>
            <w:vAlign w:val="center"/>
            <w:shd w:fill="F3F6F7"/>
          </w:tcPr>
          <w:p>
            <w:pPr>
              <w:spacing w:after="0"/>
            </w:pPr>
            <w:r/>
            <w:r>
              <w:rPr>
                <w:rFonts w:ascii="Aptos" w:hAnsi="Aptos"/>
                <w:b w:val="0"/>
                <w:sz w:val="15"/>
              </w:rPr>
              <w:t>Reduces assurance credibility</w:t>
            </w:r>
          </w:p>
        </w:tc>
        <w:tc>
          <w:tcPr>
            <w:tcW w:type="dxa" w:w="3888"/>
            <w:vAlign w:val="center"/>
            <w:shd w:fill="F3F6F7"/>
          </w:tcPr>
          <w:p>
            <w:pPr>
              <w:spacing w:after="0"/>
            </w:pPr>
            <w:r/>
            <w:r>
              <w:rPr>
                <w:rFonts w:ascii="Aptos" w:hAnsi="Aptos"/>
                <w:b w:val="0"/>
                <w:sz w:val="15"/>
              </w:rPr>
              <w:t>Use independent challenge based on risk</w:t>
            </w:r>
          </w:p>
        </w:tc>
      </w:tr>
    </w:tbl>
    <w:p/>
    <w:p>
      <w:pPr>
        <w:pStyle w:val="Heading1"/>
      </w:pPr>
      <w:r>
        <w:t>18. Sector and Jurisdiction Tailoring</w:t>
      </w:r>
    </w:p>
    <w:p>
      <w:r>
        <w:t>Sector and jurisdiction requirements should be treated as additive overlays. The organization should maintain a legal and regulatory obligations register linked to GAISSF controls without claiming automatic equivalence.</w:t>
      </w:r>
    </w:p>
    <w:p>
      <w:pPr>
        <w:pStyle w:val="ListBullet"/>
      </w:pPr>
      <w:r>
        <w:t>Identify applicable laws, regulators, standards and contractual obligations.</w:t>
      </w:r>
    </w:p>
    <w:p>
      <w:pPr>
        <w:pStyle w:val="ListBullet"/>
      </w:pPr>
      <w:r>
        <w:t>Record which requirements are fully addressed, partially addressed or outside GAISSF scope.</w:t>
      </w:r>
    </w:p>
    <w:p>
      <w:pPr>
        <w:pStyle w:val="ListBullet"/>
      </w:pPr>
      <w:r>
        <w:t>Apply sector profiles and specialist safety or quality standards where required.</w:t>
      </w:r>
    </w:p>
    <w:p>
      <w:pPr>
        <w:pStyle w:val="ListBullet"/>
      </w:pPr>
      <w:r>
        <w:t>Escalate conflicts between framework guidance and applicable law.</w:t>
      </w:r>
    </w:p>
    <w:p>
      <w:pPr>
        <w:pStyle w:val="ListBullet"/>
      </w:pPr>
      <w:r>
        <w:t>Retain legal interpretation outside the control-assessment function.</w:t>
      </w:r>
    </w:p>
    <w:p>
      <w:pPr>
        <w:pStyle w:val="Heading1"/>
      </w:pPr>
      <w:r>
        <w:t>19. Limitations</w:t>
      </w:r>
    </w:p>
    <w:p>
      <w:pPr>
        <w:pStyle w:val="ListBullet"/>
      </w:pPr>
      <w:r>
        <w:t>This guide does not enumerate every control requirement.</w:t>
      </w:r>
    </w:p>
    <w:p>
      <w:pPr>
        <w:pStyle w:val="ListBullet"/>
      </w:pPr>
      <w:r>
        <w:t>It does not replace the authoritative conformance profile or Statement of Applicability.</w:t>
      </w:r>
    </w:p>
    <w:p>
      <w:pPr>
        <w:pStyle w:val="ListBullet"/>
      </w:pPr>
      <w:r>
        <w:t>It does not establish universal cost, staffing or schedule benchmarks.</w:t>
      </w:r>
    </w:p>
    <w:p>
      <w:pPr>
        <w:pStyle w:val="ListBullet"/>
      </w:pPr>
      <w:r>
        <w:t>It does not determine legal applicability or certify a system.</w:t>
      </w:r>
    </w:p>
    <w:p>
      <w:pPr>
        <w:pStyle w:val="ListBullet"/>
      </w:pPr>
      <w:r>
        <w:t>It cannot eliminate sampling, evidence or assessor-judgement limitations.</w:t>
      </w:r>
    </w:p>
    <w:p>
      <w:pPr>
        <w:pStyle w:val="Heading1"/>
      </w:pPr>
      <w:r>
        <w:t>20. Notably Absent</w:t>
      </w:r>
    </w:p>
    <w:p>
      <w:pPr>
        <w:pStyle w:val="ListBullet"/>
      </w:pPr>
      <w:r>
        <w:t>No promise of certification within a fixed period.</w:t>
      </w:r>
    </w:p>
    <w:p>
      <w:pPr>
        <w:pStyle w:val="ListBullet"/>
      </w:pPr>
      <w:r>
        <w:t>No claim that adoption guarantees security, safety, compliance or market approval.</w:t>
      </w:r>
    </w:p>
    <w:p>
      <w:pPr>
        <w:pStyle w:val="ListBullet"/>
      </w:pPr>
      <w:r>
        <w:t>No universal requirement to adopt the highest tier.</w:t>
      </w:r>
    </w:p>
    <w:p>
      <w:pPr>
        <w:pStyle w:val="ListBullet"/>
      </w:pPr>
      <w:r>
        <w:t>No permission to exclude controls for convenience.</w:t>
      </w:r>
    </w:p>
    <w:p>
      <w:pPr>
        <w:pStyle w:val="ListBullet"/>
      </w:pPr>
      <w:r>
        <w:t>No replacement for sector safety engineering, privacy, quality or cybersecurity obligations.</w:t>
      </w:r>
    </w:p>
    <w:p>
      <w:pPr>
        <w:pStyle w:val="ListBullet"/>
      </w:pPr>
      <w:r>
        <w:t>No assumption that all D9 controls are outside the Foundational profile.</w:t>
      </w:r>
    </w:p>
    <w:p>
      <w:pPr>
        <w:pStyle w:val="Heading1"/>
      </w:pPr>
      <w:r>
        <w:t>Annex A — Adoption Readiness Checklist</w:t>
      </w:r>
    </w:p>
    <w:p>
      <w:r>
        <w:t>☐ Executive sponsor appointed</w:t>
      </w:r>
    </w:p>
    <w:p>
      <w:r>
        <w:t>☐ Program charter approved</w:t>
      </w:r>
    </w:p>
    <w:p>
      <w:r>
        <w:t>☐ AI inventory substantially complete</w:t>
      </w:r>
    </w:p>
    <w:p>
      <w:r>
        <w:t>☐ Scope statement approved</w:t>
      </w:r>
    </w:p>
    <w:p>
      <w:r>
        <w:t>☐ Conformance profile selected</w:t>
      </w:r>
    </w:p>
    <w:p>
      <w:r>
        <w:t>☐ Statement of Applicability established</w:t>
      </w:r>
    </w:p>
    <w:p>
      <w:r>
        <w:t>☐ Control owners assigned</w:t>
      </w:r>
    </w:p>
    <w:p>
      <w:r>
        <w:t>☐ Baseline assessment completed</w:t>
      </w:r>
    </w:p>
    <w:p>
      <w:r>
        <w:t>☐ Critical risks contained</w:t>
      </w:r>
    </w:p>
    <w:p>
      <w:r>
        <w:t>☐ Remediation roadmap funded</w:t>
      </w:r>
    </w:p>
    <w:p>
      <w:r>
        <w:t>☐ Evidence repository operational</w:t>
      </w:r>
    </w:p>
    <w:p>
      <w:r>
        <w:t>☐ Internal assurance completed</w:t>
      </w:r>
    </w:p>
    <w:p>
      <w:r>
        <w:t>☐ Exceptions and residual risks approved</w:t>
      </w:r>
    </w:p>
    <w:p>
      <w:r>
        <w:t>☐ Certification decision documented</w:t>
      </w:r>
    </w:p>
    <w:p>
      <w:r>
        <w:t>☐ Continuing-conformance process active</w:t>
      </w:r>
    </w:p>
    <w:p>
      <w:pPr>
        <w:pStyle w:val="Heading1"/>
      </w:pPr>
      <w:r>
        <w:t>Annex B — Program Workplan Template</w:t>
      </w:r>
    </w:p>
    <w:tbl>
      <w:tblPr>
        <w:tblStyle w:val="TableGrid"/>
        <w:tblW w:type="auto" w:w="0"/>
        <w:jc w:val="center"/>
        <w:tblLook w:firstColumn="1" w:firstRow="1" w:lastColumn="0" w:lastRow="0" w:noHBand="0" w:noVBand="1" w:val="04A0"/>
      </w:tblPr>
      <w:tblGrid>
        <w:gridCol w:w="2033"/>
        <w:gridCol w:w="2033"/>
        <w:gridCol w:w="2033"/>
        <w:gridCol w:w="2033"/>
        <w:gridCol w:w="2033"/>
      </w:tblGrid>
      <w:tr>
        <w:trPr>
          <w:tblHeader w:val="true"/>
          <w:cantSplit/>
        </w:trPr>
        <w:tc>
          <w:tcPr>
            <w:tcW w:type="dxa" w:w="2016"/>
            <w:vAlign w:val="center"/>
            <w:shd w:fill="17324D"/>
          </w:tcPr>
          <w:p>
            <w:pPr>
              <w:spacing w:after="0"/>
            </w:pPr>
            <w:r/>
            <w:r>
              <w:rPr>
                <w:rFonts w:ascii="Aptos" w:hAnsi="Aptos"/>
                <w:b/>
                <w:color w:val="FFFFFF"/>
                <w:sz w:val="16"/>
              </w:rPr>
              <w:t>Workstream</w:t>
            </w:r>
          </w:p>
        </w:tc>
        <w:tc>
          <w:tcPr>
            <w:tcW w:type="dxa" w:w="1584"/>
            <w:vAlign w:val="center"/>
            <w:shd w:fill="17324D"/>
          </w:tcPr>
          <w:p>
            <w:pPr>
              <w:spacing w:after="0"/>
            </w:pPr>
            <w:r/>
            <w:r>
              <w:rPr>
                <w:rFonts w:ascii="Aptos" w:hAnsi="Aptos"/>
                <w:b/>
                <w:color w:val="FFFFFF"/>
                <w:sz w:val="16"/>
              </w:rPr>
              <w:t>Owner</w:t>
            </w:r>
          </w:p>
        </w:tc>
        <w:tc>
          <w:tcPr>
            <w:tcW w:type="dxa" w:w="3744"/>
            <w:vAlign w:val="center"/>
            <w:shd w:fill="17324D"/>
          </w:tcPr>
          <w:p>
            <w:pPr>
              <w:spacing w:after="0"/>
            </w:pPr>
            <w:r/>
            <w:r>
              <w:rPr>
                <w:rFonts w:ascii="Aptos" w:hAnsi="Aptos"/>
                <w:b/>
                <w:color w:val="FFFFFF"/>
                <w:sz w:val="16"/>
              </w:rPr>
              <w:t>Key outputs</w:t>
            </w:r>
          </w:p>
        </w:tc>
        <w:tc>
          <w:tcPr>
            <w:tcW w:type="dxa" w:w="1440"/>
            <w:vAlign w:val="center"/>
            <w:shd w:fill="17324D"/>
          </w:tcPr>
          <w:p>
            <w:pPr>
              <w:spacing w:after="0"/>
            </w:pPr>
            <w:r/>
            <w:r>
              <w:rPr>
                <w:rFonts w:ascii="Aptos" w:hAnsi="Aptos"/>
                <w:b/>
                <w:color w:val="FFFFFF"/>
                <w:sz w:val="16"/>
              </w:rPr>
              <w:t>Target date</w:t>
            </w:r>
          </w:p>
        </w:tc>
        <w:tc>
          <w:tcPr>
            <w:tcW w:type="dxa" w:w="1152"/>
            <w:vAlign w:val="center"/>
            <w:shd w:fill="17324D"/>
          </w:tcPr>
          <w:p>
            <w:pPr>
              <w:spacing w:after="0"/>
            </w:pPr>
            <w:r/>
            <w:r>
              <w:rPr>
                <w:rFonts w:ascii="Aptos" w:hAnsi="Aptos"/>
                <w:b/>
                <w:color w:val="FFFFFF"/>
                <w:sz w:val="16"/>
              </w:rPr>
              <w:t>Status</w:t>
            </w:r>
          </w:p>
        </w:tc>
      </w:tr>
      <w:tr>
        <w:trPr>
          <w:cantSplit/>
        </w:trPr>
        <w:tc>
          <w:tcPr>
            <w:tcW w:type="dxa" w:w="2016"/>
            <w:vAlign w:val="center"/>
          </w:tcPr>
          <w:p>
            <w:pPr>
              <w:spacing w:after="0"/>
            </w:pPr>
            <w:r/>
            <w:r>
              <w:rPr>
                <w:rFonts w:ascii="Aptos" w:hAnsi="Aptos"/>
                <w:b w:val="0"/>
                <w:sz w:val="15"/>
              </w:rPr>
              <w:t>Governance</w:t>
            </w:r>
          </w:p>
        </w:tc>
        <w:tc>
          <w:tcPr>
            <w:tcW w:type="dxa" w:w="1584"/>
            <w:vAlign w:val="center"/>
          </w:tcPr>
          <w:p>
            <w:pPr>
              <w:spacing w:after="0"/>
            </w:pPr>
            <w:r/>
            <w:r>
              <w:rPr>
                <w:rFonts w:ascii="Aptos" w:hAnsi="Aptos"/>
                <w:b w:val="0"/>
                <w:sz w:val="15"/>
              </w:rPr>
            </w:r>
          </w:p>
        </w:tc>
        <w:tc>
          <w:tcPr>
            <w:tcW w:type="dxa" w:w="3744"/>
            <w:vAlign w:val="center"/>
          </w:tcPr>
          <w:p>
            <w:pPr>
              <w:spacing w:after="0"/>
            </w:pPr>
            <w:r/>
            <w:r>
              <w:rPr>
                <w:rFonts w:ascii="Aptos" w:hAnsi="Aptos"/>
                <w:b w:val="0"/>
                <w:sz w:val="15"/>
              </w:rPr>
              <w:t>Charter, steering committee, reporting</w:t>
            </w:r>
          </w:p>
        </w:tc>
        <w:tc>
          <w:tcPr>
            <w:tcW w:type="dxa" w:w="1440"/>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r>
      <w:tr>
        <w:trPr>
          <w:cantSplit/>
        </w:trPr>
        <w:tc>
          <w:tcPr>
            <w:tcW w:type="dxa" w:w="2016"/>
            <w:vAlign w:val="center"/>
            <w:shd w:fill="F3F6F7"/>
          </w:tcPr>
          <w:p>
            <w:pPr>
              <w:spacing w:after="0"/>
            </w:pPr>
            <w:r/>
            <w:r>
              <w:rPr>
                <w:rFonts w:ascii="Aptos" w:hAnsi="Aptos"/>
                <w:b w:val="0"/>
                <w:sz w:val="15"/>
              </w:rPr>
              <w:t>Scope and inventory</w:t>
            </w:r>
          </w:p>
        </w:tc>
        <w:tc>
          <w:tcPr>
            <w:tcW w:type="dxa" w:w="1584"/>
            <w:vAlign w:val="center"/>
            <w:shd w:fill="F3F6F7"/>
          </w:tcPr>
          <w:p>
            <w:pPr>
              <w:spacing w:after="0"/>
            </w:pPr>
            <w:r/>
            <w:r>
              <w:rPr>
                <w:rFonts w:ascii="Aptos" w:hAnsi="Aptos"/>
                <w:b w:val="0"/>
                <w:sz w:val="15"/>
              </w:rPr>
            </w:r>
          </w:p>
        </w:tc>
        <w:tc>
          <w:tcPr>
            <w:tcW w:type="dxa" w:w="3744"/>
            <w:vAlign w:val="center"/>
            <w:shd w:fill="F3F6F7"/>
          </w:tcPr>
          <w:p>
            <w:pPr>
              <w:spacing w:after="0"/>
            </w:pPr>
            <w:r/>
            <w:r>
              <w:rPr>
                <w:rFonts w:ascii="Aptos" w:hAnsi="Aptos"/>
                <w:b w:val="0"/>
                <w:sz w:val="15"/>
              </w:rPr>
              <w:t>Inventory, boundary, SoA</w:t>
            </w:r>
          </w:p>
        </w:tc>
        <w:tc>
          <w:tcPr>
            <w:tcW w:type="dxa" w:w="1440"/>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r>
      <w:tr>
        <w:trPr>
          <w:cantSplit/>
        </w:trPr>
        <w:tc>
          <w:tcPr>
            <w:tcW w:type="dxa" w:w="2016"/>
            <w:vAlign w:val="center"/>
          </w:tcPr>
          <w:p>
            <w:pPr>
              <w:spacing w:after="0"/>
            </w:pPr>
            <w:r/>
            <w:r>
              <w:rPr>
                <w:rFonts w:ascii="Aptos" w:hAnsi="Aptos"/>
                <w:b w:val="0"/>
                <w:sz w:val="15"/>
              </w:rPr>
              <w:t>Control implementation</w:t>
            </w:r>
          </w:p>
        </w:tc>
        <w:tc>
          <w:tcPr>
            <w:tcW w:type="dxa" w:w="1584"/>
            <w:vAlign w:val="center"/>
          </w:tcPr>
          <w:p>
            <w:pPr>
              <w:spacing w:after="0"/>
            </w:pPr>
            <w:r/>
            <w:r>
              <w:rPr>
                <w:rFonts w:ascii="Aptos" w:hAnsi="Aptos"/>
                <w:b w:val="0"/>
                <w:sz w:val="15"/>
              </w:rPr>
            </w:r>
          </w:p>
        </w:tc>
        <w:tc>
          <w:tcPr>
            <w:tcW w:type="dxa" w:w="3744"/>
            <w:vAlign w:val="center"/>
          </w:tcPr>
          <w:p>
            <w:pPr>
              <w:spacing w:after="0"/>
            </w:pPr>
            <w:r/>
            <w:r>
              <w:rPr>
                <w:rFonts w:ascii="Aptos" w:hAnsi="Aptos"/>
                <w:b w:val="0"/>
                <w:sz w:val="15"/>
              </w:rPr>
              <w:t>Control designs and procedures</w:t>
            </w:r>
          </w:p>
        </w:tc>
        <w:tc>
          <w:tcPr>
            <w:tcW w:type="dxa" w:w="1440"/>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r>
      <w:tr>
        <w:trPr>
          <w:cantSplit/>
        </w:trPr>
        <w:tc>
          <w:tcPr>
            <w:tcW w:type="dxa" w:w="2016"/>
            <w:vAlign w:val="center"/>
            <w:shd w:fill="F3F6F7"/>
          </w:tcPr>
          <w:p>
            <w:pPr>
              <w:spacing w:after="0"/>
            </w:pPr>
            <w:r/>
            <w:r>
              <w:rPr>
                <w:rFonts w:ascii="Aptos" w:hAnsi="Aptos"/>
                <w:b w:val="0"/>
                <w:sz w:val="15"/>
              </w:rPr>
              <w:t>Technical validation</w:t>
            </w:r>
          </w:p>
        </w:tc>
        <w:tc>
          <w:tcPr>
            <w:tcW w:type="dxa" w:w="1584"/>
            <w:vAlign w:val="center"/>
            <w:shd w:fill="F3F6F7"/>
          </w:tcPr>
          <w:p>
            <w:pPr>
              <w:spacing w:after="0"/>
            </w:pPr>
            <w:r/>
            <w:r>
              <w:rPr>
                <w:rFonts w:ascii="Aptos" w:hAnsi="Aptos"/>
                <w:b w:val="0"/>
                <w:sz w:val="15"/>
              </w:rPr>
            </w:r>
          </w:p>
        </w:tc>
        <w:tc>
          <w:tcPr>
            <w:tcW w:type="dxa" w:w="3744"/>
            <w:vAlign w:val="center"/>
            <w:shd w:fill="F3F6F7"/>
          </w:tcPr>
          <w:p>
            <w:pPr>
              <w:spacing w:after="0"/>
            </w:pPr>
            <w:r/>
            <w:r>
              <w:rPr>
                <w:rFonts w:ascii="Aptos" w:hAnsi="Aptos"/>
                <w:b w:val="0"/>
                <w:sz w:val="15"/>
              </w:rPr>
              <w:t>Tests, evaluations and monitoring</w:t>
            </w:r>
          </w:p>
        </w:tc>
        <w:tc>
          <w:tcPr>
            <w:tcW w:type="dxa" w:w="1440"/>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r>
      <w:tr>
        <w:trPr>
          <w:cantSplit/>
        </w:trPr>
        <w:tc>
          <w:tcPr>
            <w:tcW w:type="dxa" w:w="2016"/>
            <w:vAlign w:val="center"/>
          </w:tcPr>
          <w:p>
            <w:pPr>
              <w:spacing w:after="0"/>
            </w:pPr>
            <w:r/>
            <w:r>
              <w:rPr>
                <w:rFonts w:ascii="Aptos" w:hAnsi="Aptos"/>
                <w:b w:val="0"/>
                <w:sz w:val="15"/>
              </w:rPr>
              <w:t>Evidence management</w:t>
            </w:r>
          </w:p>
        </w:tc>
        <w:tc>
          <w:tcPr>
            <w:tcW w:type="dxa" w:w="1584"/>
            <w:vAlign w:val="center"/>
          </w:tcPr>
          <w:p>
            <w:pPr>
              <w:spacing w:after="0"/>
            </w:pPr>
            <w:r/>
            <w:r>
              <w:rPr>
                <w:rFonts w:ascii="Aptos" w:hAnsi="Aptos"/>
                <w:b w:val="0"/>
                <w:sz w:val="15"/>
              </w:rPr>
            </w:r>
          </w:p>
        </w:tc>
        <w:tc>
          <w:tcPr>
            <w:tcW w:type="dxa" w:w="3744"/>
            <w:vAlign w:val="center"/>
          </w:tcPr>
          <w:p>
            <w:pPr>
              <w:spacing w:after="0"/>
            </w:pPr>
            <w:r/>
            <w:r>
              <w:rPr>
                <w:rFonts w:ascii="Aptos" w:hAnsi="Aptos"/>
                <w:b w:val="0"/>
                <w:sz w:val="15"/>
              </w:rPr>
              <w:t>Evidence index and repository</w:t>
            </w:r>
          </w:p>
        </w:tc>
        <w:tc>
          <w:tcPr>
            <w:tcW w:type="dxa" w:w="1440"/>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r>
      <w:tr>
        <w:trPr>
          <w:cantSplit/>
        </w:trPr>
        <w:tc>
          <w:tcPr>
            <w:tcW w:type="dxa" w:w="2016"/>
            <w:vAlign w:val="center"/>
            <w:shd w:fill="F3F6F7"/>
          </w:tcPr>
          <w:p>
            <w:pPr>
              <w:spacing w:after="0"/>
            </w:pPr>
            <w:r/>
            <w:r>
              <w:rPr>
                <w:rFonts w:ascii="Aptos" w:hAnsi="Aptos"/>
                <w:b w:val="0"/>
                <w:sz w:val="15"/>
              </w:rPr>
              <w:t>Supplier assurance</w:t>
            </w:r>
          </w:p>
        </w:tc>
        <w:tc>
          <w:tcPr>
            <w:tcW w:type="dxa" w:w="1584"/>
            <w:vAlign w:val="center"/>
            <w:shd w:fill="F3F6F7"/>
          </w:tcPr>
          <w:p>
            <w:pPr>
              <w:spacing w:after="0"/>
            </w:pPr>
            <w:r/>
            <w:r>
              <w:rPr>
                <w:rFonts w:ascii="Aptos" w:hAnsi="Aptos"/>
                <w:b w:val="0"/>
                <w:sz w:val="15"/>
              </w:rPr>
            </w:r>
          </w:p>
        </w:tc>
        <w:tc>
          <w:tcPr>
            <w:tcW w:type="dxa" w:w="3744"/>
            <w:vAlign w:val="center"/>
            <w:shd w:fill="F3F6F7"/>
          </w:tcPr>
          <w:p>
            <w:pPr>
              <w:spacing w:after="0"/>
            </w:pPr>
            <w:r/>
            <w:r>
              <w:rPr>
                <w:rFonts w:ascii="Aptos" w:hAnsi="Aptos"/>
                <w:b w:val="0"/>
                <w:sz w:val="15"/>
              </w:rPr>
              <w:t>Due diligence and inherited-control records</w:t>
            </w:r>
          </w:p>
        </w:tc>
        <w:tc>
          <w:tcPr>
            <w:tcW w:type="dxa" w:w="1440"/>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r>
      <w:tr>
        <w:trPr>
          <w:cantSplit/>
        </w:trPr>
        <w:tc>
          <w:tcPr>
            <w:tcW w:type="dxa" w:w="2016"/>
            <w:vAlign w:val="center"/>
          </w:tcPr>
          <w:p>
            <w:pPr>
              <w:spacing w:after="0"/>
            </w:pPr>
            <w:r/>
            <w:r>
              <w:rPr>
                <w:rFonts w:ascii="Aptos" w:hAnsi="Aptos"/>
                <w:b w:val="0"/>
                <w:sz w:val="15"/>
              </w:rPr>
              <w:t>Remediation</w:t>
            </w:r>
          </w:p>
        </w:tc>
        <w:tc>
          <w:tcPr>
            <w:tcW w:type="dxa" w:w="1584"/>
            <w:vAlign w:val="center"/>
          </w:tcPr>
          <w:p>
            <w:pPr>
              <w:spacing w:after="0"/>
            </w:pPr>
            <w:r/>
            <w:r>
              <w:rPr>
                <w:rFonts w:ascii="Aptos" w:hAnsi="Aptos"/>
                <w:b w:val="0"/>
                <w:sz w:val="15"/>
              </w:rPr>
            </w:r>
          </w:p>
        </w:tc>
        <w:tc>
          <w:tcPr>
            <w:tcW w:type="dxa" w:w="3744"/>
            <w:vAlign w:val="center"/>
          </w:tcPr>
          <w:p>
            <w:pPr>
              <w:spacing w:after="0"/>
            </w:pPr>
            <w:r/>
            <w:r>
              <w:rPr>
                <w:rFonts w:ascii="Aptos" w:hAnsi="Aptos"/>
                <w:b w:val="0"/>
                <w:sz w:val="15"/>
              </w:rPr>
              <w:t>Corrective-action plan and closure</w:t>
            </w:r>
          </w:p>
        </w:tc>
        <w:tc>
          <w:tcPr>
            <w:tcW w:type="dxa" w:w="1440"/>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r>
      <w:tr>
        <w:trPr>
          <w:cantSplit/>
        </w:trPr>
        <w:tc>
          <w:tcPr>
            <w:tcW w:type="dxa" w:w="2016"/>
            <w:vAlign w:val="center"/>
            <w:shd w:fill="F3F6F7"/>
          </w:tcPr>
          <w:p>
            <w:pPr>
              <w:spacing w:after="0"/>
            </w:pPr>
            <w:r/>
            <w:r>
              <w:rPr>
                <w:rFonts w:ascii="Aptos" w:hAnsi="Aptos"/>
                <w:b w:val="0"/>
                <w:sz w:val="15"/>
              </w:rPr>
              <w:t>Internal assurance</w:t>
            </w:r>
          </w:p>
        </w:tc>
        <w:tc>
          <w:tcPr>
            <w:tcW w:type="dxa" w:w="1584"/>
            <w:vAlign w:val="center"/>
            <w:shd w:fill="F3F6F7"/>
          </w:tcPr>
          <w:p>
            <w:pPr>
              <w:spacing w:after="0"/>
            </w:pPr>
            <w:r/>
            <w:r>
              <w:rPr>
                <w:rFonts w:ascii="Aptos" w:hAnsi="Aptos"/>
                <w:b w:val="0"/>
                <w:sz w:val="15"/>
              </w:rPr>
            </w:r>
          </w:p>
        </w:tc>
        <w:tc>
          <w:tcPr>
            <w:tcW w:type="dxa" w:w="3744"/>
            <w:vAlign w:val="center"/>
            <w:shd w:fill="F3F6F7"/>
          </w:tcPr>
          <w:p>
            <w:pPr>
              <w:spacing w:after="0"/>
            </w:pPr>
            <w:r/>
            <w:r>
              <w:rPr>
                <w:rFonts w:ascii="Aptos" w:hAnsi="Aptos"/>
                <w:b w:val="0"/>
                <w:sz w:val="15"/>
              </w:rPr>
              <w:t>Readiness review and management approval</w:t>
            </w:r>
          </w:p>
        </w:tc>
        <w:tc>
          <w:tcPr>
            <w:tcW w:type="dxa" w:w="1440"/>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r>
      <w:tr>
        <w:trPr>
          <w:cantSplit/>
        </w:trPr>
        <w:tc>
          <w:tcPr>
            <w:tcW w:type="dxa" w:w="2016"/>
            <w:vAlign w:val="center"/>
          </w:tcPr>
          <w:p>
            <w:pPr>
              <w:spacing w:after="0"/>
            </w:pPr>
            <w:r/>
            <w:r>
              <w:rPr>
                <w:rFonts w:ascii="Aptos" w:hAnsi="Aptos"/>
                <w:b w:val="0"/>
                <w:sz w:val="15"/>
              </w:rPr>
              <w:t>Certification</w:t>
            </w:r>
          </w:p>
        </w:tc>
        <w:tc>
          <w:tcPr>
            <w:tcW w:type="dxa" w:w="1584"/>
            <w:vAlign w:val="center"/>
          </w:tcPr>
          <w:p>
            <w:pPr>
              <w:spacing w:after="0"/>
            </w:pPr>
            <w:r/>
            <w:r>
              <w:rPr>
                <w:rFonts w:ascii="Aptos" w:hAnsi="Aptos"/>
                <w:b w:val="0"/>
                <w:sz w:val="15"/>
              </w:rPr>
            </w:r>
          </w:p>
        </w:tc>
        <w:tc>
          <w:tcPr>
            <w:tcW w:type="dxa" w:w="3744"/>
            <w:vAlign w:val="center"/>
          </w:tcPr>
          <w:p>
            <w:pPr>
              <w:spacing w:after="0"/>
            </w:pPr>
            <w:r/>
            <w:r>
              <w:rPr>
                <w:rFonts w:ascii="Aptos" w:hAnsi="Aptos"/>
                <w:b w:val="0"/>
                <w:sz w:val="15"/>
              </w:rPr>
              <w:t>Assessment coordination and claims control</w:t>
            </w:r>
          </w:p>
        </w:tc>
        <w:tc>
          <w:tcPr>
            <w:tcW w:type="dxa" w:w="1440"/>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r>
    </w:tbl>
    <w:p/>
    <w:p>
      <w:pPr>
        <w:pStyle w:val="Heading1"/>
      </w:pPr>
      <w:r>
        <w:t>Annex C — Executive Decision Log Template</w:t>
      </w:r>
    </w:p>
    <w:tbl>
      <w:tblPr>
        <w:tblStyle w:val="TableGrid"/>
        <w:tblW w:type="auto" w:w="0"/>
        <w:jc w:val="center"/>
        <w:tblLook w:firstColumn="1" w:firstRow="1" w:lastColumn="0" w:lastRow="0" w:noHBand="0" w:noVBand="1" w:val="04A0"/>
      </w:tblPr>
      <w:tblGrid>
        <w:gridCol w:w="1452"/>
        <w:gridCol w:w="1452"/>
        <w:gridCol w:w="1452"/>
        <w:gridCol w:w="1452"/>
        <w:gridCol w:w="1452"/>
        <w:gridCol w:w="1452"/>
        <w:gridCol w:w="1452"/>
      </w:tblGrid>
      <w:tr>
        <w:trPr>
          <w:tblHeader w:val="true"/>
          <w:cantSplit/>
        </w:trPr>
        <w:tc>
          <w:tcPr>
            <w:tcW w:type="dxa" w:w="1152"/>
            <w:vAlign w:val="center"/>
            <w:shd w:fill="17324D"/>
          </w:tcPr>
          <w:p>
            <w:pPr>
              <w:spacing w:after="0"/>
            </w:pPr>
            <w:r/>
            <w:r>
              <w:rPr>
                <w:rFonts w:ascii="Aptos" w:hAnsi="Aptos"/>
                <w:b/>
                <w:color w:val="FFFFFF"/>
                <w:sz w:val="16"/>
              </w:rPr>
              <w:t>Decision ID</w:t>
            </w:r>
          </w:p>
        </w:tc>
        <w:tc>
          <w:tcPr>
            <w:tcW w:type="dxa" w:w="1872"/>
            <w:vAlign w:val="center"/>
            <w:shd w:fill="17324D"/>
          </w:tcPr>
          <w:p>
            <w:pPr>
              <w:spacing w:after="0"/>
            </w:pPr>
            <w:r/>
            <w:r>
              <w:rPr>
                <w:rFonts w:ascii="Aptos" w:hAnsi="Aptos"/>
                <w:b/>
                <w:color w:val="FFFFFF"/>
                <w:sz w:val="16"/>
              </w:rPr>
              <w:t>Decision</w:t>
            </w:r>
          </w:p>
        </w:tc>
        <w:tc>
          <w:tcPr>
            <w:tcW w:type="dxa" w:w="2160"/>
            <w:vAlign w:val="center"/>
            <w:shd w:fill="17324D"/>
          </w:tcPr>
          <w:p>
            <w:pPr>
              <w:spacing w:after="0"/>
            </w:pPr>
            <w:r/>
            <w:r>
              <w:rPr>
                <w:rFonts w:ascii="Aptos" w:hAnsi="Aptos"/>
                <w:b/>
                <w:color w:val="FFFFFF"/>
                <w:sz w:val="16"/>
              </w:rPr>
              <w:t>Options considered</w:t>
            </w:r>
          </w:p>
        </w:tc>
        <w:tc>
          <w:tcPr>
            <w:tcW w:type="dxa" w:w="2304"/>
            <w:vAlign w:val="center"/>
            <w:shd w:fill="17324D"/>
          </w:tcPr>
          <w:p>
            <w:pPr>
              <w:spacing w:after="0"/>
            </w:pPr>
            <w:r/>
            <w:r>
              <w:rPr>
                <w:rFonts w:ascii="Aptos" w:hAnsi="Aptos"/>
                <w:b/>
                <w:color w:val="FFFFFF"/>
                <w:sz w:val="16"/>
              </w:rPr>
              <w:t>Rationale</w:t>
            </w:r>
          </w:p>
        </w:tc>
        <w:tc>
          <w:tcPr>
            <w:tcW w:type="dxa" w:w="1152"/>
            <w:vAlign w:val="center"/>
            <w:shd w:fill="17324D"/>
          </w:tcPr>
          <w:p>
            <w:pPr>
              <w:spacing w:after="0"/>
            </w:pPr>
            <w:r/>
            <w:r>
              <w:rPr>
                <w:rFonts w:ascii="Aptos" w:hAnsi="Aptos"/>
                <w:b/>
                <w:color w:val="FFFFFF"/>
                <w:sz w:val="16"/>
              </w:rPr>
              <w:t>Owner</w:t>
            </w:r>
          </w:p>
        </w:tc>
        <w:tc>
          <w:tcPr>
            <w:tcW w:type="dxa" w:w="1152"/>
            <w:vAlign w:val="center"/>
            <w:shd w:fill="17324D"/>
          </w:tcPr>
          <w:p>
            <w:pPr>
              <w:spacing w:after="0"/>
            </w:pPr>
            <w:r/>
            <w:r>
              <w:rPr>
                <w:rFonts w:ascii="Aptos" w:hAnsi="Aptos"/>
                <w:b/>
                <w:color w:val="FFFFFF"/>
                <w:sz w:val="16"/>
              </w:rPr>
              <w:t>Date</w:t>
            </w:r>
          </w:p>
        </w:tc>
        <w:tc>
          <w:tcPr>
            <w:tcW w:type="dxa" w:w="1440"/>
            <w:vAlign w:val="center"/>
            <w:shd w:fill="17324D"/>
          </w:tcPr>
          <w:p>
            <w:pPr>
              <w:spacing w:after="0"/>
            </w:pPr>
            <w:r/>
            <w:r>
              <w:rPr>
                <w:rFonts w:ascii="Aptos" w:hAnsi="Aptos"/>
                <w:b/>
                <w:color w:val="FFFFFF"/>
                <w:sz w:val="16"/>
              </w:rPr>
              <w:t>Evidence</w:t>
            </w:r>
          </w:p>
        </w:tc>
      </w:tr>
      <w:tr>
        <w:trPr>
          <w:cantSplit/>
        </w:trPr>
        <w:tc>
          <w:tcPr>
            <w:tcW w:type="dxa" w:w="1152"/>
            <w:vAlign w:val="center"/>
          </w:tcPr>
          <w:p>
            <w:pPr>
              <w:spacing w:after="0"/>
            </w:pPr>
            <w:r/>
            <w:r>
              <w:rPr>
                <w:rFonts w:ascii="Aptos" w:hAnsi="Aptos"/>
                <w:b w:val="0"/>
                <w:sz w:val="15"/>
              </w:rPr>
            </w:r>
          </w:p>
        </w:tc>
        <w:tc>
          <w:tcPr>
            <w:tcW w:type="dxa" w:w="1872"/>
            <w:vAlign w:val="center"/>
          </w:tcPr>
          <w:p>
            <w:pPr>
              <w:spacing w:after="0"/>
            </w:pPr>
            <w:r/>
            <w:r>
              <w:rPr>
                <w:rFonts w:ascii="Aptos" w:hAnsi="Aptos"/>
                <w:b w:val="0"/>
                <w:sz w:val="15"/>
              </w:rPr>
            </w:r>
          </w:p>
        </w:tc>
        <w:tc>
          <w:tcPr>
            <w:tcW w:type="dxa" w:w="2160"/>
            <w:vAlign w:val="center"/>
          </w:tcPr>
          <w:p>
            <w:pPr>
              <w:spacing w:after="0"/>
            </w:pPr>
            <w:r/>
            <w:r>
              <w:rPr>
                <w:rFonts w:ascii="Aptos" w:hAnsi="Aptos"/>
                <w:b w:val="0"/>
                <w:sz w:val="15"/>
              </w:rPr>
            </w:r>
          </w:p>
        </w:tc>
        <w:tc>
          <w:tcPr>
            <w:tcW w:type="dxa" w:w="2304"/>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r>
      <w:tr>
        <w:trPr>
          <w:cantSplit/>
        </w:trPr>
        <w:tc>
          <w:tcPr>
            <w:tcW w:type="dxa" w:w="1152"/>
            <w:vAlign w:val="center"/>
            <w:shd w:fill="F3F6F7"/>
          </w:tcPr>
          <w:p>
            <w:pPr>
              <w:spacing w:after="0"/>
            </w:pPr>
            <w:r/>
            <w:r>
              <w:rPr>
                <w:rFonts w:ascii="Aptos" w:hAnsi="Aptos"/>
                <w:b w:val="0"/>
                <w:sz w:val="15"/>
              </w:rPr>
            </w:r>
          </w:p>
        </w:tc>
        <w:tc>
          <w:tcPr>
            <w:tcW w:type="dxa" w:w="1872"/>
            <w:vAlign w:val="center"/>
            <w:shd w:fill="F3F6F7"/>
          </w:tcPr>
          <w:p>
            <w:pPr>
              <w:spacing w:after="0"/>
            </w:pPr>
            <w:r/>
            <w:r>
              <w:rPr>
                <w:rFonts w:ascii="Aptos" w:hAnsi="Aptos"/>
                <w:b w:val="0"/>
                <w:sz w:val="15"/>
              </w:rPr>
            </w:r>
          </w:p>
        </w:tc>
        <w:tc>
          <w:tcPr>
            <w:tcW w:type="dxa" w:w="2160"/>
            <w:vAlign w:val="center"/>
            <w:shd w:fill="F3F6F7"/>
          </w:tcPr>
          <w:p>
            <w:pPr>
              <w:spacing w:after="0"/>
            </w:pPr>
            <w:r/>
            <w:r>
              <w:rPr>
                <w:rFonts w:ascii="Aptos" w:hAnsi="Aptos"/>
                <w:b w:val="0"/>
                <w:sz w:val="15"/>
              </w:rPr>
            </w:r>
          </w:p>
        </w:tc>
        <w:tc>
          <w:tcPr>
            <w:tcW w:type="dxa" w:w="2304"/>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r>
      <w:tr>
        <w:trPr>
          <w:cantSplit/>
        </w:trPr>
        <w:tc>
          <w:tcPr>
            <w:tcW w:type="dxa" w:w="1152"/>
            <w:vAlign w:val="center"/>
          </w:tcPr>
          <w:p>
            <w:pPr>
              <w:spacing w:after="0"/>
            </w:pPr>
            <w:r/>
            <w:r>
              <w:rPr>
                <w:rFonts w:ascii="Aptos" w:hAnsi="Aptos"/>
                <w:b w:val="0"/>
                <w:sz w:val="15"/>
              </w:rPr>
            </w:r>
          </w:p>
        </w:tc>
        <w:tc>
          <w:tcPr>
            <w:tcW w:type="dxa" w:w="1872"/>
            <w:vAlign w:val="center"/>
          </w:tcPr>
          <w:p>
            <w:pPr>
              <w:spacing w:after="0"/>
            </w:pPr>
            <w:r/>
            <w:r>
              <w:rPr>
                <w:rFonts w:ascii="Aptos" w:hAnsi="Aptos"/>
                <w:b w:val="0"/>
                <w:sz w:val="15"/>
              </w:rPr>
            </w:r>
          </w:p>
        </w:tc>
        <w:tc>
          <w:tcPr>
            <w:tcW w:type="dxa" w:w="2160"/>
            <w:vAlign w:val="center"/>
          </w:tcPr>
          <w:p>
            <w:pPr>
              <w:spacing w:after="0"/>
            </w:pPr>
            <w:r/>
            <w:r>
              <w:rPr>
                <w:rFonts w:ascii="Aptos" w:hAnsi="Aptos"/>
                <w:b w:val="0"/>
                <w:sz w:val="15"/>
              </w:rPr>
            </w:r>
          </w:p>
        </w:tc>
        <w:tc>
          <w:tcPr>
            <w:tcW w:type="dxa" w:w="2304"/>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r>
    </w:tbl>
    <w:p/>
    <w:p>
      <w:pPr>
        <w:pStyle w:val="Heading1"/>
      </w:pPr>
      <w:r>
        <w:t>Annex D — Source Traceability</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4032"/>
            <w:vAlign w:val="center"/>
            <w:shd w:fill="17324D"/>
          </w:tcPr>
          <w:p>
            <w:pPr>
              <w:spacing w:after="0"/>
            </w:pPr>
            <w:r/>
            <w:r>
              <w:rPr>
                <w:rFonts w:ascii="Aptos" w:hAnsi="Aptos"/>
                <w:b/>
                <w:color w:val="FFFFFF"/>
                <w:sz w:val="16"/>
              </w:rPr>
              <w:t>Guide section</w:t>
            </w:r>
          </w:p>
        </w:tc>
        <w:tc>
          <w:tcPr>
            <w:tcW w:type="dxa" w:w="5328"/>
            <w:vAlign w:val="center"/>
            <w:shd w:fill="17324D"/>
          </w:tcPr>
          <w:p>
            <w:pPr>
              <w:spacing w:after="0"/>
            </w:pPr>
            <w:r/>
            <w:r>
              <w:rPr>
                <w:rFonts w:ascii="Aptos" w:hAnsi="Aptos"/>
                <w:b/>
                <w:color w:val="FFFFFF"/>
                <w:sz w:val="16"/>
              </w:rPr>
              <w:t>Primary controlled source</w:t>
            </w:r>
          </w:p>
        </w:tc>
      </w:tr>
      <w:tr>
        <w:trPr>
          <w:cantSplit/>
        </w:trPr>
        <w:tc>
          <w:tcPr>
            <w:tcW w:type="dxa" w:w="4032"/>
            <w:vAlign w:val="center"/>
          </w:tcPr>
          <w:p>
            <w:pPr>
              <w:spacing w:after="0"/>
            </w:pPr>
            <w:r/>
            <w:r>
              <w:rPr>
                <w:rFonts w:ascii="Aptos" w:hAnsi="Aptos"/>
                <w:b w:val="0"/>
                <w:sz w:val="15"/>
              </w:rPr>
              <w:t>Framework requirements</w:t>
            </w:r>
          </w:p>
        </w:tc>
        <w:tc>
          <w:tcPr>
            <w:tcW w:type="dxa" w:w="5328"/>
            <w:vAlign w:val="center"/>
          </w:tcPr>
          <w:p>
            <w:pPr>
              <w:spacing w:after="0"/>
            </w:pPr>
            <w:r/>
            <w:r>
              <w:rPr>
                <w:rFonts w:ascii="Aptos" w:hAnsi="Aptos"/>
                <w:b w:val="0"/>
                <w:sz w:val="15"/>
              </w:rPr>
              <w:t>GAISSF-NOR-001</w:t>
            </w:r>
          </w:p>
        </w:tc>
      </w:tr>
      <w:tr>
        <w:trPr>
          <w:cantSplit/>
        </w:trPr>
        <w:tc>
          <w:tcPr>
            <w:tcW w:type="dxa" w:w="4032"/>
            <w:vAlign w:val="center"/>
            <w:shd w:fill="F3F6F7"/>
          </w:tcPr>
          <w:p>
            <w:pPr>
              <w:spacing w:after="0"/>
            </w:pPr>
            <w:r/>
            <w:r>
              <w:rPr>
                <w:rFonts w:ascii="Aptos" w:hAnsi="Aptos"/>
                <w:b w:val="0"/>
                <w:sz w:val="15"/>
              </w:rPr>
              <w:t>Executive interpretation</w:t>
            </w:r>
          </w:p>
        </w:tc>
        <w:tc>
          <w:tcPr>
            <w:tcW w:type="dxa" w:w="5328"/>
            <w:vAlign w:val="center"/>
            <w:shd w:fill="F3F6F7"/>
          </w:tcPr>
          <w:p>
            <w:pPr>
              <w:spacing w:after="0"/>
            </w:pPr>
            <w:r/>
            <w:r>
              <w:rPr>
                <w:rFonts w:ascii="Aptos" w:hAnsi="Aptos"/>
                <w:b w:val="0"/>
                <w:sz w:val="15"/>
              </w:rPr>
              <w:t>GAISSF-NOR-002</w:t>
            </w:r>
          </w:p>
        </w:tc>
      </w:tr>
      <w:tr>
        <w:trPr>
          <w:cantSplit/>
        </w:trPr>
        <w:tc>
          <w:tcPr>
            <w:tcW w:type="dxa" w:w="4032"/>
            <w:vAlign w:val="center"/>
          </w:tcPr>
          <w:p>
            <w:pPr>
              <w:spacing w:after="0"/>
            </w:pPr>
            <w:r/>
            <w:r>
              <w:rPr>
                <w:rFonts w:ascii="Aptos" w:hAnsi="Aptos"/>
                <w:b w:val="0"/>
                <w:sz w:val="15"/>
              </w:rPr>
              <w:t>Initial implementation sequence</w:t>
            </w:r>
          </w:p>
        </w:tc>
        <w:tc>
          <w:tcPr>
            <w:tcW w:type="dxa" w:w="5328"/>
            <w:vAlign w:val="center"/>
          </w:tcPr>
          <w:p>
            <w:pPr>
              <w:spacing w:after="0"/>
            </w:pPr>
            <w:r/>
            <w:r>
              <w:rPr>
                <w:rFonts w:ascii="Aptos" w:hAnsi="Aptos"/>
                <w:b w:val="0"/>
                <w:sz w:val="15"/>
              </w:rPr>
              <w:t>GAISSF-NOR-003</w:t>
            </w:r>
          </w:p>
        </w:tc>
      </w:tr>
      <w:tr>
        <w:trPr>
          <w:cantSplit/>
        </w:trPr>
        <w:tc>
          <w:tcPr>
            <w:tcW w:type="dxa" w:w="4032"/>
            <w:vAlign w:val="center"/>
            <w:shd w:fill="F3F6F7"/>
          </w:tcPr>
          <w:p>
            <w:pPr>
              <w:spacing w:after="0"/>
            </w:pPr>
            <w:r/>
            <w:r>
              <w:rPr>
                <w:rFonts w:ascii="Aptos" w:hAnsi="Aptos"/>
                <w:b w:val="0"/>
                <w:sz w:val="15"/>
              </w:rPr>
              <w:t>Control records and evidence fields</w:t>
            </w:r>
          </w:p>
        </w:tc>
        <w:tc>
          <w:tcPr>
            <w:tcW w:type="dxa" w:w="5328"/>
            <w:vAlign w:val="center"/>
            <w:shd w:fill="F3F6F7"/>
          </w:tcPr>
          <w:p>
            <w:pPr>
              <w:spacing w:after="0"/>
            </w:pPr>
            <w:r/>
            <w:r>
              <w:rPr>
                <w:rFonts w:ascii="Aptos" w:hAnsi="Aptos"/>
                <w:b w:val="0"/>
                <w:sz w:val="15"/>
              </w:rPr>
              <w:t>GAISSF-NOR-004</w:t>
            </w:r>
          </w:p>
        </w:tc>
      </w:tr>
      <w:tr>
        <w:trPr>
          <w:cantSplit/>
        </w:trPr>
        <w:tc>
          <w:tcPr>
            <w:tcW w:type="dxa" w:w="4032"/>
            <w:vAlign w:val="center"/>
          </w:tcPr>
          <w:p>
            <w:pPr>
              <w:spacing w:after="0"/>
            </w:pPr>
            <w:r/>
            <w:r>
              <w:rPr>
                <w:rFonts w:ascii="Aptos" w:hAnsi="Aptos"/>
                <w:b w:val="0"/>
                <w:sz w:val="15"/>
              </w:rPr>
              <w:t>Terminology</w:t>
            </w:r>
          </w:p>
        </w:tc>
        <w:tc>
          <w:tcPr>
            <w:tcW w:type="dxa" w:w="5328"/>
            <w:vAlign w:val="center"/>
          </w:tcPr>
          <w:p>
            <w:pPr>
              <w:spacing w:after="0"/>
            </w:pPr>
            <w:r/>
            <w:r>
              <w:rPr>
                <w:rFonts w:ascii="Aptos" w:hAnsi="Aptos"/>
                <w:b w:val="0"/>
                <w:sz w:val="15"/>
              </w:rPr>
              <w:t>GAISSF-NOR-005</w:t>
            </w:r>
          </w:p>
        </w:tc>
      </w:tr>
      <w:tr>
        <w:trPr>
          <w:cantSplit/>
        </w:trPr>
        <w:tc>
          <w:tcPr>
            <w:tcW w:type="dxa" w:w="4032"/>
            <w:vAlign w:val="center"/>
            <w:shd w:fill="F3F6F7"/>
          </w:tcPr>
          <w:p>
            <w:pPr>
              <w:spacing w:after="0"/>
            </w:pPr>
            <w:r/>
            <w:r>
              <w:rPr>
                <w:rFonts w:ascii="Aptos" w:hAnsi="Aptos"/>
                <w:b w:val="0"/>
                <w:sz w:val="15"/>
              </w:rPr>
              <w:t>External references</w:t>
            </w:r>
          </w:p>
        </w:tc>
        <w:tc>
          <w:tcPr>
            <w:tcW w:type="dxa" w:w="5328"/>
            <w:vAlign w:val="center"/>
            <w:shd w:fill="F3F6F7"/>
          </w:tcPr>
          <w:p>
            <w:pPr>
              <w:spacing w:after="0"/>
            </w:pPr>
            <w:r/>
            <w:r>
              <w:rPr>
                <w:rFonts w:ascii="Aptos" w:hAnsi="Aptos"/>
                <w:b w:val="0"/>
                <w:sz w:val="15"/>
              </w:rPr>
              <w:t>GAISSF-NOR-006</w:t>
            </w:r>
          </w:p>
        </w:tc>
      </w:tr>
      <w:tr>
        <w:trPr>
          <w:cantSplit/>
        </w:trPr>
        <w:tc>
          <w:tcPr>
            <w:tcW w:type="dxa" w:w="4032"/>
            <w:vAlign w:val="center"/>
          </w:tcPr>
          <w:p>
            <w:pPr>
              <w:spacing w:after="0"/>
            </w:pPr>
            <w:r/>
            <w:r>
              <w:rPr>
                <w:rFonts w:ascii="Aptos" w:hAnsi="Aptos"/>
                <w:b w:val="0"/>
                <w:sz w:val="15"/>
              </w:rPr>
              <w:t>Release and supersession status</w:t>
            </w:r>
          </w:p>
        </w:tc>
        <w:tc>
          <w:tcPr>
            <w:tcW w:type="dxa" w:w="5328"/>
            <w:vAlign w:val="center"/>
          </w:tcPr>
          <w:p>
            <w:pPr>
              <w:spacing w:after="0"/>
            </w:pPr>
            <w:r/>
            <w:r>
              <w:rPr>
                <w:rFonts w:ascii="Aptos" w:hAnsi="Aptos"/>
                <w:b w:val="0"/>
                <w:sz w:val="15"/>
              </w:rPr>
              <w:t>GAISSF-NOR-007</w:t>
            </w:r>
          </w:p>
        </w:tc>
      </w:tr>
      <w:tr>
        <w:trPr>
          <w:cantSplit/>
        </w:trPr>
        <w:tc>
          <w:tcPr>
            <w:tcW w:type="dxa" w:w="4032"/>
            <w:vAlign w:val="center"/>
            <w:shd w:fill="F3F6F7"/>
          </w:tcPr>
          <w:p>
            <w:pPr>
              <w:spacing w:after="0"/>
            </w:pPr>
            <w:r/>
            <w:r>
              <w:rPr>
                <w:rFonts w:ascii="Aptos" w:hAnsi="Aptos"/>
                <w:b w:val="0"/>
                <w:sz w:val="15"/>
              </w:rPr>
              <w:t>Historical decisions and corrections</w:t>
            </w:r>
          </w:p>
        </w:tc>
        <w:tc>
          <w:tcPr>
            <w:tcW w:type="dxa" w:w="5328"/>
            <w:vAlign w:val="center"/>
            <w:shd w:fill="F3F6F7"/>
          </w:tcPr>
          <w:p>
            <w:pPr>
              <w:spacing w:after="0"/>
            </w:pPr>
            <w:r/>
            <w:r>
              <w:rPr>
                <w:rFonts w:ascii="Aptos" w:hAnsi="Aptos"/>
                <w:b w:val="0"/>
                <w:sz w:val="15"/>
              </w:rPr>
              <w:t>GAISSF-NOR-008</w:t>
            </w:r>
          </w:p>
        </w:tc>
      </w:tr>
    </w:tbl>
    <w:p/>
    <w:p>
      <w:pPr>
        <w:pStyle w:val="Heading1"/>
      </w:pPr>
      <w:r>
        <w:t>Annex E — Publication Record</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trPr>
        <w:tc>
          <w:tcPr>
            <w:tcW w:type="dxa" w:w="1152"/>
            <w:vAlign w:val="center"/>
            <w:shd w:fill="17324D"/>
          </w:tcPr>
          <w:p>
            <w:pPr>
              <w:spacing w:after="0"/>
            </w:pPr>
            <w:r/>
            <w:r>
              <w:rPr>
                <w:rFonts w:ascii="Aptos" w:hAnsi="Aptos"/>
                <w:b/>
                <w:color w:val="FFFFFF"/>
                <w:sz w:val="16"/>
              </w:rPr>
              <w:t>Version</w:t>
            </w:r>
          </w:p>
        </w:tc>
        <w:tc>
          <w:tcPr>
            <w:tcW w:type="dxa" w:w="1728"/>
            <w:vAlign w:val="center"/>
            <w:shd w:fill="17324D"/>
          </w:tcPr>
          <w:p>
            <w:pPr>
              <w:spacing w:after="0"/>
            </w:pPr>
            <w:r/>
            <w:r>
              <w:rPr>
                <w:rFonts w:ascii="Aptos" w:hAnsi="Aptos"/>
                <w:b/>
                <w:color w:val="FFFFFF"/>
                <w:sz w:val="16"/>
              </w:rPr>
              <w:t>Date</w:t>
            </w:r>
          </w:p>
        </w:tc>
        <w:tc>
          <w:tcPr>
            <w:tcW w:type="dxa" w:w="5184"/>
            <w:vAlign w:val="center"/>
            <w:shd w:fill="17324D"/>
          </w:tcPr>
          <w:p>
            <w:pPr>
              <w:spacing w:after="0"/>
            </w:pPr>
            <w:r/>
            <w:r>
              <w:rPr>
                <w:rFonts w:ascii="Aptos" w:hAnsi="Aptos"/>
                <w:b/>
                <w:color w:val="FFFFFF"/>
                <w:sz w:val="16"/>
              </w:rPr>
              <w:t>Change</w:t>
            </w:r>
          </w:p>
        </w:tc>
        <w:tc>
          <w:tcPr>
            <w:tcW w:type="dxa" w:w="1584"/>
            <w:vAlign w:val="center"/>
            <w:shd w:fill="17324D"/>
          </w:tcPr>
          <w:p>
            <w:pPr>
              <w:spacing w:after="0"/>
            </w:pPr>
            <w:r/>
            <w:r>
              <w:rPr>
                <w:rFonts w:ascii="Aptos" w:hAnsi="Aptos"/>
                <w:b/>
                <w:color w:val="FFFFFF"/>
                <w:sz w:val="16"/>
              </w:rPr>
              <w:t>Status</w:t>
            </w:r>
          </w:p>
        </w:tc>
      </w:tr>
      <w:tr>
        <w:trPr>
          <w:cantSplit/>
        </w:trPr>
        <w:tc>
          <w:tcPr>
            <w:tcW w:type="dxa" w:w="1152"/>
            <w:vAlign w:val="center"/>
          </w:tcPr>
          <w:p>
            <w:pPr>
              <w:spacing w:after="0"/>
            </w:pPr>
            <w:r/>
            <w:r>
              <w:rPr>
                <w:rFonts w:ascii="Aptos" w:hAnsi="Aptos"/>
                <w:b w:val="0"/>
                <w:sz w:val="15"/>
              </w:rPr>
              <w:t>1.0</w:t>
            </w:r>
          </w:p>
        </w:tc>
        <w:tc>
          <w:tcPr>
            <w:tcW w:type="dxa" w:w="1728"/>
            <w:vAlign w:val="center"/>
          </w:tcPr>
          <w:p>
            <w:pPr>
              <w:spacing w:after="0"/>
            </w:pPr>
            <w:r/>
            <w:r>
              <w:rPr>
                <w:rFonts w:ascii="Aptos" w:hAnsi="Aptos"/>
                <w:b w:val="0"/>
                <w:sz w:val="15"/>
              </w:rPr>
              <w:t>29 June 2026</w:t>
            </w:r>
          </w:p>
        </w:tc>
        <w:tc>
          <w:tcPr>
            <w:tcW w:type="dxa" w:w="5184"/>
            <w:vAlign w:val="center"/>
          </w:tcPr>
          <w:p>
            <w:pPr>
              <w:spacing w:after="0"/>
            </w:pPr>
            <w:r/>
            <w:r>
              <w:rPr>
                <w:rFonts w:ascii="Aptos" w:hAnsi="Aptos"/>
                <w:b w:val="0"/>
                <w:sz w:val="15"/>
              </w:rPr>
              <w:t>Initial adoption guide for GAISSF v1.0</w:t>
            </w:r>
          </w:p>
        </w:tc>
        <w:tc>
          <w:tcPr>
            <w:tcW w:type="dxa" w:w="1584"/>
            <w:vAlign w:val="center"/>
          </w:tcPr>
          <w:p>
            <w:r>
              <w:t>Final Publication Edition</w:t>
            </w:r>
          </w:p>
        </w:tc>
      </w:tr>
    </w:tbl>
    <w:p/>
    <w:p>
      <w:pPr>
        <w:pStyle w:val="Heading1"/>
      </w:pPr>
      <w:r>
        <w:t>Controlled Profile Reconciliation Notice</w:t>
      </w:r>
    </w:p>
    <w:p>
      <w:r>
        <w:t>The Foundational profile comprises 52 controls across all nine domains, as enumerated in the controlled conformance profile. Seven controls are excluded from that profile; the exclusions are not equivalent to excluding the D9 domain.</w:t>
      </w:r>
    </w:p>
    <w:p>
      <w:r>
        <w:t>Any earlier wording that described the Foundational profile as D1-D8 only or treated the entire D9 domain as excluded is superseded by this statement and the controlled conformance profile.</w:t>
      </w:r>
    </w:p>
    <w:p>
      <w:pPr>
        <w:pStyle w:val="Heading1"/>
      </w:pPr>
      <w:r>
        <w:t>Detailed Program Establishment Model</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trPr>
        <w:tc>
          <w:tcPr>
            <w:tcW w:type="dxa" w:w="2541"/>
            <w:vAlign w:val="center"/>
            <w:shd w:fill="17324D"/>
          </w:tcPr>
          <w:p>
            <w:pPr>
              <w:spacing w:after="0"/>
            </w:pPr>
            <w:r/>
            <w:r>
              <w:rPr>
                <w:rFonts w:ascii="Aptos" w:hAnsi="Aptos"/>
                <w:b/>
                <w:color w:val="FFFFFF"/>
                <w:sz w:val="15"/>
              </w:rPr>
              <w:t>Workstream</w:t>
            </w:r>
          </w:p>
        </w:tc>
        <w:tc>
          <w:tcPr>
            <w:tcW w:type="dxa" w:w="2541"/>
            <w:vAlign w:val="center"/>
            <w:shd w:fill="17324D"/>
          </w:tcPr>
          <w:p>
            <w:pPr>
              <w:spacing w:after="0"/>
            </w:pPr>
            <w:r/>
            <w:r>
              <w:rPr>
                <w:rFonts w:ascii="Aptos" w:hAnsi="Aptos"/>
                <w:b/>
                <w:color w:val="FFFFFF"/>
                <w:sz w:val="15"/>
              </w:rPr>
              <w:t>Activities</w:t>
            </w:r>
          </w:p>
        </w:tc>
        <w:tc>
          <w:tcPr>
            <w:tcW w:type="dxa" w:w="2541"/>
            <w:vAlign w:val="center"/>
            <w:shd w:fill="17324D"/>
          </w:tcPr>
          <w:p>
            <w:pPr>
              <w:spacing w:after="0"/>
            </w:pPr>
            <w:r/>
            <w:r>
              <w:rPr>
                <w:rFonts w:ascii="Aptos" w:hAnsi="Aptos"/>
                <w:b/>
                <w:color w:val="FFFFFF"/>
                <w:sz w:val="15"/>
              </w:rPr>
              <w:t>Deliverables</w:t>
            </w:r>
          </w:p>
        </w:tc>
        <w:tc>
          <w:tcPr>
            <w:tcW w:type="dxa" w:w="2541"/>
            <w:vAlign w:val="center"/>
            <w:shd w:fill="17324D"/>
          </w:tcPr>
          <w:p>
            <w:pPr>
              <w:spacing w:after="0"/>
            </w:pPr>
            <w:r/>
            <w:r>
              <w:rPr>
                <w:rFonts w:ascii="Aptos" w:hAnsi="Aptos"/>
                <w:b/>
                <w:color w:val="FFFFFF"/>
                <w:sz w:val="15"/>
              </w:rPr>
              <w:t>Gate</w:t>
            </w:r>
          </w:p>
        </w:tc>
      </w:tr>
      <w:tr>
        <w:trPr>
          <w:cantSplit/>
        </w:trPr>
        <w:tc>
          <w:tcPr>
            <w:tcW w:type="dxa" w:w="2541"/>
            <w:vAlign w:val="center"/>
            <w:shd w:fill="FFFFFF"/>
          </w:tcPr>
          <w:p>
            <w:pPr>
              <w:spacing w:after="0"/>
            </w:pPr>
            <w:r/>
            <w:r>
              <w:rPr>
                <w:rFonts w:ascii="Aptos" w:hAnsi="Aptos"/>
                <w:b w:val="0"/>
                <w:sz w:val="15"/>
              </w:rPr>
              <w:t>Governance</w:t>
            </w:r>
          </w:p>
        </w:tc>
        <w:tc>
          <w:tcPr>
            <w:tcW w:type="dxa" w:w="2541"/>
            <w:vAlign w:val="center"/>
            <w:shd w:fill="FFFFFF"/>
          </w:tcPr>
          <w:p>
            <w:pPr>
              <w:spacing w:after="0"/>
            </w:pPr>
            <w:r/>
            <w:r>
              <w:rPr>
                <w:rFonts w:ascii="Aptos" w:hAnsi="Aptos"/>
                <w:b w:val="0"/>
                <w:sz w:val="15"/>
              </w:rPr>
              <w:t>Mandate, charter, sponsor, steering body, decision rights</w:t>
            </w:r>
          </w:p>
        </w:tc>
        <w:tc>
          <w:tcPr>
            <w:tcW w:type="dxa" w:w="2541"/>
            <w:vAlign w:val="center"/>
            <w:shd w:fill="FFFFFF"/>
          </w:tcPr>
          <w:p>
            <w:pPr>
              <w:spacing w:after="0"/>
            </w:pPr>
            <w:r/>
            <w:r>
              <w:rPr>
                <w:rFonts w:ascii="Aptos" w:hAnsi="Aptos"/>
                <w:b w:val="0"/>
                <w:sz w:val="15"/>
              </w:rPr>
              <w:t>Charter, RACI, reporting calendar</w:t>
            </w:r>
          </w:p>
        </w:tc>
        <w:tc>
          <w:tcPr>
            <w:tcW w:type="dxa" w:w="2541"/>
            <w:vAlign w:val="center"/>
            <w:shd w:fill="FFFFFF"/>
          </w:tcPr>
          <w:p>
            <w:pPr>
              <w:spacing w:after="0"/>
            </w:pPr>
            <w:r/>
            <w:r>
              <w:rPr>
                <w:rFonts w:ascii="Aptos" w:hAnsi="Aptos"/>
                <w:b w:val="0"/>
                <w:sz w:val="15"/>
              </w:rPr>
              <w:t>Sponsor approval</w:t>
            </w:r>
          </w:p>
        </w:tc>
      </w:tr>
      <w:tr>
        <w:trPr>
          <w:cantSplit/>
        </w:trPr>
        <w:tc>
          <w:tcPr>
            <w:tcW w:type="dxa" w:w="2541"/>
            <w:vAlign w:val="center"/>
            <w:shd w:fill="F3F6F7"/>
          </w:tcPr>
          <w:p>
            <w:pPr>
              <w:spacing w:after="0"/>
            </w:pPr>
            <w:r/>
            <w:r>
              <w:rPr>
                <w:rFonts w:ascii="Aptos" w:hAnsi="Aptos"/>
                <w:b w:val="0"/>
                <w:sz w:val="15"/>
              </w:rPr>
              <w:t>Scope and inventory</w:t>
            </w:r>
          </w:p>
        </w:tc>
        <w:tc>
          <w:tcPr>
            <w:tcW w:type="dxa" w:w="2541"/>
            <w:vAlign w:val="center"/>
            <w:shd w:fill="F3F6F7"/>
          </w:tcPr>
          <w:p>
            <w:pPr>
              <w:spacing w:after="0"/>
            </w:pPr>
            <w:r/>
            <w:r>
              <w:rPr>
                <w:rFonts w:ascii="Aptos" w:hAnsi="Aptos"/>
                <w:b w:val="0"/>
                <w:sz w:val="15"/>
              </w:rPr>
              <w:t>Discover systems, data, models, agents, suppliers and jurisdictions</w:t>
            </w:r>
          </w:p>
        </w:tc>
        <w:tc>
          <w:tcPr>
            <w:tcW w:type="dxa" w:w="2541"/>
            <w:vAlign w:val="center"/>
            <w:shd w:fill="F3F6F7"/>
          </w:tcPr>
          <w:p>
            <w:pPr>
              <w:spacing w:after="0"/>
            </w:pPr>
            <w:r/>
            <w:r>
              <w:rPr>
                <w:rFonts w:ascii="Aptos" w:hAnsi="Aptos"/>
                <w:b w:val="0"/>
                <w:sz w:val="15"/>
              </w:rPr>
              <w:t>Inventory, boundary, profile, SoA</w:t>
            </w:r>
          </w:p>
        </w:tc>
        <w:tc>
          <w:tcPr>
            <w:tcW w:type="dxa" w:w="2541"/>
            <w:vAlign w:val="center"/>
            <w:shd w:fill="F3F6F7"/>
          </w:tcPr>
          <w:p>
            <w:pPr>
              <w:spacing w:after="0"/>
            </w:pPr>
            <w:r/>
            <w:r>
              <w:rPr>
                <w:rFonts w:ascii="Aptos" w:hAnsi="Aptos"/>
                <w:b w:val="0"/>
                <w:sz w:val="15"/>
              </w:rPr>
              <w:t>Scope approval</w:t>
            </w:r>
          </w:p>
        </w:tc>
      </w:tr>
      <w:tr>
        <w:trPr>
          <w:cantSplit/>
        </w:trPr>
        <w:tc>
          <w:tcPr>
            <w:tcW w:type="dxa" w:w="2541"/>
            <w:vAlign w:val="center"/>
            <w:shd w:fill="FFFFFF"/>
          </w:tcPr>
          <w:p>
            <w:pPr>
              <w:spacing w:after="0"/>
            </w:pPr>
            <w:r/>
            <w:r>
              <w:rPr>
                <w:rFonts w:ascii="Aptos" w:hAnsi="Aptos"/>
                <w:b w:val="0"/>
                <w:sz w:val="15"/>
              </w:rPr>
              <w:t>Assessment</w:t>
            </w:r>
          </w:p>
        </w:tc>
        <w:tc>
          <w:tcPr>
            <w:tcW w:type="dxa" w:w="2541"/>
            <w:vAlign w:val="center"/>
            <w:shd w:fill="FFFFFF"/>
          </w:tcPr>
          <w:p>
            <w:pPr>
              <w:spacing w:after="0"/>
            </w:pPr>
            <w:r/>
            <w:r>
              <w:rPr>
                <w:rFonts w:ascii="Aptos" w:hAnsi="Aptos"/>
                <w:b w:val="0"/>
                <w:sz w:val="15"/>
              </w:rPr>
              <w:t>Assess design, implementation, operation and effectiveness</w:t>
            </w:r>
          </w:p>
        </w:tc>
        <w:tc>
          <w:tcPr>
            <w:tcW w:type="dxa" w:w="2541"/>
            <w:vAlign w:val="center"/>
            <w:shd w:fill="FFFFFF"/>
          </w:tcPr>
          <w:p>
            <w:pPr>
              <w:spacing w:after="0"/>
            </w:pPr>
            <w:r/>
            <w:r>
              <w:rPr>
                <w:rFonts w:ascii="Aptos" w:hAnsi="Aptos"/>
                <w:b w:val="0"/>
                <w:sz w:val="15"/>
              </w:rPr>
              <w:t>Gap register, risk ratings, evidence index</w:t>
            </w:r>
          </w:p>
        </w:tc>
        <w:tc>
          <w:tcPr>
            <w:tcW w:type="dxa" w:w="2541"/>
            <w:vAlign w:val="center"/>
            <w:shd w:fill="FFFFFF"/>
          </w:tcPr>
          <w:p>
            <w:pPr>
              <w:spacing w:after="0"/>
            </w:pPr>
            <w:r/>
            <w:r>
              <w:rPr>
                <w:rFonts w:ascii="Aptos" w:hAnsi="Aptos"/>
                <w:b w:val="0"/>
                <w:sz w:val="15"/>
              </w:rPr>
              <w:t>Baseline accepted</w:t>
            </w:r>
          </w:p>
        </w:tc>
      </w:tr>
      <w:tr>
        <w:trPr>
          <w:cantSplit/>
        </w:trPr>
        <w:tc>
          <w:tcPr>
            <w:tcW w:type="dxa" w:w="2541"/>
            <w:vAlign w:val="center"/>
            <w:shd w:fill="F3F6F7"/>
          </w:tcPr>
          <w:p>
            <w:pPr>
              <w:spacing w:after="0"/>
            </w:pPr>
            <w:r/>
            <w:r>
              <w:rPr>
                <w:rFonts w:ascii="Aptos" w:hAnsi="Aptos"/>
                <w:b w:val="0"/>
                <w:sz w:val="15"/>
              </w:rPr>
              <w:t>Remediation</w:t>
            </w:r>
          </w:p>
        </w:tc>
        <w:tc>
          <w:tcPr>
            <w:tcW w:type="dxa" w:w="2541"/>
            <w:vAlign w:val="center"/>
            <w:shd w:fill="F3F6F7"/>
          </w:tcPr>
          <w:p>
            <w:pPr>
              <w:spacing w:after="0"/>
            </w:pPr>
            <w:r/>
            <w:r>
              <w:rPr>
                <w:rFonts w:ascii="Aptos" w:hAnsi="Aptos"/>
                <w:b w:val="0"/>
                <w:sz w:val="15"/>
              </w:rPr>
              <w:t>Prioritize, fund, implement and validate actions</w:t>
            </w:r>
          </w:p>
        </w:tc>
        <w:tc>
          <w:tcPr>
            <w:tcW w:type="dxa" w:w="2541"/>
            <w:vAlign w:val="center"/>
            <w:shd w:fill="F3F6F7"/>
          </w:tcPr>
          <w:p>
            <w:pPr>
              <w:spacing w:after="0"/>
            </w:pPr>
            <w:r/>
            <w:r>
              <w:rPr>
                <w:rFonts w:ascii="Aptos" w:hAnsi="Aptos"/>
                <w:b w:val="0"/>
                <w:sz w:val="15"/>
              </w:rPr>
              <w:t>Roadmap, budget, closure evidence</w:t>
            </w:r>
          </w:p>
        </w:tc>
        <w:tc>
          <w:tcPr>
            <w:tcW w:type="dxa" w:w="2541"/>
            <w:vAlign w:val="center"/>
            <w:shd w:fill="F3F6F7"/>
          </w:tcPr>
          <w:p>
            <w:pPr>
              <w:spacing w:after="0"/>
            </w:pPr>
            <w:r/>
            <w:r>
              <w:rPr>
                <w:rFonts w:ascii="Aptos" w:hAnsi="Aptos"/>
                <w:b w:val="0"/>
                <w:sz w:val="15"/>
              </w:rPr>
              <w:t>Critical gaps closed</w:t>
            </w:r>
          </w:p>
        </w:tc>
      </w:tr>
      <w:tr>
        <w:trPr>
          <w:cantSplit/>
        </w:trPr>
        <w:tc>
          <w:tcPr>
            <w:tcW w:type="dxa" w:w="2541"/>
            <w:vAlign w:val="center"/>
            <w:shd w:fill="FFFFFF"/>
          </w:tcPr>
          <w:p>
            <w:pPr>
              <w:spacing w:after="0"/>
            </w:pPr>
            <w:r/>
            <w:r>
              <w:rPr>
                <w:rFonts w:ascii="Aptos" w:hAnsi="Aptos"/>
                <w:b w:val="0"/>
                <w:sz w:val="15"/>
              </w:rPr>
              <w:t>Assurance</w:t>
            </w:r>
          </w:p>
        </w:tc>
        <w:tc>
          <w:tcPr>
            <w:tcW w:type="dxa" w:w="2541"/>
            <w:vAlign w:val="center"/>
            <w:shd w:fill="FFFFFF"/>
          </w:tcPr>
          <w:p>
            <w:pPr>
              <w:spacing w:after="0"/>
            </w:pPr>
            <w:r/>
            <w:r>
              <w:rPr>
                <w:rFonts w:ascii="Aptos" w:hAnsi="Aptos"/>
                <w:b w:val="0"/>
                <w:sz w:val="15"/>
              </w:rPr>
              <w:t>Test, sample, challenge and management-review controls</w:t>
            </w:r>
          </w:p>
        </w:tc>
        <w:tc>
          <w:tcPr>
            <w:tcW w:type="dxa" w:w="2541"/>
            <w:vAlign w:val="center"/>
            <w:shd w:fill="FFFFFF"/>
          </w:tcPr>
          <w:p>
            <w:pPr>
              <w:spacing w:after="0"/>
            </w:pPr>
            <w:r/>
            <w:r>
              <w:rPr>
                <w:rFonts w:ascii="Aptos" w:hAnsi="Aptos"/>
                <w:b w:val="0"/>
                <w:sz w:val="15"/>
              </w:rPr>
              <w:t>Readiness report, findings, risk decisions</w:t>
            </w:r>
          </w:p>
        </w:tc>
        <w:tc>
          <w:tcPr>
            <w:tcW w:type="dxa" w:w="2541"/>
            <w:vAlign w:val="center"/>
            <w:shd w:fill="FFFFFF"/>
          </w:tcPr>
          <w:p>
            <w:pPr>
              <w:spacing w:after="0"/>
            </w:pPr>
            <w:r/>
            <w:r>
              <w:rPr>
                <w:rFonts w:ascii="Aptos" w:hAnsi="Aptos"/>
                <w:b w:val="0"/>
                <w:sz w:val="15"/>
              </w:rPr>
              <w:t>Proceed/defer decision</w:t>
            </w:r>
          </w:p>
        </w:tc>
      </w:tr>
      <w:tr>
        <w:trPr>
          <w:cantSplit/>
        </w:trPr>
        <w:tc>
          <w:tcPr>
            <w:tcW w:type="dxa" w:w="2541"/>
            <w:vAlign w:val="center"/>
            <w:shd w:fill="F3F6F7"/>
          </w:tcPr>
          <w:p>
            <w:pPr>
              <w:spacing w:after="0"/>
            </w:pPr>
            <w:r/>
            <w:r>
              <w:rPr>
                <w:rFonts w:ascii="Aptos" w:hAnsi="Aptos"/>
                <w:b w:val="0"/>
                <w:sz w:val="15"/>
              </w:rPr>
              <w:t>Sustainment</w:t>
            </w:r>
          </w:p>
        </w:tc>
        <w:tc>
          <w:tcPr>
            <w:tcW w:type="dxa" w:w="2541"/>
            <w:vAlign w:val="center"/>
            <w:shd w:fill="F3F6F7"/>
          </w:tcPr>
          <w:p>
            <w:pPr>
              <w:spacing w:after="0"/>
            </w:pPr>
            <w:r/>
            <w:r>
              <w:rPr>
                <w:rFonts w:ascii="Aptos" w:hAnsi="Aptos"/>
                <w:b w:val="0"/>
                <w:sz w:val="15"/>
              </w:rPr>
              <w:t>Operate metrics, incidents, suppliers, evidence and improvement</w:t>
            </w:r>
          </w:p>
        </w:tc>
        <w:tc>
          <w:tcPr>
            <w:tcW w:type="dxa" w:w="2541"/>
            <w:vAlign w:val="center"/>
            <w:shd w:fill="F3F6F7"/>
          </w:tcPr>
          <w:p>
            <w:pPr>
              <w:spacing w:after="0"/>
            </w:pPr>
            <w:r/>
            <w:r>
              <w:rPr>
                <w:rFonts w:ascii="Aptos" w:hAnsi="Aptos"/>
                <w:b w:val="0"/>
                <w:sz w:val="15"/>
              </w:rPr>
              <w:t>Operating dashboard and review records</w:t>
            </w:r>
          </w:p>
        </w:tc>
        <w:tc>
          <w:tcPr>
            <w:tcW w:type="dxa" w:w="2541"/>
            <w:vAlign w:val="center"/>
            <w:shd w:fill="F3F6F7"/>
          </w:tcPr>
          <w:p>
            <w:pPr>
              <w:spacing w:after="0"/>
            </w:pPr>
            <w:r/>
            <w:r>
              <w:rPr>
                <w:rFonts w:ascii="Aptos" w:hAnsi="Aptos"/>
                <w:b w:val="0"/>
                <w:sz w:val="15"/>
              </w:rPr>
              <w:t>BAU acceptance</w:t>
            </w:r>
          </w:p>
        </w:tc>
      </w:tr>
    </w:tbl>
    <w:p/>
    <w:p>
      <w:pPr>
        <w:pStyle w:val="Heading1"/>
      </w:pPr>
      <w:r>
        <w:t>Resource and Competence Planning</w:t>
      </w:r>
    </w:p>
    <w:p>
      <w:r>
        <w:t>The adoption plan should estimate effort by system count, control applicability, supplier dependence, evidence maturity and remediation complexity. Competence plans should cover AI engineering, cybersecurity, privacy, risk, safety, assurance and relevant sector obligations.</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vAlign w:val="center"/>
            <w:shd w:fill="17324D"/>
          </w:tcPr>
          <w:p>
            <w:pPr>
              <w:spacing w:after="0"/>
            </w:pPr>
            <w:r/>
            <w:r>
              <w:rPr>
                <w:rFonts w:ascii="Aptos" w:hAnsi="Aptos"/>
                <w:b/>
                <w:color w:val="FFFFFF"/>
                <w:sz w:val="15"/>
              </w:rPr>
              <w:t>Role family</w:t>
            </w:r>
          </w:p>
        </w:tc>
        <w:tc>
          <w:tcPr>
            <w:tcW w:type="dxa" w:w="5083"/>
            <w:vAlign w:val="center"/>
            <w:shd w:fill="17324D"/>
          </w:tcPr>
          <w:p>
            <w:pPr>
              <w:spacing w:after="0"/>
            </w:pPr>
            <w:r/>
            <w:r>
              <w:rPr>
                <w:rFonts w:ascii="Aptos" w:hAnsi="Aptos"/>
                <w:b/>
                <w:color w:val="FFFFFF"/>
                <w:sz w:val="15"/>
              </w:rPr>
              <w:t>Minimum competence</w:t>
            </w:r>
          </w:p>
        </w:tc>
      </w:tr>
      <w:tr>
        <w:trPr>
          <w:cantSplit/>
        </w:trPr>
        <w:tc>
          <w:tcPr>
            <w:tcW w:type="dxa" w:w="5083"/>
            <w:vAlign w:val="center"/>
            <w:shd w:fill="FFFFFF"/>
          </w:tcPr>
          <w:p>
            <w:pPr>
              <w:spacing w:after="0"/>
            </w:pPr>
            <w:r/>
            <w:r>
              <w:rPr>
                <w:rFonts w:ascii="Aptos" w:hAnsi="Aptos"/>
                <w:b w:val="0"/>
                <w:sz w:val="15"/>
              </w:rPr>
              <w:t>Executive and risk</w:t>
            </w:r>
          </w:p>
        </w:tc>
        <w:tc>
          <w:tcPr>
            <w:tcW w:type="dxa" w:w="5083"/>
            <w:vAlign w:val="center"/>
            <w:shd w:fill="FFFFFF"/>
          </w:tcPr>
          <w:p>
            <w:pPr>
              <w:spacing w:after="0"/>
            </w:pPr>
            <w:r/>
            <w:r>
              <w:rPr>
                <w:rFonts w:ascii="Aptos" w:hAnsi="Aptos"/>
                <w:b w:val="0"/>
                <w:sz w:val="15"/>
              </w:rPr>
              <w:t>AI risk, accountability, claims and residual-risk decisions</w:t>
            </w:r>
          </w:p>
        </w:tc>
      </w:tr>
      <w:tr>
        <w:trPr>
          <w:cantSplit/>
        </w:trPr>
        <w:tc>
          <w:tcPr>
            <w:tcW w:type="dxa" w:w="5083"/>
            <w:vAlign w:val="center"/>
            <w:shd w:fill="F3F6F7"/>
          </w:tcPr>
          <w:p>
            <w:pPr>
              <w:spacing w:after="0"/>
            </w:pPr>
            <w:r/>
            <w:r>
              <w:rPr>
                <w:rFonts w:ascii="Aptos" w:hAnsi="Aptos"/>
                <w:b w:val="0"/>
                <w:sz w:val="15"/>
              </w:rPr>
              <w:t>Architecture and engineering</w:t>
            </w:r>
          </w:p>
        </w:tc>
        <w:tc>
          <w:tcPr>
            <w:tcW w:type="dxa" w:w="5083"/>
            <w:vAlign w:val="center"/>
            <w:shd w:fill="F3F6F7"/>
          </w:tcPr>
          <w:p>
            <w:pPr>
              <w:spacing w:after="0"/>
            </w:pPr>
            <w:r/>
            <w:r>
              <w:rPr>
                <w:rFonts w:ascii="Aptos" w:hAnsi="Aptos"/>
                <w:b w:val="0"/>
                <w:sz w:val="15"/>
              </w:rPr>
              <w:t>Model, data, agent, platform and secure lifecycle controls</w:t>
            </w:r>
          </w:p>
        </w:tc>
      </w:tr>
      <w:tr>
        <w:trPr>
          <w:cantSplit/>
        </w:trPr>
        <w:tc>
          <w:tcPr>
            <w:tcW w:type="dxa" w:w="5083"/>
            <w:vAlign w:val="center"/>
            <w:shd w:fill="FFFFFF"/>
          </w:tcPr>
          <w:p>
            <w:pPr>
              <w:spacing w:after="0"/>
            </w:pPr>
            <w:r/>
            <w:r>
              <w:rPr>
                <w:rFonts w:ascii="Aptos" w:hAnsi="Aptos"/>
                <w:b w:val="0"/>
                <w:sz w:val="15"/>
              </w:rPr>
              <w:t>Operations</w:t>
            </w:r>
          </w:p>
        </w:tc>
        <w:tc>
          <w:tcPr>
            <w:tcW w:type="dxa" w:w="5083"/>
            <w:vAlign w:val="center"/>
            <w:shd w:fill="FFFFFF"/>
          </w:tcPr>
          <w:p>
            <w:pPr>
              <w:spacing w:after="0"/>
            </w:pPr>
            <w:r/>
            <w:r>
              <w:rPr>
                <w:rFonts w:ascii="Aptos" w:hAnsi="Aptos"/>
                <w:b w:val="0"/>
                <w:sz w:val="15"/>
              </w:rPr>
              <w:t>Monitoring, incident, change and evidence procedures</w:t>
            </w:r>
          </w:p>
        </w:tc>
      </w:tr>
      <w:tr>
        <w:trPr>
          <w:cantSplit/>
        </w:trPr>
        <w:tc>
          <w:tcPr>
            <w:tcW w:type="dxa" w:w="5083"/>
            <w:vAlign w:val="center"/>
            <w:shd w:fill="F3F6F7"/>
          </w:tcPr>
          <w:p>
            <w:pPr>
              <w:spacing w:after="0"/>
            </w:pPr>
            <w:r/>
            <w:r>
              <w:rPr>
                <w:rFonts w:ascii="Aptos" w:hAnsi="Aptos"/>
                <w:b w:val="0"/>
                <w:sz w:val="15"/>
              </w:rPr>
              <w:t>Assurance</w:t>
            </w:r>
          </w:p>
        </w:tc>
        <w:tc>
          <w:tcPr>
            <w:tcW w:type="dxa" w:w="5083"/>
            <w:vAlign w:val="center"/>
            <w:shd w:fill="F3F6F7"/>
          </w:tcPr>
          <w:p>
            <w:pPr>
              <w:spacing w:after="0"/>
            </w:pPr>
            <w:r/>
            <w:r>
              <w:rPr>
                <w:rFonts w:ascii="Aptos" w:hAnsi="Aptos"/>
                <w:b w:val="0"/>
                <w:sz w:val="15"/>
              </w:rPr>
              <w:t>Sampling, technical testing, nonconformity and independence</w:t>
            </w:r>
          </w:p>
        </w:tc>
      </w:tr>
      <w:tr>
        <w:trPr>
          <w:cantSplit/>
        </w:trPr>
        <w:tc>
          <w:tcPr>
            <w:tcW w:type="dxa" w:w="5083"/>
            <w:vAlign w:val="center"/>
            <w:shd w:fill="FFFFFF"/>
          </w:tcPr>
          <w:p>
            <w:pPr>
              <w:spacing w:after="0"/>
            </w:pPr>
            <w:r/>
            <w:r>
              <w:rPr>
                <w:rFonts w:ascii="Aptos" w:hAnsi="Aptos"/>
                <w:b w:val="0"/>
                <w:sz w:val="15"/>
              </w:rPr>
              <w:t>Legal/compliance</w:t>
            </w:r>
          </w:p>
        </w:tc>
        <w:tc>
          <w:tcPr>
            <w:tcW w:type="dxa" w:w="5083"/>
            <w:vAlign w:val="center"/>
            <w:shd w:fill="FFFFFF"/>
          </w:tcPr>
          <w:p>
            <w:pPr>
              <w:spacing w:after="0"/>
            </w:pPr>
            <w:r/>
            <w:r>
              <w:rPr>
                <w:rFonts w:ascii="Aptos" w:hAnsi="Aptos"/>
                <w:b w:val="0"/>
                <w:sz w:val="15"/>
              </w:rPr>
              <w:t>Jurisdiction, contractual and sector obligations</w:t>
            </w:r>
          </w:p>
        </w:tc>
      </w:tr>
    </w:tbl>
    <w:p/>
    <w:p>
      <w:pPr>
        <w:pStyle w:val="Heading1"/>
      </w:pPr>
      <w:r>
        <w:t>Adoption Business Case</w:t>
      </w:r>
    </w:p>
    <w:p>
      <w:pPr>
        <w:pStyle w:val="ListBullet"/>
      </w:pPr>
      <w:r>
        <w:t>Baseline risk and customer/regulatory drivers</w:t>
      </w:r>
    </w:p>
    <w:p>
      <w:pPr>
        <w:pStyle w:val="ListBullet"/>
      </w:pPr>
      <w:r>
        <w:t>Cost of current fragmented controls and duplicated assurance</w:t>
      </w:r>
    </w:p>
    <w:p>
      <w:pPr>
        <w:pStyle w:val="ListBullet"/>
      </w:pPr>
      <w:r>
        <w:t>Expected implementation and operating cost</w:t>
      </w:r>
    </w:p>
    <w:p>
      <w:pPr>
        <w:pStyle w:val="ListBullet"/>
      </w:pPr>
      <w:r>
        <w:t>Commercial, resilience and trust benefits</w:t>
      </w:r>
    </w:p>
    <w:p>
      <w:pPr>
        <w:pStyle w:val="ListBullet"/>
      </w:pPr>
      <w:r>
        <w:t>Dependencies, constraints and residual uncertainty</w:t>
      </w:r>
    </w:p>
    <w:p>
      <w:pPr>
        <w:pStyle w:val="ListBullet"/>
      </w:pPr>
      <w:r>
        <w:t>Decision points for staged funding</w:t>
      </w:r>
    </w:p>
    <w:p>
      <w:pPr>
        <w:pStyle w:val="Heading1"/>
      </w:pPr>
      <w:r>
        <w:t>Stakeholder Engagement Plan</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vAlign w:val="center"/>
            <w:shd w:fill="17324D"/>
          </w:tcPr>
          <w:p>
            <w:pPr>
              <w:spacing w:after="0"/>
            </w:pPr>
            <w:r/>
            <w:r>
              <w:rPr>
                <w:rFonts w:ascii="Aptos" w:hAnsi="Aptos"/>
                <w:b/>
                <w:color w:val="FFFFFF"/>
                <w:sz w:val="15"/>
              </w:rPr>
              <w:t>Stakeholder</w:t>
            </w:r>
          </w:p>
        </w:tc>
        <w:tc>
          <w:tcPr>
            <w:tcW w:type="dxa" w:w="5083"/>
            <w:vAlign w:val="center"/>
            <w:shd w:fill="17324D"/>
          </w:tcPr>
          <w:p>
            <w:pPr>
              <w:spacing w:after="0"/>
            </w:pPr>
            <w:r/>
            <w:r>
              <w:rPr>
                <w:rFonts w:ascii="Aptos" w:hAnsi="Aptos"/>
                <w:b/>
                <w:color w:val="FFFFFF"/>
                <w:sz w:val="15"/>
              </w:rPr>
              <w:t>Engagement need</w:t>
            </w:r>
          </w:p>
        </w:tc>
      </w:tr>
      <w:tr>
        <w:trPr>
          <w:cantSplit/>
        </w:trPr>
        <w:tc>
          <w:tcPr>
            <w:tcW w:type="dxa" w:w="5083"/>
            <w:vAlign w:val="center"/>
            <w:shd w:fill="FFFFFF"/>
          </w:tcPr>
          <w:p>
            <w:pPr>
              <w:spacing w:after="0"/>
            </w:pPr>
            <w:r/>
            <w:r>
              <w:rPr>
                <w:rFonts w:ascii="Aptos" w:hAnsi="Aptos"/>
                <w:b w:val="0"/>
                <w:sz w:val="15"/>
              </w:rPr>
              <w:t>Board/executives</w:t>
            </w:r>
          </w:p>
        </w:tc>
        <w:tc>
          <w:tcPr>
            <w:tcW w:type="dxa" w:w="5083"/>
            <w:vAlign w:val="center"/>
            <w:shd w:fill="FFFFFF"/>
          </w:tcPr>
          <w:p>
            <w:pPr>
              <w:spacing w:after="0"/>
            </w:pPr>
            <w:r/>
            <w:r>
              <w:rPr>
                <w:rFonts w:ascii="Aptos" w:hAnsi="Aptos"/>
                <w:b w:val="0"/>
                <w:sz w:val="15"/>
              </w:rPr>
              <w:t>Material risk, resources and assurance decisions</w:t>
            </w:r>
          </w:p>
        </w:tc>
      </w:tr>
      <w:tr>
        <w:trPr>
          <w:cantSplit/>
        </w:trPr>
        <w:tc>
          <w:tcPr>
            <w:tcW w:type="dxa" w:w="5083"/>
            <w:vAlign w:val="center"/>
            <w:shd w:fill="F3F6F7"/>
          </w:tcPr>
          <w:p>
            <w:pPr>
              <w:spacing w:after="0"/>
            </w:pPr>
            <w:r/>
            <w:r>
              <w:rPr>
                <w:rFonts w:ascii="Aptos" w:hAnsi="Aptos"/>
                <w:b w:val="0"/>
                <w:sz w:val="15"/>
              </w:rPr>
              <w:t>Product/system owners</w:t>
            </w:r>
          </w:p>
        </w:tc>
        <w:tc>
          <w:tcPr>
            <w:tcW w:type="dxa" w:w="5083"/>
            <w:vAlign w:val="center"/>
            <w:shd w:fill="F3F6F7"/>
          </w:tcPr>
          <w:p>
            <w:pPr>
              <w:spacing w:after="0"/>
            </w:pPr>
            <w:r/>
            <w:r>
              <w:rPr>
                <w:rFonts w:ascii="Aptos" w:hAnsi="Aptos"/>
                <w:b w:val="0"/>
                <w:sz w:val="15"/>
              </w:rPr>
              <w:t>Scope, acceptable use and control ownership</w:t>
            </w:r>
          </w:p>
        </w:tc>
      </w:tr>
      <w:tr>
        <w:trPr>
          <w:cantSplit/>
        </w:trPr>
        <w:tc>
          <w:tcPr>
            <w:tcW w:type="dxa" w:w="5083"/>
            <w:vAlign w:val="center"/>
            <w:shd w:fill="FFFFFF"/>
          </w:tcPr>
          <w:p>
            <w:pPr>
              <w:spacing w:after="0"/>
            </w:pPr>
            <w:r/>
            <w:r>
              <w:rPr>
                <w:rFonts w:ascii="Aptos" w:hAnsi="Aptos"/>
                <w:b w:val="0"/>
                <w:sz w:val="15"/>
              </w:rPr>
              <w:t>Engineering/operations</w:t>
            </w:r>
          </w:p>
        </w:tc>
        <w:tc>
          <w:tcPr>
            <w:tcW w:type="dxa" w:w="5083"/>
            <w:vAlign w:val="center"/>
            <w:shd w:fill="FFFFFF"/>
          </w:tcPr>
          <w:p>
            <w:pPr>
              <w:spacing w:after="0"/>
            </w:pPr>
            <w:r/>
            <w:r>
              <w:rPr>
                <w:rFonts w:ascii="Aptos" w:hAnsi="Aptos"/>
                <w:b w:val="0"/>
                <w:sz w:val="15"/>
              </w:rPr>
              <w:t>Mechanisms, evidence and monitoring</w:t>
            </w:r>
          </w:p>
        </w:tc>
      </w:tr>
      <w:tr>
        <w:trPr>
          <w:cantSplit/>
        </w:trPr>
        <w:tc>
          <w:tcPr>
            <w:tcW w:type="dxa" w:w="5083"/>
            <w:vAlign w:val="center"/>
            <w:shd w:fill="F3F6F7"/>
          </w:tcPr>
          <w:p>
            <w:pPr>
              <w:spacing w:after="0"/>
            </w:pPr>
            <w:r/>
            <w:r>
              <w:rPr>
                <w:rFonts w:ascii="Aptos" w:hAnsi="Aptos"/>
                <w:b w:val="0"/>
                <w:sz w:val="15"/>
              </w:rPr>
              <w:t>Legal/privacy/safety</w:t>
            </w:r>
          </w:p>
        </w:tc>
        <w:tc>
          <w:tcPr>
            <w:tcW w:type="dxa" w:w="5083"/>
            <w:vAlign w:val="center"/>
            <w:shd w:fill="F3F6F7"/>
          </w:tcPr>
          <w:p>
            <w:pPr>
              <w:spacing w:after="0"/>
            </w:pPr>
            <w:r/>
            <w:r>
              <w:rPr>
                <w:rFonts w:ascii="Aptos" w:hAnsi="Aptos"/>
                <w:b w:val="0"/>
                <w:sz w:val="15"/>
              </w:rPr>
              <w:t>Applicable obligations and constraints</w:t>
            </w:r>
          </w:p>
        </w:tc>
      </w:tr>
      <w:tr>
        <w:trPr>
          <w:cantSplit/>
        </w:trPr>
        <w:tc>
          <w:tcPr>
            <w:tcW w:type="dxa" w:w="5083"/>
            <w:vAlign w:val="center"/>
            <w:shd w:fill="FFFFFF"/>
          </w:tcPr>
          <w:p>
            <w:pPr>
              <w:spacing w:after="0"/>
            </w:pPr>
            <w:r/>
            <w:r>
              <w:rPr>
                <w:rFonts w:ascii="Aptos" w:hAnsi="Aptos"/>
                <w:b w:val="0"/>
                <w:sz w:val="15"/>
              </w:rPr>
              <w:t>Procurement/suppliers</w:t>
            </w:r>
          </w:p>
        </w:tc>
        <w:tc>
          <w:tcPr>
            <w:tcW w:type="dxa" w:w="5083"/>
            <w:vAlign w:val="center"/>
            <w:shd w:fill="FFFFFF"/>
          </w:tcPr>
          <w:p>
            <w:pPr>
              <w:spacing w:after="0"/>
            </w:pPr>
            <w:r/>
            <w:r>
              <w:rPr>
                <w:rFonts w:ascii="Aptos" w:hAnsi="Aptos"/>
                <w:b w:val="0"/>
                <w:sz w:val="15"/>
              </w:rPr>
              <w:t>Contract, inherited controls and notification</w:t>
            </w:r>
          </w:p>
        </w:tc>
      </w:tr>
      <w:tr>
        <w:trPr>
          <w:cantSplit/>
        </w:trPr>
        <w:tc>
          <w:tcPr>
            <w:tcW w:type="dxa" w:w="5083"/>
            <w:vAlign w:val="center"/>
            <w:shd w:fill="F3F6F7"/>
          </w:tcPr>
          <w:p>
            <w:pPr>
              <w:spacing w:after="0"/>
            </w:pPr>
            <w:r/>
            <w:r>
              <w:rPr>
                <w:rFonts w:ascii="Aptos" w:hAnsi="Aptos"/>
                <w:b w:val="0"/>
                <w:sz w:val="15"/>
              </w:rPr>
              <w:t>Users/affected persons</w:t>
            </w:r>
          </w:p>
        </w:tc>
        <w:tc>
          <w:tcPr>
            <w:tcW w:type="dxa" w:w="5083"/>
            <w:vAlign w:val="center"/>
            <w:shd w:fill="F3F6F7"/>
          </w:tcPr>
          <w:p>
            <w:pPr>
              <w:spacing w:after="0"/>
            </w:pPr>
            <w:r/>
            <w:r>
              <w:rPr>
                <w:rFonts w:ascii="Aptos" w:hAnsi="Aptos"/>
                <w:b w:val="0"/>
                <w:sz w:val="15"/>
              </w:rPr>
              <w:t>Disclosure, feedback, recourse and human factors</w:t>
            </w:r>
          </w:p>
        </w:tc>
      </w:tr>
    </w:tbl>
    <w:p/>
    <w:p>
      <w:pPr>
        <w:pStyle w:val="Heading1"/>
      </w:pPr>
      <w:r>
        <w:t>Sample Adoption Scenario</w:t>
      </w:r>
    </w:p>
    <w:p>
      <w:r>
        <w:t>A mid-size enterprise beginning with an internal generative-AI assistant should first scope the assistant, model provider, retrieval data, user population and supporting cloud services. It should choose the intended profile, assign owners, assess the full applicable catalogue, contain high-risk data and tool access, build operating evidence over a representative period, and only then decide whether to seek certification.</w:t>
      </w:r>
    </w:p>
    <w:p>
      <w:r>
        <w:t>The Foundational profile comprises 52 controls across all nine domains, as enumerated in the controlled conformance profile. Seven controls are excluded from that profile; the exclusions are not equivalent to excluding the D9 domain.</w:t>
      </w:r>
    </w:p>
    <w:p>
      <w:r/>
    </w:p>
    <w:p>
      <w:pPr>
        <w:pStyle w:val="Heading1"/>
      </w:pPr>
      <w:r>
        <w:t>Publication Completeness and Intended Use</w:t>
      </w:r>
    </w:p>
    <w:p>
      <w:r>
        <w:t>This full publication edition of GAISSF-IMP-009 is designed to stand on its own for its stated role: comprehensive program establishment and adoption planning. It includes purpose, scope, governance, operating guidance, evidence expectations, limitations, decision criteria and reusable records appropriate to that role.</w:t>
      </w:r>
    </w:p>
    <w:p>
      <w:r>
        <w:t>Completeness does not mean that the document replaces the normative control statements, applicable law, sector-specific engineering, organizational procedures or professional judgement. Cross-referenced GAISSF documents remain part of the controlled document system.</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vAlign w:val="center"/>
            <w:shd w:fill="17324D"/>
          </w:tcPr>
          <w:p>
            <w:pPr>
              <w:spacing w:after="0"/>
            </w:pPr>
            <w:r/>
            <w:r>
              <w:rPr>
                <w:rFonts w:ascii="Aptos" w:hAnsi="Aptos"/>
                <w:b/>
                <w:color w:val="FFFFFF"/>
                <w:sz w:val="15"/>
              </w:rPr>
              <w:t>Completeness dimension</w:t>
            </w:r>
          </w:p>
        </w:tc>
        <w:tc>
          <w:tcPr>
            <w:tcW w:type="dxa" w:w="5083"/>
            <w:vAlign w:val="center"/>
            <w:shd w:fill="17324D"/>
          </w:tcPr>
          <w:p>
            <w:pPr>
              <w:spacing w:after="0"/>
            </w:pPr>
            <w:r/>
            <w:r>
              <w:rPr>
                <w:rFonts w:ascii="Aptos" w:hAnsi="Aptos"/>
                <w:b/>
                <w:color w:val="FFFFFF"/>
                <w:sz w:val="15"/>
              </w:rPr>
              <w:t>Treatment in this edition</w:t>
            </w:r>
          </w:p>
        </w:tc>
      </w:tr>
      <w:tr>
        <w:trPr>
          <w:cantSplit/>
        </w:trPr>
        <w:tc>
          <w:tcPr>
            <w:tcW w:type="dxa" w:w="5083"/>
            <w:vAlign w:val="center"/>
            <w:shd w:fill="FFFFFF"/>
          </w:tcPr>
          <w:p>
            <w:pPr>
              <w:spacing w:after="0"/>
            </w:pPr>
            <w:r/>
            <w:r>
              <w:rPr>
                <w:rFonts w:ascii="Aptos" w:hAnsi="Aptos"/>
                <w:b w:val="0"/>
                <w:sz w:val="15"/>
              </w:rPr>
              <w:t>Normative alignment</w:t>
            </w:r>
          </w:p>
        </w:tc>
        <w:tc>
          <w:tcPr>
            <w:tcW w:type="dxa" w:w="5083"/>
            <w:vAlign w:val="center"/>
            <w:shd w:fill="FFFFFF"/>
          </w:tcPr>
          <w:p>
            <w:pPr>
              <w:spacing w:after="0"/>
            </w:pPr>
            <w:r/>
            <w:r>
              <w:rPr>
                <w:rFonts w:ascii="Aptos" w:hAnsi="Aptos"/>
                <w:b w:val="0"/>
                <w:sz w:val="15"/>
              </w:rPr>
              <w:t>Reconciled to the authoritative 59-control baseline and controlled profile structure.</w:t>
            </w:r>
          </w:p>
        </w:tc>
      </w:tr>
      <w:tr>
        <w:trPr>
          <w:cantSplit/>
        </w:trPr>
        <w:tc>
          <w:tcPr>
            <w:tcW w:type="dxa" w:w="5083"/>
            <w:vAlign w:val="center"/>
            <w:shd w:fill="F3F6F7"/>
          </w:tcPr>
          <w:p>
            <w:pPr>
              <w:spacing w:after="0"/>
            </w:pPr>
            <w:r/>
            <w:r>
              <w:rPr>
                <w:rFonts w:ascii="Aptos" w:hAnsi="Aptos"/>
                <w:b w:val="0"/>
                <w:sz w:val="15"/>
              </w:rPr>
              <w:t>Operational usability</w:t>
            </w:r>
          </w:p>
        </w:tc>
        <w:tc>
          <w:tcPr>
            <w:tcW w:type="dxa" w:w="5083"/>
            <w:vAlign w:val="center"/>
            <w:shd w:fill="F3F6F7"/>
          </w:tcPr>
          <w:p>
            <w:pPr>
              <w:spacing w:after="0"/>
            </w:pPr>
            <w:r/>
            <w:r>
              <w:rPr>
                <w:rFonts w:ascii="Aptos" w:hAnsi="Aptos"/>
                <w:b w:val="0"/>
                <w:sz w:val="15"/>
              </w:rPr>
              <w:t>Includes roles, workflows, gates, evidence, metrics, escalation and examples where relevant.</w:t>
            </w:r>
          </w:p>
        </w:tc>
      </w:tr>
      <w:tr>
        <w:trPr>
          <w:cantSplit/>
        </w:trPr>
        <w:tc>
          <w:tcPr>
            <w:tcW w:type="dxa" w:w="5083"/>
            <w:vAlign w:val="center"/>
            <w:shd w:fill="FFFFFF"/>
          </w:tcPr>
          <w:p>
            <w:pPr>
              <w:spacing w:after="0"/>
            </w:pPr>
            <w:r/>
            <w:r>
              <w:rPr>
                <w:rFonts w:ascii="Aptos" w:hAnsi="Aptos"/>
                <w:b w:val="0"/>
                <w:sz w:val="15"/>
              </w:rPr>
              <w:t>Traceability</w:t>
            </w:r>
          </w:p>
        </w:tc>
        <w:tc>
          <w:tcPr>
            <w:tcW w:type="dxa" w:w="5083"/>
            <w:vAlign w:val="center"/>
            <w:shd w:fill="FFFFFF"/>
          </w:tcPr>
          <w:p>
            <w:pPr>
              <w:spacing w:after="0"/>
            </w:pPr>
            <w:r/>
            <w:r>
              <w:rPr>
                <w:rFonts w:ascii="Aptos" w:hAnsi="Aptos"/>
                <w:b w:val="0"/>
                <w:sz w:val="15"/>
              </w:rPr>
              <w:t>Identifies dependencies and preserves the distinction between requirements, guidance and examples.</w:t>
            </w:r>
          </w:p>
        </w:tc>
      </w:tr>
      <w:tr>
        <w:trPr>
          <w:cantSplit/>
        </w:trPr>
        <w:tc>
          <w:tcPr>
            <w:tcW w:type="dxa" w:w="5083"/>
            <w:vAlign w:val="center"/>
            <w:shd w:fill="F3F6F7"/>
          </w:tcPr>
          <w:p>
            <w:pPr>
              <w:spacing w:after="0"/>
            </w:pPr>
            <w:r/>
            <w:r>
              <w:rPr>
                <w:rFonts w:ascii="Aptos" w:hAnsi="Aptos"/>
                <w:b w:val="0"/>
                <w:sz w:val="15"/>
              </w:rPr>
              <w:t>Limitations</w:t>
            </w:r>
          </w:p>
        </w:tc>
        <w:tc>
          <w:tcPr>
            <w:tcW w:type="dxa" w:w="5083"/>
            <w:vAlign w:val="center"/>
            <w:shd w:fill="F3F6F7"/>
          </w:tcPr>
          <w:p>
            <w:pPr>
              <w:spacing w:after="0"/>
            </w:pPr>
            <w:r/>
            <w:r>
              <w:rPr>
                <w:rFonts w:ascii="Aptos" w:hAnsi="Aptos"/>
                <w:b w:val="0"/>
                <w:sz w:val="15"/>
              </w:rPr>
              <w:t>States what the document does not establish or guarantee.</w:t>
            </w:r>
          </w:p>
        </w:tc>
      </w:tr>
      <w:tr>
        <w:trPr>
          <w:cantSplit/>
        </w:trPr>
        <w:tc>
          <w:tcPr>
            <w:tcW w:type="dxa" w:w="5083"/>
            <w:vAlign w:val="center"/>
            <w:shd w:fill="FFFFFF"/>
          </w:tcPr>
          <w:p>
            <w:pPr>
              <w:spacing w:after="0"/>
            </w:pPr>
            <w:r/>
            <w:r>
              <w:rPr>
                <w:rFonts w:ascii="Aptos" w:hAnsi="Aptos"/>
                <w:b w:val="0"/>
                <w:sz w:val="15"/>
              </w:rPr>
              <w:t>Maintenance</w:t>
            </w:r>
          </w:p>
        </w:tc>
        <w:tc>
          <w:tcPr>
            <w:tcW w:type="dxa" w:w="5083"/>
            <w:vAlign w:val="center"/>
            <w:shd w:fill="FFFFFF"/>
          </w:tcPr>
          <w:p>
            <w:pPr>
              <w:spacing w:after="0"/>
            </w:pPr>
            <w:r/>
            <w:r>
              <w:rPr>
                <w:rFonts w:ascii="Aptos" w:hAnsi="Aptos"/>
                <w:b w:val="0"/>
                <w:sz w:val="15"/>
              </w:rPr>
              <w:t>Includes review triggers, change control and publication status.</w:t>
            </w:r>
          </w:p>
        </w:tc>
      </w:tr>
    </w:tbl>
    <w:p/>
    <w:p>
      <w:r>
        <w:br w:type="page"/>
      </w:r>
    </w:p>
    <w:p>
      <w:pPr>
        <w:pStyle w:val="Heading1"/>
      </w:pPr>
      <w:r>
        <w:t>Legal and Regulatory Integration</w:t>
      </w:r>
    </w:p>
    <w:p>
      <w:r>
        <w:t>GAISSF provides an operational security, safety, governance and evidence framework. It does not determine which laws apply, establish statutory compliance, create a legal safe harbour, define a legal standard of care, replace competent legal advice, or guarantee that evidence collected for GAISSF purposes will satisfy a regulator, court or other authority. Organizations should maintain a jurisdiction-specific legal and regulatory obligations register and map applicable obligations to their GAISSF scope, controls, evidence, reporting processes and decision authorities.</w:t>
      </w:r>
    </w:p>
    <w:p>
      <w:pPr>
        <w:pStyle w:val="Heading2"/>
      </w:pPr>
      <w:r>
        <w:t>Legal and regulatory interface requirements</w:t>
      </w:r>
    </w:p>
    <w:p>
      <w:pPr>
        <w:pStyle w:val="ListBullet"/>
      </w:pPr>
      <w:r>
        <w:t>Identify applicable jurisdictions, regulators, sector rules, contractual duties and internal legal authorities before relying on this guide.</w:t>
      </w:r>
    </w:p>
    <w:p>
      <w:pPr>
        <w:pStyle w:val="ListBullet"/>
      </w:pPr>
      <w:r>
        <w:t>Maintain a controlled obligations register, reporting-clock register, retention schedule, legal-hold process and conflicts-of-obligation procedure.</w:t>
      </w:r>
    </w:p>
    <w:p>
      <w:pPr>
        <w:pStyle w:val="ListBullet"/>
      </w:pPr>
      <w:r>
        <w:t>Treat statutory, regulatory and contractual analysis as a parallel workstream to GAISSF implementation and assurance.</w:t>
      </w:r>
    </w:p>
    <w:p>
      <w:pPr>
        <w:pStyle w:val="ListBullet"/>
      </w:pPr>
      <w:r>
        <w:t>Record the legal basis, responsible owner, scope, decision, evidence, deadline and review date for each material obligation.</w:t>
      </w:r>
    </w:p>
    <w:p>
      <w:pPr>
        <w:pStyle w:val="ListBullet"/>
      </w:pPr>
      <w:r>
        <w:t>Do not represent GAISSF conformance, maturity or certification as legal approval, permission to operate, immunity from enforcement or proof that harm cannot occur.</w:t>
      </w:r>
    </w:p>
    <w:p>
      <w:pPr>
        <w:pStyle w:val="Heading1"/>
      </w:pPr>
      <w:r>
        <w:t>How to use this document</w:t>
      </w:r>
    </w:p>
    <w:tbl>
      <w:tblPr>
        <w:tblStyle w:val="TableGrid"/>
        <w:tblW w:type="auto" w:w="0"/>
        <w:jc w:val="center"/>
        <w:tblLook w:firstColumn="1" w:firstRow="1" w:lastColumn="0" w:lastRow="0" w:noHBand="0" w:noVBand="1" w:val="04A0"/>
      </w:tblPr>
      <w:tblGrid>
        <w:gridCol w:w="5083"/>
        <w:gridCol w:w="5083"/>
      </w:tblGrid>
      <w:tr>
        <w:tc>
          <w:tcPr>
            <w:tcW w:type="dxa" w:w="5083"/>
            <w:shd w:fill="17324D"/>
            <w:vAlign w:val="center"/>
          </w:tcPr>
          <w:p>
            <w:r>
              <w:rPr>
                <w:b/>
              </w:rPr>
              <w:t>Reader</w:t>
            </w:r>
          </w:p>
        </w:tc>
        <w:tc>
          <w:tcPr>
            <w:tcW w:type="dxa" w:w="5083"/>
            <w:shd w:fill="17324D"/>
            <w:vAlign w:val="center"/>
          </w:tcPr>
          <w:p>
            <w:r>
              <w:rPr>
                <w:b/>
              </w:rPr>
              <w:t>Recommended use</w:t>
            </w:r>
          </w:p>
        </w:tc>
      </w:tr>
      <w:tr>
        <w:tc>
          <w:tcPr>
            <w:tcW w:type="dxa" w:w="5083"/>
          </w:tcPr>
          <w:p>
            <w:r>
              <w:t>Executive or board reader</w:t>
            </w:r>
          </w:p>
        </w:tc>
        <w:tc>
          <w:tcPr>
            <w:tcW w:type="dxa" w:w="5083"/>
          </w:tcPr>
          <w:p>
            <w:r>
              <w:t>Review purpose, decision rights, legal and regulatory integration, limitations and Notably Absent sections.</w:t>
            </w:r>
          </w:p>
        </w:tc>
      </w:tr>
      <w:tr>
        <w:tc>
          <w:tcPr>
            <w:tcW w:type="dxa" w:w="5083"/>
          </w:tcPr>
          <w:p>
            <w:r>
              <w:t>Program or control owner</w:t>
            </w:r>
          </w:p>
        </w:tc>
        <w:tc>
          <w:tcPr>
            <w:tcW w:type="dxa" w:w="5083"/>
          </w:tcPr>
          <w:p>
            <w:r>
              <w:t>Use workflows, templates, gates, evidence fields and escalation criteria as implementation aids.</w:t>
            </w:r>
          </w:p>
        </w:tc>
      </w:tr>
      <w:tr>
        <w:tc>
          <w:tcPr>
            <w:tcW w:type="dxa" w:w="5083"/>
          </w:tcPr>
          <w:p>
            <w:r>
              <w:t>Engineering or operations team</w:t>
            </w:r>
          </w:p>
        </w:tc>
        <w:tc>
          <w:tcPr>
            <w:tcW w:type="dxa" w:w="5083"/>
          </w:tcPr>
          <w:p>
            <w:r>
              <w:t>Translate guidance into system-specific procedures, configurations, runbooks and testable acceptance criteria.</w:t>
            </w:r>
          </w:p>
        </w:tc>
      </w:tr>
      <w:tr>
        <w:tc>
          <w:tcPr>
            <w:tcW w:type="dxa" w:w="5083"/>
          </w:tcPr>
          <w:p>
            <w:r>
              <w:t>Legal, privacy or compliance team</w:t>
            </w:r>
          </w:p>
        </w:tc>
        <w:tc>
          <w:tcPr>
            <w:tcW w:type="dxa" w:w="5083"/>
          </w:tcPr>
          <w:p>
            <w:r>
              <w:t>Validate jurisdiction-specific obligations, deadlines, retention, disclosure, privilege and regulator-facing requirements.</w:t>
            </w:r>
          </w:p>
        </w:tc>
      </w:tr>
      <w:tr>
        <w:tc>
          <w:tcPr>
            <w:tcW w:type="dxa" w:w="5083"/>
          </w:tcPr>
          <w:p>
            <w:r>
              <w:t>Assessor or auditor</w:t>
            </w:r>
          </w:p>
        </w:tc>
        <w:tc>
          <w:tcPr>
            <w:tcW w:type="dxa" w:w="5083"/>
          </w:tcPr>
          <w:p>
            <w:r>
              <w:t>Use the document as informative context only; test claims against the authoritative normative sources and applicable assessment criteria.</w:t>
            </w:r>
          </w:p>
        </w:tc>
      </w:tr>
    </w:tbl>
    <w:p>
      <w:pPr>
        <w:pStyle w:val="Heading1"/>
      </w:pPr>
      <w:r>
        <w:t>See Also</w:t>
      </w:r>
    </w:p>
    <w:p>
      <w:pPr>
        <w:pStyle w:val="ListBullet"/>
      </w:pPr>
      <w:r>
        <w:t>GAISSF-NOR-001 and the controlled conformance profile.</w:t>
      </w:r>
    </w:p>
    <w:p>
      <w:pPr>
        <w:pStyle w:val="ListBullet"/>
      </w:pPr>
      <w:r>
        <w:t>GAISSF-IMP-010 for operational implementation.</w:t>
      </w:r>
    </w:p>
    <w:p>
      <w:pPr>
        <w:pStyle w:val="ListBullet"/>
      </w:pPr>
      <w:r>
        <w:t>GAISSF-IMP-017 for evidence and preservation.</w:t>
      </w:r>
    </w:p>
    <w:p>
      <w:pPr>
        <w:pStyle w:val="Heading1"/>
      </w:pPr>
      <w:r>
        <w:t>Adoption-specific regulatory enhancements</w:t>
      </w:r>
    </w:p>
    <w:p>
      <w:pPr>
        <w:pStyle w:val="Heading2"/>
      </w:pPr>
      <w:r>
        <w:t>Legal and Regulatory Obligations Register</w:t>
      </w:r>
    </w:p>
    <w:tbl>
      <w:tblPr>
        <w:tblStyle w:val="TableGrid"/>
        <w:tblW w:type="auto" w:w="0"/>
        <w:jc w:val="center"/>
        <w:tblLook w:firstColumn="1" w:firstRow="1" w:lastColumn="0" w:lastRow="0" w:noHBand="0" w:noVBand="1" w:val="04A0"/>
      </w:tblPr>
      <w:tblGrid>
        <w:gridCol w:w="5083"/>
        <w:gridCol w:w="5083"/>
      </w:tblGrid>
      <w:tr>
        <w:tc>
          <w:tcPr>
            <w:tcW w:type="dxa" w:w="5083"/>
            <w:shd w:fill="17324D"/>
            <w:vAlign w:val="center"/>
          </w:tcPr>
          <w:p>
            <w:r>
              <w:rPr>
                <w:b/>
              </w:rPr>
              <w:t>Field</w:t>
            </w:r>
          </w:p>
        </w:tc>
        <w:tc>
          <w:tcPr>
            <w:tcW w:type="dxa" w:w="5083"/>
            <w:shd w:fill="17324D"/>
            <w:vAlign w:val="center"/>
          </w:tcPr>
          <w:p>
            <w:r>
              <w:rPr>
                <w:b/>
              </w:rPr>
              <w:t>Required content</w:t>
            </w:r>
          </w:p>
        </w:tc>
      </w:tr>
      <w:tr>
        <w:tc>
          <w:tcPr>
            <w:tcW w:type="dxa" w:w="5083"/>
          </w:tcPr>
          <w:p>
            <w:r>
              <w:t>Obligation identifier</w:t>
            </w:r>
          </w:p>
        </w:tc>
        <w:tc>
          <w:tcPr>
            <w:tcW w:type="dxa" w:w="5083"/>
          </w:tcPr>
          <w:p>
            <w:r>
              <w:t>Unique identifier and source citation.</w:t>
            </w:r>
          </w:p>
        </w:tc>
      </w:tr>
      <w:tr>
        <w:tc>
          <w:tcPr>
            <w:tcW w:type="dxa" w:w="5083"/>
          </w:tcPr>
          <w:p>
            <w:r>
              <w:t>Jurisdiction and authority</w:t>
            </w:r>
          </w:p>
        </w:tc>
        <w:tc>
          <w:tcPr>
            <w:tcW w:type="dxa" w:w="5083"/>
          </w:tcPr>
          <w:p>
            <w:r>
              <w:t>Country, state, sector and competent authority.</w:t>
            </w:r>
          </w:p>
        </w:tc>
      </w:tr>
      <w:tr>
        <w:tc>
          <w:tcPr>
            <w:tcW w:type="dxa" w:w="5083"/>
          </w:tcPr>
          <w:p>
            <w:r>
              <w:t>Applicability rationale</w:t>
            </w:r>
          </w:p>
        </w:tc>
        <w:tc>
          <w:tcPr>
            <w:tcW w:type="dxa" w:w="5083"/>
          </w:tcPr>
          <w:p>
            <w:r>
              <w:t>Why the obligation applies or does not apply.</w:t>
            </w:r>
          </w:p>
        </w:tc>
      </w:tr>
      <w:tr>
        <w:tc>
          <w:tcPr>
            <w:tcW w:type="dxa" w:w="5083"/>
          </w:tcPr>
          <w:p>
            <w:r>
              <w:t>Affected scope</w:t>
            </w:r>
          </w:p>
        </w:tc>
        <w:tc>
          <w:tcPr>
            <w:tcW w:type="dxa" w:w="5083"/>
          </w:tcPr>
          <w:p>
            <w:r>
              <w:t>Systems, business activities, locations, suppliers and populations.</w:t>
            </w:r>
          </w:p>
        </w:tc>
      </w:tr>
      <w:tr>
        <w:tc>
          <w:tcPr>
            <w:tcW w:type="dxa" w:w="5083"/>
          </w:tcPr>
          <w:p>
            <w:r>
              <w:t>Responsible owner</w:t>
            </w:r>
          </w:p>
        </w:tc>
        <w:tc>
          <w:tcPr>
            <w:tcW w:type="dxa" w:w="5083"/>
          </w:tcPr>
          <w:p>
            <w:r>
              <w:t>Authorized legal, privacy, compliance or regulatory owner.</w:t>
            </w:r>
          </w:p>
        </w:tc>
      </w:tr>
      <w:tr>
        <w:tc>
          <w:tcPr>
            <w:tcW w:type="dxa" w:w="5083"/>
          </w:tcPr>
          <w:p>
            <w:r>
              <w:t>Deadline or clock</w:t>
            </w:r>
          </w:p>
        </w:tc>
        <w:tc>
          <w:tcPr>
            <w:tcW w:type="dxa" w:w="5083"/>
          </w:tcPr>
          <w:p>
            <w:r>
              <w:t>Reporting, response, review or remediation timing.</w:t>
            </w:r>
          </w:p>
        </w:tc>
      </w:tr>
      <w:tr>
        <w:tc>
          <w:tcPr>
            <w:tcW w:type="dxa" w:w="5083"/>
          </w:tcPr>
          <w:p>
            <w:r>
              <w:t>Retention and preservation</w:t>
            </w:r>
          </w:p>
        </w:tc>
        <w:tc>
          <w:tcPr>
            <w:tcW w:type="dxa" w:w="5083"/>
          </w:tcPr>
          <w:p>
            <w:r>
              <w:t>Applicable schedule, legal hold and disposal constraints.</w:t>
            </w:r>
          </w:p>
        </w:tc>
      </w:tr>
      <w:tr>
        <w:tc>
          <w:tcPr>
            <w:tcW w:type="dxa" w:w="5083"/>
          </w:tcPr>
          <w:p>
            <w:r>
              <w:t>GAISSF relationship</w:t>
            </w:r>
          </w:p>
        </w:tc>
        <w:tc>
          <w:tcPr>
            <w:tcW w:type="dxa" w:w="5083"/>
          </w:tcPr>
          <w:p>
            <w:r>
              <w:t>Relevant controls, evidence and known non-equivalence.</w:t>
            </w:r>
          </w:p>
        </w:tc>
      </w:tr>
      <w:tr>
        <w:tc>
          <w:tcPr>
            <w:tcW w:type="dxa" w:w="5083"/>
          </w:tcPr>
          <w:p>
            <w:r>
              <w:t>Decision and uncertainty</w:t>
            </w:r>
          </w:p>
        </w:tc>
        <w:tc>
          <w:tcPr>
            <w:tcW w:type="dxa" w:w="5083"/>
          </w:tcPr>
          <w:p>
            <w:r>
              <w:t>Interpretation, unresolved issue, exception and approval.</w:t>
            </w:r>
          </w:p>
        </w:tc>
      </w:tr>
      <w:tr>
        <w:tc>
          <w:tcPr>
            <w:tcW w:type="dxa" w:w="5083"/>
          </w:tcPr>
          <w:p>
            <w:r>
              <w:t>Review trigger</w:t>
            </w:r>
          </w:p>
        </w:tc>
        <w:tc>
          <w:tcPr>
            <w:tcW w:type="dxa" w:w="5083"/>
          </w:tcPr>
          <w:p>
            <w:r>
              <w:t>Legal change, material system change, incident or periodic review.</w:t>
            </w:r>
          </w:p>
        </w:tc>
      </w:tr>
    </w:tbl>
    <w:p>
      <w:pPr>
        <w:pStyle w:val="Heading2"/>
      </w:pPr>
      <w:r>
        <w:t>Board and delegated-committee oversight evidence</w:t>
      </w:r>
    </w:p>
    <w:p>
      <w:pPr>
        <w:pStyle w:val="ListBullet"/>
      </w:pPr>
      <w:r>
        <w:t>Record information supplied, material risks, unresolved obligations, remediation funding and decision rationale.</w:t>
      </w:r>
    </w:p>
    <w:p>
      <w:pPr>
        <w:pStyle w:val="ListBullet"/>
      </w:pPr>
      <w:r>
        <w:t>Preserve minutes, dissent, management attestations and escalation of overdue high-risk matters.</w:t>
      </w:r>
    </w:p>
    <w:p>
      <w:pPr>
        <w:pStyle w:val="ListBullet"/>
      </w:pPr>
      <w:r>
        <w:t>Obtain jurisdiction-specific advice on director, officer and senior-management duties; GAISSF does not define those duties or the legal standard of care.</w:t>
      </w:r>
    </w:p>
    <w:p>
      <w:pPr>
        <w:pStyle w:val="Heading2"/>
      </w:pPr>
      <w:r>
        <w:t>Retention governance</w:t>
      </w:r>
    </w:p>
    <w:p>
      <w:r>
        <w:t>Retention periods shall be derived from applicable law, contracts, limitation periods, regulator expectations, litigation holds and business requirements. Generic periods shall not be treated as universally applicable.</w:t>
      </w:r>
    </w:p>
    <w:p>
      <w:pPr>
        <w:pStyle w:val="Heading2"/>
      </w:pPr>
      <w:r>
        <w:t>Adoption measures and engagement cadence</w:t>
      </w:r>
    </w:p>
    <w:tbl>
      <w:tblPr>
        <w:tblStyle w:val="TableGrid"/>
        <w:tblW w:type="auto" w:w="0"/>
        <w:jc w:val="center"/>
        <w:tblLook w:firstColumn="1" w:firstRow="1" w:lastColumn="0" w:lastRow="0" w:noHBand="0" w:noVBand="1" w:val="04A0"/>
      </w:tblPr>
      <w:tblGrid>
        <w:gridCol w:w="5083"/>
        <w:gridCol w:w="5083"/>
      </w:tblGrid>
      <w:tr>
        <w:tc>
          <w:tcPr>
            <w:tcW w:type="dxa" w:w="5083"/>
            <w:shd w:fill="17324D"/>
            <w:vAlign w:val="center"/>
          </w:tcPr>
          <w:p>
            <w:r>
              <w:rPr>
                <w:b/>
              </w:rPr>
              <w:t>Outcome</w:t>
            </w:r>
          </w:p>
        </w:tc>
        <w:tc>
          <w:tcPr>
            <w:tcW w:type="dxa" w:w="5083"/>
            <w:shd w:fill="17324D"/>
            <w:vAlign w:val="center"/>
          </w:tcPr>
          <w:p>
            <w:r>
              <w:rPr>
                <w:b/>
              </w:rPr>
              <w:t>Illustrative measure</w:t>
            </w:r>
          </w:p>
        </w:tc>
      </w:tr>
      <w:tr>
        <w:tc>
          <w:tcPr>
            <w:tcW w:type="dxa" w:w="5083"/>
          </w:tcPr>
          <w:p>
            <w:r>
              <w:t>Scope controlled</w:t>
            </w:r>
          </w:p>
        </w:tc>
        <w:tc>
          <w:tcPr>
            <w:tcW w:type="dxa" w:w="5083"/>
          </w:tcPr>
          <w:p>
            <w:r>
              <w:t>100% of in-scope systems have approved boundary, owner and jurisdiction record.</w:t>
            </w:r>
          </w:p>
        </w:tc>
      </w:tr>
      <w:tr>
        <w:tc>
          <w:tcPr>
            <w:tcW w:type="dxa" w:w="5083"/>
          </w:tcPr>
          <w:p>
            <w:r>
              <w:t>Controls owned</w:t>
            </w:r>
          </w:p>
        </w:tc>
        <w:tc>
          <w:tcPr>
            <w:tcW w:type="dxa" w:w="5083"/>
          </w:tcPr>
          <w:p>
            <w:r>
              <w:t>100% of applicable controls have accountable and operating owners.</w:t>
            </w:r>
          </w:p>
        </w:tc>
      </w:tr>
      <w:tr>
        <w:tc>
          <w:tcPr>
            <w:tcW w:type="dxa" w:w="5083"/>
          </w:tcPr>
          <w:p>
            <w:r>
              <w:t>Evidence managed</w:t>
            </w:r>
          </w:p>
        </w:tc>
        <w:tc>
          <w:tcPr>
            <w:tcW w:type="dxa" w:w="5083"/>
          </w:tcPr>
          <w:p>
            <w:r>
              <w:t>Target percentage of required evidence is current, attributable and indexed.</w:t>
            </w:r>
          </w:p>
        </w:tc>
      </w:tr>
      <w:tr>
        <w:tc>
          <w:tcPr>
            <w:tcW w:type="dxa" w:w="5083"/>
          </w:tcPr>
          <w:p>
            <w:r>
              <w:t>Remediation funded</w:t>
            </w:r>
          </w:p>
        </w:tc>
        <w:tc>
          <w:tcPr>
            <w:tcW w:type="dxa" w:w="5083"/>
          </w:tcPr>
          <w:p>
            <w:r>
              <w:t>High-risk actions have approved owners, dates and resources.</w:t>
            </w:r>
          </w:p>
        </w:tc>
      </w:tr>
      <w:tr>
        <w:tc>
          <w:tcPr>
            <w:tcW w:type="dxa" w:w="5083"/>
          </w:tcPr>
          <w:p>
            <w:r>
              <w:t>Oversight active</w:t>
            </w:r>
          </w:p>
        </w:tc>
        <w:tc>
          <w:tcPr>
            <w:tcW w:type="dxa" w:w="5083"/>
          </w:tcPr>
          <w:p>
            <w:r>
              <w:t>Material legal and control issues are reported at the approved cadence.</w:t>
            </w:r>
          </w:p>
        </w:tc>
      </w:tr>
    </w:tbl>
    <w:p>
      <w:r>
        <w:t>Illustrative engagement: monthly executive risk briefing; biweekly program steering; weekly system-owner implementation review; event-driven legal and regulatory escalation. Cadence shall be tailored to risk.</w:t>
      </w:r>
    </w:p>
    <w:p>
      <w:pPr>
        <w:pStyle w:val="Heading2"/>
      </w:pPr>
      <w:r>
        <w:t>Notably Absent — legal and regulatory boundary</w:t>
      </w:r>
    </w:p>
    <w:p>
      <w:pPr>
        <w:pStyle w:val="ListBullet"/>
      </w:pPr>
      <w:r>
        <w:t>No assertion that weak AI governance automatically creates personal liability or permits corporate-veil piercing.</w:t>
      </w:r>
    </w:p>
    <w:p>
      <w:pPr>
        <w:pStyle w:val="ListBullet"/>
      </w:pPr>
      <w:r>
        <w:t>No universal retention period.</w:t>
      </w:r>
    </w:p>
    <w:p>
      <w:pPr>
        <w:pStyle w:val="ListBullet"/>
      </w:pPr>
      <w:r>
        <w:t>No permission to select a profile solely by convenience or desired certificate scope.</w:t>
      </w:r>
    </w:p>
    <w:p>
      <w:pPr>
        <w:pStyle w:val="ListBullet"/>
      </w:pPr>
      <w:r>
        <w:t>No claim that GAISSF establishes fiduciary duties or a legal standard of care.</w:t>
      </w:r>
    </w:p>
    <w:p>
      <w:pPr>
        <w:pStyle w:val="Heading1"/>
      </w:pPr>
      <w:r>
        <w:t>Publication revision record</w:t>
      </w:r>
    </w:p>
    <w:tbl>
      <w:tblPr>
        <w:tblStyle w:val="TableGrid"/>
        <w:tblW w:type="auto" w:w="0"/>
        <w:jc w:val="center"/>
        <w:tblLook w:firstColumn="1" w:firstRow="1" w:lastColumn="0" w:lastRow="0" w:noHBand="0" w:noVBand="1" w:val="04A0"/>
      </w:tblPr>
      <w:tblGrid>
        <w:gridCol w:w="5083"/>
        <w:gridCol w:w="5083"/>
      </w:tblGrid>
      <w:tr>
        <w:tc>
          <w:tcPr>
            <w:tcW w:type="dxa" w:w="5083"/>
            <w:shd w:fill="17324D"/>
            <w:vAlign w:val="center"/>
          </w:tcPr>
          <w:p>
            <w:r>
              <w:rPr>
                <w:b/>
              </w:rPr>
              <w:t>Revision</w:t>
            </w:r>
          </w:p>
        </w:tc>
        <w:tc>
          <w:tcPr>
            <w:tcW w:type="dxa" w:w="5083"/>
            <w:shd w:fill="17324D"/>
            <w:vAlign w:val="center"/>
          </w:tcPr>
          <w:p>
            <w:r>
              <w:rPr>
                <w:b/>
              </w:rPr>
              <w:t>Disposition</w:t>
            </w:r>
          </w:p>
        </w:tc>
      </w:tr>
      <w:tr>
        <w:tc>
          <w:tcPr>
            <w:tcW w:type="dxa" w:w="5083"/>
          </w:tcPr>
          <w:p>
            <w:r>
              <w:t>R2 — Regulatory and practitioner refinement</w:t>
            </w:r>
          </w:p>
        </w:tc>
        <w:tc>
          <w:tcPr>
            <w:tcW w:type="dxa" w:w="5083"/>
          </w:tcPr>
          <w:p>
            <w:r>
              <w:t>Added legal and regulatory integration, preservation, reporting, decision-record, public-claim and usability guidance. No normative GAISSF control was added, removed, renamed or amended.</w:t>
            </w:r>
          </w:p>
        </w:tc>
      </w:tr>
      <w:tr>
        <w:tc>
          <w:tcPr>
            <w:tcW w:type="dxa" w:w="5083"/>
          </w:tcPr>
          <w:p>
            <w:r>
              <w:t>Authority boundary</w:t>
            </w:r>
          </w:p>
        </w:tc>
        <w:tc>
          <w:tcPr>
            <w:tcW w:type="dxa" w:w="5083"/>
          </w:tcPr>
          <w:p>
            <w:r>
              <w:t>GAISSF-NOR-001, GAISSF-NOR-004 and controlled profile records remain authoritative.</w:t>
            </w:r>
          </w:p>
        </w:tc>
      </w:tr>
    </w:tbl>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 xml:space="preserve">Version 1.0 | Implementation guidance | © 2026 ODA3 Pvt Ltd | Page </w:t>
    </w: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C6B7A"/>
        <w:sz w:val="16"/>
      </w:rPr>
      <w:t>GAISSF-IMP-009 | GAISSF® v1.0 Adoption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24D"/>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05B6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7324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4C6B7A"/>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4A5560"/>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GAISSF® v1.0 Adoption Guide</dc:title>
  <dc:subject>Program establishment and adoption planning | Full final edition</dc:subject>
  <dc:creator>ODA3 Institute</dc:creator>
  <cp:keywords>GAISSF, AI security, AI safety, implementation guidance, ODA3 Institute</cp:keywords>
  <dc:description>Verified and revised publication edition aligned to GAISSF v1.0 authoritative normative sources.</dc:description>
  <cp:lastModifiedBy>ODA3 Institute</cp:lastModifiedBy>
  <cp:revision>1</cp:revision>
  <dcterms:created xsi:type="dcterms:W3CDTF">2013-12-23T23:15:00Z</dcterms:created>
  <dcterms:modified xsi:type="dcterms:W3CDTF">2013-12-23T23:15:00Z</dcterms:modified>
  <cp:category/>
</cp:coreProperties>
</file>