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Implementation Handbook</w:t>
      </w:r>
    </w:p>
    <w:p>
      <w:pPr>
        <w:jc w:val="center"/>
      </w:pPr>
      <w:r>
        <w:rPr>
          <w:color w:val="4C6B7A"/>
          <w:sz w:val="23"/>
        </w:rPr>
        <w:t>Operational Architecture, Workflows, Engineering Integration and Evidence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GAISSF-IMP-010</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handbook explains implementation patterns. It does not establish or amend GAISSF requirements. The normative standard, control catalogue and controlled conformance profiles prevail.</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Implementation Handbook</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GAISSF-IMP-010</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Operational deployment guidance for GAISSF controls and evidence</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Security architects, AI engineers, platform teams, DevSecOps, model risk, governance, compliance, internal audit and assessors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w:t>
            </w:r>
          </w:p>
        </w:tc>
      </w:tr>
      <w:tr>
        <w:trPr>
          <w:cantSplit/>
        </w:trPr>
        <w:tc>
          <w:tcPr>
            <w:tcW w:type="dxa" w:w="2592"/>
            <w:vAlign w:val="center"/>
            <w:shd w:fill="F3F6F7"/>
          </w:tcPr>
          <w:p>
            <w:pPr>
              <w:spacing w:after="0"/>
            </w:pPr>
            <w:r/>
            <w:r>
              <w:rPr>
                <w:rFonts w:ascii="Aptos" w:hAnsi="Aptos"/>
                <w:b w:val="0"/>
                <w:sz w:val="15"/>
              </w:rPr>
              <w:t>Precedence</w:t>
            </w:r>
          </w:p>
        </w:tc>
        <w:tc>
          <w:tcPr>
            <w:tcW w:type="dxa" w:w="7056"/>
            <w:vAlign w:val="center"/>
            <w:shd w:fill="F3F6F7"/>
          </w:tcPr>
          <w:p>
            <w:pPr>
              <w:spacing w:after="0"/>
            </w:pPr>
            <w:r/>
            <w:r>
              <w:rPr>
                <w:rFonts w:ascii="Aptos" w:hAnsi="Aptos"/>
                <w:b w:val="0"/>
                <w:sz w:val="15"/>
              </w:rPr>
              <w:t>GAISSF-NOR-001 and GAISSF-NOR-004 prevail</w:t>
            </w:r>
          </w:p>
        </w:tc>
      </w:tr>
      <w:tr>
        <w:trPr>
          <w:cantSplit/>
        </w:trPr>
        <w:tc>
          <w:tcPr>
            <w:tcW w:type="dxa" w:w="2592"/>
            <w:vAlign w:val="center"/>
          </w:tcPr>
          <w:p>
            <w:pPr>
              <w:spacing w:after="0"/>
            </w:pPr>
            <w:r/>
            <w:r>
              <w:rPr>
                <w:rFonts w:ascii="Aptos" w:hAnsi="Aptos"/>
                <w:b w:val="0"/>
                <w:sz w:val="15"/>
              </w:rPr>
              <w:t>Distribution</w:t>
            </w:r>
          </w:p>
        </w:tc>
        <w:tc>
          <w:tcPr>
            <w:tcW w:type="dxa" w:w="7056"/>
            <w:vAlign w:val="center"/>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This handbook does not constitute legal advice, safety approval, regulatory approval, certification, accreditation or a guarantee of secure or safe operation.</w:t>
      </w:r>
      <w:r>
        <w:t xml:space="preserve"> It does not create a legal safe harbour, establish a legal standard of care, or determine statutory compliance in any jurisdiction.</w:t>
      </w:r>
    </w:p>
    <w:p>
      <w:r>
        <w:t>Examples are illustrative. Organizations remain responsible for architecture, system safety, privacy, risk acceptance and evidence sufficiency.</w:t>
      </w:r>
    </w:p>
    <w:p>
      <w:pPr>
        <w:pStyle w:val="Heading1"/>
      </w:pPr>
      <w:r>
        <w:t>Foreword</w:t>
      </w:r>
    </w:p>
    <w:p>
      <w:r>
        <w:t>This handbook translates the GAISSF control architecture into implementable operating patterns. It is designed to help practitioners connect governance requirements with system architecture, engineering workflows, control operation, telemetry, evidence and assurance.</w:t>
      </w:r>
    </w:p>
    <w:p>
      <w:pPr>
        <w:pStyle w:val="Heading1"/>
      </w:pPr>
      <w:r>
        <w:t>1. Purpose, Scope and Use</w:t>
      </w:r>
    </w:p>
    <w:p>
      <w:r>
        <w:t>The handbook covers operational architecture, lifecycle workflows, deployment gates, control ownership, evidence generation, monitoring, exception handling, supplier integration, assurance and implementation patterns for AI systems.</w:t>
      </w:r>
    </w:p>
    <w:p>
      <w:r>
        <w:t>It may be used for greenfield programs, existing AI platforms, third-party AI services, agentic systems, embedded models and physical-AI environments. It shall not be used as a substitute for the exact control statements in GAISSF-NOR-004.</w:t>
      </w:r>
    </w:p>
    <w:p>
      <w:pPr>
        <w:pStyle w:val="Heading1"/>
      </w:pPr>
      <w:r>
        <w:t>2. Implementation Model</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Layer</w:t>
            </w:r>
          </w:p>
        </w:tc>
        <w:tc>
          <w:tcPr>
            <w:tcW w:type="dxa" w:w="3600"/>
            <w:vAlign w:val="center"/>
            <w:shd w:fill="17324D"/>
          </w:tcPr>
          <w:p>
            <w:pPr>
              <w:spacing w:after="0"/>
            </w:pPr>
            <w:r/>
            <w:r>
              <w:rPr>
                <w:rFonts w:ascii="Aptos" w:hAnsi="Aptos"/>
                <w:b/>
                <w:color w:val="FFFFFF"/>
                <w:sz w:val="15"/>
              </w:rPr>
              <w:t>Purpose</w:t>
            </w:r>
          </w:p>
        </w:tc>
        <w:tc>
          <w:tcPr>
            <w:tcW w:type="dxa" w:w="4032"/>
            <w:vAlign w:val="center"/>
            <w:shd w:fill="17324D"/>
          </w:tcPr>
          <w:p>
            <w:pPr>
              <w:spacing w:after="0"/>
            </w:pPr>
            <w:r/>
            <w:r>
              <w:rPr>
                <w:rFonts w:ascii="Aptos" w:hAnsi="Aptos"/>
                <w:b/>
                <w:color w:val="FFFFFF"/>
                <w:sz w:val="15"/>
              </w:rPr>
              <w:t>Primary artifacts</w:t>
            </w:r>
          </w:p>
        </w:tc>
      </w:tr>
      <w:tr>
        <w:trPr>
          <w:cantSplit/>
        </w:trPr>
        <w:tc>
          <w:tcPr>
            <w:tcW w:type="dxa" w:w="2016"/>
            <w:vAlign w:val="center"/>
          </w:tcPr>
          <w:p>
            <w:pPr>
              <w:spacing w:after="0"/>
            </w:pPr>
            <w:r/>
            <w:r>
              <w:rPr>
                <w:rFonts w:ascii="Aptos" w:hAnsi="Aptos"/>
                <w:b w:val="0"/>
                <w:sz w:val="15"/>
              </w:rPr>
              <w:t>Governance</w:t>
            </w:r>
          </w:p>
        </w:tc>
        <w:tc>
          <w:tcPr>
            <w:tcW w:type="dxa" w:w="3600"/>
            <w:vAlign w:val="center"/>
          </w:tcPr>
          <w:p>
            <w:pPr>
              <w:spacing w:after="0"/>
            </w:pPr>
            <w:r/>
            <w:r>
              <w:rPr>
                <w:rFonts w:ascii="Aptos" w:hAnsi="Aptos"/>
                <w:b w:val="0"/>
                <w:sz w:val="15"/>
              </w:rPr>
              <w:t>Accountability, policy, risk and decision rights</w:t>
            </w:r>
          </w:p>
        </w:tc>
        <w:tc>
          <w:tcPr>
            <w:tcW w:type="dxa" w:w="4032"/>
            <w:vAlign w:val="center"/>
          </w:tcPr>
          <w:p>
            <w:pPr>
              <w:spacing w:after="0"/>
            </w:pPr>
            <w:r/>
            <w:r>
              <w:rPr>
                <w:rFonts w:ascii="Aptos" w:hAnsi="Aptos"/>
                <w:b w:val="0"/>
                <w:sz w:val="15"/>
              </w:rPr>
              <w:t>Charter, RACI, risk register, approvals</w:t>
            </w:r>
          </w:p>
        </w:tc>
      </w:tr>
      <w:tr>
        <w:trPr>
          <w:cantSplit/>
        </w:trPr>
        <w:tc>
          <w:tcPr>
            <w:tcW w:type="dxa" w:w="2016"/>
            <w:vAlign w:val="center"/>
            <w:shd w:fill="F3F6F7"/>
          </w:tcPr>
          <w:p>
            <w:pPr>
              <w:spacing w:after="0"/>
            </w:pPr>
            <w:r/>
            <w:r>
              <w:rPr>
                <w:rFonts w:ascii="Aptos" w:hAnsi="Aptos"/>
                <w:b w:val="0"/>
                <w:sz w:val="15"/>
              </w:rPr>
              <w:t>Control design</w:t>
            </w:r>
          </w:p>
        </w:tc>
        <w:tc>
          <w:tcPr>
            <w:tcW w:type="dxa" w:w="3600"/>
            <w:vAlign w:val="center"/>
            <w:shd w:fill="F3F6F7"/>
          </w:tcPr>
          <w:p>
            <w:pPr>
              <w:spacing w:after="0"/>
            </w:pPr>
            <w:r/>
            <w:r>
              <w:rPr>
                <w:rFonts w:ascii="Aptos" w:hAnsi="Aptos"/>
                <w:b w:val="0"/>
                <w:sz w:val="15"/>
              </w:rPr>
              <w:t>Translate requirements into organizational and technical mechanisms</w:t>
            </w:r>
          </w:p>
        </w:tc>
        <w:tc>
          <w:tcPr>
            <w:tcW w:type="dxa" w:w="4032"/>
            <w:vAlign w:val="center"/>
            <w:shd w:fill="F3F6F7"/>
          </w:tcPr>
          <w:p>
            <w:pPr>
              <w:spacing w:after="0"/>
            </w:pPr>
            <w:r/>
            <w:r>
              <w:rPr>
                <w:rFonts w:ascii="Aptos" w:hAnsi="Aptos"/>
                <w:b w:val="0"/>
                <w:sz w:val="15"/>
              </w:rPr>
              <w:t>Control designs, standards, procedures</w:t>
            </w:r>
          </w:p>
        </w:tc>
      </w:tr>
      <w:tr>
        <w:trPr>
          <w:cantSplit/>
        </w:trPr>
        <w:tc>
          <w:tcPr>
            <w:tcW w:type="dxa" w:w="2016"/>
            <w:vAlign w:val="center"/>
          </w:tcPr>
          <w:p>
            <w:pPr>
              <w:spacing w:after="0"/>
            </w:pPr>
            <w:r/>
            <w:r>
              <w:rPr>
                <w:rFonts w:ascii="Aptos" w:hAnsi="Aptos"/>
                <w:b w:val="0"/>
                <w:sz w:val="15"/>
              </w:rPr>
              <w:t>System architecture</w:t>
            </w:r>
          </w:p>
        </w:tc>
        <w:tc>
          <w:tcPr>
            <w:tcW w:type="dxa" w:w="3600"/>
            <w:vAlign w:val="center"/>
          </w:tcPr>
          <w:p>
            <w:pPr>
              <w:spacing w:after="0"/>
            </w:pPr>
            <w:r/>
            <w:r>
              <w:rPr>
                <w:rFonts w:ascii="Aptos" w:hAnsi="Aptos"/>
                <w:b w:val="0"/>
                <w:sz w:val="15"/>
              </w:rPr>
              <w:t>Place controls at trust boundaries and lifecycle stages</w:t>
            </w:r>
          </w:p>
        </w:tc>
        <w:tc>
          <w:tcPr>
            <w:tcW w:type="dxa" w:w="4032"/>
            <w:vAlign w:val="center"/>
          </w:tcPr>
          <w:p>
            <w:pPr>
              <w:spacing w:after="0"/>
            </w:pPr>
            <w:r/>
            <w:r>
              <w:rPr>
                <w:rFonts w:ascii="Aptos" w:hAnsi="Aptos"/>
                <w:b w:val="0"/>
                <w:sz w:val="15"/>
              </w:rPr>
              <w:t>Reference architecture, data flows, threat model</w:t>
            </w:r>
          </w:p>
        </w:tc>
      </w:tr>
      <w:tr>
        <w:trPr>
          <w:cantSplit/>
        </w:trPr>
        <w:tc>
          <w:tcPr>
            <w:tcW w:type="dxa" w:w="2016"/>
            <w:vAlign w:val="center"/>
            <w:shd w:fill="F3F6F7"/>
          </w:tcPr>
          <w:p>
            <w:pPr>
              <w:spacing w:after="0"/>
            </w:pPr>
            <w:r/>
            <w:r>
              <w:rPr>
                <w:rFonts w:ascii="Aptos" w:hAnsi="Aptos"/>
                <w:b w:val="0"/>
                <w:sz w:val="15"/>
              </w:rPr>
              <w:t>Workflow integration</w:t>
            </w:r>
          </w:p>
        </w:tc>
        <w:tc>
          <w:tcPr>
            <w:tcW w:type="dxa" w:w="3600"/>
            <w:vAlign w:val="center"/>
            <w:shd w:fill="F3F6F7"/>
          </w:tcPr>
          <w:p>
            <w:pPr>
              <w:spacing w:after="0"/>
            </w:pPr>
            <w:r/>
            <w:r>
              <w:rPr>
                <w:rFonts w:ascii="Aptos" w:hAnsi="Aptos"/>
                <w:b w:val="0"/>
                <w:sz w:val="15"/>
              </w:rPr>
              <w:t>Embed control operation into engineering and business processes</w:t>
            </w:r>
          </w:p>
        </w:tc>
        <w:tc>
          <w:tcPr>
            <w:tcW w:type="dxa" w:w="4032"/>
            <w:vAlign w:val="center"/>
            <w:shd w:fill="F3F6F7"/>
          </w:tcPr>
          <w:p>
            <w:pPr>
              <w:spacing w:after="0"/>
            </w:pPr>
            <w:r/>
            <w:r>
              <w:rPr>
                <w:rFonts w:ascii="Aptos" w:hAnsi="Aptos"/>
                <w:b w:val="0"/>
                <w:sz w:val="15"/>
              </w:rPr>
              <w:t>SDLC gates, tickets, approvals, runbooks</w:t>
            </w:r>
          </w:p>
        </w:tc>
      </w:tr>
      <w:tr>
        <w:trPr>
          <w:cantSplit/>
        </w:trPr>
        <w:tc>
          <w:tcPr>
            <w:tcW w:type="dxa" w:w="2016"/>
            <w:vAlign w:val="center"/>
          </w:tcPr>
          <w:p>
            <w:pPr>
              <w:spacing w:after="0"/>
            </w:pPr>
            <w:r/>
            <w:r>
              <w:rPr>
                <w:rFonts w:ascii="Aptos" w:hAnsi="Aptos"/>
                <w:b w:val="0"/>
                <w:sz w:val="15"/>
              </w:rPr>
              <w:t>Telemetry and evidence</w:t>
            </w:r>
          </w:p>
        </w:tc>
        <w:tc>
          <w:tcPr>
            <w:tcW w:type="dxa" w:w="3600"/>
            <w:vAlign w:val="center"/>
          </w:tcPr>
          <w:p>
            <w:pPr>
              <w:spacing w:after="0"/>
            </w:pPr>
            <w:r/>
            <w:r>
              <w:rPr>
                <w:rFonts w:ascii="Aptos" w:hAnsi="Aptos"/>
                <w:b w:val="0"/>
                <w:sz w:val="15"/>
              </w:rPr>
              <w:t>Record control operation and outcomes</w:t>
            </w:r>
          </w:p>
        </w:tc>
        <w:tc>
          <w:tcPr>
            <w:tcW w:type="dxa" w:w="4032"/>
            <w:vAlign w:val="center"/>
          </w:tcPr>
          <w:p>
            <w:pPr>
              <w:spacing w:after="0"/>
            </w:pPr>
            <w:r/>
            <w:r>
              <w:rPr>
                <w:rFonts w:ascii="Aptos" w:hAnsi="Aptos"/>
                <w:b w:val="0"/>
                <w:sz w:val="15"/>
              </w:rPr>
              <w:t>Logs, metrics, test reports, evidence index</w:t>
            </w:r>
          </w:p>
        </w:tc>
      </w:tr>
      <w:tr>
        <w:trPr>
          <w:cantSplit/>
        </w:trPr>
        <w:tc>
          <w:tcPr>
            <w:tcW w:type="dxa" w:w="2016"/>
            <w:vAlign w:val="center"/>
            <w:shd w:fill="F3F6F7"/>
          </w:tcPr>
          <w:p>
            <w:pPr>
              <w:spacing w:after="0"/>
            </w:pPr>
            <w:r/>
            <w:r>
              <w:rPr>
                <w:rFonts w:ascii="Aptos" w:hAnsi="Aptos"/>
                <w:b w:val="0"/>
                <w:sz w:val="15"/>
              </w:rPr>
              <w:t>Assurance</w:t>
            </w:r>
          </w:p>
        </w:tc>
        <w:tc>
          <w:tcPr>
            <w:tcW w:type="dxa" w:w="3600"/>
            <w:vAlign w:val="center"/>
            <w:shd w:fill="F3F6F7"/>
          </w:tcPr>
          <w:p>
            <w:pPr>
              <w:spacing w:after="0"/>
            </w:pPr>
            <w:r/>
            <w:r>
              <w:rPr>
                <w:rFonts w:ascii="Aptos" w:hAnsi="Aptos"/>
                <w:b w:val="0"/>
                <w:sz w:val="15"/>
              </w:rPr>
              <w:t>Test design and operating effectiveness</w:t>
            </w:r>
          </w:p>
        </w:tc>
        <w:tc>
          <w:tcPr>
            <w:tcW w:type="dxa" w:w="4032"/>
            <w:vAlign w:val="center"/>
            <w:shd w:fill="F3F6F7"/>
          </w:tcPr>
          <w:p>
            <w:pPr>
              <w:spacing w:after="0"/>
            </w:pPr>
            <w:r/>
            <w:r>
              <w:rPr>
                <w:rFonts w:ascii="Aptos" w:hAnsi="Aptos"/>
                <w:b w:val="0"/>
                <w:sz w:val="15"/>
              </w:rPr>
              <w:t>Assessments, samples, findings, retests</w:t>
            </w:r>
          </w:p>
        </w:tc>
      </w:tr>
      <w:tr>
        <w:trPr>
          <w:cantSplit/>
        </w:trPr>
        <w:tc>
          <w:tcPr>
            <w:tcW w:type="dxa" w:w="2016"/>
            <w:vAlign w:val="center"/>
          </w:tcPr>
          <w:p>
            <w:pPr>
              <w:spacing w:after="0"/>
            </w:pPr>
            <w:r/>
            <w:r>
              <w:rPr>
                <w:rFonts w:ascii="Aptos" w:hAnsi="Aptos"/>
                <w:b w:val="0"/>
                <w:sz w:val="15"/>
              </w:rPr>
              <w:t>Improvement</w:t>
            </w:r>
          </w:p>
        </w:tc>
        <w:tc>
          <w:tcPr>
            <w:tcW w:type="dxa" w:w="3600"/>
            <w:vAlign w:val="center"/>
          </w:tcPr>
          <w:p>
            <w:pPr>
              <w:spacing w:after="0"/>
            </w:pPr>
            <w:r/>
            <w:r>
              <w:rPr>
                <w:rFonts w:ascii="Aptos" w:hAnsi="Aptos"/>
                <w:b w:val="0"/>
                <w:sz w:val="15"/>
              </w:rPr>
              <w:t>Correct weaknesses and respond to change</w:t>
            </w:r>
          </w:p>
        </w:tc>
        <w:tc>
          <w:tcPr>
            <w:tcW w:type="dxa" w:w="4032"/>
            <w:vAlign w:val="center"/>
          </w:tcPr>
          <w:p>
            <w:pPr>
              <w:spacing w:after="0"/>
            </w:pPr>
            <w:r/>
            <w:r>
              <w:rPr>
                <w:rFonts w:ascii="Aptos" w:hAnsi="Aptos"/>
                <w:b w:val="0"/>
                <w:sz w:val="15"/>
              </w:rPr>
              <w:t>Corrective actions, trend reviews, release impact</w:t>
            </w:r>
          </w:p>
        </w:tc>
      </w:tr>
    </w:tbl>
    <w:p/>
    <w:p>
      <w:pPr>
        <w:pStyle w:val="Heading1"/>
      </w:pPr>
      <w:r>
        <w:t>3. Reference Operating Architecture</w:t>
      </w:r>
    </w:p>
    <w:p>
      <w:pPr>
        <w:pStyle w:val="Heading2"/>
      </w:pPr>
      <w:r>
        <w:t>3.1 Core architectural zones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Zone</w:t>
            </w:r>
          </w:p>
        </w:tc>
        <w:tc>
          <w:tcPr>
            <w:tcW w:type="dxa" w:w="3744"/>
            <w:vAlign w:val="center"/>
            <w:shd w:fill="17324D"/>
          </w:tcPr>
          <w:p>
            <w:pPr>
              <w:spacing w:after="0"/>
            </w:pPr>
            <w:r/>
            <w:r>
              <w:rPr>
                <w:rFonts w:ascii="Aptos" w:hAnsi="Aptos"/>
                <w:b/>
                <w:color w:val="FFFFFF"/>
                <w:sz w:val="15"/>
              </w:rPr>
              <w:t>Components</w:t>
            </w:r>
          </w:p>
        </w:tc>
        <w:tc>
          <w:tcPr>
            <w:tcW w:type="dxa" w:w="3888"/>
            <w:vAlign w:val="center"/>
            <w:shd w:fill="17324D"/>
          </w:tcPr>
          <w:p>
            <w:pPr>
              <w:spacing w:after="0"/>
            </w:pPr>
            <w:r/>
            <w:r>
              <w:rPr>
                <w:rFonts w:ascii="Aptos" w:hAnsi="Aptos"/>
                <w:b/>
                <w:color w:val="FFFFFF"/>
                <w:sz w:val="15"/>
              </w:rPr>
              <w:t>Key control concerns</w:t>
            </w:r>
          </w:p>
        </w:tc>
      </w:tr>
      <w:tr>
        <w:trPr>
          <w:cantSplit/>
        </w:trPr>
        <w:tc>
          <w:tcPr>
            <w:tcW w:type="dxa" w:w="2016"/>
            <w:vAlign w:val="center"/>
          </w:tcPr>
          <w:p>
            <w:pPr>
              <w:spacing w:after="0"/>
            </w:pPr>
            <w:r/>
            <w:r>
              <w:rPr>
                <w:rFonts w:ascii="Aptos" w:hAnsi="Aptos"/>
                <w:b w:val="0"/>
                <w:sz w:val="15"/>
              </w:rPr>
              <w:t>User and channel</w:t>
            </w:r>
          </w:p>
        </w:tc>
        <w:tc>
          <w:tcPr>
            <w:tcW w:type="dxa" w:w="3744"/>
            <w:vAlign w:val="center"/>
          </w:tcPr>
          <w:p>
            <w:pPr>
              <w:spacing w:after="0"/>
            </w:pPr>
            <w:r/>
            <w:r>
              <w:rPr>
                <w:rFonts w:ascii="Aptos" w:hAnsi="Aptos"/>
                <w:b w:val="0"/>
                <w:sz w:val="15"/>
              </w:rPr>
              <w:t>Web, mobile, API, chat, voice, operator interface</w:t>
            </w:r>
          </w:p>
        </w:tc>
        <w:tc>
          <w:tcPr>
            <w:tcW w:type="dxa" w:w="3888"/>
            <w:vAlign w:val="center"/>
          </w:tcPr>
          <w:p>
            <w:pPr>
              <w:spacing w:after="0"/>
            </w:pPr>
            <w:r/>
            <w:r>
              <w:rPr>
                <w:rFonts w:ascii="Aptos" w:hAnsi="Aptos"/>
                <w:b w:val="0"/>
                <w:sz w:val="15"/>
              </w:rPr>
              <w:t>Identity, transparency, misuse prevention, human factors</w:t>
            </w:r>
          </w:p>
        </w:tc>
      </w:tr>
      <w:tr>
        <w:trPr>
          <w:cantSplit/>
        </w:trPr>
        <w:tc>
          <w:tcPr>
            <w:tcW w:type="dxa" w:w="2016"/>
            <w:vAlign w:val="center"/>
            <w:shd w:fill="F3F6F7"/>
          </w:tcPr>
          <w:p>
            <w:pPr>
              <w:spacing w:after="0"/>
            </w:pPr>
            <w:r/>
            <w:r>
              <w:rPr>
                <w:rFonts w:ascii="Aptos" w:hAnsi="Aptos"/>
                <w:b w:val="0"/>
                <w:sz w:val="15"/>
              </w:rPr>
              <w:t>Application and orchestration</w:t>
            </w:r>
          </w:p>
        </w:tc>
        <w:tc>
          <w:tcPr>
            <w:tcW w:type="dxa" w:w="3744"/>
            <w:vAlign w:val="center"/>
            <w:shd w:fill="F3F6F7"/>
          </w:tcPr>
          <w:p>
            <w:pPr>
              <w:spacing w:after="0"/>
            </w:pPr>
            <w:r/>
            <w:r>
              <w:rPr>
                <w:rFonts w:ascii="Aptos" w:hAnsi="Aptos"/>
                <w:b w:val="0"/>
                <w:sz w:val="15"/>
              </w:rPr>
              <w:t>Business logic, prompt chains, agents, tools, memory</w:t>
            </w:r>
          </w:p>
        </w:tc>
        <w:tc>
          <w:tcPr>
            <w:tcW w:type="dxa" w:w="3888"/>
            <w:vAlign w:val="center"/>
            <w:shd w:fill="F3F6F7"/>
          </w:tcPr>
          <w:p>
            <w:pPr>
              <w:spacing w:after="0"/>
            </w:pPr>
            <w:r/>
            <w:r>
              <w:rPr>
                <w:rFonts w:ascii="Aptos" w:hAnsi="Aptos"/>
                <w:b w:val="0"/>
                <w:sz w:val="15"/>
              </w:rPr>
              <w:t>Authorization, prompt control, tool permissions, state integrity</w:t>
            </w:r>
          </w:p>
        </w:tc>
      </w:tr>
      <w:tr>
        <w:trPr>
          <w:cantSplit/>
        </w:trPr>
        <w:tc>
          <w:tcPr>
            <w:tcW w:type="dxa" w:w="2016"/>
            <w:vAlign w:val="center"/>
          </w:tcPr>
          <w:p>
            <w:pPr>
              <w:spacing w:after="0"/>
            </w:pPr>
            <w:r/>
            <w:r>
              <w:rPr>
                <w:rFonts w:ascii="Aptos" w:hAnsi="Aptos"/>
                <w:b w:val="0"/>
                <w:sz w:val="15"/>
              </w:rPr>
              <w:t>Model services</w:t>
            </w:r>
          </w:p>
        </w:tc>
        <w:tc>
          <w:tcPr>
            <w:tcW w:type="dxa" w:w="3744"/>
            <w:vAlign w:val="center"/>
          </w:tcPr>
          <w:p>
            <w:pPr>
              <w:spacing w:after="0"/>
            </w:pPr>
            <w:r/>
            <w:r>
              <w:rPr>
                <w:rFonts w:ascii="Aptos" w:hAnsi="Aptos"/>
                <w:b w:val="0"/>
                <w:sz w:val="15"/>
              </w:rPr>
              <w:t>Hosted models, local models, routing, inference endpoints</w:t>
            </w:r>
          </w:p>
        </w:tc>
        <w:tc>
          <w:tcPr>
            <w:tcW w:type="dxa" w:w="3888"/>
            <w:vAlign w:val="center"/>
          </w:tcPr>
          <w:p>
            <w:pPr>
              <w:spacing w:after="0"/>
            </w:pPr>
            <w:r/>
            <w:r>
              <w:rPr>
                <w:rFonts w:ascii="Aptos" w:hAnsi="Aptos"/>
                <w:b w:val="0"/>
                <w:sz w:val="15"/>
              </w:rPr>
              <w:t>Model provenance, versioning, robustness, output controls</w:t>
            </w:r>
          </w:p>
        </w:tc>
      </w:tr>
      <w:tr>
        <w:trPr>
          <w:cantSplit/>
        </w:trPr>
        <w:tc>
          <w:tcPr>
            <w:tcW w:type="dxa" w:w="2016"/>
            <w:vAlign w:val="center"/>
            <w:shd w:fill="F3F6F7"/>
          </w:tcPr>
          <w:p>
            <w:pPr>
              <w:spacing w:after="0"/>
            </w:pPr>
            <w:r/>
            <w:r>
              <w:rPr>
                <w:rFonts w:ascii="Aptos" w:hAnsi="Aptos"/>
                <w:b w:val="0"/>
                <w:sz w:val="15"/>
              </w:rPr>
              <w:t>Data and retrieval</w:t>
            </w:r>
          </w:p>
        </w:tc>
        <w:tc>
          <w:tcPr>
            <w:tcW w:type="dxa" w:w="3744"/>
            <w:vAlign w:val="center"/>
            <w:shd w:fill="F3F6F7"/>
          </w:tcPr>
          <w:p>
            <w:pPr>
              <w:spacing w:after="0"/>
            </w:pPr>
            <w:r/>
            <w:r>
              <w:rPr>
                <w:rFonts w:ascii="Aptos" w:hAnsi="Aptos"/>
                <w:b w:val="0"/>
                <w:sz w:val="15"/>
              </w:rPr>
              <w:t>Training data, RAG stores, vector databases, feature stores</w:t>
            </w:r>
          </w:p>
        </w:tc>
        <w:tc>
          <w:tcPr>
            <w:tcW w:type="dxa" w:w="3888"/>
            <w:vAlign w:val="center"/>
            <w:shd w:fill="F3F6F7"/>
          </w:tcPr>
          <w:p>
            <w:pPr>
              <w:spacing w:after="0"/>
            </w:pPr>
            <w:r/>
            <w:r>
              <w:rPr>
                <w:rFonts w:ascii="Aptos" w:hAnsi="Aptos"/>
                <w:b w:val="0"/>
                <w:sz w:val="15"/>
              </w:rPr>
              <w:t>Data lineage, poisoning resistance, privacy, retention</w:t>
            </w:r>
          </w:p>
        </w:tc>
      </w:tr>
      <w:tr>
        <w:trPr>
          <w:cantSplit/>
        </w:trPr>
        <w:tc>
          <w:tcPr>
            <w:tcW w:type="dxa" w:w="2016"/>
            <w:vAlign w:val="center"/>
          </w:tcPr>
          <w:p>
            <w:pPr>
              <w:spacing w:after="0"/>
            </w:pPr>
            <w:r/>
            <w:r>
              <w:rPr>
                <w:rFonts w:ascii="Aptos" w:hAnsi="Aptos"/>
                <w:b w:val="0"/>
                <w:sz w:val="15"/>
              </w:rPr>
              <w:t>Tool and action plane</w:t>
            </w:r>
          </w:p>
        </w:tc>
        <w:tc>
          <w:tcPr>
            <w:tcW w:type="dxa" w:w="3744"/>
            <w:vAlign w:val="center"/>
          </w:tcPr>
          <w:p>
            <w:pPr>
              <w:spacing w:after="0"/>
            </w:pPr>
            <w:r/>
            <w:r>
              <w:rPr>
                <w:rFonts w:ascii="Aptos" w:hAnsi="Aptos"/>
                <w:b w:val="0"/>
                <w:sz w:val="15"/>
              </w:rPr>
              <w:t>Plugins, APIs, robotic actions, external systems</w:t>
            </w:r>
          </w:p>
        </w:tc>
        <w:tc>
          <w:tcPr>
            <w:tcW w:type="dxa" w:w="3888"/>
            <w:vAlign w:val="center"/>
          </w:tcPr>
          <w:p>
            <w:pPr>
              <w:spacing w:after="0"/>
            </w:pPr>
            <w:r/>
            <w:r>
              <w:rPr>
                <w:rFonts w:ascii="Aptos" w:hAnsi="Aptos"/>
                <w:b w:val="0"/>
                <w:sz w:val="15"/>
              </w:rPr>
              <w:t>Least privilege, transaction controls, human approval, rollback</w:t>
            </w:r>
          </w:p>
        </w:tc>
      </w:tr>
      <w:tr>
        <w:trPr>
          <w:cantSplit/>
        </w:trPr>
        <w:tc>
          <w:tcPr>
            <w:tcW w:type="dxa" w:w="2016"/>
            <w:vAlign w:val="center"/>
            <w:shd w:fill="F3F6F7"/>
          </w:tcPr>
          <w:p>
            <w:pPr>
              <w:spacing w:after="0"/>
            </w:pPr>
            <w:r/>
            <w:r>
              <w:rPr>
                <w:rFonts w:ascii="Aptos" w:hAnsi="Aptos"/>
                <w:b w:val="0"/>
                <w:sz w:val="15"/>
              </w:rPr>
              <w:t>Platform and infrastructure</w:t>
            </w:r>
          </w:p>
        </w:tc>
        <w:tc>
          <w:tcPr>
            <w:tcW w:type="dxa" w:w="3744"/>
            <w:vAlign w:val="center"/>
            <w:shd w:fill="F3F6F7"/>
          </w:tcPr>
          <w:p>
            <w:pPr>
              <w:spacing w:after="0"/>
            </w:pPr>
            <w:r/>
            <w:r>
              <w:rPr>
                <w:rFonts w:ascii="Aptos" w:hAnsi="Aptos"/>
                <w:b w:val="0"/>
                <w:sz w:val="15"/>
              </w:rPr>
              <w:t>Cloud, containers, endpoints, networks, secrets</w:t>
            </w:r>
          </w:p>
        </w:tc>
        <w:tc>
          <w:tcPr>
            <w:tcW w:type="dxa" w:w="3888"/>
            <w:vAlign w:val="center"/>
            <w:shd w:fill="F3F6F7"/>
          </w:tcPr>
          <w:p>
            <w:pPr>
              <w:spacing w:after="0"/>
            </w:pPr>
            <w:r/>
            <w:r>
              <w:rPr>
                <w:rFonts w:ascii="Aptos" w:hAnsi="Aptos"/>
                <w:b w:val="0"/>
                <w:sz w:val="15"/>
              </w:rPr>
              <w:t>Segmentation, hardening, monitoring, resilience</w:t>
            </w:r>
          </w:p>
        </w:tc>
      </w:tr>
      <w:tr>
        <w:trPr>
          <w:cantSplit/>
        </w:trPr>
        <w:tc>
          <w:tcPr>
            <w:tcW w:type="dxa" w:w="2016"/>
            <w:vAlign w:val="center"/>
          </w:tcPr>
          <w:p>
            <w:pPr>
              <w:spacing w:after="0"/>
            </w:pPr>
            <w:r/>
            <w:r>
              <w:rPr>
                <w:rFonts w:ascii="Aptos" w:hAnsi="Aptos"/>
                <w:b w:val="0"/>
                <w:sz w:val="15"/>
              </w:rPr>
              <w:t>Assurance plane</w:t>
            </w:r>
          </w:p>
        </w:tc>
        <w:tc>
          <w:tcPr>
            <w:tcW w:type="dxa" w:w="3744"/>
            <w:vAlign w:val="center"/>
          </w:tcPr>
          <w:p>
            <w:pPr>
              <w:spacing w:after="0"/>
            </w:pPr>
            <w:r/>
            <w:r>
              <w:rPr>
                <w:rFonts w:ascii="Aptos" w:hAnsi="Aptos"/>
                <w:b w:val="0"/>
                <w:sz w:val="15"/>
              </w:rPr>
              <w:t>Evaluation, red teaming, test harnesses, VTS, evidence</w:t>
            </w:r>
          </w:p>
        </w:tc>
        <w:tc>
          <w:tcPr>
            <w:tcW w:type="dxa" w:w="3888"/>
            <w:vAlign w:val="center"/>
          </w:tcPr>
          <w:p>
            <w:pPr>
              <w:spacing w:after="0"/>
            </w:pPr>
            <w:r/>
            <w:r>
              <w:rPr>
                <w:rFonts w:ascii="Aptos" w:hAnsi="Aptos"/>
                <w:b w:val="0"/>
                <w:sz w:val="15"/>
              </w:rPr>
              <w:t>Independence, reproducibility, integrity, traceability</w:t>
            </w:r>
          </w:p>
        </w:tc>
      </w:tr>
      <w:tr>
        <w:trPr>
          <w:cantSplit/>
        </w:trPr>
        <w:tc>
          <w:tcPr>
            <w:tcW w:type="dxa" w:w="2016"/>
            <w:vAlign w:val="center"/>
            <w:shd w:fill="F3F6F7"/>
          </w:tcPr>
          <w:p>
            <w:pPr>
              <w:spacing w:after="0"/>
            </w:pPr>
            <w:r/>
            <w:r>
              <w:rPr>
                <w:rFonts w:ascii="Aptos" w:hAnsi="Aptos"/>
                <w:b w:val="0"/>
                <w:sz w:val="15"/>
              </w:rPr>
              <w:t>Governance plane</w:t>
            </w:r>
          </w:p>
        </w:tc>
        <w:tc>
          <w:tcPr>
            <w:tcW w:type="dxa" w:w="3744"/>
            <w:vAlign w:val="center"/>
            <w:shd w:fill="F3F6F7"/>
          </w:tcPr>
          <w:p>
            <w:pPr>
              <w:spacing w:after="0"/>
            </w:pPr>
            <w:r/>
            <w:r>
              <w:rPr>
                <w:rFonts w:ascii="Aptos" w:hAnsi="Aptos"/>
                <w:b w:val="0"/>
                <w:sz w:val="15"/>
              </w:rPr>
              <w:t>Inventory, risk, exceptions, approvals, reporting</w:t>
            </w:r>
          </w:p>
        </w:tc>
        <w:tc>
          <w:tcPr>
            <w:tcW w:type="dxa" w:w="3888"/>
            <w:vAlign w:val="center"/>
            <w:shd w:fill="F3F6F7"/>
          </w:tcPr>
          <w:p>
            <w:pPr>
              <w:spacing w:after="0"/>
            </w:pPr>
            <w:r/>
            <w:r>
              <w:rPr>
                <w:rFonts w:ascii="Aptos" w:hAnsi="Aptos"/>
                <w:b w:val="0"/>
                <w:sz w:val="15"/>
              </w:rPr>
              <w:t>Accountability, risk acceptance, change control</w:t>
            </w:r>
          </w:p>
        </w:tc>
      </w:tr>
    </w:tbl>
    <w:p/>
    <w:p>
      <w:pPr>
        <w:pStyle w:val="Heading2"/>
      </w:pPr>
      <w:r>
        <w:t>3.2 Trust boundaries</w:t>
      </w:r>
    </w:p>
    <w:p>
      <w:pPr>
        <w:pStyle w:val="ListBullet"/>
      </w:pPr>
      <w:r>
        <w:t>Human-to-AI interaction boundary</w:t>
      </w:r>
    </w:p>
    <w:p>
      <w:pPr>
        <w:pStyle w:val="ListBullet"/>
      </w:pPr>
      <w:r>
        <w:t>Application-to-model boundary</w:t>
      </w:r>
    </w:p>
    <w:p>
      <w:pPr>
        <w:pStyle w:val="ListBullet"/>
      </w:pPr>
      <w:r>
        <w:t>Model-to-tool or action boundary</w:t>
      </w:r>
    </w:p>
    <w:p>
      <w:pPr>
        <w:pStyle w:val="ListBullet"/>
      </w:pPr>
      <w:r>
        <w:t>Internal-to-third-party service boundary</w:t>
      </w:r>
    </w:p>
    <w:p>
      <w:pPr>
        <w:pStyle w:val="ListBullet"/>
      </w:pPr>
      <w:r>
        <w:t>Production-to-evaluation boundary</w:t>
      </w:r>
    </w:p>
    <w:p>
      <w:pPr>
        <w:pStyle w:val="ListBullet"/>
      </w:pPr>
      <w:r>
        <w:t>Logical-to-physical actuation boundary</w:t>
      </w:r>
    </w:p>
    <w:p>
      <w:pPr>
        <w:pStyle w:val="ListBullet"/>
      </w:pPr>
      <w:r>
        <w:t>Data-origin and data-consumption boundary</w:t>
      </w:r>
    </w:p>
    <w:p>
      <w:r>
        <w:t>Each boundary should have identified assets, identities, permitted actions, failure modes, logging, monitoring and recovery mechanisms.</w:t>
      </w:r>
    </w:p>
    <w:p>
      <w:pPr>
        <w:pStyle w:val="Heading1"/>
      </w:pPr>
      <w:r>
        <w:t>4. Control Implementation Record</w:t>
      </w:r>
    </w:p>
    <w:p>
      <w:r>
        <w:t>For each applicable GAISSF control, maintain an implementation record linking the normative statement to operational mechanisms and evidence.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160"/>
            <w:vAlign w:val="center"/>
            <w:shd w:fill="17324D"/>
          </w:tcPr>
          <w:p>
            <w:pPr>
              <w:spacing w:after="0"/>
            </w:pPr>
            <w:r/>
            <w:r>
              <w:rPr>
                <w:rFonts w:ascii="Aptos" w:hAnsi="Aptos"/>
                <w:b/>
                <w:color w:val="FFFFFF"/>
                <w:sz w:val="15"/>
              </w:rPr>
              <w:t>Field</w:t>
            </w:r>
          </w:p>
        </w:tc>
        <w:tc>
          <w:tcPr>
            <w:tcW w:type="dxa" w:w="7488"/>
            <w:vAlign w:val="center"/>
            <w:shd w:fill="17324D"/>
          </w:tcPr>
          <w:p>
            <w:pPr>
              <w:spacing w:after="0"/>
            </w:pPr>
            <w:r/>
            <w:r>
              <w:rPr>
                <w:rFonts w:ascii="Aptos" w:hAnsi="Aptos"/>
                <w:b/>
                <w:color w:val="FFFFFF"/>
                <w:sz w:val="15"/>
              </w:rPr>
              <w:t>Required implementation content</w:t>
            </w:r>
          </w:p>
        </w:tc>
      </w:tr>
      <w:tr>
        <w:trPr>
          <w:cantSplit/>
        </w:trPr>
        <w:tc>
          <w:tcPr>
            <w:tcW w:type="dxa" w:w="2160"/>
            <w:vAlign w:val="center"/>
          </w:tcPr>
          <w:p>
            <w:pPr>
              <w:spacing w:after="0"/>
            </w:pPr>
            <w:r/>
            <w:r>
              <w:rPr>
                <w:rFonts w:ascii="Aptos" w:hAnsi="Aptos"/>
                <w:b w:val="0"/>
                <w:sz w:val="15"/>
              </w:rPr>
              <w:t>Control ID</w:t>
            </w:r>
          </w:p>
        </w:tc>
        <w:tc>
          <w:tcPr>
            <w:tcW w:type="dxa" w:w="7488"/>
            <w:vAlign w:val="center"/>
          </w:tcPr>
          <w:p>
            <w:pPr>
              <w:spacing w:after="0"/>
            </w:pPr>
            <w:r/>
            <w:r>
              <w:rPr>
                <w:rFonts w:ascii="Aptos" w:hAnsi="Aptos"/>
                <w:b w:val="0"/>
                <w:sz w:val="15"/>
              </w:rPr>
              <w:t>Exact GAISSF control identifier</w:t>
            </w:r>
          </w:p>
        </w:tc>
      </w:tr>
      <w:tr>
        <w:trPr>
          <w:cantSplit/>
        </w:trPr>
        <w:tc>
          <w:tcPr>
            <w:tcW w:type="dxa" w:w="2160"/>
            <w:vAlign w:val="center"/>
            <w:shd w:fill="F3F6F7"/>
          </w:tcPr>
          <w:p>
            <w:pPr>
              <w:spacing w:after="0"/>
            </w:pPr>
            <w:r/>
            <w:r>
              <w:rPr>
                <w:rFonts w:ascii="Aptos" w:hAnsi="Aptos"/>
                <w:b w:val="0"/>
                <w:sz w:val="15"/>
              </w:rPr>
              <w:t>Objective</w:t>
            </w:r>
          </w:p>
        </w:tc>
        <w:tc>
          <w:tcPr>
            <w:tcW w:type="dxa" w:w="7488"/>
            <w:vAlign w:val="center"/>
            <w:shd w:fill="F3F6F7"/>
          </w:tcPr>
          <w:p>
            <w:pPr>
              <w:spacing w:after="0"/>
            </w:pPr>
            <w:r/>
            <w:r>
              <w:rPr>
                <w:rFonts w:ascii="Aptos" w:hAnsi="Aptos"/>
                <w:b w:val="0"/>
                <w:sz w:val="15"/>
              </w:rPr>
              <w:t>Intended risk outcome</w:t>
            </w:r>
          </w:p>
        </w:tc>
      </w:tr>
      <w:tr>
        <w:trPr>
          <w:cantSplit/>
        </w:trPr>
        <w:tc>
          <w:tcPr>
            <w:tcW w:type="dxa" w:w="2160"/>
            <w:vAlign w:val="center"/>
          </w:tcPr>
          <w:p>
            <w:pPr>
              <w:spacing w:after="0"/>
            </w:pPr>
            <w:r/>
            <w:r>
              <w:rPr>
                <w:rFonts w:ascii="Aptos" w:hAnsi="Aptos"/>
                <w:b w:val="0"/>
                <w:sz w:val="15"/>
              </w:rPr>
              <w:t>Applicable scope</w:t>
            </w:r>
          </w:p>
        </w:tc>
        <w:tc>
          <w:tcPr>
            <w:tcW w:type="dxa" w:w="7488"/>
            <w:vAlign w:val="center"/>
          </w:tcPr>
          <w:p>
            <w:pPr>
              <w:spacing w:after="0"/>
            </w:pPr>
            <w:r/>
            <w:r>
              <w:rPr>
                <w:rFonts w:ascii="Aptos" w:hAnsi="Aptos"/>
                <w:b w:val="0"/>
                <w:sz w:val="15"/>
              </w:rPr>
              <w:t>Systems, components, suppliers and locations</w:t>
            </w:r>
          </w:p>
        </w:tc>
      </w:tr>
      <w:tr>
        <w:trPr>
          <w:cantSplit/>
        </w:trPr>
        <w:tc>
          <w:tcPr>
            <w:tcW w:type="dxa" w:w="2160"/>
            <w:vAlign w:val="center"/>
            <w:shd w:fill="F3F6F7"/>
          </w:tcPr>
          <w:p>
            <w:pPr>
              <w:spacing w:after="0"/>
            </w:pPr>
            <w:r/>
            <w:r>
              <w:rPr>
                <w:rFonts w:ascii="Aptos" w:hAnsi="Aptos"/>
                <w:b w:val="0"/>
                <w:sz w:val="15"/>
              </w:rPr>
              <w:t>Control owner</w:t>
            </w:r>
          </w:p>
        </w:tc>
        <w:tc>
          <w:tcPr>
            <w:tcW w:type="dxa" w:w="7488"/>
            <w:vAlign w:val="center"/>
            <w:shd w:fill="F3F6F7"/>
          </w:tcPr>
          <w:p>
            <w:pPr>
              <w:spacing w:after="0"/>
            </w:pPr>
            <w:r/>
            <w:r>
              <w:rPr>
                <w:rFonts w:ascii="Aptos" w:hAnsi="Aptos"/>
                <w:b w:val="0"/>
                <w:sz w:val="15"/>
              </w:rPr>
              <w:t>Accountable function</w:t>
            </w:r>
          </w:p>
        </w:tc>
      </w:tr>
      <w:tr>
        <w:trPr>
          <w:cantSplit/>
        </w:trPr>
        <w:tc>
          <w:tcPr>
            <w:tcW w:type="dxa" w:w="2160"/>
            <w:vAlign w:val="center"/>
          </w:tcPr>
          <w:p>
            <w:pPr>
              <w:spacing w:after="0"/>
            </w:pPr>
            <w:r/>
            <w:r>
              <w:rPr>
                <w:rFonts w:ascii="Aptos" w:hAnsi="Aptos"/>
                <w:b w:val="0"/>
                <w:sz w:val="15"/>
              </w:rPr>
              <w:t>Operators</w:t>
            </w:r>
          </w:p>
        </w:tc>
        <w:tc>
          <w:tcPr>
            <w:tcW w:type="dxa" w:w="7488"/>
            <w:vAlign w:val="center"/>
          </w:tcPr>
          <w:p>
            <w:pPr>
              <w:spacing w:after="0"/>
            </w:pPr>
            <w:r/>
            <w:r>
              <w:rPr>
                <w:rFonts w:ascii="Aptos" w:hAnsi="Aptos"/>
                <w:b w:val="0"/>
                <w:sz w:val="15"/>
              </w:rPr>
              <w:t>Teams or services executing the control</w:t>
            </w:r>
          </w:p>
        </w:tc>
      </w:tr>
      <w:tr>
        <w:trPr>
          <w:cantSplit/>
        </w:trPr>
        <w:tc>
          <w:tcPr>
            <w:tcW w:type="dxa" w:w="2160"/>
            <w:vAlign w:val="center"/>
            <w:shd w:fill="F3F6F7"/>
          </w:tcPr>
          <w:p>
            <w:pPr>
              <w:spacing w:after="0"/>
            </w:pPr>
            <w:r/>
            <w:r>
              <w:rPr>
                <w:rFonts w:ascii="Aptos" w:hAnsi="Aptos"/>
                <w:b w:val="0"/>
                <w:sz w:val="15"/>
              </w:rPr>
              <w:t>Mechanisms</w:t>
            </w:r>
          </w:p>
        </w:tc>
        <w:tc>
          <w:tcPr>
            <w:tcW w:type="dxa" w:w="7488"/>
            <w:vAlign w:val="center"/>
            <w:shd w:fill="F3F6F7"/>
          </w:tcPr>
          <w:p>
            <w:pPr>
              <w:spacing w:after="0"/>
            </w:pPr>
            <w:r/>
            <w:r>
              <w:rPr>
                <w:rFonts w:ascii="Aptos" w:hAnsi="Aptos"/>
                <w:b w:val="0"/>
                <w:sz w:val="15"/>
              </w:rPr>
              <w:t>Policy, process, configuration and technical safeguards</w:t>
            </w:r>
          </w:p>
        </w:tc>
      </w:tr>
      <w:tr>
        <w:trPr>
          <w:cantSplit/>
        </w:trPr>
        <w:tc>
          <w:tcPr>
            <w:tcW w:type="dxa" w:w="2160"/>
            <w:vAlign w:val="center"/>
          </w:tcPr>
          <w:p>
            <w:pPr>
              <w:spacing w:after="0"/>
            </w:pPr>
            <w:r/>
            <w:r>
              <w:rPr>
                <w:rFonts w:ascii="Aptos" w:hAnsi="Aptos"/>
                <w:b w:val="0"/>
                <w:sz w:val="15"/>
              </w:rPr>
              <w:t>Trigger</w:t>
            </w:r>
          </w:p>
        </w:tc>
        <w:tc>
          <w:tcPr>
            <w:tcW w:type="dxa" w:w="7488"/>
            <w:vAlign w:val="center"/>
          </w:tcPr>
          <w:p>
            <w:pPr>
              <w:spacing w:after="0"/>
            </w:pPr>
            <w:r/>
            <w:r>
              <w:rPr>
                <w:rFonts w:ascii="Aptos" w:hAnsi="Aptos"/>
                <w:b w:val="0"/>
                <w:sz w:val="15"/>
              </w:rPr>
              <w:t>Event or schedule causing operation</w:t>
            </w:r>
          </w:p>
        </w:tc>
      </w:tr>
      <w:tr>
        <w:trPr>
          <w:cantSplit/>
        </w:trPr>
        <w:tc>
          <w:tcPr>
            <w:tcW w:type="dxa" w:w="2160"/>
            <w:vAlign w:val="center"/>
            <w:shd w:fill="F3F6F7"/>
          </w:tcPr>
          <w:p>
            <w:pPr>
              <w:spacing w:after="0"/>
            </w:pPr>
            <w:r/>
            <w:r>
              <w:rPr>
                <w:rFonts w:ascii="Aptos" w:hAnsi="Aptos"/>
                <w:b w:val="0"/>
                <w:sz w:val="15"/>
              </w:rPr>
              <w:t>Inputs</w:t>
            </w:r>
          </w:p>
        </w:tc>
        <w:tc>
          <w:tcPr>
            <w:tcW w:type="dxa" w:w="7488"/>
            <w:vAlign w:val="center"/>
            <w:shd w:fill="F3F6F7"/>
          </w:tcPr>
          <w:p>
            <w:pPr>
              <w:spacing w:after="0"/>
            </w:pPr>
            <w:r/>
            <w:r>
              <w:rPr>
                <w:rFonts w:ascii="Aptos" w:hAnsi="Aptos"/>
                <w:b w:val="0"/>
                <w:sz w:val="15"/>
              </w:rPr>
              <w:t>Data, approvals, configurations or telemetry</w:t>
            </w:r>
          </w:p>
        </w:tc>
      </w:tr>
      <w:tr>
        <w:trPr>
          <w:cantSplit/>
        </w:trPr>
        <w:tc>
          <w:tcPr>
            <w:tcW w:type="dxa" w:w="2160"/>
            <w:vAlign w:val="center"/>
          </w:tcPr>
          <w:p>
            <w:pPr>
              <w:spacing w:after="0"/>
            </w:pPr>
            <w:r/>
            <w:r>
              <w:rPr>
                <w:rFonts w:ascii="Aptos" w:hAnsi="Aptos"/>
                <w:b w:val="0"/>
                <w:sz w:val="15"/>
              </w:rPr>
              <w:t>Outputs</w:t>
            </w:r>
          </w:p>
        </w:tc>
        <w:tc>
          <w:tcPr>
            <w:tcW w:type="dxa" w:w="7488"/>
            <w:vAlign w:val="center"/>
          </w:tcPr>
          <w:p>
            <w:pPr>
              <w:spacing w:after="0"/>
            </w:pPr>
            <w:r/>
            <w:r>
              <w:rPr>
                <w:rFonts w:ascii="Aptos" w:hAnsi="Aptos"/>
                <w:b w:val="0"/>
                <w:sz w:val="15"/>
              </w:rPr>
              <w:t>Decision, block, log, report, test result or evidence</w:t>
            </w:r>
          </w:p>
        </w:tc>
      </w:tr>
      <w:tr>
        <w:trPr>
          <w:cantSplit/>
        </w:trPr>
        <w:tc>
          <w:tcPr>
            <w:tcW w:type="dxa" w:w="2160"/>
            <w:vAlign w:val="center"/>
            <w:shd w:fill="F3F6F7"/>
          </w:tcPr>
          <w:p>
            <w:pPr>
              <w:spacing w:after="0"/>
            </w:pPr>
            <w:r/>
            <w:r>
              <w:rPr>
                <w:rFonts w:ascii="Aptos" w:hAnsi="Aptos"/>
                <w:b w:val="0"/>
                <w:sz w:val="15"/>
              </w:rPr>
              <w:t>Dependencies</w:t>
            </w:r>
          </w:p>
        </w:tc>
        <w:tc>
          <w:tcPr>
            <w:tcW w:type="dxa" w:w="7488"/>
            <w:vAlign w:val="center"/>
            <w:shd w:fill="F3F6F7"/>
          </w:tcPr>
          <w:p>
            <w:pPr>
              <w:spacing w:after="0"/>
            </w:pPr>
            <w:r/>
            <w:r>
              <w:rPr>
                <w:rFonts w:ascii="Aptos" w:hAnsi="Aptos"/>
                <w:b w:val="0"/>
                <w:sz w:val="15"/>
              </w:rPr>
              <w:t>Inherited, shared or supplier controls</w:t>
            </w:r>
          </w:p>
        </w:tc>
      </w:tr>
      <w:tr>
        <w:trPr>
          <w:cantSplit/>
        </w:trPr>
        <w:tc>
          <w:tcPr>
            <w:tcW w:type="dxa" w:w="2160"/>
            <w:vAlign w:val="center"/>
          </w:tcPr>
          <w:p>
            <w:pPr>
              <w:spacing w:after="0"/>
            </w:pPr>
            <w:r/>
            <w:r>
              <w:rPr>
                <w:rFonts w:ascii="Aptos" w:hAnsi="Aptos"/>
                <w:b w:val="0"/>
                <w:sz w:val="15"/>
              </w:rPr>
              <w:t>Failure mode</w:t>
            </w:r>
          </w:p>
        </w:tc>
        <w:tc>
          <w:tcPr>
            <w:tcW w:type="dxa" w:w="7488"/>
            <w:vAlign w:val="center"/>
          </w:tcPr>
          <w:p>
            <w:pPr>
              <w:spacing w:after="0"/>
            </w:pPr>
            <w:r/>
            <w:r>
              <w:rPr>
                <w:rFonts w:ascii="Aptos" w:hAnsi="Aptos"/>
                <w:b w:val="0"/>
                <w:sz w:val="15"/>
              </w:rPr>
              <w:t>How control failure may occur</w:t>
            </w:r>
          </w:p>
        </w:tc>
      </w:tr>
      <w:tr>
        <w:trPr>
          <w:cantSplit/>
        </w:trPr>
        <w:tc>
          <w:tcPr>
            <w:tcW w:type="dxa" w:w="2160"/>
            <w:vAlign w:val="center"/>
            <w:shd w:fill="F3F6F7"/>
          </w:tcPr>
          <w:p>
            <w:pPr>
              <w:spacing w:after="0"/>
            </w:pPr>
            <w:r/>
            <w:r>
              <w:rPr>
                <w:rFonts w:ascii="Aptos" w:hAnsi="Aptos"/>
                <w:b w:val="0"/>
                <w:sz w:val="15"/>
              </w:rPr>
              <w:t>Detection</w:t>
            </w:r>
          </w:p>
        </w:tc>
        <w:tc>
          <w:tcPr>
            <w:tcW w:type="dxa" w:w="7488"/>
            <w:vAlign w:val="center"/>
            <w:shd w:fill="F3F6F7"/>
          </w:tcPr>
          <w:p>
            <w:pPr>
              <w:spacing w:after="0"/>
            </w:pPr>
            <w:r/>
            <w:r>
              <w:rPr>
                <w:rFonts w:ascii="Aptos" w:hAnsi="Aptos"/>
                <w:b w:val="0"/>
                <w:sz w:val="15"/>
              </w:rPr>
              <w:t>Monitoring or testing that identifies failure</w:t>
            </w:r>
          </w:p>
        </w:tc>
      </w:tr>
      <w:tr>
        <w:trPr>
          <w:cantSplit/>
        </w:trPr>
        <w:tc>
          <w:tcPr>
            <w:tcW w:type="dxa" w:w="2160"/>
            <w:vAlign w:val="center"/>
          </w:tcPr>
          <w:p>
            <w:pPr>
              <w:spacing w:after="0"/>
            </w:pPr>
            <w:r/>
            <w:r>
              <w:rPr>
                <w:rFonts w:ascii="Aptos" w:hAnsi="Aptos"/>
                <w:b w:val="0"/>
                <w:sz w:val="15"/>
              </w:rPr>
              <w:t>Evidence</w:t>
            </w:r>
          </w:p>
        </w:tc>
        <w:tc>
          <w:tcPr>
            <w:tcW w:type="dxa" w:w="7488"/>
            <w:vAlign w:val="center"/>
          </w:tcPr>
          <w:p>
            <w:pPr>
              <w:spacing w:after="0"/>
            </w:pPr>
            <w:r/>
            <w:r>
              <w:rPr>
                <w:rFonts w:ascii="Aptos" w:hAnsi="Aptos"/>
                <w:b w:val="0"/>
                <w:sz w:val="15"/>
              </w:rPr>
              <w:t>Artifact IDs and repository locations</w:t>
            </w:r>
          </w:p>
        </w:tc>
      </w:tr>
      <w:tr>
        <w:trPr>
          <w:cantSplit/>
        </w:trPr>
        <w:tc>
          <w:tcPr>
            <w:tcW w:type="dxa" w:w="2160"/>
            <w:vAlign w:val="center"/>
            <w:shd w:fill="F3F6F7"/>
          </w:tcPr>
          <w:p>
            <w:pPr>
              <w:spacing w:after="0"/>
            </w:pPr>
            <w:r/>
            <w:r>
              <w:rPr>
                <w:rFonts w:ascii="Aptos" w:hAnsi="Aptos"/>
                <w:b w:val="0"/>
                <w:sz w:val="15"/>
              </w:rPr>
              <w:t>Metrics</w:t>
            </w:r>
          </w:p>
        </w:tc>
        <w:tc>
          <w:tcPr>
            <w:tcW w:type="dxa" w:w="7488"/>
            <w:vAlign w:val="center"/>
            <w:shd w:fill="F3F6F7"/>
          </w:tcPr>
          <w:p>
            <w:pPr>
              <w:spacing w:after="0"/>
            </w:pPr>
            <w:r/>
            <w:r>
              <w:rPr>
                <w:rFonts w:ascii="Aptos" w:hAnsi="Aptos"/>
                <w:b w:val="0"/>
                <w:sz w:val="15"/>
              </w:rPr>
              <w:t>Coverage, timeliness, effectiveness and exceptions</w:t>
            </w:r>
          </w:p>
        </w:tc>
      </w:tr>
      <w:tr>
        <w:trPr>
          <w:cantSplit/>
        </w:trPr>
        <w:tc>
          <w:tcPr>
            <w:tcW w:type="dxa" w:w="2160"/>
            <w:vAlign w:val="center"/>
          </w:tcPr>
          <w:p>
            <w:pPr>
              <w:spacing w:after="0"/>
            </w:pPr>
            <w:r/>
            <w:r>
              <w:rPr>
                <w:rFonts w:ascii="Aptos" w:hAnsi="Aptos"/>
                <w:b w:val="0"/>
                <w:sz w:val="15"/>
              </w:rPr>
              <w:t>Assurance method</w:t>
            </w:r>
          </w:p>
        </w:tc>
        <w:tc>
          <w:tcPr>
            <w:tcW w:type="dxa" w:w="7488"/>
            <w:vAlign w:val="center"/>
          </w:tcPr>
          <w:p>
            <w:pPr>
              <w:spacing w:after="0"/>
            </w:pPr>
            <w:r/>
            <w:r>
              <w:rPr>
                <w:rFonts w:ascii="Aptos" w:hAnsi="Aptos"/>
                <w:b w:val="0"/>
                <w:sz w:val="15"/>
              </w:rPr>
              <w:t>Inspection, interview, observation, test or re-performance</w:t>
            </w:r>
          </w:p>
        </w:tc>
      </w:tr>
    </w:tbl>
    <w:p/>
    <w:p>
      <w:pPr>
        <w:pStyle w:val="Heading1"/>
      </w:pPr>
      <w:r>
        <w:t>5. Lifecycle Workflow</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Stage</w:t>
            </w:r>
          </w:p>
        </w:tc>
        <w:tc>
          <w:tcPr>
            <w:tcW w:type="dxa" w:w="5040"/>
            <w:vAlign w:val="center"/>
            <w:shd w:fill="17324D"/>
          </w:tcPr>
          <w:p>
            <w:pPr>
              <w:spacing w:after="0"/>
            </w:pPr>
            <w:r/>
            <w:r>
              <w:rPr>
                <w:rFonts w:ascii="Aptos" w:hAnsi="Aptos"/>
                <w:b/>
                <w:color w:val="FFFFFF"/>
                <w:sz w:val="15"/>
              </w:rPr>
              <w:t>Required workflow activities</w:t>
            </w:r>
          </w:p>
        </w:tc>
        <w:tc>
          <w:tcPr>
            <w:tcW w:type="dxa" w:w="3168"/>
            <w:vAlign w:val="center"/>
            <w:shd w:fill="17324D"/>
          </w:tcPr>
          <w:p>
            <w:pPr>
              <w:spacing w:after="0"/>
            </w:pPr>
            <w:r/>
            <w:r>
              <w:rPr>
                <w:rFonts w:ascii="Aptos" w:hAnsi="Aptos"/>
                <w:b/>
                <w:color w:val="FFFFFF"/>
                <w:sz w:val="15"/>
              </w:rPr>
              <w:t>Primary evidence</w:t>
            </w:r>
          </w:p>
        </w:tc>
      </w:tr>
      <w:tr>
        <w:trPr>
          <w:cantSplit/>
        </w:trPr>
        <w:tc>
          <w:tcPr>
            <w:tcW w:type="dxa" w:w="1728"/>
            <w:vAlign w:val="center"/>
          </w:tcPr>
          <w:p>
            <w:pPr>
              <w:spacing w:after="0"/>
            </w:pPr>
            <w:r/>
            <w:r>
              <w:rPr>
                <w:rFonts w:ascii="Aptos" w:hAnsi="Aptos"/>
                <w:b w:val="0"/>
                <w:sz w:val="15"/>
              </w:rPr>
              <w:t>Intake</w:t>
            </w:r>
          </w:p>
        </w:tc>
        <w:tc>
          <w:tcPr>
            <w:tcW w:type="dxa" w:w="5040"/>
            <w:vAlign w:val="center"/>
          </w:tcPr>
          <w:p>
            <w:pPr>
              <w:spacing w:after="0"/>
            </w:pPr>
            <w:r/>
            <w:r>
              <w:rPr>
                <w:rFonts w:ascii="Aptos" w:hAnsi="Aptos"/>
                <w:b w:val="0"/>
                <w:sz w:val="15"/>
              </w:rPr>
              <w:t>Register use case, owner, purpose, affected users and initial risk</w:t>
            </w:r>
          </w:p>
        </w:tc>
        <w:tc>
          <w:tcPr>
            <w:tcW w:type="dxa" w:w="3168"/>
            <w:vAlign w:val="center"/>
          </w:tcPr>
          <w:p>
            <w:pPr>
              <w:spacing w:after="0"/>
            </w:pPr>
            <w:r/>
            <w:r>
              <w:rPr>
                <w:rFonts w:ascii="Aptos" w:hAnsi="Aptos"/>
                <w:b w:val="0"/>
                <w:sz w:val="15"/>
              </w:rPr>
              <w:t>Intake record, inventory entry</w:t>
            </w:r>
          </w:p>
        </w:tc>
      </w:tr>
      <w:tr>
        <w:trPr>
          <w:cantSplit/>
        </w:trPr>
        <w:tc>
          <w:tcPr>
            <w:tcW w:type="dxa" w:w="1728"/>
            <w:vAlign w:val="center"/>
            <w:shd w:fill="F3F6F7"/>
          </w:tcPr>
          <w:p>
            <w:pPr>
              <w:spacing w:after="0"/>
            </w:pPr>
            <w:r/>
            <w:r>
              <w:rPr>
                <w:rFonts w:ascii="Aptos" w:hAnsi="Aptos"/>
                <w:b w:val="0"/>
                <w:sz w:val="15"/>
              </w:rPr>
              <w:t>Classification</w:t>
            </w:r>
          </w:p>
        </w:tc>
        <w:tc>
          <w:tcPr>
            <w:tcW w:type="dxa" w:w="5040"/>
            <w:vAlign w:val="center"/>
            <w:shd w:fill="F3F6F7"/>
          </w:tcPr>
          <w:p>
            <w:pPr>
              <w:spacing w:after="0"/>
            </w:pPr>
            <w:r/>
            <w:r>
              <w:rPr>
                <w:rFonts w:ascii="Aptos" w:hAnsi="Aptos"/>
                <w:b w:val="0"/>
                <w:sz w:val="15"/>
              </w:rPr>
              <w:t>Assess criticality, autonomy, data sensitivity, sector and jurisdiction</w:t>
            </w:r>
          </w:p>
        </w:tc>
        <w:tc>
          <w:tcPr>
            <w:tcW w:type="dxa" w:w="3168"/>
            <w:vAlign w:val="center"/>
            <w:shd w:fill="F3F6F7"/>
          </w:tcPr>
          <w:p>
            <w:pPr>
              <w:spacing w:after="0"/>
            </w:pPr>
            <w:r/>
            <w:r>
              <w:rPr>
                <w:rFonts w:ascii="Aptos" w:hAnsi="Aptos"/>
                <w:b w:val="0"/>
                <w:sz w:val="15"/>
              </w:rPr>
              <w:t>Risk classification, applicability decision</w:t>
            </w:r>
          </w:p>
        </w:tc>
      </w:tr>
      <w:tr>
        <w:trPr>
          <w:cantSplit/>
        </w:trPr>
        <w:tc>
          <w:tcPr>
            <w:tcW w:type="dxa" w:w="1728"/>
            <w:vAlign w:val="center"/>
          </w:tcPr>
          <w:p>
            <w:pPr>
              <w:spacing w:after="0"/>
            </w:pPr>
            <w:r/>
            <w:r>
              <w:rPr>
                <w:rFonts w:ascii="Aptos" w:hAnsi="Aptos"/>
                <w:b w:val="0"/>
                <w:sz w:val="15"/>
              </w:rPr>
              <w:t>Design</w:t>
            </w:r>
          </w:p>
        </w:tc>
        <w:tc>
          <w:tcPr>
            <w:tcW w:type="dxa" w:w="5040"/>
            <w:vAlign w:val="center"/>
          </w:tcPr>
          <w:p>
            <w:pPr>
              <w:spacing w:after="0"/>
            </w:pPr>
            <w:r/>
            <w:r>
              <w:rPr>
                <w:rFonts w:ascii="Aptos" w:hAnsi="Aptos"/>
                <w:b w:val="0"/>
                <w:sz w:val="15"/>
              </w:rPr>
              <w:t>Threat model, architecture, control design and supplier analysis</w:t>
            </w:r>
          </w:p>
        </w:tc>
        <w:tc>
          <w:tcPr>
            <w:tcW w:type="dxa" w:w="3168"/>
            <w:vAlign w:val="center"/>
          </w:tcPr>
          <w:p>
            <w:pPr>
              <w:spacing w:after="0"/>
            </w:pPr>
            <w:r/>
            <w:r>
              <w:rPr>
                <w:rFonts w:ascii="Aptos" w:hAnsi="Aptos"/>
                <w:b w:val="0"/>
                <w:sz w:val="15"/>
              </w:rPr>
              <w:t>Architecture, threat model, control plan</w:t>
            </w:r>
          </w:p>
        </w:tc>
      </w:tr>
      <w:tr>
        <w:trPr>
          <w:cantSplit/>
        </w:trPr>
        <w:tc>
          <w:tcPr>
            <w:tcW w:type="dxa" w:w="1728"/>
            <w:vAlign w:val="center"/>
            <w:shd w:fill="F3F6F7"/>
          </w:tcPr>
          <w:p>
            <w:pPr>
              <w:spacing w:after="0"/>
            </w:pPr>
            <w:r/>
            <w:r>
              <w:rPr>
                <w:rFonts w:ascii="Aptos" w:hAnsi="Aptos"/>
                <w:b w:val="0"/>
                <w:sz w:val="15"/>
              </w:rPr>
              <w:t>Build/configure</w:t>
            </w:r>
          </w:p>
        </w:tc>
        <w:tc>
          <w:tcPr>
            <w:tcW w:type="dxa" w:w="5040"/>
            <w:vAlign w:val="center"/>
            <w:shd w:fill="F3F6F7"/>
          </w:tcPr>
          <w:p>
            <w:pPr>
              <w:spacing w:after="0"/>
            </w:pPr>
            <w:r/>
            <w:r>
              <w:rPr>
                <w:rFonts w:ascii="Aptos" w:hAnsi="Aptos"/>
                <w:b w:val="0"/>
                <w:sz w:val="15"/>
              </w:rPr>
              <w:t>Secure development, data controls, model configuration and logging</w:t>
            </w:r>
          </w:p>
        </w:tc>
        <w:tc>
          <w:tcPr>
            <w:tcW w:type="dxa" w:w="3168"/>
            <w:vAlign w:val="center"/>
            <w:shd w:fill="F3F6F7"/>
          </w:tcPr>
          <w:p>
            <w:pPr>
              <w:spacing w:after="0"/>
            </w:pPr>
            <w:r/>
            <w:r>
              <w:rPr>
                <w:rFonts w:ascii="Aptos" w:hAnsi="Aptos"/>
                <w:b w:val="0"/>
                <w:sz w:val="15"/>
              </w:rPr>
              <w:t>Code review, configs, lineage, build records</w:t>
            </w:r>
          </w:p>
        </w:tc>
      </w:tr>
      <w:tr>
        <w:trPr>
          <w:cantSplit/>
        </w:trPr>
        <w:tc>
          <w:tcPr>
            <w:tcW w:type="dxa" w:w="1728"/>
            <w:vAlign w:val="center"/>
          </w:tcPr>
          <w:p>
            <w:pPr>
              <w:spacing w:after="0"/>
            </w:pPr>
            <w:r/>
            <w:r>
              <w:rPr>
                <w:rFonts w:ascii="Aptos" w:hAnsi="Aptos"/>
                <w:b w:val="0"/>
                <w:sz w:val="15"/>
              </w:rPr>
              <w:t>Evaluate</w:t>
            </w:r>
          </w:p>
        </w:tc>
        <w:tc>
          <w:tcPr>
            <w:tcW w:type="dxa" w:w="5040"/>
            <w:vAlign w:val="center"/>
          </w:tcPr>
          <w:p>
            <w:pPr>
              <w:spacing w:after="0"/>
            </w:pPr>
            <w:r/>
            <w:r>
              <w:rPr>
                <w:rFonts w:ascii="Aptos" w:hAnsi="Aptos"/>
                <w:b w:val="0"/>
                <w:sz w:val="15"/>
              </w:rPr>
              <w:t>Security, robustness, safety, privacy and performance testing</w:t>
            </w:r>
          </w:p>
        </w:tc>
        <w:tc>
          <w:tcPr>
            <w:tcW w:type="dxa" w:w="3168"/>
            <w:vAlign w:val="center"/>
          </w:tcPr>
          <w:p>
            <w:pPr>
              <w:spacing w:after="0"/>
            </w:pPr>
            <w:r/>
            <w:r>
              <w:rPr>
                <w:rFonts w:ascii="Aptos" w:hAnsi="Aptos"/>
                <w:b w:val="0"/>
                <w:sz w:val="15"/>
              </w:rPr>
              <w:t>Evaluation plan and results</w:t>
            </w:r>
          </w:p>
        </w:tc>
      </w:tr>
      <w:tr>
        <w:trPr>
          <w:cantSplit/>
        </w:trPr>
        <w:tc>
          <w:tcPr>
            <w:tcW w:type="dxa" w:w="1728"/>
            <w:vAlign w:val="center"/>
            <w:shd w:fill="F3F6F7"/>
          </w:tcPr>
          <w:p>
            <w:pPr>
              <w:spacing w:after="0"/>
            </w:pPr>
            <w:r/>
            <w:r>
              <w:rPr>
                <w:rFonts w:ascii="Aptos" w:hAnsi="Aptos"/>
                <w:b w:val="0"/>
                <w:sz w:val="15"/>
              </w:rPr>
              <w:t>Approve</w:t>
            </w:r>
          </w:p>
        </w:tc>
        <w:tc>
          <w:tcPr>
            <w:tcW w:type="dxa" w:w="5040"/>
            <w:vAlign w:val="center"/>
            <w:shd w:fill="F3F6F7"/>
          </w:tcPr>
          <w:p>
            <w:pPr>
              <w:spacing w:after="0"/>
            </w:pPr>
            <w:r/>
            <w:r>
              <w:rPr>
                <w:rFonts w:ascii="Aptos" w:hAnsi="Aptos"/>
                <w:b w:val="0"/>
                <w:sz w:val="15"/>
              </w:rPr>
              <w:t>Risk review, exceptions, deployment decision and sign-off</w:t>
            </w:r>
          </w:p>
        </w:tc>
        <w:tc>
          <w:tcPr>
            <w:tcW w:type="dxa" w:w="3168"/>
            <w:vAlign w:val="center"/>
            <w:shd w:fill="F3F6F7"/>
          </w:tcPr>
          <w:p>
            <w:pPr>
              <w:spacing w:after="0"/>
            </w:pPr>
            <w:r/>
            <w:r>
              <w:rPr>
                <w:rFonts w:ascii="Aptos" w:hAnsi="Aptos"/>
                <w:b w:val="0"/>
                <w:sz w:val="15"/>
              </w:rPr>
              <w:t>Approval record, risk acceptance</w:t>
            </w:r>
          </w:p>
        </w:tc>
      </w:tr>
      <w:tr>
        <w:trPr>
          <w:cantSplit/>
        </w:trPr>
        <w:tc>
          <w:tcPr>
            <w:tcW w:type="dxa" w:w="1728"/>
            <w:vAlign w:val="center"/>
          </w:tcPr>
          <w:p>
            <w:pPr>
              <w:spacing w:after="0"/>
            </w:pPr>
            <w:r/>
            <w:r>
              <w:rPr>
                <w:rFonts w:ascii="Aptos" w:hAnsi="Aptos"/>
                <w:b w:val="0"/>
                <w:sz w:val="15"/>
              </w:rPr>
              <w:t>Deploy</w:t>
            </w:r>
          </w:p>
        </w:tc>
        <w:tc>
          <w:tcPr>
            <w:tcW w:type="dxa" w:w="5040"/>
            <w:vAlign w:val="center"/>
          </w:tcPr>
          <w:p>
            <w:pPr>
              <w:spacing w:after="0"/>
            </w:pPr>
            <w:r/>
            <w:r>
              <w:rPr>
                <w:rFonts w:ascii="Aptos" w:hAnsi="Aptos"/>
                <w:b w:val="0"/>
                <w:sz w:val="15"/>
              </w:rPr>
              <w:t>Controlled release, rollback, monitoring and incident readiness</w:t>
            </w:r>
          </w:p>
        </w:tc>
        <w:tc>
          <w:tcPr>
            <w:tcW w:type="dxa" w:w="3168"/>
            <w:vAlign w:val="center"/>
          </w:tcPr>
          <w:p>
            <w:pPr>
              <w:spacing w:after="0"/>
            </w:pPr>
            <w:r/>
            <w:r>
              <w:rPr>
                <w:rFonts w:ascii="Aptos" w:hAnsi="Aptos"/>
                <w:b w:val="0"/>
                <w:sz w:val="15"/>
              </w:rPr>
              <w:t>Release record, deployment evidence</w:t>
            </w:r>
          </w:p>
        </w:tc>
      </w:tr>
      <w:tr>
        <w:trPr>
          <w:cantSplit/>
        </w:trPr>
        <w:tc>
          <w:tcPr>
            <w:tcW w:type="dxa" w:w="1728"/>
            <w:vAlign w:val="center"/>
            <w:shd w:fill="F3F6F7"/>
          </w:tcPr>
          <w:p>
            <w:pPr>
              <w:spacing w:after="0"/>
            </w:pPr>
            <w:r/>
            <w:r>
              <w:rPr>
                <w:rFonts w:ascii="Aptos" w:hAnsi="Aptos"/>
                <w:b w:val="0"/>
                <w:sz w:val="15"/>
              </w:rPr>
              <w:t>Operate</w:t>
            </w:r>
          </w:p>
        </w:tc>
        <w:tc>
          <w:tcPr>
            <w:tcW w:type="dxa" w:w="5040"/>
            <w:vAlign w:val="center"/>
            <w:shd w:fill="F3F6F7"/>
          </w:tcPr>
          <w:p>
            <w:pPr>
              <w:spacing w:after="0"/>
            </w:pPr>
            <w:r/>
            <w:r>
              <w:rPr>
                <w:rFonts w:ascii="Aptos" w:hAnsi="Aptos"/>
                <w:b w:val="0"/>
                <w:sz w:val="15"/>
              </w:rPr>
              <w:t>Monitoring, review, access control, supplier oversight and user support</w:t>
            </w:r>
          </w:p>
        </w:tc>
        <w:tc>
          <w:tcPr>
            <w:tcW w:type="dxa" w:w="3168"/>
            <w:vAlign w:val="center"/>
            <w:shd w:fill="F3F6F7"/>
          </w:tcPr>
          <w:p>
            <w:pPr>
              <w:spacing w:after="0"/>
            </w:pPr>
            <w:r/>
            <w:r>
              <w:rPr>
                <w:rFonts w:ascii="Aptos" w:hAnsi="Aptos"/>
                <w:b w:val="0"/>
                <w:sz w:val="15"/>
              </w:rPr>
              <w:t>Logs, alerts, reviews, tickets</w:t>
            </w:r>
          </w:p>
        </w:tc>
      </w:tr>
      <w:tr>
        <w:trPr>
          <w:cantSplit/>
        </w:trPr>
        <w:tc>
          <w:tcPr>
            <w:tcW w:type="dxa" w:w="1728"/>
            <w:vAlign w:val="center"/>
          </w:tcPr>
          <w:p>
            <w:pPr>
              <w:spacing w:after="0"/>
            </w:pPr>
            <w:r/>
            <w:r>
              <w:rPr>
                <w:rFonts w:ascii="Aptos" w:hAnsi="Aptos"/>
                <w:b w:val="0"/>
                <w:sz w:val="15"/>
              </w:rPr>
              <w:t>Change</w:t>
            </w:r>
          </w:p>
        </w:tc>
        <w:tc>
          <w:tcPr>
            <w:tcW w:type="dxa" w:w="5040"/>
            <w:vAlign w:val="center"/>
          </w:tcPr>
          <w:p>
            <w:pPr>
              <w:spacing w:after="0"/>
            </w:pPr>
            <w:r/>
            <w:r>
              <w:rPr>
                <w:rFonts w:ascii="Aptos" w:hAnsi="Aptos"/>
                <w:b w:val="0"/>
                <w:sz w:val="15"/>
              </w:rPr>
              <w:t>Impact assessment, re-evaluation and approval</w:t>
            </w:r>
          </w:p>
        </w:tc>
        <w:tc>
          <w:tcPr>
            <w:tcW w:type="dxa" w:w="3168"/>
            <w:vAlign w:val="center"/>
          </w:tcPr>
          <w:p>
            <w:pPr>
              <w:spacing w:after="0"/>
            </w:pPr>
            <w:r/>
            <w:r>
              <w:rPr>
                <w:rFonts w:ascii="Aptos" w:hAnsi="Aptos"/>
                <w:b w:val="0"/>
                <w:sz w:val="15"/>
              </w:rPr>
              <w:t>Change record, delta test results</w:t>
            </w:r>
          </w:p>
        </w:tc>
      </w:tr>
      <w:tr>
        <w:trPr>
          <w:cantSplit/>
        </w:trPr>
        <w:tc>
          <w:tcPr>
            <w:tcW w:type="dxa" w:w="1728"/>
            <w:vAlign w:val="center"/>
            <w:shd w:fill="F3F6F7"/>
          </w:tcPr>
          <w:p>
            <w:pPr>
              <w:spacing w:after="0"/>
            </w:pPr>
            <w:r/>
            <w:r>
              <w:rPr>
                <w:rFonts w:ascii="Aptos" w:hAnsi="Aptos"/>
                <w:b w:val="0"/>
                <w:sz w:val="15"/>
              </w:rPr>
              <w:t>Retire</w:t>
            </w:r>
          </w:p>
        </w:tc>
        <w:tc>
          <w:tcPr>
            <w:tcW w:type="dxa" w:w="5040"/>
            <w:vAlign w:val="center"/>
            <w:shd w:fill="F3F6F7"/>
          </w:tcPr>
          <w:p>
            <w:pPr>
              <w:spacing w:after="0"/>
            </w:pPr>
            <w:r/>
            <w:r>
              <w:rPr>
                <w:rFonts w:ascii="Aptos" w:hAnsi="Aptos"/>
                <w:b w:val="0"/>
                <w:sz w:val="15"/>
              </w:rPr>
              <w:t>Access removal, data handling, archive and decommission</w:t>
            </w:r>
          </w:p>
        </w:tc>
        <w:tc>
          <w:tcPr>
            <w:tcW w:type="dxa" w:w="3168"/>
            <w:vAlign w:val="center"/>
            <w:shd w:fill="F3F6F7"/>
          </w:tcPr>
          <w:p>
            <w:pPr>
              <w:spacing w:after="0"/>
            </w:pPr>
            <w:r/>
            <w:r>
              <w:rPr>
                <w:rFonts w:ascii="Aptos" w:hAnsi="Aptos"/>
                <w:b w:val="0"/>
                <w:sz w:val="15"/>
              </w:rPr>
              <w:t>Retirement checklist, disposal evidence</w:t>
            </w:r>
          </w:p>
        </w:tc>
      </w:tr>
    </w:tbl>
    <w:p/>
    <w:p>
      <w:pPr>
        <w:pStyle w:val="Heading1"/>
      </w:pPr>
      <w:r>
        <w:t>6. Engineering Workflow Integration</w:t>
      </w:r>
    </w:p>
    <w:p>
      <w:pPr>
        <w:pStyle w:val="Heading2"/>
      </w:pPr>
      <w:r>
        <w:t>6.1 Backlog and requirements</w:t>
      </w:r>
    </w:p>
    <w:p>
      <w:pPr>
        <w:pStyle w:val="ListBullet"/>
      </w:pPr>
      <w:r>
        <w:t>Create traceable security and safety requirements linked to control IDs.</w:t>
      </w:r>
    </w:p>
    <w:p>
      <w:pPr>
        <w:pStyle w:val="ListBullet"/>
      </w:pPr>
      <w:r>
        <w:t>Represent control implementation tasks in the same backlog as product and platform work.</w:t>
      </w:r>
    </w:p>
    <w:p>
      <w:pPr>
        <w:pStyle w:val="ListBullet"/>
      </w:pPr>
      <w:r>
        <w:t>Define acceptance criteria that include evidence generation.</w:t>
      </w:r>
    </w:p>
    <w:p>
      <w:pPr>
        <w:pStyle w:val="ListBullet"/>
      </w:pPr>
      <w:r>
        <w:t>Prevent closure where evidence is absent or scope is incomplete.</w:t>
      </w:r>
    </w:p>
    <w:p>
      <w:pPr>
        <w:pStyle w:val="Heading2"/>
      </w:pPr>
      <w:r>
        <w:t>6.2 CI/CD and MLOps gates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Gate</w:t>
            </w:r>
          </w:p>
        </w:tc>
        <w:tc>
          <w:tcPr>
            <w:tcW w:type="dxa" w:w="4896"/>
            <w:vAlign w:val="center"/>
            <w:shd w:fill="17324D"/>
          </w:tcPr>
          <w:p>
            <w:pPr>
              <w:spacing w:after="0"/>
            </w:pPr>
            <w:r/>
            <w:r>
              <w:rPr>
                <w:rFonts w:ascii="Aptos" w:hAnsi="Aptos"/>
                <w:b/>
                <w:color w:val="FFFFFF"/>
                <w:sz w:val="15"/>
              </w:rPr>
              <w:t>Example checks</w:t>
            </w:r>
          </w:p>
        </w:tc>
        <w:tc>
          <w:tcPr>
            <w:tcW w:type="dxa" w:w="3312"/>
            <w:vAlign w:val="center"/>
            <w:shd w:fill="17324D"/>
          </w:tcPr>
          <w:p>
            <w:pPr>
              <w:spacing w:after="0"/>
            </w:pPr>
            <w:r/>
            <w:r>
              <w:rPr>
                <w:rFonts w:ascii="Aptos" w:hAnsi="Aptos"/>
                <w:b/>
                <w:color w:val="FFFFFF"/>
                <w:sz w:val="15"/>
              </w:rPr>
              <w:t>Failure treatment</w:t>
            </w:r>
          </w:p>
        </w:tc>
      </w:tr>
      <w:tr>
        <w:trPr>
          <w:cantSplit/>
        </w:trPr>
        <w:tc>
          <w:tcPr>
            <w:tcW w:type="dxa" w:w="1728"/>
            <w:vAlign w:val="center"/>
          </w:tcPr>
          <w:p>
            <w:pPr>
              <w:spacing w:after="0"/>
            </w:pPr>
            <w:r/>
            <w:r>
              <w:rPr>
                <w:rFonts w:ascii="Aptos" w:hAnsi="Aptos"/>
                <w:b w:val="0"/>
                <w:sz w:val="15"/>
              </w:rPr>
              <w:t>Source</w:t>
            </w:r>
          </w:p>
        </w:tc>
        <w:tc>
          <w:tcPr>
            <w:tcW w:type="dxa" w:w="4896"/>
            <w:vAlign w:val="center"/>
          </w:tcPr>
          <w:p>
            <w:pPr>
              <w:spacing w:after="0"/>
            </w:pPr>
            <w:r/>
            <w:r>
              <w:rPr>
                <w:rFonts w:ascii="Aptos" w:hAnsi="Aptos"/>
                <w:b w:val="0"/>
                <w:sz w:val="15"/>
              </w:rPr>
              <w:t>Secrets, dependencies, policy-as-code, unsafe patterns</w:t>
            </w:r>
          </w:p>
        </w:tc>
        <w:tc>
          <w:tcPr>
            <w:tcW w:type="dxa" w:w="3312"/>
            <w:vAlign w:val="center"/>
          </w:tcPr>
          <w:p>
            <w:pPr>
              <w:spacing w:after="0"/>
            </w:pPr>
            <w:r/>
            <w:r>
              <w:rPr>
                <w:rFonts w:ascii="Aptos" w:hAnsi="Aptos"/>
                <w:b w:val="0"/>
                <w:sz w:val="15"/>
              </w:rPr>
              <w:t>Block merge or create exception</w:t>
            </w:r>
          </w:p>
        </w:tc>
      </w:tr>
      <w:tr>
        <w:trPr>
          <w:cantSplit/>
        </w:trPr>
        <w:tc>
          <w:tcPr>
            <w:tcW w:type="dxa" w:w="1728"/>
            <w:vAlign w:val="center"/>
            <w:shd w:fill="F3F6F7"/>
          </w:tcPr>
          <w:p>
            <w:pPr>
              <w:spacing w:after="0"/>
            </w:pPr>
            <w:r/>
            <w:r>
              <w:rPr>
                <w:rFonts w:ascii="Aptos" w:hAnsi="Aptos"/>
                <w:b w:val="0"/>
                <w:sz w:val="15"/>
              </w:rPr>
              <w:t>Data</w:t>
            </w:r>
          </w:p>
        </w:tc>
        <w:tc>
          <w:tcPr>
            <w:tcW w:type="dxa" w:w="4896"/>
            <w:vAlign w:val="center"/>
            <w:shd w:fill="F3F6F7"/>
          </w:tcPr>
          <w:p>
            <w:pPr>
              <w:spacing w:after="0"/>
            </w:pPr>
            <w:r/>
            <w:r>
              <w:rPr>
                <w:rFonts w:ascii="Aptos" w:hAnsi="Aptos"/>
                <w:b w:val="0"/>
                <w:sz w:val="15"/>
              </w:rPr>
              <w:t>Lineage, licence, quality, privacy, poisoning indicators</w:t>
            </w:r>
          </w:p>
        </w:tc>
        <w:tc>
          <w:tcPr>
            <w:tcW w:type="dxa" w:w="3312"/>
            <w:vAlign w:val="center"/>
            <w:shd w:fill="F3F6F7"/>
          </w:tcPr>
          <w:p>
            <w:pPr>
              <w:spacing w:after="0"/>
            </w:pPr>
            <w:r/>
            <w:r>
              <w:rPr>
                <w:rFonts w:ascii="Aptos" w:hAnsi="Aptos"/>
                <w:b w:val="0"/>
                <w:sz w:val="15"/>
              </w:rPr>
              <w:t>Quarantine or reject dataset</w:t>
            </w:r>
          </w:p>
        </w:tc>
      </w:tr>
      <w:tr>
        <w:trPr>
          <w:cantSplit/>
        </w:trPr>
        <w:tc>
          <w:tcPr>
            <w:tcW w:type="dxa" w:w="1728"/>
            <w:vAlign w:val="center"/>
          </w:tcPr>
          <w:p>
            <w:pPr>
              <w:spacing w:after="0"/>
            </w:pPr>
            <w:r/>
            <w:r>
              <w:rPr>
                <w:rFonts w:ascii="Aptos" w:hAnsi="Aptos"/>
                <w:b w:val="0"/>
                <w:sz w:val="15"/>
              </w:rPr>
              <w:t>Model</w:t>
            </w:r>
          </w:p>
        </w:tc>
        <w:tc>
          <w:tcPr>
            <w:tcW w:type="dxa" w:w="4896"/>
            <w:vAlign w:val="center"/>
          </w:tcPr>
          <w:p>
            <w:pPr>
              <w:spacing w:after="0"/>
            </w:pPr>
            <w:r/>
            <w:r>
              <w:rPr>
                <w:rFonts w:ascii="Aptos" w:hAnsi="Aptos"/>
                <w:b w:val="0"/>
                <w:sz w:val="15"/>
              </w:rPr>
              <w:t>Provenance, signature, evaluation baseline, known limitations</w:t>
            </w:r>
          </w:p>
        </w:tc>
        <w:tc>
          <w:tcPr>
            <w:tcW w:type="dxa" w:w="3312"/>
            <w:vAlign w:val="center"/>
          </w:tcPr>
          <w:p>
            <w:pPr>
              <w:spacing w:after="0"/>
            </w:pPr>
            <w:r/>
            <w:r>
              <w:rPr>
                <w:rFonts w:ascii="Aptos" w:hAnsi="Aptos"/>
                <w:b w:val="0"/>
                <w:sz w:val="15"/>
              </w:rPr>
              <w:t>Reject promotion</w:t>
            </w:r>
          </w:p>
        </w:tc>
      </w:tr>
      <w:tr>
        <w:trPr>
          <w:cantSplit/>
        </w:trPr>
        <w:tc>
          <w:tcPr>
            <w:tcW w:type="dxa" w:w="1728"/>
            <w:vAlign w:val="center"/>
            <w:shd w:fill="F3F6F7"/>
          </w:tcPr>
          <w:p>
            <w:pPr>
              <w:spacing w:after="0"/>
            </w:pPr>
            <w:r/>
            <w:r>
              <w:rPr>
                <w:rFonts w:ascii="Aptos" w:hAnsi="Aptos"/>
                <w:b w:val="0"/>
                <w:sz w:val="15"/>
              </w:rPr>
              <w:t>Application</w:t>
            </w:r>
          </w:p>
        </w:tc>
        <w:tc>
          <w:tcPr>
            <w:tcW w:type="dxa" w:w="4896"/>
            <w:vAlign w:val="center"/>
            <w:shd w:fill="F3F6F7"/>
          </w:tcPr>
          <w:p>
            <w:pPr>
              <w:spacing w:after="0"/>
            </w:pPr>
            <w:r/>
            <w:r>
              <w:rPr>
                <w:rFonts w:ascii="Aptos" w:hAnsi="Aptos"/>
                <w:b w:val="0"/>
                <w:sz w:val="15"/>
              </w:rPr>
              <w:t>Prompt injection, authorization, output filtering, tool controls</w:t>
            </w:r>
          </w:p>
        </w:tc>
        <w:tc>
          <w:tcPr>
            <w:tcW w:type="dxa" w:w="3312"/>
            <w:vAlign w:val="center"/>
            <w:shd w:fill="F3F6F7"/>
          </w:tcPr>
          <w:p>
            <w:pPr>
              <w:spacing w:after="0"/>
            </w:pPr>
            <w:r/>
            <w:r>
              <w:rPr>
                <w:rFonts w:ascii="Aptos" w:hAnsi="Aptos"/>
                <w:b w:val="0"/>
                <w:sz w:val="15"/>
              </w:rPr>
              <w:t>Block release</w:t>
            </w:r>
          </w:p>
        </w:tc>
      </w:tr>
      <w:tr>
        <w:trPr>
          <w:cantSplit/>
        </w:trPr>
        <w:tc>
          <w:tcPr>
            <w:tcW w:type="dxa" w:w="1728"/>
            <w:vAlign w:val="center"/>
          </w:tcPr>
          <w:p>
            <w:pPr>
              <w:spacing w:after="0"/>
            </w:pPr>
            <w:r/>
            <w:r>
              <w:rPr>
                <w:rFonts w:ascii="Aptos" w:hAnsi="Aptos"/>
                <w:b w:val="0"/>
                <w:sz w:val="15"/>
              </w:rPr>
              <w:t>Infrastructure</w:t>
            </w:r>
          </w:p>
        </w:tc>
        <w:tc>
          <w:tcPr>
            <w:tcW w:type="dxa" w:w="4896"/>
            <w:vAlign w:val="center"/>
          </w:tcPr>
          <w:p>
            <w:pPr>
              <w:spacing w:after="0"/>
            </w:pPr>
            <w:r/>
            <w:r>
              <w:rPr>
                <w:rFonts w:ascii="Aptos" w:hAnsi="Aptos"/>
                <w:b w:val="0"/>
                <w:sz w:val="15"/>
              </w:rPr>
              <w:t>Hardening, segmentation, identity and logging</w:t>
            </w:r>
          </w:p>
        </w:tc>
        <w:tc>
          <w:tcPr>
            <w:tcW w:type="dxa" w:w="3312"/>
            <w:vAlign w:val="center"/>
          </w:tcPr>
          <w:p>
            <w:pPr>
              <w:spacing w:after="0"/>
            </w:pPr>
            <w:r/>
            <w:r>
              <w:rPr>
                <w:rFonts w:ascii="Aptos" w:hAnsi="Aptos"/>
                <w:b w:val="0"/>
                <w:sz w:val="15"/>
              </w:rPr>
              <w:t>Block deployment</w:t>
            </w:r>
          </w:p>
        </w:tc>
      </w:tr>
      <w:tr>
        <w:trPr>
          <w:cantSplit/>
        </w:trPr>
        <w:tc>
          <w:tcPr>
            <w:tcW w:type="dxa" w:w="1728"/>
            <w:vAlign w:val="center"/>
            <w:shd w:fill="F3F6F7"/>
          </w:tcPr>
          <w:p>
            <w:pPr>
              <w:spacing w:after="0"/>
            </w:pPr>
            <w:r/>
            <w:r>
              <w:rPr>
                <w:rFonts w:ascii="Aptos" w:hAnsi="Aptos"/>
                <w:b w:val="0"/>
                <w:sz w:val="15"/>
              </w:rPr>
              <w:t>Release</w:t>
            </w:r>
          </w:p>
        </w:tc>
        <w:tc>
          <w:tcPr>
            <w:tcW w:type="dxa" w:w="4896"/>
            <w:vAlign w:val="center"/>
            <w:shd w:fill="F3F6F7"/>
          </w:tcPr>
          <w:p>
            <w:pPr>
              <w:spacing w:after="0"/>
            </w:pPr>
            <w:r/>
            <w:r>
              <w:rPr>
                <w:rFonts w:ascii="Aptos" w:hAnsi="Aptos"/>
                <w:b w:val="0"/>
                <w:sz w:val="15"/>
              </w:rPr>
              <w:t>Approval, evidence completeness, rollback and monitoring</w:t>
            </w:r>
          </w:p>
        </w:tc>
        <w:tc>
          <w:tcPr>
            <w:tcW w:type="dxa" w:w="3312"/>
            <w:vAlign w:val="center"/>
            <w:shd w:fill="F3F6F7"/>
          </w:tcPr>
          <w:p>
            <w:pPr>
              <w:spacing w:after="0"/>
            </w:pPr>
            <w:r/>
            <w:r>
              <w:rPr>
                <w:rFonts w:ascii="Aptos" w:hAnsi="Aptos"/>
                <w:b w:val="0"/>
                <w:sz w:val="15"/>
              </w:rPr>
              <w:t>Defer production</w:t>
            </w:r>
          </w:p>
        </w:tc>
      </w:tr>
      <w:tr>
        <w:trPr>
          <w:cantSplit/>
        </w:trPr>
        <w:tc>
          <w:tcPr>
            <w:tcW w:type="dxa" w:w="1728"/>
            <w:vAlign w:val="center"/>
          </w:tcPr>
          <w:p>
            <w:pPr>
              <w:spacing w:after="0"/>
            </w:pPr>
            <w:r/>
            <w:r>
              <w:rPr>
                <w:rFonts w:ascii="Aptos" w:hAnsi="Aptos"/>
                <w:b w:val="0"/>
                <w:sz w:val="15"/>
              </w:rPr>
              <w:t>Post-release</w:t>
            </w:r>
          </w:p>
        </w:tc>
        <w:tc>
          <w:tcPr>
            <w:tcW w:type="dxa" w:w="4896"/>
            <w:vAlign w:val="center"/>
          </w:tcPr>
          <w:p>
            <w:pPr>
              <w:spacing w:after="0"/>
            </w:pPr>
            <w:r/>
            <w:r>
              <w:rPr>
                <w:rFonts w:ascii="Aptos" w:hAnsi="Aptos"/>
                <w:b w:val="0"/>
                <w:sz w:val="15"/>
              </w:rPr>
              <w:t>Drift, abuse, incident indicators and control-health telemetry</w:t>
            </w:r>
          </w:p>
        </w:tc>
        <w:tc>
          <w:tcPr>
            <w:tcW w:type="dxa" w:w="3312"/>
            <w:vAlign w:val="center"/>
          </w:tcPr>
          <w:p>
            <w:pPr>
              <w:spacing w:after="0"/>
            </w:pPr>
            <w:r/>
            <w:r>
              <w:rPr>
                <w:rFonts w:ascii="Aptos" w:hAnsi="Aptos"/>
                <w:b w:val="0"/>
                <w:sz w:val="15"/>
              </w:rPr>
              <w:t>Alert, contain or roll back</w:t>
            </w:r>
          </w:p>
        </w:tc>
      </w:tr>
    </w:tbl>
    <w:p/>
    <w:p>
      <w:pPr>
        <w:pStyle w:val="Heading1"/>
      </w:pPr>
      <w:r>
        <w:t>7. Domain Implementation 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008"/>
            <w:vAlign w:val="center"/>
            <w:shd w:fill="17324D"/>
          </w:tcPr>
          <w:p>
            <w:pPr>
              <w:spacing w:after="0"/>
            </w:pPr>
            <w:r/>
            <w:r>
              <w:rPr>
                <w:rFonts w:ascii="Aptos" w:hAnsi="Aptos"/>
                <w:b/>
                <w:color w:val="FFFFFF"/>
                <w:sz w:val="15"/>
              </w:rPr>
              <w:t>Domain</w:t>
            </w:r>
          </w:p>
        </w:tc>
        <w:tc>
          <w:tcPr>
            <w:tcW w:type="dxa" w:w="3456"/>
            <w:vAlign w:val="center"/>
            <w:shd w:fill="17324D"/>
          </w:tcPr>
          <w:p>
            <w:pPr>
              <w:spacing w:after="0"/>
            </w:pPr>
            <w:r/>
            <w:r>
              <w:rPr>
                <w:rFonts w:ascii="Aptos" w:hAnsi="Aptos"/>
                <w:b/>
                <w:color w:val="FFFFFF"/>
                <w:sz w:val="15"/>
              </w:rPr>
              <w:t>Implementation focus</w:t>
            </w:r>
          </w:p>
        </w:tc>
        <w:tc>
          <w:tcPr>
            <w:tcW w:type="dxa" w:w="5472"/>
            <w:vAlign w:val="center"/>
            <w:shd w:fill="17324D"/>
          </w:tcPr>
          <w:p>
            <w:pPr>
              <w:spacing w:after="0"/>
            </w:pPr>
            <w:r/>
            <w:r>
              <w:rPr>
                <w:rFonts w:ascii="Aptos" w:hAnsi="Aptos"/>
                <w:b/>
                <w:color w:val="FFFFFF"/>
                <w:sz w:val="15"/>
              </w:rPr>
              <w:t>Typical mechanisms</w:t>
            </w:r>
          </w:p>
        </w:tc>
      </w:tr>
      <w:tr>
        <w:trPr>
          <w:cantSplit/>
        </w:trPr>
        <w:tc>
          <w:tcPr>
            <w:tcW w:type="dxa" w:w="1008"/>
            <w:vAlign w:val="center"/>
          </w:tcPr>
          <w:p>
            <w:pPr>
              <w:spacing w:after="0"/>
            </w:pPr>
            <w:r/>
            <w:r>
              <w:rPr>
                <w:rFonts w:ascii="Aptos" w:hAnsi="Aptos"/>
                <w:b w:val="0"/>
                <w:sz w:val="15"/>
              </w:rPr>
              <w:t>D1</w:t>
            </w:r>
          </w:p>
        </w:tc>
        <w:tc>
          <w:tcPr>
            <w:tcW w:type="dxa" w:w="3456"/>
            <w:vAlign w:val="center"/>
          </w:tcPr>
          <w:p>
            <w:pPr>
              <w:spacing w:after="0"/>
            </w:pPr>
            <w:r/>
            <w:r>
              <w:rPr>
                <w:rFonts w:ascii="Aptos" w:hAnsi="Aptos"/>
                <w:b w:val="0"/>
                <w:sz w:val="15"/>
              </w:rPr>
              <w:t>Model and data integrity</w:t>
            </w:r>
          </w:p>
        </w:tc>
        <w:tc>
          <w:tcPr>
            <w:tcW w:type="dxa" w:w="5472"/>
            <w:vAlign w:val="center"/>
          </w:tcPr>
          <w:p>
            <w:pPr>
              <w:spacing w:after="0"/>
            </w:pPr>
            <w:r/>
            <w:r>
              <w:rPr>
                <w:rFonts w:ascii="Aptos" w:hAnsi="Aptos"/>
                <w:b w:val="0"/>
                <w:sz w:val="15"/>
              </w:rPr>
              <w:t>Provenance, version control, data lineage, integrity verification, reproducible builds</w:t>
            </w:r>
          </w:p>
        </w:tc>
      </w:tr>
      <w:tr>
        <w:trPr>
          <w:cantSplit/>
        </w:trPr>
        <w:tc>
          <w:tcPr>
            <w:tcW w:type="dxa" w:w="1008"/>
            <w:vAlign w:val="center"/>
            <w:shd w:fill="F3F6F7"/>
          </w:tcPr>
          <w:p>
            <w:pPr>
              <w:spacing w:after="0"/>
            </w:pPr>
            <w:r/>
            <w:r>
              <w:rPr>
                <w:rFonts w:ascii="Aptos" w:hAnsi="Aptos"/>
                <w:b w:val="0"/>
                <w:sz w:val="15"/>
              </w:rPr>
              <w:t>D2</w:t>
            </w:r>
          </w:p>
        </w:tc>
        <w:tc>
          <w:tcPr>
            <w:tcW w:type="dxa" w:w="3456"/>
            <w:vAlign w:val="center"/>
            <w:shd w:fill="F3F6F7"/>
          </w:tcPr>
          <w:p>
            <w:pPr>
              <w:spacing w:after="0"/>
            </w:pPr>
            <w:r/>
            <w:r>
              <w:rPr>
                <w:rFonts w:ascii="Aptos" w:hAnsi="Aptos"/>
                <w:b w:val="0"/>
                <w:sz w:val="15"/>
              </w:rPr>
              <w:t>Adversarial robustness</w:t>
            </w:r>
          </w:p>
        </w:tc>
        <w:tc>
          <w:tcPr>
            <w:tcW w:type="dxa" w:w="5472"/>
            <w:vAlign w:val="center"/>
            <w:shd w:fill="F3F6F7"/>
          </w:tcPr>
          <w:p>
            <w:pPr>
              <w:spacing w:after="0"/>
            </w:pPr>
            <w:r/>
            <w:r>
              <w:rPr>
                <w:rFonts w:ascii="Aptos" w:hAnsi="Aptos"/>
                <w:b w:val="0"/>
                <w:sz w:val="15"/>
              </w:rPr>
              <w:t>Threat modelling, red teaming, abuse testing, robustness evaluation, attack monitoring</w:t>
            </w:r>
          </w:p>
        </w:tc>
      </w:tr>
      <w:tr>
        <w:trPr>
          <w:cantSplit/>
        </w:trPr>
        <w:tc>
          <w:tcPr>
            <w:tcW w:type="dxa" w:w="1008"/>
            <w:vAlign w:val="center"/>
          </w:tcPr>
          <w:p>
            <w:pPr>
              <w:spacing w:after="0"/>
            </w:pPr>
            <w:r/>
            <w:r>
              <w:rPr>
                <w:rFonts w:ascii="Aptos" w:hAnsi="Aptos"/>
                <w:b w:val="0"/>
                <w:sz w:val="15"/>
              </w:rPr>
              <w:t>D3</w:t>
            </w:r>
          </w:p>
        </w:tc>
        <w:tc>
          <w:tcPr>
            <w:tcW w:type="dxa" w:w="3456"/>
            <w:vAlign w:val="center"/>
          </w:tcPr>
          <w:p>
            <w:pPr>
              <w:spacing w:after="0"/>
            </w:pPr>
            <w:r/>
            <w:r>
              <w:rPr>
                <w:rFonts w:ascii="Aptos" w:hAnsi="Aptos"/>
                <w:b w:val="0"/>
                <w:sz w:val="15"/>
              </w:rPr>
              <w:t>Secure architecture and supply chain</w:t>
            </w:r>
          </w:p>
        </w:tc>
        <w:tc>
          <w:tcPr>
            <w:tcW w:type="dxa" w:w="5472"/>
            <w:vAlign w:val="center"/>
          </w:tcPr>
          <w:p>
            <w:pPr>
              <w:spacing w:after="0"/>
            </w:pPr>
            <w:r/>
            <w:r>
              <w:rPr>
                <w:rFonts w:ascii="Aptos" w:hAnsi="Aptos"/>
                <w:b w:val="0"/>
                <w:sz w:val="15"/>
              </w:rPr>
              <w:t>Trust boundaries, least privilege, dependency control, supplier assurance, segmentation</w:t>
            </w:r>
          </w:p>
        </w:tc>
      </w:tr>
      <w:tr>
        <w:trPr>
          <w:cantSplit/>
        </w:trPr>
        <w:tc>
          <w:tcPr>
            <w:tcW w:type="dxa" w:w="1008"/>
            <w:vAlign w:val="center"/>
            <w:shd w:fill="F3F6F7"/>
          </w:tcPr>
          <w:p>
            <w:pPr>
              <w:spacing w:after="0"/>
            </w:pPr>
            <w:r/>
            <w:r>
              <w:rPr>
                <w:rFonts w:ascii="Aptos" w:hAnsi="Aptos"/>
                <w:b w:val="0"/>
                <w:sz w:val="15"/>
              </w:rPr>
              <w:t>D4</w:t>
            </w:r>
          </w:p>
        </w:tc>
        <w:tc>
          <w:tcPr>
            <w:tcW w:type="dxa" w:w="3456"/>
            <w:vAlign w:val="center"/>
            <w:shd w:fill="F3F6F7"/>
          </w:tcPr>
          <w:p>
            <w:pPr>
              <w:spacing w:after="0"/>
            </w:pPr>
            <w:r/>
            <w:r>
              <w:rPr>
                <w:rFonts w:ascii="Aptos" w:hAnsi="Aptos"/>
                <w:b w:val="0"/>
                <w:sz w:val="15"/>
              </w:rPr>
              <w:t>Secure development and deployment</w:t>
            </w:r>
          </w:p>
        </w:tc>
        <w:tc>
          <w:tcPr>
            <w:tcW w:type="dxa" w:w="5472"/>
            <w:vAlign w:val="center"/>
            <w:shd w:fill="F3F6F7"/>
          </w:tcPr>
          <w:p>
            <w:pPr>
              <w:spacing w:after="0"/>
            </w:pPr>
            <w:r/>
            <w:r>
              <w:rPr>
                <w:rFonts w:ascii="Aptos" w:hAnsi="Aptos"/>
                <w:b w:val="0"/>
                <w:sz w:val="15"/>
              </w:rPr>
              <w:t>Secure SDLC, code review, deployment gates, environment separation, rollback</w:t>
            </w:r>
          </w:p>
        </w:tc>
      </w:tr>
      <w:tr>
        <w:trPr>
          <w:cantSplit/>
        </w:trPr>
        <w:tc>
          <w:tcPr>
            <w:tcW w:type="dxa" w:w="1008"/>
            <w:vAlign w:val="center"/>
          </w:tcPr>
          <w:p>
            <w:pPr>
              <w:spacing w:after="0"/>
            </w:pPr>
            <w:r/>
            <w:r>
              <w:rPr>
                <w:rFonts w:ascii="Aptos" w:hAnsi="Aptos"/>
                <w:b w:val="0"/>
                <w:sz w:val="15"/>
              </w:rPr>
              <w:t>D5</w:t>
            </w:r>
          </w:p>
        </w:tc>
        <w:tc>
          <w:tcPr>
            <w:tcW w:type="dxa" w:w="3456"/>
            <w:vAlign w:val="center"/>
          </w:tcPr>
          <w:p>
            <w:pPr>
              <w:spacing w:after="0"/>
            </w:pPr>
            <w:r/>
            <w:r>
              <w:rPr>
                <w:rFonts w:ascii="Aptos" w:hAnsi="Aptos"/>
                <w:b w:val="0"/>
                <w:sz w:val="15"/>
              </w:rPr>
              <w:t>Data protection and privacy</w:t>
            </w:r>
          </w:p>
        </w:tc>
        <w:tc>
          <w:tcPr>
            <w:tcW w:type="dxa" w:w="5472"/>
            <w:vAlign w:val="center"/>
          </w:tcPr>
          <w:p>
            <w:pPr>
              <w:spacing w:after="0"/>
            </w:pPr>
            <w:r/>
            <w:r>
              <w:rPr>
                <w:rFonts w:ascii="Aptos" w:hAnsi="Aptos"/>
                <w:b w:val="0"/>
                <w:sz w:val="15"/>
              </w:rPr>
              <w:t>Minimization, lawful processing, retention, access control, leakage prevention</w:t>
            </w:r>
          </w:p>
        </w:tc>
      </w:tr>
      <w:tr>
        <w:trPr>
          <w:cantSplit/>
        </w:trPr>
        <w:tc>
          <w:tcPr>
            <w:tcW w:type="dxa" w:w="1008"/>
            <w:vAlign w:val="center"/>
            <w:shd w:fill="F3F6F7"/>
          </w:tcPr>
          <w:p>
            <w:pPr>
              <w:spacing w:after="0"/>
            </w:pPr>
            <w:r/>
            <w:r>
              <w:rPr>
                <w:rFonts w:ascii="Aptos" w:hAnsi="Aptos"/>
                <w:b w:val="0"/>
                <w:sz w:val="15"/>
              </w:rPr>
              <w:t>D6</w:t>
            </w:r>
          </w:p>
        </w:tc>
        <w:tc>
          <w:tcPr>
            <w:tcW w:type="dxa" w:w="3456"/>
            <w:vAlign w:val="center"/>
            <w:shd w:fill="F3F6F7"/>
          </w:tcPr>
          <w:p>
            <w:pPr>
              <w:spacing w:after="0"/>
            </w:pPr>
            <w:r/>
            <w:r>
              <w:rPr>
                <w:rFonts w:ascii="Aptos" w:hAnsi="Aptos"/>
                <w:b w:val="0"/>
                <w:sz w:val="15"/>
              </w:rPr>
              <w:t>Governance, oversight and incident management</w:t>
            </w:r>
          </w:p>
        </w:tc>
        <w:tc>
          <w:tcPr>
            <w:tcW w:type="dxa" w:w="5472"/>
            <w:vAlign w:val="center"/>
            <w:shd w:fill="F3F6F7"/>
          </w:tcPr>
          <w:p>
            <w:pPr>
              <w:spacing w:after="0"/>
            </w:pPr>
            <w:r/>
            <w:r>
              <w:rPr>
                <w:rFonts w:ascii="Aptos" w:hAnsi="Aptos"/>
                <w:b w:val="0"/>
                <w:sz w:val="15"/>
              </w:rPr>
              <w:t>Accountability, policies, incident response, escalation, management review</w:t>
            </w:r>
          </w:p>
        </w:tc>
      </w:tr>
      <w:tr>
        <w:trPr>
          <w:cantSplit/>
        </w:trPr>
        <w:tc>
          <w:tcPr>
            <w:tcW w:type="dxa" w:w="1008"/>
            <w:vAlign w:val="center"/>
          </w:tcPr>
          <w:p>
            <w:pPr>
              <w:spacing w:after="0"/>
            </w:pPr>
            <w:r/>
            <w:r>
              <w:rPr>
                <w:rFonts w:ascii="Aptos" w:hAnsi="Aptos"/>
                <w:b w:val="0"/>
                <w:sz w:val="15"/>
              </w:rPr>
              <w:t>D7</w:t>
            </w:r>
          </w:p>
        </w:tc>
        <w:tc>
          <w:tcPr>
            <w:tcW w:type="dxa" w:w="3456"/>
            <w:vAlign w:val="center"/>
          </w:tcPr>
          <w:p>
            <w:pPr>
              <w:spacing w:after="0"/>
            </w:pPr>
            <w:r/>
            <w:r>
              <w:rPr>
                <w:rFonts w:ascii="Aptos" w:hAnsi="Aptos"/>
                <w:b w:val="0"/>
                <w:sz w:val="15"/>
              </w:rPr>
              <w:t>Transparency, human factors and content safety</w:t>
            </w:r>
          </w:p>
        </w:tc>
        <w:tc>
          <w:tcPr>
            <w:tcW w:type="dxa" w:w="5472"/>
            <w:vAlign w:val="center"/>
          </w:tcPr>
          <w:p>
            <w:pPr>
              <w:spacing w:after="0"/>
            </w:pPr>
            <w:r/>
            <w:r>
              <w:rPr>
                <w:rFonts w:ascii="Aptos" w:hAnsi="Aptos"/>
                <w:b w:val="0"/>
                <w:sz w:val="15"/>
              </w:rPr>
              <w:t>Disclosure, explainability, human oversight, harmful-output controls, user recourse</w:t>
            </w:r>
          </w:p>
        </w:tc>
      </w:tr>
      <w:tr>
        <w:trPr>
          <w:cantSplit/>
        </w:trPr>
        <w:tc>
          <w:tcPr>
            <w:tcW w:type="dxa" w:w="1008"/>
            <w:vAlign w:val="center"/>
            <w:shd w:fill="F3F6F7"/>
          </w:tcPr>
          <w:p>
            <w:pPr>
              <w:spacing w:after="0"/>
            </w:pPr>
            <w:r/>
            <w:r>
              <w:rPr>
                <w:rFonts w:ascii="Aptos" w:hAnsi="Aptos"/>
                <w:b w:val="0"/>
                <w:sz w:val="15"/>
              </w:rPr>
              <w:t>D8</w:t>
            </w:r>
          </w:p>
        </w:tc>
        <w:tc>
          <w:tcPr>
            <w:tcW w:type="dxa" w:w="3456"/>
            <w:vAlign w:val="center"/>
            <w:shd w:fill="F3F6F7"/>
          </w:tcPr>
          <w:p>
            <w:pPr>
              <w:spacing w:after="0"/>
            </w:pPr>
            <w:r/>
            <w:r>
              <w:rPr>
                <w:rFonts w:ascii="Aptos" w:hAnsi="Aptos"/>
                <w:b w:val="0"/>
                <w:sz w:val="15"/>
              </w:rPr>
              <w:t>Risk, assurance and continuous improvement</w:t>
            </w:r>
          </w:p>
        </w:tc>
        <w:tc>
          <w:tcPr>
            <w:tcW w:type="dxa" w:w="5472"/>
            <w:vAlign w:val="center"/>
            <w:shd w:fill="F3F6F7"/>
          </w:tcPr>
          <w:p>
            <w:pPr>
              <w:spacing w:after="0"/>
            </w:pPr>
            <w:r/>
            <w:r>
              <w:rPr>
                <w:rFonts w:ascii="Aptos" w:hAnsi="Aptos"/>
                <w:b w:val="0"/>
                <w:sz w:val="15"/>
              </w:rPr>
              <w:t>Risk assessment, exceptions, metrics, assurance, corrective action</w:t>
            </w:r>
          </w:p>
        </w:tc>
      </w:tr>
      <w:tr>
        <w:trPr>
          <w:cantSplit/>
        </w:trPr>
        <w:tc>
          <w:tcPr>
            <w:tcW w:type="dxa" w:w="1008"/>
            <w:vAlign w:val="center"/>
          </w:tcPr>
          <w:p>
            <w:pPr>
              <w:spacing w:after="0"/>
            </w:pPr>
            <w:r/>
            <w:r>
              <w:rPr>
                <w:rFonts w:ascii="Aptos" w:hAnsi="Aptos"/>
                <w:b w:val="0"/>
                <w:sz w:val="15"/>
              </w:rPr>
              <w:t>D9</w:t>
            </w:r>
          </w:p>
        </w:tc>
        <w:tc>
          <w:tcPr>
            <w:tcW w:type="dxa" w:w="3456"/>
            <w:vAlign w:val="center"/>
          </w:tcPr>
          <w:p>
            <w:pPr>
              <w:spacing w:after="0"/>
            </w:pPr>
            <w:r/>
            <w:r>
              <w:rPr>
                <w:rFonts w:ascii="Aptos" w:hAnsi="Aptos"/>
                <w:b w:val="0"/>
                <w:sz w:val="15"/>
              </w:rPr>
              <w:t>Physical AI safety</w:t>
            </w:r>
          </w:p>
        </w:tc>
        <w:tc>
          <w:tcPr>
            <w:tcW w:type="dxa" w:w="5472"/>
            <w:vAlign w:val="center"/>
          </w:tcPr>
          <w:p>
            <w:pPr>
              <w:spacing w:after="0"/>
            </w:pPr>
            <w:r/>
            <w:r>
              <w:rPr>
                <w:rFonts w:ascii="Aptos" w:hAnsi="Aptos"/>
                <w:b w:val="0"/>
                <w:sz w:val="15"/>
              </w:rPr>
              <w:t>Fail-safe behavior, safe state, actuation limits, human override, HIL/simulation evidence</w:t>
            </w:r>
          </w:p>
        </w:tc>
      </w:tr>
    </w:tbl>
    <w:p/>
    <w:p>
      <w:pPr>
        <w:pStyle w:val="Heading1"/>
      </w:pPr>
      <w:r>
        <w:t>8. Evidence Architecture</w:t>
      </w:r>
    </w:p>
    <w:p>
      <w:pPr>
        <w:pStyle w:val="Heading2"/>
      </w:pPr>
      <w:r>
        <w:t>8.1 Evidence principles</w:t>
      </w:r>
    </w:p>
    <w:p>
      <w:pPr>
        <w:pStyle w:val="ListBullet"/>
      </w:pPr>
      <w:r>
        <w:t>Evidence should be generated as a by-product of control operation.</w:t>
      </w:r>
    </w:p>
    <w:p>
      <w:pPr>
        <w:pStyle w:val="ListBullet"/>
      </w:pPr>
      <w:r>
        <w:t>Evidence should be attributable to a system, control, period and responsible owner.</w:t>
      </w:r>
    </w:p>
    <w:p>
      <w:pPr>
        <w:pStyle w:val="ListBullet"/>
      </w:pPr>
      <w:r>
        <w:t>Evidence integrity should be protected using repository controls, hashes, signatures or immutable logging where appropriate.</w:t>
      </w:r>
    </w:p>
    <w:p>
      <w:pPr>
        <w:pStyle w:val="ListBullet"/>
      </w:pPr>
      <w:r>
        <w:t>Evidence should expose limitations, failed tests and exceptions rather than only successful outcomes.</w:t>
      </w:r>
    </w:p>
    <w:p>
      <w:pPr>
        <w:pStyle w:val="Heading2"/>
      </w:pPr>
      <w:r>
        <w:t>8.2 Evidence package structure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Package element</w:t>
            </w:r>
          </w:p>
        </w:tc>
        <w:tc>
          <w:tcPr>
            <w:tcW w:type="dxa" w:w="7200"/>
            <w:vAlign w:val="center"/>
            <w:shd w:fill="17324D"/>
          </w:tcPr>
          <w:p>
            <w:pPr>
              <w:spacing w:after="0"/>
            </w:pPr>
            <w:r/>
            <w:r>
              <w:rPr>
                <w:rFonts w:ascii="Aptos" w:hAnsi="Aptos"/>
                <w:b/>
                <w:color w:val="FFFFFF"/>
                <w:sz w:val="15"/>
              </w:rPr>
              <w:t>Content</w:t>
            </w:r>
          </w:p>
        </w:tc>
      </w:tr>
      <w:tr>
        <w:trPr>
          <w:cantSplit/>
        </w:trPr>
        <w:tc>
          <w:tcPr>
            <w:tcW w:type="dxa" w:w="2448"/>
            <w:vAlign w:val="center"/>
          </w:tcPr>
          <w:p>
            <w:pPr>
              <w:spacing w:after="0"/>
            </w:pPr>
            <w:r/>
            <w:r>
              <w:rPr>
                <w:rFonts w:ascii="Aptos" w:hAnsi="Aptos"/>
                <w:b w:val="0"/>
                <w:sz w:val="15"/>
              </w:rPr>
              <w:t>Manifest</w:t>
            </w:r>
          </w:p>
        </w:tc>
        <w:tc>
          <w:tcPr>
            <w:tcW w:type="dxa" w:w="7200"/>
            <w:vAlign w:val="center"/>
          </w:tcPr>
          <w:p>
            <w:pPr>
              <w:spacing w:after="0"/>
            </w:pPr>
            <w:r/>
            <w:r>
              <w:rPr>
                <w:rFonts w:ascii="Aptos" w:hAnsi="Aptos"/>
                <w:b w:val="0"/>
                <w:sz w:val="15"/>
              </w:rPr>
              <w:t>Scope, period, control IDs, owners and artifact list</w:t>
            </w:r>
          </w:p>
        </w:tc>
      </w:tr>
      <w:tr>
        <w:trPr>
          <w:cantSplit/>
        </w:trPr>
        <w:tc>
          <w:tcPr>
            <w:tcW w:type="dxa" w:w="2448"/>
            <w:vAlign w:val="center"/>
            <w:shd w:fill="F3F6F7"/>
          </w:tcPr>
          <w:p>
            <w:pPr>
              <w:spacing w:after="0"/>
            </w:pPr>
            <w:r/>
            <w:r>
              <w:rPr>
                <w:rFonts w:ascii="Aptos" w:hAnsi="Aptos"/>
                <w:b w:val="0"/>
                <w:sz w:val="15"/>
              </w:rPr>
              <w:t>Control narrative</w:t>
            </w:r>
          </w:p>
        </w:tc>
        <w:tc>
          <w:tcPr>
            <w:tcW w:type="dxa" w:w="7200"/>
            <w:vAlign w:val="center"/>
            <w:shd w:fill="F3F6F7"/>
          </w:tcPr>
          <w:p>
            <w:pPr>
              <w:spacing w:after="0"/>
            </w:pPr>
            <w:r/>
            <w:r>
              <w:rPr>
                <w:rFonts w:ascii="Aptos" w:hAnsi="Aptos"/>
                <w:b w:val="0"/>
                <w:sz w:val="15"/>
              </w:rPr>
              <w:t>How the control is implemented and operated</w:t>
            </w:r>
          </w:p>
        </w:tc>
      </w:tr>
      <w:tr>
        <w:trPr>
          <w:cantSplit/>
        </w:trPr>
        <w:tc>
          <w:tcPr>
            <w:tcW w:type="dxa" w:w="2448"/>
            <w:vAlign w:val="center"/>
          </w:tcPr>
          <w:p>
            <w:pPr>
              <w:spacing w:after="0"/>
            </w:pPr>
            <w:r/>
            <w:r>
              <w:rPr>
                <w:rFonts w:ascii="Aptos" w:hAnsi="Aptos"/>
                <w:b w:val="0"/>
                <w:sz w:val="15"/>
              </w:rPr>
              <w:t>Design evidence</w:t>
            </w:r>
          </w:p>
        </w:tc>
        <w:tc>
          <w:tcPr>
            <w:tcW w:type="dxa" w:w="7200"/>
            <w:vAlign w:val="center"/>
          </w:tcPr>
          <w:p>
            <w:pPr>
              <w:spacing w:after="0"/>
            </w:pPr>
            <w:r/>
            <w:r>
              <w:rPr>
                <w:rFonts w:ascii="Aptos" w:hAnsi="Aptos"/>
                <w:b w:val="0"/>
                <w:sz w:val="15"/>
              </w:rPr>
              <w:t>Policies, architecture and configuration standards</w:t>
            </w:r>
          </w:p>
        </w:tc>
      </w:tr>
      <w:tr>
        <w:trPr>
          <w:cantSplit/>
        </w:trPr>
        <w:tc>
          <w:tcPr>
            <w:tcW w:type="dxa" w:w="2448"/>
            <w:vAlign w:val="center"/>
            <w:shd w:fill="F3F6F7"/>
          </w:tcPr>
          <w:p>
            <w:pPr>
              <w:spacing w:after="0"/>
            </w:pPr>
            <w:r/>
            <w:r>
              <w:rPr>
                <w:rFonts w:ascii="Aptos" w:hAnsi="Aptos"/>
                <w:b w:val="0"/>
                <w:sz w:val="15"/>
              </w:rPr>
              <w:t>Operating evidence</w:t>
            </w:r>
          </w:p>
        </w:tc>
        <w:tc>
          <w:tcPr>
            <w:tcW w:type="dxa" w:w="7200"/>
            <w:vAlign w:val="center"/>
            <w:shd w:fill="F3F6F7"/>
          </w:tcPr>
          <w:p>
            <w:pPr>
              <w:spacing w:after="0"/>
            </w:pPr>
            <w:r/>
            <w:r>
              <w:rPr>
                <w:rFonts w:ascii="Aptos" w:hAnsi="Aptos"/>
                <w:b w:val="0"/>
                <w:sz w:val="15"/>
              </w:rPr>
              <w:t>Logs, tickets, approvals and recurring records</w:t>
            </w:r>
          </w:p>
        </w:tc>
      </w:tr>
      <w:tr>
        <w:trPr>
          <w:cantSplit/>
        </w:trPr>
        <w:tc>
          <w:tcPr>
            <w:tcW w:type="dxa" w:w="2448"/>
            <w:vAlign w:val="center"/>
          </w:tcPr>
          <w:p>
            <w:pPr>
              <w:spacing w:after="0"/>
            </w:pPr>
            <w:r/>
            <w:r>
              <w:rPr>
                <w:rFonts w:ascii="Aptos" w:hAnsi="Aptos"/>
                <w:b w:val="0"/>
                <w:sz w:val="15"/>
              </w:rPr>
              <w:t>Technical evidence</w:t>
            </w:r>
          </w:p>
        </w:tc>
        <w:tc>
          <w:tcPr>
            <w:tcW w:type="dxa" w:w="7200"/>
            <w:vAlign w:val="center"/>
          </w:tcPr>
          <w:p>
            <w:pPr>
              <w:spacing w:after="0"/>
            </w:pPr>
            <w:r/>
            <w:r>
              <w:rPr>
                <w:rFonts w:ascii="Aptos" w:hAnsi="Aptos"/>
                <w:b w:val="0"/>
                <w:sz w:val="15"/>
              </w:rPr>
              <w:t>Tests, scans, evaluations and measurements</w:t>
            </w:r>
          </w:p>
        </w:tc>
      </w:tr>
      <w:tr>
        <w:trPr>
          <w:cantSplit/>
        </w:trPr>
        <w:tc>
          <w:tcPr>
            <w:tcW w:type="dxa" w:w="2448"/>
            <w:vAlign w:val="center"/>
            <w:shd w:fill="F3F6F7"/>
          </w:tcPr>
          <w:p>
            <w:pPr>
              <w:spacing w:after="0"/>
            </w:pPr>
            <w:r/>
            <w:r>
              <w:rPr>
                <w:rFonts w:ascii="Aptos" w:hAnsi="Aptos"/>
                <w:b w:val="0"/>
                <w:sz w:val="15"/>
              </w:rPr>
              <w:t>Exceptions</w:t>
            </w:r>
          </w:p>
        </w:tc>
        <w:tc>
          <w:tcPr>
            <w:tcW w:type="dxa" w:w="7200"/>
            <w:vAlign w:val="center"/>
            <w:shd w:fill="F3F6F7"/>
          </w:tcPr>
          <w:p>
            <w:pPr>
              <w:spacing w:after="0"/>
            </w:pPr>
            <w:r/>
            <w:r>
              <w:rPr>
                <w:rFonts w:ascii="Aptos" w:hAnsi="Aptos"/>
                <w:b w:val="0"/>
                <w:sz w:val="15"/>
              </w:rPr>
              <w:t>Approved deviations and residual risk</w:t>
            </w:r>
          </w:p>
        </w:tc>
      </w:tr>
      <w:tr>
        <w:trPr>
          <w:cantSplit/>
        </w:trPr>
        <w:tc>
          <w:tcPr>
            <w:tcW w:type="dxa" w:w="2448"/>
            <w:vAlign w:val="center"/>
          </w:tcPr>
          <w:p>
            <w:pPr>
              <w:spacing w:after="0"/>
            </w:pPr>
            <w:r/>
            <w:r>
              <w:rPr>
                <w:rFonts w:ascii="Aptos" w:hAnsi="Aptos"/>
                <w:b w:val="0"/>
                <w:sz w:val="15"/>
              </w:rPr>
              <w:t>Findings</w:t>
            </w:r>
          </w:p>
        </w:tc>
        <w:tc>
          <w:tcPr>
            <w:tcW w:type="dxa" w:w="7200"/>
            <w:vAlign w:val="center"/>
          </w:tcPr>
          <w:p>
            <w:pPr>
              <w:spacing w:after="0"/>
            </w:pPr>
            <w:r/>
            <w:r>
              <w:rPr>
                <w:rFonts w:ascii="Aptos" w:hAnsi="Aptos"/>
                <w:b w:val="0"/>
                <w:sz w:val="15"/>
              </w:rPr>
              <w:t>Known deficiencies and corrective actions</w:t>
            </w:r>
          </w:p>
        </w:tc>
      </w:tr>
      <w:tr>
        <w:trPr>
          <w:cantSplit/>
        </w:trPr>
        <w:tc>
          <w:tcPr>
            <w:tcW w:type="dxa" w:w="2448"/>
            <w:vAlign w:val="center"/>
            <w:shd w:fill="F3F6F7"/>
          </w:tcPr>
          <w:p>
            <w:pPr>
              <w:spacing w:after="0"/>
            </w:pPr>
            <w:r/>
            <w:r>
              <w:rPr>
                <w:rFonts w:ascii="Aptos" w:hAnsi="Aptos"/>
                <w:b w:val="0"/>
                <w:sz w:val="15"/>
              </w:rPr>
              <w:t>Integrity record</w:t>
            </w:r>
          </w:p>
        </w:tc>
        <w:tc>
          <w:tcPr>
            <w:tcW w:type="dxa" w:w="7200"/>
            <w:vAlign w:val="center"/>
            <w:shd w:fill="F3F6F7"/>
          </w:tcPr>
          <w:p>
            <w:pPr>
              <w:spacing w:after="0"/>
            </w:pPr>
            <w:r/>
            <w:r>
              <w:rPr>
                <w:rFonts w:ascii="Aptos" w:hAnsi="Aptos"/>
                <w:b w:val="0"/>
                <w:sz w:val="15"/>
              </w:rPr>
              <w:t>Hashes, signatures, timestamps or chain of custody</w:t>
            </w:r>
          </w:p>
        </w:tc>
      </w:tr>
      <w:tr>
        <w:trPr>
          <w:cantSplit/>
        </w:trPr>
        <w:tc>
          <w:tcPr>
            <w:tcW w:type="dxa" w:w="2448"/>
            <w:vAlign w:val="center"/>
          </w:tcPr>
          <w:p>
            <w:pPr>
              <w:spacing w:after="0"/>
            </w:pPr>
            <w:r/>
            <w:r>
              <w:rPr>
                <w:rFonts w:ascii="Aptos" w:hAnsi="Aptos"/>
                <w:b w:val="0"/>
                <w:sz w:val="15"/>
              </w:rPr>
              <w:t>Limitations</w:t>
            </w:r>
          </w:p>
        </w:tc>
        <w:tc>
          <w:tcPr>
            <w:tcW w:type="dxa" w:w="7200"/>
            <w:vAlign w:val="center"/>
          </w:tcPr>
          <w:p>
            <w:pPr>
              <w:spacing w:after="0"/>
            </w:pPr>
            <w:r/>
            <w:r>
              <w:rPr>
                <w:rFonts w:ascii="Aptos" w:hAnsi="Aptos"/>
                <w:b w:val="0"/>
                <w:sz w:val="15"/>
              </w:rPr>
              <w:t>Sampling, unavailable data and contextual constraints</w:t>
            </w:r>
          </w:p>
        </w:tc>
      </w:tr>
    </w:tbl>
    <w:p/>
    <w:p>
      <w:pPr>
        <w:pStyle w:val="Heading2"/>
      </w:pPr>
      <w:r>
        <w:t>8.3 Evidence naming convention</w:t>
      </w:r>
    </w:p>
    <w:p>
      <w:r>
        <w:t>Recommended pattern: [SYSTEM]-[CONTROL-ID]-[EVIDENCE-TYPE]-[YYYYMMDD]-[SEQUENCE].</w:t>
      </w:r>
    </w:p>
    <w:p>
      <w:pPr>
        <w:pStyle w:val="SmallNote"/>
      </w:pPr>
      <w:r>
        <w:t>Example: PAYBOT-D3-CTL-04-CONFIG-20260629-001.</w:t>
      </w:r>
    </w:p>
    <w:p>
      <w:pPr>
        <w:pStyle w:val="Heading1"/>
      </w:pPr>
      <w:r>
        <w:t>9. Monitoring and Control Health</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872"/>
            <w:vAlign w:val="center"/>
            <w:shd w:fill="17324D"/>
          </w:tcPr>
          <w:p>
            <w:pPr>
              <w:spacing w:after="0"/>
            </w:pPr>
            <w:r/>
            <w:r>
              <w:rPr>
                <w:rFonts w:ascii="Aptos" w:hAnsi="Aptos"/>
                <w:b/>
                <w:color w:val="FFFFFF"/>
                <w:sz w:val="15"/>
              </w:rPr>
              <w:t>Metric class</w:t>
            </w:r>
          </w:p>
        </w:tc>
        <w:tc>
          <w:tcPr>
            <w:tcW w:type="dxa" w:w="4320"/>
            <w:vAlign w:val="center"/>
            <w:shd w:fill="17324D"/>
          </w:tcPr>
          <w:p>
            <w:pPr>
              <w:spacing w:after="0"/>
            </w:pPr>
            <w:r/>
            <w:r>
              <w:rPr>
                <w:rFonts w:ascii="Aptos" w:hAnsi="Aptos"/>
                <w:b/>
                <w:color w:val="FFFFFF"/>
                <w:sz w:val="15"/>
              </w:rPr>
              <w:t>Examples</w:t>
            </w:r>
          </w:p>
        </w:tc>
        <w:tc>
          <w:tcPr>
            <w:tcW w:type="dxa" w:w="3456"/>
            <w:vAlign w:val="center"/>
            <w:shd w:fill="17324D"/>
          </w:tcPr>
          <w:p>
            <w:pPr>
              <w:spacing w:after="0"/>
            </w:pPr>
            <w:r/>
            <w:r>
              <w:rPr>
                <w:rFonts w:ascii="Aptos" w:hAnsi="Aptos"/>
                <w:b/>
                <w:color w:val="FFFFFF"/>
                <w:sz w:val="15"/>
              </w:rPr>
              <w:t>Use</w:t>
            </w:r>
          </w:p>
        </w:tc>
      </w:tr>
      <w:tr>
        <w:trPr>
          <w:cantSplit/>
        </w:trPr>
        <w:tc>
          <w:tcPr>
            <w:tcW w:type="dxa" w:w="1872"/>
            <w:vAlign w:val="center"/>
          </w:tcPr>
          <w:p>
            <w:pPr>
              <w:spacing w:after="0"/>
            </w:pPr>
            <w:r/>
            <w:r>
              <w:rPr>
                <w:rFonts w:ascii="Aptos" w:hAnsi="Aptos"/>
                <w:b w:val="0"/>
                <w:sz w:val="15"/>
              </w:rPr>
              <w:t>Coverage</w:t>
            </w:r>
          </w:p>
        </w:tc>
        <w:tc>
          <w:tcPr>
            <w:tcW w:type="dxa" w:w="4320"/>
            <w:vAlign w:val="center"/>
          </w:tcPr>
          <w:p>
            <w:pPr>
              <w:spacing w:after="0"/>
            </w:pPr>
            <w:r/>
            <w:r>
              <w:rPr>
                <w:rFonts w:ascii="Aptos" w:hAnsi="Aptos"/>
                <w:b w:val="0"/>
                <w:sz w:val="15"/>
              </w:rPr>
              <w:t>Systems covered, suppliers assessed, controls with current evidence</w:t>
            </w:r>
          </w:p>
        </w:tc>
        <w:tc>
          <w:tcPr>
            <w:tcW w:type="dxa" w:w="3456"/>
            <w:vAlign w:val="center"/>
          </w:tcPr>
          <w:p>
            <w:pPr>
              <w:spacing w:after="0"/>
            </w:pPr>
            <w:r/>
            <w:r>
              <w:rPr>
                <w:rFonts w:ascii="Aptos" w:hAnsi="Aptos"/>
                <w:b w:val="0"/>
                <w:sz w:val="15"/>
              </w:rPr>
              <w:t>Detect scope gaps</w:t>
            </w:r>
          </w:p>
        </w:tc>
      </w:tr>
      <w:tr>
        <w:trPr>
          <w:cantSplit/>
        </w:trPr>
        <w:tc>
          <w:tcPr>
            <w:tcW w:type="dxa" w:w="1872"/>
            <w:vAlign w:val="center"/>
            <w:shd w:fill="F3F6F7"/>
          </w:tcPr>
          <w:p>
            <w:pPr>
              <w:spacing w:after="0"/>
            </w:pPr>
            <w:r/>
            <w:r>
              <w:rPr>
                <w:rFonts w:ascii="Aptos" w:hAnsi="Aptos"/>
                <w:b w:val="0"/>
                <w:sz w:val="15"/>
              </w:rPr>
              <w:t>Operation</w:t>
            </w:r>
          </w:p>
        </w:tc>
        <w:tc>
          <w:tcPr>
            <w:tcW w:type="dxa" w:w="4320"/>
            <w:vAlign w:val="center"/>
            <w:shd w:fill="F3F6F7"/>
          </w:tcPr>
          <w:p>
            <w:pPr>
              <w:spacing w:after="0"/>
            </w:pPr>
            <w:r/>
            <w:r>
              <w:rPr>
                <w:rFonts w:ascii="Aptos" w:hAnsi="Aptos"/>
                <w:b w:val="0"/>
                <w:sz w:val="15"/>
              </w:rPr>
              <w:t>Execution frequency, gate pass/fail, review completion</w:t>
            </w:r>
          </w:p>
        </w:tc>
        <w:tc>
          <w:tcPr>
            <w:tcW w:type="dxa" w:w="3456"/>
            <w:vAlign w:val="center"/>
            <w:shd w:fill="F3F6F7"/>
          </w:tcPr>
          <w:p>
            <w:pPr>
              <w:spacing w:after="0"/>
            </w:pPr>
            <w:r/>
            <w:r>
              <w:rPr>
                <w:rFonts w:ascii="Aptos" w:hAnsi="Aptos"/>
                <w:b w:val="0"/>
                <w:sz w:val="15"/>
              </w:rPr>
              <w:t>Confirm control operation</w:t>
            </w:r>
          </w:p>
        </w:tc>
      </w:tr>
      <w:tr>
        <w:trPr>
          <w:cantSplit/>
        </w:trPr>
        <w:tc>
          <w:tcPr>
            <w:tcW w:type="dxa" w:w="1872"/>
            <w:vAlign w:val="center"/>
          </w:tcPr>
          <w:p>
            <w:pPr>
              <w:spacing w:after="0"/>
            </w:pPr>
            <w:r/>
            <w:r>
              <w:rPr>
                <w:rFonts w:ascii="Aptos" w:hAnsi="Aptos"/>
                <w:b w:val="0"/>
                <w:sz w:val="15"/>
              </w:rPr>
              <w:t>Effectiveness</w:t>
            </w:r>
          </w:p>
        </w:tc>
        <w:tc>
          <w:tcPr>
            <w:tcW w:type="dxa" w:w="4320"/>
            <w:vAlign w:val="center"/>
          </w:tcPr>
          <w:p>
            <w:pPr>
              <w:spacing w:after="0"/>
            </w:pPr>
            <w:r/>
            <w:r>
              <w:rPr>
                <w:rFonts w:ascii="Aptos" w:hAnsi="Aptos"/>
                <w:b w:val="0"/>
                <w:sz w:val="15"/>
              </w:rPr>
              <w:t>Attack success rate, containment time, leakage rate, override success</w:t>
            </w:r>
          </w:p>
        </w:tc>
        <w:tc>
          <w:tcPr>
            <w:tcW w:type="dxa" w:w="3456"/>
            <w:vAlign w:val="center"/>
          </w:tcPr>
          <w:p>
            <w:pPr>
              <w:spacing w:after="0"/>
            </w:pPr>
            <w:r/>
            <w:r>
              <w:rPr>
                <w:rFonts w:ascii="Aptos" w:hAnsi="Aptos"/>
                <w:b w:val="0"/>
                <w:sz w:val="15"/>
              </w:rPr>
              <w:t>Assess risk reduction</w:t>
            </w:r>
          </w:p>
        </w:tc>
      </w:tr>
      <w:tr>
        <w:trPr>
          <w:cantSplit/>
        </w:trPr>
        <w:tc>
          <w:tcPr>
            <w:tcW w:type="dxa" w:w="1872"/>
            <w:vAlign w:val="center"/>
            <w:shd w:fill="F3F6F7"/>
          </w:tcPr>
          <w:p>
            <w:pPr>
              <w:spacing w:after="0"/>
            </w:pPr>
            <w:r/>
            <w:r>
              <w:rPr>
                <w:rFonts w:ascii="Aptos" w:hAnsi="Aptos"/>
                <w:b w:val="0"/>
                <w:sz w:val="15"/>
              </w:rPr>
              <w:t>Exceptions</w:t>
            </w:r>
          </w:p>
        </w:tc>
        <w:tc>
          <w:tcPr>
            <w:tcW w:type="dxa" w:w="4320"/>
            <w:vAlign w:val="center"/>
            <w:shd w:fill="F3F6F7"/>
          </w:tcPr>
          <w:p>
            <w:pPr>
              <w:spacing w:after="0"/>
            </w:pPr>
            <w:r/>
            <w:r>
              <w:rPr>
                <w:rFonts w:ascii="Aptos" w:hAnsi="Aptos"/>
                <w:b w:val="0"/>
                <w:sz w:val="15"/>
              </w:rPr>
              <w:t>Open, expired and repeated exceptions</w:t>
            </w:r>
          </w:p>
        </w:tc>
        <w:tc>
          <w:tcPr>
            <w:tcW w:type="dxa" w:w="3456"/>
            <w:vAlign w:val="center"/>
            <w:shd w:fill="F3F6F7"/>
          </w:tcPr>
          <w:p>
            <w:pPr>
              <w:spacing w:after="0"/>
            </w:pPr>
            <w:r/>
            <w:r>
              <w:rPr>
                <w:rFonts w:ascii="Aptos" w:hAnsi="Aptos"/>
                <w:b w:val="0"/>
                <w:sz w:val="15"/>
              </w:rPr>
              <w:t>Track residual risk</w:t>
            </w:r>
          </w:p>
        </w:tc>
      </w:tr>
      <w:tr>
        <w:trPr>
          <w:cantSplit/>
        </w:trPr>
        <w:tc>
          <w:tcPr>
            <w:tcW w:type="dxa" w:w="1872"/>
            <w:vAlign w:val="center"/>
          </w:tcPr>
          <w:p>
            <w:pPr>
              <w:spacing w:after="0"/>
            </w:pPr>
            <w:r/>
            <w:r>
              <w:rPr>
                <w:rFonts w:ascii="Aptos" w:hAnsi="Aptos"/>
                <w:b w:val="0"/>
                <w:sz w:val="15"/>
              </w:rPr>
              <w:t>Quality</w:t>
            </w:r>
          </w:p>
        </w:tc>
        <w:tc>
          <w:tcPr>
            <w:tcW w:type="dxa" w:w="4320"/>
            <w:vAlign w:val="center"/>
          </w:tcPr>
          <w:p>
            <w:pPr>
              <w:spacing w:after="0"/>
            </w:pPr>
            <w:r/>
            <w:r>
              <w:rPr>
                <w:rFonts w:ascii="Aptos" w:hAnsi="Aptos"/>
                <w:b w:val="0"/>
                <w:sz w:val="15"/>
              </w:rPr>
              <w:t>False positive/negative rates, evidence defects, test reproducibility</w:t>
            </w:r>
          </w:p>
        </w:tc>
        <w:tc>
          <w:tcPr>
            <w:tcW w:type="dxa" w:w="3456"/>
            <w:vAlign w:val="center"/>
          </w:tcPr>
          <w:p>
            <w:pPr>
              <w:spacing w:after="0"/>
            </w:pPr>
            <w:r/>
            <w:r>
              <w:rPr>
                <w:rFonts w:ascii="Aptos" w:hAnsi="Aptos"/>
                <w:b w:val="0"/>
                <w:sz w:val="15"/>
              </w:rPr>
              <w:t>Improve assurance quality</w:t>
            </w:r>
          </w:p>
        </w:tc>
      </w:tr>
      <w:tr>
        <w:trPr>
          <w:cantSplit/>
        </w:trPr>
        <w:tc>
          <w:tcPr>
            <w:tcW w:type="dxa" w:w="1872"/>
            <w:vAlign w:val="center"/>
            <w:shd w:fill="F3F6F7"/>
          </w:tcPr>
          <w:p>
            <w:pPr>
              <w:spacing w:after="0"/>
            </w:pPr>
            <w:r/>
            <w:r>
              <w:rPr>
                <w:rFonts w:ascii="Aptos" w:hAnsi="Aptos"/>
                <w:b w:val="0"/>
                <w:sz w:val="15"/>
              </w:rPr>
              <w:t>Change</w:t>
            </w:r>
          </w:p>
        </w:tc>
        <w:tc>
          <w:tcPr>
            <w:tcW w:type="dxa" w:w="4320"/>
            <w:vAlign w:val="center"/>
            <w:shd w:fill="F3F6F7"/>
          </w:tcPr>
          <w:p>
            <w:pPr>
              <w:spacing w:after="0"/>
            </w:pPr>
            <w:r/>
            <w:r>
              <w:rPr>
                <w:rFonts w:ascii="Aptos" w:hAnsi="Aptos"/>
                <w:b w:val="0"/>
                <w:sz w:val="15"/>
              </w:rPr>
              <w:t>Model, data, supplier and architecture changes</w:t>
            </w:r>
          </w:p>
        </w:tc>
        <w:tc>
          <w:tcPr>
            <w:tcW w:type="dxa" w:w="3456"/>
            <w:vAlign w:val="center"/>
            <w:shd w:fill="F3F6F7"/>
          </w:tcPr>
          <w:p>
            <w:pPr>
              <w:spacing w:after="0"/>
            </w:pPr>
            <w:r/>
            <w:r>
              <w:rPr>
                <w:rFonts w:ascii="Aptos" w:hAnsi="Aptos"/>
                <w:b w:val="0"/>
                <w:sz w:val="15"/>
              </w:rPr>
              <w:t>Trigger reassessment</w:t>
            </w:r>
          </w:p>
        </w:tc>
      </w:tr>
      <w:tr>
        <w:trPr>
          <w:cantSplit/>
        </w:trPr>
        <w:tc>
          <w:tcPr>
            <w:tcW w:type="dxa" w:w="1872"/>
            <w:vAlign w:val="center"/>
          </w:tcPr>
          <w:p>
            <w:pPr>
              <w:spacing w:after="0"/>
            </w:pPr>
            <w:r/>
            <w:r>
              <w:rPr>
                <w:rFonts w:ascii="Aptos" w:hAnsi="Aptos"/>
                <w:b w:val="0"/>
                <w:sz w:val="15"/>
              </w:rPr>
              <w:t>Incident</w:t>
            </w:r>
          </w:p>
        </w:tc>
        <w:tc>
          <w:tcPr>
            <w:tcW w:type="dxa" w:w="4320"/>
            <w:vAlign w:val="center"/>
          </w:tcPr>
          <w:p>
            <w:pPr>
              <w:spacing w:after="0"/>
            </w:pPr>
            <w:r/>
            <w:r>
              <w:rPr>
                <w:rFonts w:ascii="Aptos" w:hAnsi="Aptos"/>
                <w:b w:val="0"/>
                <w:sz w:val="15"/>
              </w:rPr>
              <w:t>Near misses, harmful outputs, misuse, safety events</w:t>
            </w:r>
          </w:p>
        </w:tc>
        <w:tc>
          <w:tcPr>
            <w:tcW w:type="dxa" w:w="3456"/>
            <w:vAlign w:val="center"/>
          </w:tcPr>
          <w:p>
            <w:pPr>
              <w:spacing w:after="0"/>
            </w:pPr>
            <w:r/>
            <w:r>
              <w:rPr>
                <w:rFonts w:ascii="Aptos" w:hAnsi="Aptos"/>
                <w:b w:val="0"/>
                <w:sz w:val="15"/>
              </w:rPr>
              <w:t>Drive corrective action</w:t>
            </w:r>
          </w:p>
        </w:tc>
      </w:tr>
    </w:tbl>
    <w:p/>
    <w:p>
      <w:pPr>
        <w:pStyle w:val="Heading1"/>
      </w:pPr>
      <w:r>
        <w:t>10. Exception and Risk Acceptance Workflow</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864"/>
            <w:vAlign w:val="center"/>
            <w:shd w:fill="17324D"/>
          </w:tcPr>
          <w:p>
            <w:pPr>
              <w:spacing w:after="0"/>
            </w:pPr>
            <w:r/>
            <w:r>
              <w:rPr>
                <w:rFonts w:ascii="Aptos" w:hAnsi="Aptos"/>
                <w:b/>
                <w:color w:val="FFFFFF"/>
                <w:sz w:val="15"/>
              </w:rPr>
              <w:t>Step</w:t>
            </w:r>
          </w:p>
        </w:tc>
        <w:tc>
          <w:tcPr>
            <w:tcW w:type="dxa" w:w="5184"/>
            <w:vAlign w:val="center"/>
            <w:shd w:fill="17324D"/>
          </w:tcPr>
          <w:p>
            <w:pPr>
              <w:spacing w:after="0"/>
            </w:pPr>
            <w:r/>
            <w:r>
              <w:rPr>
                <w:rFonts w:ascii="Aptos" w:hAnsi="Aptos"/>
                <w:b/>
                <w:color w:val="FFFFFF"/>
                <w:sz w:val="15"/>
              </w:rPr>
              <w:t>Action</w:t>
            </w:r>
          </w:p>
        </w:tc>
        <w:tc>
          <w:tcPr>
            <w:tcW w:type="dxa" w:w="3456"/>
            <w:vAlign w:val="center"/>
            <w:shd w:fill="17324D"/>
          </w:tcPr>
          <w:p>
            <w:pPr>
              <w:spacing w:after="0"/>
            </w:pPr>
            <w:r/>
            <w:r>
              <w:rPr>
                <w:rFonts w:ascii="Aptos" w:hAnsi="Aptos"/>
                <w:b/>
                <w:color w:val="FFFFFF"/>
                <w:sz w:val="15"/>
              </w:rPr>
              <w:t>Required output</w:t>
            </w:r>
          </w:p>
        </w:tc>
      </w:tr>
      <w:tr>
        <w:trPr>
          <w:cantSplit/>
        </w:trPr>
        <w:tc>
          <w:tcPr>
            <w:tcW w:type="dxa" w:w="864"/>
            <w:vAlign w:val="center"/>
          </w:tcPr>
          <w:p>
            <w:pPr>
              <w:spacing w:after="0"/>
            </w:pPr>
            <w:r/>
            <w:r>
              <w:rPr>
                <w:rFonts w:ascii="Aptos" w:hAnsi="Aptos"/>
                <w:b w:val="0"/>
                <w:sz w:val="15"/>
              </w:rPr>
              <w:t>1</w:t>
            </w:r>
          </w:p>
        </w:tc>
        <w:tc>
          <w:tcPr>
            <w:tcW w:type="dxa" w:w="5184"/>
            <w:vAlign w:val="center"/>
          </w:tcPr>
          <w:p>
            <w:pPr>
              <w:spacing w:after="0"/>
            </w:pPr>
            <w:r/>
            <w:r>
              <w:rPr>
                <w:rFonts w:ascii="Aptos" w:hAnsi="Aptos"/>
                <w:b w:val="0"/>
                <w:sz w:val="15"/>
              </w:rPr>
              <w:t>Identify unmet requirement or control deviation</w:t>
            </w:r>
          </w:p>
        </w:tc>
        <w:tc>
          <w:tcPr>
            <w:tcW w:type="dxa" w:w="3456"/>
            <w:vAlign w:val="center"/>
          </w:tcPr>
          <w:p>
            <w:pPr>
              <w:spacing w:after="0"/>
            </w:pPr>
            <w:r/>
            <w:r>
              <w:rPr>
                <w:rFonts w:ascii="Aptos" w:hAnsi="Aptos"/>
                <w:b w:val="0"/>
                <w:sz w:val="15"/>
              </w:rPr>
              <w:t>Exception request</w:t>
            </w:r>
          </w:p>
        </w:tc>
      </w:tr>
      <w:tr>
        <w:trPr>
          <w:cantSplit/>
        </w:trPr>
        <w:tc>
          <w:tcPr>
            <w:tcW w:type="dxa" w:w="864"/>
            <w:vAlign w:val="center"/>
            <w:shd w:fill="F3F6F7"/>
          </w:tcPr>
          <w:p>
            <w:pPr>
              <w:spacing w:after="0"/>
            </w:pPr>
            <w:r/>
            <w:r>
              <w:rPr>
                <w:rFonts w:ascii="Aptos" w:hAnsi="Aptos"/>
                <w:b w:val="0"/>
                <w:sz w:val="15"/>
              </w:rPr>
              <w:t>2</w:t>
            </w:r>
          </w:p>
        </w:tc>
        <w:tc>
          <w:tcPr>
            <w:tcW w:type="dxa" w:w="5184"/>
            <w:vAlign w:val="center"/>
            <w:shd w:fill="F3F6F7"/>
          </w:tcPr>
          <w:p>
            <w:pPr>
              <w:spacing w:after="0"/>
            </w:pPr>
            <w:r/>
            <w:r>
              <w:rPr>
                <w:rFonts w:ascii="Aptos" w:hAnsi="Aptos"/>
                <w:b w:val="0"/>
                <w:sz w:val="15"/>
              </w:rPr>
              <w:t>Define affected scope and duration</w:t>
            </w:r>
          </w:p>
        </w:tc>
        <w:tc>
          <w:tcPr>
            <w:tcW w:type="dxa" w:w="3456"/>
            <w:vAlign w:val="center"/>
            <w:shd w:fill="F3F6F7"/>
          </w:tcPr>
          <w:p>
            <w:pPr>
              <w:spacing w:after="0"/>
            </w:pPr>
            <w:r/>
            <w:r>
              <w:rPr>
                <w:rFonts w:ascii="Aptos" w:hAnsi="Aptos"/>
                <w:b w:val="0"/>
                <w:sz w:val="15"/>
              </w:rPr>
              <w:t>Scope statement</w:t>
            </w:r>
          </w:p>
        </w:tc>
      </w:tr>
      <w:tr>
        <w:trPr>
          <w:cantSplit/>
        </w:trPr>
        <w:tc>
          <w:tcPr>
            <w:tcW w:type="dxa" w:w="864"/>
            <w:vAlign w:val="center"/>
          </w:tcPr>
          <w:p>
            <w:pPr>
              <w:spacing w:after="0"/>
            </w:pPr>
            <w:r/>
            <w:r>
              <w:rPr>
                <w:rFonts w:ascii="Aptos" w:hAnsi="Aptos"/>
                <w:b w:val="0"/>
                <w:sz w:val="15"/>
              </w:rPr>
              <w:t>3</w:t>
            </w:r>
          </w:p>
        </w:tc>
        <w:tc>
          <w:tcPr>
            <w:tcW w:type="dxa" w:w="5184"/>
            <w:vAlign w:val="center"/>
          </w:tcPr>
          <w:p>
            <w:pPr>
              <w:spacing w:after="0"/>
            </w:pPr>
            <w:r/>
            <w:r>
              <w:rPr>
                <w:rFonts w:ascii="Aptos" w:hAnsi="Aptos"/>
                <w:b w:val="0"/>
                <w:sz w:val="15"/>
              </w:rPr>
              <w:t>Assess risk and compensating controls</w:t>
            </w:r>
          </w:p>
        </w:tc>
        <w:tc>
          <w:tcPr>
            <w:tcW w:type="dxa" w:w="3456"/>
            <w:vAlign w:val="center"/>
          </w:tcPr>
          <w:p>
            <w:pPr>
              <w:spacing w:after="0"/>
            </w:pPr>
            <w:r/>
            <w:r>
              <w:rPr>
                <w:rFonts w:ascii="Aptos" w:hAnsi="Aptos"/>
                <w:b w:val="0"/>
                <w:sz w:val="15"/>
              </w:rPr>
              <w:t>Risk analysis</w:t>
            </w:r>
          </w:p>
        </w:tc>
      </w:tr>
      <w:tr>
        <w:trPr>
          <w:cantSplit/>
        </w:trPr>
        <w:tc>
          <w:tcPr>
            <w:tcW w:type="dxa" w:w="864"/>
            <w:vAlign w:val="center"/>
            <w:shd w:fill="F3F6F7"/>
          </w:tcPr>
          <w:p>
            <w:pPr>
              <w:spacing w:after="0"/>
            </w:pPr>
            <w:r/>
            <w:r>
              <w:rPr>
                <w:rFonts w:ascii="Aptos" w:hAnsi="Aptos"/>
                <w:b w:val="0"/>
                <w:sz w:val="15"/>
              </w:rPr>
              <w:t>4</w:t>
            </w:r>
          </w:p>
        </w:tc>
        <w:tc>
          <w:tcPr>
            <w:tcW w:type="dxa" w:w="5184"/>
            <w:vAlign w:val="center"/>
            <w:shd w:fill="F3F6F7"/>
          </w:tcPr>
          <w:p>
            <w:pPr>
              <w:spacing w:after="0"/>
            </w:pPr>
            <w:r/>
            <w:r>
              <w:rPr>
                <w:rFonts w:ascii="Aptos" w:hAnsi="Aptos"/>
                <w:b w:val="0"/>
                <w:sz w:val="15"/>
              </w:rPr>
              <w:t>Obtain control owner and risk owner review</w:t>
            </w:r>
          </w:p>
        </w:tc>
        <w:tc>
          <w:tcPr>
            <w:tcW w:type="dxa" w:w="3456"/>
            <w:vAlign w:val="center"/>
            <w:shd w:fill="F3F6F7"/>
          </w:tcPr>
          <w:p>
            <w:pPr>
              <w:spacing w:after="0"/>
            </w:pPr>
            <w:r/>
            <w:r>
              <w:rPr>
                <w:rFonts w:ascii="Aptos" w:hAnsi="Aptos"/>
                <w:b w:val="0"/>
                <w:sz w:val="15"/>
              </w:rPr>
              <w:t>Review record</w:t>
            </w:r>
          </w:p>
        </w:tc>
      </w:tr>
      <w:tr>
        <w:trPr>
          <w:cantSplit/>
        </w:trPr>
        <w:tc>
          <w:tcPr>
            <w:tcW w:type="dxa" w:w="864"/>
            <w:vAlign w:val="center"/>
          </w:tcPr>
          <w:p>
            <w:pPr>
              <w:spacing w:after="0"/>
            </w:pPr>
            <w:r/>
            <w:r>
              <w:rPr>
                <w:rFonts w:ascii="Aptos" w:hAnsi="Aptos"/>
                <w:b w:val="0"/>
                <w:sz w:val="15"/>
              </w:rPr>
              <w:t>5</w:t>
            </w:r>
          </w:p>
        </w:tc>
        <w:tc>
          <w:tcPr>
            <w:tcW w:type="dxa" w:w="5184"/>
            <w:vAlign w:val="center"/>
          </w:tcPr>
          <w:p>
            <w:pPr>
              <w:spacing w:after="0"/>
            </w:pPr>
            <w:r/>
            <w:r>
              <w:rPr>
                <w:rFonts w:ascii="Aptos" w:hAnsi="Aptos"/>
                <w:b w:val="0"/>
                <w:sz w:val="15"/>
              </w:rPr>
              <w:t>Approve, reject or require containment</w:t>
            </w:r>
          </w:p>
        </w:tc>
        <w:tc>
          <w:tcPr>
            <w:tcW w:type="dxa" w:w="3456"/>
            <w:vAlign w:val="center"/>
          </w:tcPr>
          <w:p>
            <w:pPr>
              <w:spacing w:after="0"/>
            </w:pPr>
            <w:r/>
            <w:r>
              <w:rPr>
                <w:rFonts w:ascii="Aptos" w:hAnsi="Aptos"/>
                <w:b w:val="0"/>
                <w:sz w:val="15"/>
              </w:rPr>
              <w:t>Decision</w:t>
            </w:r>
          </w:p>
        </w:tc>
      </w:tr>
      <w:tr>
        <w:trPr>
          <w:cantSplit/>
        </w:trPr>
        <w:tc>
          <w:tcPr>
            <w:tcW w:type="dxa" w:w="864"/>
            <w:vAlign w:val="center"/>
            <w:shd w:fill="F3F6F7"/>
          </w:tcPr>
          <w:p>
            <w:pPr>
              <w:spacing w:after="0"/>
            </w:pPr>
            <w:r/>
            <w:r>
              <w:rPr>
                <w:rFonts w:ascii="Aptos" w:hAnsi="Aptos"/>
                <w:b w:val="0"/>
                <w:sz w:val="15"/>
              </w:rPr>
              <w:t>6</w:t>
            </w:r>
          </w:p>
        </w:tc>
        <w:tc>
          <w:tcPr>
            <w:tcW w:type="dxa" w:w="5184"/>
            <w:vAlign w:val="center"/>
            <w:shd w:fill="F3F6F7"/>
          </w:tcPr>
          <w:p>
            <w:pPr>
              <w:spacing w:after="0"/>
            </w:pPr>
            <w:r/>
            <w:r>
              <w:rPr>
                <w:rFonts w:ascii="Aptos" w:hAnsi="Aptos"/>
                <w:b w:val="0"/>
                <w:sz w:val="15"/>
              </w:rPr>
              <w:t>Record expiry and remediation plan</w:t>
            </w:r>
          </w:p>
        </w:tc>
        <w:tc>
          <w:tcPr>
            <w:tcW w:type="dxa" w:w="3456"/>
            <w:vAlign w:val="center"/>
            <w:shd w:fill="F3F6F7"/>
          </w:tcPr>
          <w:p>
            <w:pPr>
              <w:spacing w:after="0"/>
            </w:pPr>
            <w:r/>
            <w:r>
              <w:rPr>
                <w:rFonts w:ascii="Aptos" w:hAnsi="Aptos"/>
                <w:b w:val="0"/>
                <w:sz w:val="15"/>
              </w:rPr>
              <w:t>Tracked action</w:t>
            </w:r>
          </w:p>
        </w:tc>
      </w:tr>
      <w:tr>
        <w:trPr>
          <w:cantSplit/>
        </w:trPr>
        <w:tc>
          <w:tcPr>
            <w:tcW w:type="dxa" w:w="864"/>
            <w:vAlign w:val="center"/>
          </w:tcPr>
          <w:p>
            <w:pPr>
              <w:spacing w:after="0"/>
            </w:pPr>
            <w:r/>
            <w:r>
              <w:rPr>
                <w:rFonts w:ascii="Aptos" w:hAnsi="Aptos"/>
                <w:b w:val="0"/>
                <w:sz w:val="15"/>
              </w:rPr>
              <w:t>7</w:t>
            </w:r>
          </w:p>
        </w:tc>
        <w:tc>
          <w:tcPr>
            <w:tcW w:type="dxa" w:w="5184"/>
            <w:vAlign w:val="center"/>
          </w:tcPr>
          <w:p>
            <w:pPr>
              <w:spacing w:after="0"/>
            </w:pPr>
            <w:r/>
            <w:r>
              <w:rPr>
                <w:rFonts w:ascii="Aptos" w:hAnsi="Aptos"/>
                <w:b w:val="0"/>
                <w:sz w:val="15"/>
              </w:rPr>
              <w:t>Monitor compensating controls</w:t>
            </w:r>
          </w:p>
        </w:tc>
        <w:tc>
          <w:tcPr>
            <w:tcW w:type="dxa" w:w="3456"/>
            <w:vAlign w:val="center"/>
          </w:tcPr>
          <w:p>
            <w:pPr>
              <w:spacing w:after="0"/>
            </w:pPr>
            <w:r/>
            <w:r>
              <w:rPr>
                <w:rFonts w:ascii="Aptos" w:hAnsi="Aptos"/>
                <w:b w:val="0"/>
                <w:sz w:val="15"/>
              </w:rPr>
              <w:t>Evidence</w:t>
            </w:r>
          </w:p>
        </w:tc>
      </w:tr>
      <w:tr>
        <w:trPr>
          <w:cantSplit/>
        </w:trPr>
        <w:tc>
          <w:tcPr>
            <w:tcW w:type="dxa" w:w="864"/>
            <w:vAlign w:val="center"/>
            <w:shd w:fill="F3F6F7"/>
          </w:tcPr>
          <w:p>
            <w:pPr>
              <w:spacing w:after="0"/>
            </w:pPr>
            <w:r/>
            <w:r>
              <w:rPr>
                <w:rFonts w:ascii="Aptos" w:hAnsi="Aptos"/>
                <w:b w:val="0"/>
                <w:sz w:val="15"/>
              </w:rPr>
              <w:t>8</w:t>
            </w:r>
          </w:p>
        </w:tc>
        <w:tc>
          <w:tcPr>
            <w:tcW w:type="dxa" w:w="5184"/>
            <w:vAlign w:val="center"/>
            <w:shd w:fill="F3F6F7"/>
          </w:tcPr>
          <w:p>
            <w:pPr>
              <w:spacing w:after="0"/>
            </w:pPr>
            <w:r/>
            <w:r>
              <w:rPr>
                <w:rFonts w:ascii="Aptos" w:hAnsi="Aptos"/>
                <w:b w:val="0"/>
                <w:sz w:val="15"/>
              </w:rPr>
              <w:t>Close, renew or escalate before expiry</w:t>
            </w:r>
          </w:p>
        </w:tc>
        <w:tc>
          <w:tcPr>
            <w:tcW w:type="dxa" w:w="3456"/>
            <w:vAlign w:val="center"/>
            <w:shd w:fill="F3F6F7"/>
          </w:tcPr>
          <w:p>
            <w:pPr>
              <w:spacing w:after="0"/>
            </w:pPr>
            <w:r/>
            <w:r>
              <w:rPr>
                <w:rFonts w:ascii="Aptos" w:hAnsi="Aptos"/>
                <w:b w:val="0"/>
                <w:sz w:val="15"/>
              </w:rPr>
              <w:t>Closure or new decision</w:t>
            </w:r>
          </w:p>
        </w:tc>
      </w:tr>
    </w:tbl>
    <w:p/>
    <w:p>
      <w:pPr>
        <w:pStyle w:val="Heading1"/>
      </w:pPr>
      <w:r>
        <w:t>11. Supplier and Third-Party Integration</w:t>
      </w:r>
    </w:p>
    <w:p>
      <w:pPr>
        <w:pStyle w:val="ListBullet"/>
      </w:pPr>
      <w:r>
        <w:t>Map inherited controls and identify where the supplier provides only partial evidence.</w:t>
      </w:r>
    </w:p>
    <w:p>
      <w:pPr>
        <w:pStyle w:val="ListBullet"/>
      </w:pPr>
      <w:r>
        <w:t>Require contractual notification for material model, data, security or service changes.</w:t>
      </w:r>
    </w:p>
    <w:p>
      <w:pPr>
        <w:pStyle w:val="ListBullet"/>
      </w:pPr>
      <w:r>
        <w:t>Define incident reporting, audit access, data use, retention and subcontractor requirements.</w:t>
      </w:r>
    </w:p>
    <w:p>
      <w:pPr>
        <w:pStyle w:val="ListBullet"/>
      </w:pPr>
      <w:r>
        <w:t>Do not treat certifications or attestations as complete substitutes for system-specific evidence.</w:t>
      </w:r>
    </w:p>
    <w:p>
      <w:pPr>
        <w:pStyle w:val="ListBullet"/>
      </w:pPr>
      <w:r>
        <w:t>Maintain exit, portability and service-continuity plans for critical dependencies.</w:t>
      </w:r>
    </w:p>
    <w:p>
      <w:pPr>
        <w:pStyle w:val="Heading1"/>
      </w:pPr>
      <w:r>
        <w:t>12. Agentic AI Implementation Pattern</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304"/>
            <w:vAlign w:val="center"/>
            <w:shd w:fill="17324D"/>
          </w:tcPr>
          <w:p>
            <w:pPr>
              <w:spacing w:after="0"/>
            </w:pPr>
            <w:r/>
            <w:r>
              <w:rPr>
                <w:rFonts w:ascii="Aptos" w:hAnsi="Aptos"/>
                <w:b/>
                <w:color w:val="FFFFFF"/>
                <w:sz w:val="15"/>
              </w:rPr>
              <w:t>Control point</w:t>
            </w:r>
          </w:p>
        </w:tc>
        <w:tc>
          <w:tcPr>
            <w:tcW w:type="dxa" w:w="7344"/>
            <w:vAlign w:val="center"/>
            <w:shd w:fill="17324D"/>
          </w:tcPr>
          <w:p>
            <w:pPr>
              <w:spacing w:after="0"/>
            </w:pPr>
            <w:r/>
            <w:r>
              <w:rPr>
                <w:rFonts w:ascii="Aptos" w:hAnsi="Aptos"/>
                <w:b/>
                <w:color w:val="FFFFFF"/>
                <w:sz w:val="15"/>
              </w:rPr>
              <w:t>Implementation pattern</w:t>
            </w:r>
          </w:p>
        </w:tc>
      </w:tr>
      <w:tr>
        <w:trPr>
          <w:cantSplit/>
        </w:trPr>
        <w:tc>
          <w:tcPr>
            <w:tcW w:type="dxa" w:w="2304"/>
            <w:vAlign w:val="center"/>
          </w:tcPr>
          <w:p>
            <w:pPr>
              <w:spacing w:after="0"/>
            </w:pPr>
            <w:r/>
            <w:r>
              <w:rPr>
                <w:rFonts w:ascii="Aptos" w:hAnsi="Aptos"/>
                <w:b w:val="0"/>
                <w:sz w:val="15"/>
              </w:rPr>
              <w:t>Goal and plan</w:t>
            </w:r>
          </w:p>
        </w:tc>
        <w:tc>
          <w:tcPr>
            <w:tcW w:type="dxa" w:w="7344"/>
            <w:vAlign w:val="center"/>
          </w:tcPr>
          <w:p>
            <w:pPr>
              <w:spacing w:after="0"/>
            </w:pPr>
            <w:r/>
            <w:r>
              <w:rPr>
                <w:rFonts w:ascii="Aptos" w:hAnsi="Aptos"/>
                <w:b w:val="0"/>
                <w:sz w:val="15"/>
              </w:rPr>
              <w:t>Constrain objectives, plan depth and termination conditions</w:t>
            </w:r>
          </w:p>
        </w:tc>
      </w:tr>
      <w:tr>
        <w:trPr>
          <w:cantSplit/>
        </w:trPr>
        <w:tc>
          <w:tcPr>
            <w:tcW w:type="dxa" w:w="2304"/>
            <w:vAlign w:val="center"/>
            <w:shd w:fill="F3F6F7"/>
          </w:tcPr>
          <w:p>
            <w:pPr>
              <w:spacing w:after="0"/>
            </w:pPr>
            <w:r/>
            <w:r>
              <w:rPr>
                <w:rFonts w:ascii="Aptos" w:hAnsi="Aptos"/>
                <w:b w:val="0"/>
                <w:sz w:val="15"/>
              </w:rPr>
              <w:t>Tool access</w:t>
            </w:r>
          </w:p>
        </w:tc>
        <w:tc>
          <w:tcPr>
            <w:tcW w:type="dxa" w:w="7344"/>
            <w:vAlign w:val="center"/>
            <w:shd w:fill="F3F6F7"/>
          </w:tcPr>
          <w:p>
            <w:pPr>
              <w:spacing w:after="0"/>
            </w:pPr>
            <w:r/>
            <w:r>
              <w:rPr>
                <w:rFonts w:ascii="Aptos" w:hAnsi="Aptos"/>
                <w:b w:val="0"/>
                <w:sz w:val="15"/>
              </w:rPr>
              <w:t>Per-tool authorization, least privilege and allowlists</w:t>
            </w:r>
          </w:p>
        </w:tc>
      </w:tr>
      <w:tr>
        <w:trPr>
          <w:cantSplit/>
        </w:trPr>
        <w:tc>
          <w:tcPr>
            <w:tcW w:type="dxa" w:w="2304"/>
            <w:vAlign w:val="center"/>
          </w:tcPr>
          <w:p>
            <w:pPr>
              <w:spacing w:after="0"/>
            </w:pPr>
            <w:r/>
            <w:r>
              <w:rPr>
                <w:rFonts w:ascii="Aptos" w:hAnsi="Aptos"/>
                <w:b w:val="0"/>
                <w:sz w:val="15"/>
              </w:rPr>
              <w:t>Memory</w:t>
            </w:r>
          </w:p>
        </w:tc>
        <w:tc>
          <w:tcPr>
            <w:tcW w:type="dxa" w:w="7344"/>
            <w:vAlign w:val="center"/>
          </w:tcPr>
          <w:p>
            <w:pPr>
              <w:spacing w:after="0"/>
            </w:pPr>
            <w:r/>
            <w:r>
              <w:rPr>
                <w:rFonts w:ascii="Aptos" w:hAnsi="Aptos"/>
                <w:b w:val="0"/>
                <w:sz w:val="15"/>
              </w:rPr>
              <w:t>Scope, retention, poisoning controls and user separation</w:t>
            </w:r>
          </w:p>
        </w:tc>
      </w:tr>
      <w:tr>
        <w:trPr>
          <w:cantSplit/>
        </w:trPr>
        <w:tc>
          <w:tcPr>
            <w:tcW w:type="dxa" w:w="2304"/>
            <w:vAlign w:val="center"/>
            <w:shd w:fill="F3F6F7"/>
          </w:tcPr>
          <w:p>
            <w:pPr>
              <w:spacing w:after="0"/>
            </w:pPr>
            <w:r/>
            <w:r>
              <w:rPr>
                <w:rFonts w:ascii="Aptos" w:hAnsi="Aptos"/>
                <w:b w:val="0"/>
                <w:sz w:val="15"/>
              </w:rPr>
              <w:t>Transactions</w:t>
            </w:r>
          </w:p>
        </w:tc>
        <w:tc>
          <w:tcPr>
            <w:tcW w:type="dxa" w:w="7344"/>
            <w:vAlign w:val="center"/>
            <w:shd w:fill="F3F6F7"/>
          </w:tcPr>
          <w:p>
            <w:pPr>
              <w:spacing w:after="0"/>
            </w:pPr>
            <w:r/>
            <w:r>
              <w:rPr>
                <w:rFonts w:ascii="Aptos" w:hAnsi="Aptos"/>
                <w:b w:val="0"/>
                <w:sz w:val="15"/>
              </w:rPr>
              <w:t>Human approval or policy gate for consequential actions</w:t>
            </w:r>
          </w:p>
        </w:tc>
      </w:tr>
      <w:tr>
        <w:trPr>
          <w:cantSplit/>
        </w:trPr>
        <w:tc>
          <w:tcPr>
            <w:tcW w:type="dxa" w:w="2304"/>
            <w:vAlign w:val="center"/>
          </w:tcPr>
          <w:p>
            <w:pPr>
              <w:spacing w:after="0"/>
            </w:pPr>
            <w:r/>
            <w:r>
              <w:rPr>
                <w:rFonts w:ascii="Aptos" w:hAnsi="Aptos"/>
                <w:b w:val="0"/>
                <w:sz w:val="15"/>
              </w:rPr>
              <w:t>Delegation</w:t>
            </w:r>
          </w:p>
        </w:tc>
        <w:tc>
          <w:tcPr>
            <w:tcW w:type="dxa" w:w="7344"/>
            <w:vAlign w:val="center"/>
          </w:tcPr>
          <w:p>
            <w:pPr>
              <w:spacing w:after="0"/>
            </w:pPr>
            <w:r/>
            <w:r>
              <w:rPr>
                <w:rFonts w:ascii="Aptos" w:hAnsi="Aptos"/>
                <w:b w:val="0"/>
                <w:sz w:val="15"/>
              </w:rPr>
              <w:t>Identity, limits and traceability for sub-agents</w:t>
            </w:r>
          </w:p>
        </w:tc>
      </w:tr>
      <w:tr>
        <w:trPr>
          <w:cantSplit/>
        </w:trPr>
        <w:tc>
          <w:tcPr>
            <w:tcW w:type="dxa" w:w="2304"/>
            <w:vAlign w:val="center"/>
            <w:shd w:fill="F3F6F7"/>
          </w:tcPr>
          <w:p>
            <w:pPr>
              <w:spacing w:after="0"/>
            </w:pPr>
            <w:r/>
            <w:r>
              <w:rPr>
                <w:rFonts w:ascii="Aptos" w:hAnsi="Aptos"/>
                <w:b w:val="0"/>
                <w:sz w:val="15"/>
              </w:rPr>
              <w:t>Observation</w:t>
            </w:r>
          </w:p>
        </w:tc>
        <w:tc>
          <w:tcPr>
            <w:tcW w:type="dxa" w:w="7344"/>
            <w:vAlign w:val="center"/>
            <w:shd w:fill="F3F6F7"/>
          </w:tcPr>
          <w:p>
            <w:pPr>
              <w:spacing w:after="0"/>
            </w:pPr>
            <w:r/>
            <w:r>
              <w:rPr>
                <w:rFonts w:ascii="Aptos" w:hAnsi="Aptos"/>
                <w:b w:val="0"/>
                <w:sz w:val="15"/>
              </w:rPr>
              <w:t>Record prompts, plans, tool calls, outputs and decisions</w:t>
            </w:r>
          </w:p>
        </w:tc>
      </w:tr>
      <w:tr>
        <w:trPr>
          <w:cantSplit/>
        </w:trPr>
        <w:tc>
          <w:tcPr>
            <w:tcW w:type="dxa" w:w="2304"/>
            <w:vAlign w:val="center"/>
          </w:tcPr>
          <w:p>
            <w:pPr>
              <w:spacing w:after="0"/>
            </w:pPr>
            <w:r/>
            <w:r>
              <w:rPr>
                <w:rFonts w:ascii="Aptos" w:hAnsi="Aptos"/>
                <w:b w:val="0"/>
                <w:sz w:val="15"/>
              </w:rPr>
              <w:t>Containment</w:t>
            </w:r>
          </w:p>
        </w:tc>
        <w:tc>
          <w:tcPr>
            <w:tcW w:type="dxa" w:w="7344"/>
            <w:vAlign w:val="center"/>
          </w:tcPr>
          <w:p>
            <w:pPr>
              <w:spacing w:after="0"/>
            </w:pPr>
            <w:r/>
            <w:r>
              <w:rPr>
                <w:rFonts w:ascii="Aptos" w:hAnsi="Aptos"/>
                <w:b w:val="0"/>
                <w:sz w:val="15"/>
              </w:rPr>
              <w:t>Rate limits, circuit breakers, kill switch and rollback</w:t>
            </w:r>
          </w:p>
        </w:tc>
      </w:tr>
      <w:tr>
        <w:trPr>
          <w:cantSplit/>
        </w:trPr>
        <w:tc>
          <w:tcPr>
            <w:tcW w:type="dxa" w:w="2304"/>
            <w:vAlign w:val="center"/>
            <w:shd w:fill="F3F6F7"/>
          </w:tcPr>
          <w:p>
            <w:pPr>
              <w:spacing w:after="0"/>
            </w:pPr>
            <w:r/>
            <w:r>
              <w:rPr>
                <w:rFonts w:ascii="Aptos" w:hAnsi="Aptos"/>
                <w:b w:val="0"/>
                <w:sz w:val="15"/>
              </w:rPr>
              <w:t>Evaluation</w:t>
            </w:r>
          </w:p>
        </w:tc>
        <w:tc>
          <w:tcPr>
            <w:tcW w:type="dxa" w:w="7344"/>
            <w:vAlign w:val="center"/>
            <w:shd w:fill="F3F6F7"/>
          </w:tcPr>
          <w:p>
            <w:pPr>
              <w:spacing w:after="0"/>
            </w:pPr>
            <w:r/>
            <w:r>
              <w:rPr>
                <w:rFonts w:ascii="Aptos" w:hAnsi="Aptos"/>
                <w:b w:val="0"/>
                <w:sz w:val="15"/>
              </w:rPr>
              <w:t>Scenario tests for manipulation, escalation and unsafe autonomy</w:t>
            </w:r>
          </w:p>
        </w:tc>
      </w:tr>
    </w:tbl>
    <w:p/>
    <w:p>
      <w:pPr>
        <w:pStyle w:val="Heading1"/>
      </w:pPr>
      <w:r>
        <w:t>13. Physical AI Implementation Pattern</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Area</w:t>
            </w:r>
          </w:p>
        </w:tc>
        <w:tc>
          <w:tcPr>
            <w:tcW w:type="dxa" w:w="7200"/>
            <w:vAlign w:val="center"/>
            <w:shd w:fill="17324D"/>
          </w:tcPr>
          <w:p>
            <w:pPr>
              <w:spacing w:after="0"/>
            </w:pPr>
            <w:r/>
            <w:r>
              <w:rPr>
                <w:rFonts w:ascii="Aptos" w:hAnsi="Aptos"/>
                <w:b/>
                <w:color w:val="FFFFFF"/>
                <w:sz w:val="15"/>
              </w:rPr>
              <w:t>Implementation expectation</w:t>
            </w:r>
          </w:p>
        </w:tc>
      </w:tr>
      <w:tr>
        <w:trPr>
          <w:cantSplit/>
        </w:trPr>
        <w:tc>
          <w:tcPr>
            <w:tcW w:type="dxa" w:w="2448"/>
            <w:vAlign w:val="center"/>
          </w:tcPr>
          <w:p>
            <w:pPr>
              <w:spacing w:after="0"/>
            </w:pPr>
            <w:r/>
            <w:r>
              <w:rPr>
                <w:rFonts w:ascii="Aptos" w:hAnsi="Aptos"/>
                <w:b w:val="0"/>
                <w:sz w:val="15"/>
              </w:rPr>
              <w:t>Hazard analysis</w:t>
            </w:r>
          </w:p>
        </w:tc>
        <w:tc>
          <w:tcPr>
            <w:tcW w:type="dxa" w:w="7200"/>
            <w:vAlign w:val="center"/>
          </w:tcPr>
          <w:p>
            <w:pPr>
              <w:spacing w:after="0"/>
            </w:pPr>
            <w:r/>
            <w:r>
              <w:rPr>
                <w:rFonts w:ascii="Aptos" w:hAnsi="Aptos"/>
                <w:b w:val="0"/>
                <w:sz w:val="15"/>
              </w:rPr>
              <w:t>Identify physical, environmental and human hazards</w:t>
            </w:r>
          </w:p>
        </w:tc>
      </w:tr>
      <w:tr>
        <w:trPr>
          <w:cantSplit/>
        </w:trPr>
        <w:tc>
          <w:tcPr>
            <w:tcW w:type="dxa" w:w="2448"/>
            <w:vAlign w:val="center"/>
            <w:shd w:fill="F3F6F7"/>
          </w:tcPr>
          <w:p>
            <w:pPr>
              <w:spacing w:after="0"/>
            </w:pPr>
            <w:r/>
            <w:r>
              <w:rPr>
                <w:rFonts w:ascii="Aptos" w:hAnsi="Aptos"/>
                <w:b w:val="0"/>
                <w:sz w:val="15"/>
              </w:rPr>
              <w:t>Safety constraints</w:t>
            </w:r>
          </w:p>
        </w:tc>
        <w:tc>
          <w:tcPr>
            <w:tcW w:type="dxa" w:w="7200"/>
            <w:vAlign w:val="center"/>
            <w:shd w:fill="F3F6F7"/>
          </w:tcPr>
          <w:p>
            <w:pPr>
              <w:spacing w:after="0"/>
            </w:pPr>
            <w:r/>
            <w:r>
              <w:rPr>
                <w:rFonts w:ascii="Aptos" w:hAnsi="Aptos"/>
                <w:b w:val="0"/>
                <w:sz w:val="15"/>
              </w:rPr>
              <w:t>Enforce operational envelopes and actuation limits</w:t>
            </w:r>
          </w:p>
        </w:tc>
      </w:tr>
      <w:tr>
        <w:trPr>
          <w:cantSplit/>
        </w:trPr>
        <w:tc>
          <w:tcPr>
            <w:tcW w:type="dxa" w:w="2448"/>
            <w:vAlign w:val="center"/>
          </w:tcPr>
          <w:p>
            <w:pPr>
              <w:spacing w:after="0"/>
            </w:pPr>
            <w:r/>
            <w:r>
              <w:rPr>
                <w:rFonts w:ascii="Aptos" w:hAnsi="Aptos"/>
                <w:b w:val="0"/>
                <w:sz w:val="15"/>
              </w:rPr>
              <w:t>Human override</w:t>
            </w:r>
          </w:p>
        </w:tc>
        <w:tc>
          <w:tcPr>
            <w:tcW w:type="dxa" w:w="7200"/>
            <w:vAlign w:val="center"/>
          </w:tcPr>
          <w:p>
            <w:pPr>
              <w:spacing w:after="0"/>
            </w:pPr>
            <w:r/>
            <w:r>
              <w:rPr>
                <w:rFonts w:ascii="Aptos" w:hAnsi="Aptos"/>
                <w:b w:val="0"/>
                <w:sz w:val="15"/>
              </w:rPr>
              <w:t>Provide reliable, tested and accessible override</w:t>
            </w:r>
          </w:p>
        </w:tc>
      </w:tr>
      <w:tr>
        <w:trPr>
          <w:cantSplit/>
        </w:trPr>
        <w:tc>
          <w:tcPr>
            <w:tcW w:type="dxa" w:w="2448"/>
            <w:vAlign w:val="center"/>
            <w:shd w:fill="F3F6F7"/>
          </w:tcPr>
          <w:p>
            <w:pPr>
              <w:spacing w:after="0"/>
            </w:pPr>
            <w:r/>
            <w:r>
              <w:rPr>
                <w:rFonts w:ascii="Aptos" w:hAnsi="Aptos"/>
                <w:b w:val="0"/>
                <w:sz w:val="15"/>
              </w:rPr>
              <w:t>Safe state</w:t>
            </w:r>
          </w:p>
        </w:tc>
        <w:tc>
          <w:tcPr>
            <w:tcW w:type="dxa" w:w="7200"/>
            <w:vAlign w:val="center"/>
            <w:shd w:fill="F3F6F7"/>
          </w:tcPr>
          <w:p>
            <w:pPr>
              <w:spacing w:after="0"/>
            </w:pPr>
            <w:r/>
            <w:r>
              <w:rPr>
                <w:rFonts w:ascii="Aptos" w:hAnsi="Aptos"/>
                <w:b w:val="0"/>
                <w:sz w:val="15"/>
              </w:rPr>
              <w:t>Define and test fallback behavior</w:t>
            </w:r>
          </w:p>
        </w:tc>
      </w:tr>
      <w:tr>
        <w:trPr>
          <w:cantSplit/>
        </w:trPr>
        <w:tc>
          <w:tcPr>
            <w:tcW w:type="dxa" w:w="2448"/>
            <w:vAlign w:val="center"/>
          </w:tcPr>
          <w:p>
            <w:pPr>
              <w:spacing w:after="0"/>
            </w:pPr>
            <w:r/>
            <w:r>
              <w:rPr>
                <w:rFonts w:ascii="Aptos" w:hAnsi="Aptos"/>
                <w:b w:val="0"/>
                <w:sz w:val="15"/>
              </w:rPr>
              <w:t>Sensing integrity</w:t>
            </w:r>
          </w:p>
        </w:tc>
        <w:tc>
          <w:tcPr>
            <w:tcW w:type="dxa" w:w="7200"/>
            <w:vAlign w:val="center"/>
          </w:tcPr>
          <w:p>
            <w:pPr>
              <w:spacing w:after="0"/>
            </w:pPr>
            <w:r/>
            <w:r>
              <w:rPr>
                <w:rFonts w:ascii="Aptos" w:hAnsi="Aptos"/>
                <w:b w:val="0"/>
                <w:sz w:val="15"/>
              </w:rPr>
              <w:t>Validate sensor provenance, calibration and fault handling</w:t>
            </w:r>
          </w:p>
        </w:tc>
      </w:tr>
      <w:tr>
        <w:trPr>
          <w:cantSplit/>
        </w:trPr>
        <w:tc>
          <w:tcPr>
            <w:tcW w:type="dxa" w:w="2448"/>
            <w:vAlign w:val="center"/>
            <w:shd w:fill="F3F6F7"/>
          </w:tcPr>
          <w:p>
            <w:pPr>
              <w:spacing w:after="0"/>
            </w:pPr>
            <w:r/>
            <w:r>
              <w:rPr>
                <w:rFonts w:ascii="Aptos" w:hAnsi="Aptos"/>
                <w:b w:val="0"/>
                <w:sz w:val="15"/>
              </w:rPr>
              <w:t>Simulation/HIL</w:t>
            </w:r>
          </w:p>
        </w:tc>
        <w:tc>
          <w:tcPr>
            <w:tcW w:type="dxa" w:w="7200"/>
            <w:vAlign w:val="center"/>
            <w:shd w:fill="F3F6F7"/>
          </w:tcPr>
          <w:p>
            <w:pPr>
              <w:spacing w:after="0"/>
            </w:pPr>
            <w:r/>
            <w:r>
              <w:rPr>
                <w:rFonts w:ascii="Aptos" w:hAnsi="Aptos"/>
                <w:b w:val="0"/>
                <w:sz w:val="15"/>
              </w:rPr>
              <w:t>Use certified simulation or hardware-in-the-loop where appropriate</w:t>
            </w:r>
          </w:p>
        </w:tc>
      </w:tr>
      <w:tr>
        <w:trPr>
          <w:cantSplit/>
        </w:trPr>
        <w:tc>
          <w:tcPr>
            <w:tcW w:type="dxa" w:w="2448"/>
            <w:vAlign w:val="center"/>
          </w:tcPr>
          <w:p>
            <w:pPr>
              <w:spacing w:after="0"/>
            </w:pPr>
            <w:r/>
            <w:r>
              <w:rPr>
                <w:rFonts w:ascii="Aptos" w:hAnsi="Aptos"/>
                <w:b w:val="0"/>
                <w:sz w:val="15"/>
              </w:rPr>
              <w:t>Cyber-physical security</w:t>
            </w:r>
          </w:p>
        </w:tc>
        <w:tc>
          <w:tcPr>
            <w:tcW w:type="dxa" w:w="7200"/>
            <w:vAlign w:val="center"/>
          </w:tcPr>
          <w:p>
            <w:pPr>
              <w:spacing w:after="0"/>
            </w:pPr>
            <w:r/>
            <w:r>
              <w:rPr>
                <w:rFonts w:ascii="Aptos" w:hAnsi="Aptos"/>
                <w:b w:val="0"/>
                <w:sz w:val="15"/>
              </w:rPr>
              <w:t>Segment control networks and authenticate commands</w:t>
            </w:r>
          </w:p>
        </w:tc>
      </w:tr>
      <w:tr>
        <w:trPr>
          <w:cantSplit/>
        </w:trPr>
        <w:tc>
          <w:tcPr>
            <w:tcW w:type="dxa" w:w="2448"/>
            <w:vAlign w:val="center"/>
            <w:shd w:fill="F3F6F7"/>
          </w:tcPr>
          <w:p>
            <w:pPr>
              <w:spacing w:after="0"/>
            </w:pPr>
            <w:r/>
            <w:r>
              <w:rPr>
                <w:rFonts w:ascii="Aptos" w:hAnsi="Aptos"/>
                <w:b w:val="0"/>
                <w:sz w:val="15"/>
              </w:rPr>
              <w:t>Incident evidence</w:t>
            </w:r>
          </w:p>
        </w:tc>
        <w:tc>
          <w:tcPr>
            <w:tcW w:type="dxa" w:w="7200"/>
            <w:vAlign w:val="center"/>
            <w:shd w:fill="F3F6F7"/>
          </w:tcPr>
          <w:p>
            <w:pPr>
              <w:spacing w:after="0"/>
            </w:pPr>
            <w:r/>
            <w:r>
              <w:rPr>
                <w:rFonts w:ascii="Aptos" w:hAnsi="Aptos"/>
                <w:b w:val="0"/>
                <w:sz w:val="15"/>
              </w:rPr>
              <w:t>Capture telemetry sufficient to reconstruct events</w:t>
            </w:r>
          </w:p>
        </w:tc>
      </w:tr>
    </w:tbl>
    <w:p/>
    <w:p>
      <w:pPr>
        <w:pStyle w:val="Heading1"/>
      </w:pPr>
      <w:r>
        <w:t>14. Internal Assurance Workflow</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160"/>
            <w:vAlign w:val="center"/>
            <w:shd w:fill="17324D"/>
          </w:tcPr>
          <w:p>
            <w:pPr>
              <w:spacing w:after="0"/>
            </w:pPr>
            <w:r/>
            <w:r>
              <w:rPr>
                <w:rFonts w:ascii="Aptos" w:hAnsi="Aptos"/>
                <w:b/>
                <w:color w:val="FFFFFF"/>
                <w:sz w:val="15"/>
              </w:rPr>
              <w:t>Method</w:t>
            </w:r>
          </w:p>
        </w:tc>
        <w:tc>
          <w:tcPr>
            <w:tcW w:type="dxa" w:w="7488"/>
            <w:vAlign w:val="center"/>
            <w:shd w:fill="17324D"/>
          </w:tcPr>
          <w:p>
            <w:pPr>
              <w:spacing w:after="0"/>
            </w:pPr>
            <w:r/>
            <w:r>
              <w:rPr>
                <w:rFonts w:ascii="Aptos" w:hAnsi="Aptos"/>
                <w:b/>
                <w:color w:val="FFFFFF"/>
                <w:sz w:val="15"/>
              </w:rPr>
              <w:t>Use</w:t>
            </w:r>
          </w:p>
        </w:tc>
      </w:tr>
      <w:tr>
        <w:trPr>
          <w:cantSplit/>
        </w:trPr>
        <w:tc>
          <w:tcPr>
            <w:tcW w:type="dxa" w:w="2160"/>
            <w:vAlign w:val="center"/>
          </w:tcPr>
          <w:p>
            <w:pPr>
              <w:spacing w:after="0"/>
            </w:pPr>
            <w:r/>
            <w:r>
              <w:rPr>
                <w:rFonts w:ascii="Aptos" w:hAnsi="Aptos"/>
                <w:b w:val="0"/>
                <w:sz w:val="15"/>
              </w:rPr>
              <w:t>Inspection</w:t>
            </w:r>
          </w:p>
        </w:tc>
        <w:tc>
          <w:tcPr>
            <w:tcW w:type="dxa" w:w="7488"/>
            <w:vAlign w:val="center"/>
          </w:tcPr>
          <w:p>
            <w:pPr>
              <w:spacing w:after="0"/>
            </w:pPr>
            <w:r/>
            <w:r>
              <w:rPr>
                <w:rFonts w:ascii="Aptos" w:hAnsi="Aptos"/>
                <w:b w:val="0"/>
                <w:sz w:val="15"/>
              </w:rPr>
              <w:t>Review policies, designs, configurations and evidence</w:t>
            </w:r>
          </w:p>
        </w:tc>
      </w:tr>
      <w:tr>
        <w:trPr>
          <w:cantSplit/>
        </w:trPr>
        <w:tc>
          <w:tcPr>
            <w:tcW w:type="dxa" w:w="2160"/>
            <w:vAlign w:val="center"/>
            <w:shd w:fill="F3F6F7"/>
          </w:tcPr>
          <w:p>
            <w:pPr>
              <w:spacing w:after="0"/>
            </w:pPr>
            <w:r/>
            <w:r>
              <w:rPr>
                <w:rFonts w:ascii="Aptos" w:hAnsi="Aptos"/>
                <w:b w:val="0"/>
                <w:sz w:val="15"/>
              </w:rPr>
              <w:t>Interview</w:t>
            </w:r>
          </w:p>
        </w:tc>
        <w:tc>
          <w:tcPr>
            <w:tcW w:type="dxa" w:w="7488"/>
            <w:vAlign w:val="center"/>
            <w:shd w:fill="F3F6F7"/>
          </w:tcPr>
          <w:p>
            <w:pPr>
              <w:spacing w:after="0"/>
            </w:pPr>
            <w:r/>
            <w:r>
              <w:rPr>
                <w:rFonts w:ascii="Aptos" w:hAnsi="Aptos"/>
                <w:b w:val="0"/>
                <w:sz w:val="15"/>
              </w:rPr>
              <w:t>Confirm ownership, competence and actual practice</w:t>
            </w:r>
          </w:p>
        </w:tc>
      </w:tr>
      <w:tr>
        <w:trPr>
          <w:cantSplit/>
        </w:trPr>
        <w:tc>
          <w:tcPr>
            <w:tcW w:type="dxa" w:w="2160"/>
            <w:vAlign w:val="center"/>
          </w:tcPr>
          <w:p>
            <w:pPr>
              <w:spacing w:after="0"/>
            </w:pPr>
            <w:r/>
            <w:r>
              <w:rPr>
                <w:rFonts w:ascii="Aptos" w:hAnsi="Aptos"/>
                <w:b w:val="0"/>
                <w:sz w:val="15"/>
              </w:rPr>
              <w:t>Observation</w:t>
            </w:r>
          </w:p>
        </w:tc>
        <w:tc>
          <w:tcPr>
            <w:tcW w:type="dxa" w:w="7488"/>
            <w:vAlign w:val="center"/>
          </w:tcPr>
          <w:p>
            <w:pPr>
              <w:spacing w:after="0"/>
            </w:pPr>
            <w:r/>
            <w:r>
              <w:rPr>
                <w:rFonts w:ascii="Aptos" w:hAnsi="Aptos"/>
                <w:b w:val="0"/>
                <w:sz w:val="15"/>
              </w:rPr>
              <w:t>Watch control execution or operational workflow</w:t>
            </w:r>
          </w:p>
        </w:tc>
      </w:tr>
      <w:tr>
        <w:trPr>
          <w:cantSplit/>
        </w:trPr>
        <w:tc>
          <w:tcPr>
            <w:tcW w:type="dxa" w:w="2160"/>
            <w:vAlign w:val="center"/>
            <w:shd w:fill="F3F6F7"/>
          </w:tcPr>
          <w:p>
            <w:pPr>
              <w:spacing w:after="0"/>
            </w:pPr>
            <w:r/>
            <w:r>
              <w:rPr>
                <w:rFonts w:ascii="Aptos" w:hAnsi="Aptos"/>
                <w:b w:val="0"/>
                <w:sz w:val="15"/>
              </w:rPr>
              <w:t>Sampling</w:t>
            </w:r>
          </w:p>
        </w:tc>
        <w:tc>
          <w:tcPr>
            <w:tcW w:type="dxa" w:w="7488"/>
            <w:vAlign w:val="center"/>
            <w:shd w:fill="F3F6F7"/>
          </w:tcPr>
          <w:p>
            <w:pPr>
              <w:spacing w:after="0"/>
            </w:pPr>
            <w:r/>
            <w:r>
              <w:rPr>
                <w:rFonts w:ascii="Aptos" w:hAnsi="Aptos"/>
                <w:b w:val="0"/>
                <w:sz w:val="15"/>
              </w:rPr>
              <w:t>Select representative systems, events, users and periods</w:t>
            </w:r>
          </w:p>
        </w:tc>
      </w:tr>
      <w:tr>
        <w:trPr>
          <w:cantSplit/>
        </w:trPr>
        <w:tc>
          <w:tcPr>
            <w:tcW w:type="dxa" w:w="2160"/>
            <w:vAlign w:val="center"/>
          </w:tcPr>
          <w:p>
            <w:pPr>
              <w:spacing w:after="0"/>
            </w:pPr>
            <w:r/>
            <w:r>
              <w:rPr>
                <w:rFonts w:ascii="Aptos" w:hAnsi="Aptos"/>
                <w:b w:val="0"/>
                <w:sz w:val="15"/>
              </w:rPr>
              <w:t>Re-performance</w:t>
            </w:r>
          </w:p>
        </w:tc>
        <w:tc>
          <w:tcPr>
            <w:tcW w:type="dxa" w:w="7488"/>
            <w:vAlign w:val="center"/>
          </w:tcPr>
          <w:p>
            <w:pPr>
              <w:spacing w:after="0"/>
            </w:pPr>
            <w:r/>
            <w:r>
              <w:rPr>
                <w:rFonts w:ascii="Aptos" w:hAnsi="Aptos"/>
                <w:b w:val="0"/>
                <w:sz w:val="15"/>
              </w:rPr>
              <w:t>Repeat tests or control actions</w:t>
            </w:r>
          </w:p>
        </w:tc>
      </w:tr>
      <w:tr>
        <w:trPr>
          <w:cantSplit/>
        </w:trPr>
        <w:tc>
          <w:tcPr>
            <w:tcW w:type="dxa" w:w="2160"/>
            <w:vAlign w:val="center"/>
            <w:shd w:fill="F3F6F7"/>
          </w:tcPr>
          <w:p>
            <w:pPr>
              <w:spacing w:after="0"/>
            </w:pPr>
            <w:r/>
            <w:r>
              <w:rPr>
                <w:rFonts w:ascii="Aptos" w:hAnsi="Aptos"/>
                <w:b w:val="0"/>
                <w:sz w:val="15"/>
              </w:rPr>
              <w:t>Technical testing</w:t>
            </w:r>
          </w:p>
        </w:tc>
        <w:tc>
          <w:tcPr>
            <w:tcW w:type="dxa" w:w="7488"/>
            <w:vAlign w:val="center"/>
            <w:shd w:fill="F3F6F7"/>
          </w:tcPr>
          <w:p>
            <w:pPr>
              <w:spacing w:after="0"/>
            </w:pPr>
            <w:r/>
            <w:r>
              <w:rPr>
                <w:rFonts w:ascii="Aptos" w:hAnsi="Aptos"/>
                <w:b w:val="0"/>
                <w:sz w:val="15"/>
              </w:rPr>
              <w:t>Execute security, robustness, privacy or safety tests</w:t>
            </w:r>
          </w:p>
        </w:tc>
      </w:tr>
      <w:tr>
        <w:trPr>
          <w:cantSplit/>
        </w:trPr>
        <w:tc>
          <w:tcPr>
            <w:tcW w:type="dxa" w:w="2160"/>
            <w:vAlign w:val="center"/>
          </w:tcPr>
          <w:p>
            <w:pPr>
              <w:spacing w:after="0"/>
            </w:pPr>
            <w:r/>
            <w:r>
              <w:rPr>
                <w:rFonts w:ascii="Aptos" w:hAnsi="Aptos"/>
                <w:b w:val="0"/>
                <w:sz w:val="15"/>
              </w:rPr>
              <w:t>Traceability review</w:t>
            </w:r>
          </w:p>
        </w:tc>
        <w:tc>
          <w:tcPr>
            <w:tcW w:type="dxa" w:w="7488"/>
            <w:vAlign w:val="center"/>
          </w:tcPr>
          <w:p>
            <w:pPr>
              <w:spacing w:after="0"/>
            </w:pPr>
            <w:r/>
            <w:r>
              <w:rPr>
                <w:rFonts w:ascii="Aptos" w:hAnsi="Aptos"/>
                <w:b w:val="0"/>
                <w:sz w:val="15"/>
              </w:rPr>
              <w:t>Follow requirement to mechanism to evidence to outcome</w:t>
            </w:r>
          </w:p>
        </w:tc>
      </w:tr>
    </w:tbl>
    <w:p/>
    <w:p>
      <w:pPr>
        <w:pStyle w:val="Heading1"/>
      </w:pPr>
      <w:r>
        <w:t>15. Implementation Anti-Patterns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Anti-pattern</w:t>
            </w:r>
          </w:p>
        </w:tc>
        <w:tc>
          <w:tcPr>
            <w:tcW w:type="dxa" w:w="3456"/>
            <w:vAlign w:val="center"/>
            <w:shd w:fill="17324D"/>
          </w:tcPr>
          <w:p>
            <w:pPr>
              <w:spacing w:after="0"/>
            </w:pPr>
            <w:r/>
            <w:r>
              <w:rPr>
                <w:rFonts w:ascii="Aptos" w:hAnsi="Aptos"/>
                <w:b/>
                <w:color w:val="FFFFFF"/>
                <w:sz w:val="15"/>
              </w:rPr>
              <w:t>Risk</w:t>
            </w:r>
          </w:p>
        </w:tc>
        <w:tc>
          <w:tcPr>
            <w:tcW w:type="dxa" w:w="3600"/>
            <w:vAlign w:val="center"/>
            <w:shd w:fill="17324D"/>
          </w:tcPr>
          <w:p>
            <w:pPr>
              <w:spacing w:after="0"/>
            </w:pPr>
            <w:r/>
            <w:r>
              <w:rPr>
                <w:rFonts w:ascii="Aptos" w:hAnsi="Aptos"/>
                <w:b/>
                <w:color w:val="FFFFFF"/>
                <w:sz w:val="15"/>
              </w:rPr>
              <w:t>Corrective action</w:t>
            </w:r>
          </w:p>
        </w:tc>
      </w:tr>
      <w:tr>
        <w:trPr>
          <w:cantSplit/>
        </w:trPr>
        <w:tc>
          <w:tcPr>
            <w:tcW w:type="dxa" w:w="2592"/>
            <w:vAlign w:val="center"/>
          </w:tcPr>
          <w:p>
            <w:pPr>
              <w:spacing w:after="0"/>
            </w:pPr>
            <w:r/>
            <w:r>
              <w:rPr>
                <w:rFonts w:ascii="Aptos" w:hAnsi="Aptos"/>
                <w:b w:val="0"/>
                <w:sz w:val="15"/>
              </w:rPr>
              <w:t>Policy-only implementation</w:t>
            </w:r>
          </w:p>
        </w:tc>
        <w:tc>
          <w:tcPr>
            <w:tcW w:type="dxa" w:w="3456"/>
            <w:vAlign w:val="center"/>
          </w:tcPr>
          <w:p>
            <w:pPr>
              <w:spacing w:after="0"/>
            </w:pPr>
            <w:r/>
            <w:r>
              <w:rPr>
                <w:rFonts w:ascii="Aptos" w:hAnsi="Aptos"/>
                <w:b w:val="0"/>
                <w:sz w:val="15"/>
              </w:rPr>
              <w:t>No proof of technical or operational control</w:t>
            </w:r>
          </w:p>
        </w:tc>
        <w:tc>
          <w:tcPr>
            <w:tcW w:type="dxa" w:w="3600"/>
            <w:vAlign w:val="center"/>
          </w:tcPr>
          <w:p>
            <w:pPr>
              <w:spacing w:after="0"/>
            </w:pPr>
            <w:r/>
            <w:r>
              <w:rPr>
                <w:rFonts w:ascii="Aptos" w:hAnsi="Aptos"/>
                <w:b w:val="0"/>
                <w:sz w:val="15"/>
              </w:rPr>
              <w:t>Add mechanisms and operating evidence</w:t>
            </w:r>
          </w:p>
        </w:tc>
      </w:tr>
      <w:tr>
        <w:trPr>
          <w:cantSplit/>
        </w:trPr>
        <w:tc>
          <w:tcPr>
            <w:tcW w:type="dxa" w:w="2592"/>
            <w:vAlign w:val="center"/>
            <w:shd w:fill="F3F6F7"/>
          </w:tcPr>
          <w:p>
            <w:pPr>
              <w:spacing w:after="0"/>
            </w:pPr>
            <w:r/>
            <w:r>
              <w:rPr>
                <w:rFonts w:ascii="Aptos" w:hAnsi="Aptos"/>
                <w:b w:val="0"/>
                <w:sz w:val="15"/>
              </w:rPr>
              <w:t>Central dashboard without source integrity</w:t>
            </w:r>
          </w:p>
        </w:tc>
        <w:tc>
          <w:tcPr>
            <w:tcW w:type="dxa" w:w="3456"/>
            <w:vAlign w:val="center"/>
            <w:shd w:fill="F3F6F7"/>
          </w:tcPr>
          <w:p>
            <w:pPr>
              <w:spacing w:after="0"/>
            </w:pPr>
            <w:r/>
            <w:r>
              <w:rPr>
                <w:rFonts w:ascii="Aptos" w:hAnsi="Aptos"/>
                <w:b w:val="0"/>
                <w:sz w:val="15"/>
              </w:rPr>
              <w:t>Metrics may be misleading</w:t>
            </w:r>
          </w:p>
        </w:tc>
        <w:tc>
          <w:tcPr>
            <w:tcW w:type="dxa" w:w="3600"/>
            <w:vAlign w:val="center"/>
            <w:shd w:fill="F3F6F7"/>
          </w:tcPr>
          <w:p>
            <w:pPr>
              <w:spacing w:after="0"/>
            </w:pPr>
            <w:r/>
            <w:r>
              <w:rPr>
                <w:rFonts w:ascii="Aptos" w:hAnsi="Aptos"/>
                <w:b w:val="0"/>
                <w:sz w:val="15"/>
              </w:rPr>
              <w:t>Validate data lineage and completeness</w:t>
            </w:r>
          </w:p>
        </w:tc>
      </w:tr>
      <w:tr>
        <w:trPr>
          <w:cantSplit/>
        </w:trPr>
        <w:tc>
          <w:tcPr>
            <w:tcW w:type="dxa" w:w="2592"/>
            <w:vAlign w:val="center"/>
          </w:tcPr>
          <w:p>
            <w:pPr>
              <w:spacing w:after="0"/>
            </w:pPr>
            <w:r/>
            <w:r>
              <w:rPr>
                <w:rFonts w:ascii="Aptos" w:hAnsi="Aptos"/>
                <w:b w:val="0"/>
                <w:sz w:val="15"/>
              </w:rPr>
              <w:t>One-time red team</w:t>
            </w:r>
          </w:p>
        </w:tc>
        <w:tc>
          <w:tcPr>
            <w:tcW w:type="dxa" w:w="3456"/>
            <w:vAlign w:val="center"/>
          </w:tcPr>
          <w:p>
            <w:pPr>
              <w:spacing w:after="0"/>
            </w:pPr>
            <w:r/>
            <w:r>
              <w:rPr>
                <w:rFonts w:ascii="Aptos" w:hAnsi="Aptos"/>
                <w:b w:val="0"/>
                <w:sz w:val="15"/>
              </w:rPr>
              <w:t>Rapidly becomes stale</w:t>
            </w:r>
          </w:p>
        </w:tc>
        <w:tc>
          <w:tcPr>
            <w:tcW w:type="dxa" w:w="3600"/>
            <w:vAlign w:val="center"/>
          </w:tcPr>
          <w:p>
            <w:pPr>
              <w:spacing w:after="0"/>
            </w:pPr>
            <w:r/>
            <w:r>
              <w:rPr>
                <w:rFonts w:ascii="Aptos" w:hAnsi="Aptos"/>
                <w:b w:val="0"/>
                <w:sz w:val="15"/>
              </w:rPr>
              <w:t>Use change-triggered and periodic testing</w:t>
            </w:r>
          </w:p>
        </w:tc>
      </w:tr>
      <w:tr>
        <w:trPr>
          <w:cantSplit/>
        </w:trPr>
        <w:tc>
          <w:tcPr>
            <w:tcW w:type="dxa" w:w="2592"/>
            <w:vAlign w:val="center"/>
            <w:shd w:fill="F3F6F7"/>
          </w:tcPr>
          <w:p>
            <w:pPr>
              <w:spacing w:after="0"/>
            </w:pPr>
            <w:r/>
            <w:r>
              <w:rPr>
                <w:rFonts w:ascii="Aptos" w:hAnsi="Aptos"/>
                <w:b w:val="0"/>
                <w:sz w:val="15"/>
              </w:rPr>
              <w:t>Universal model approval</w:t>
            </w:r>
          </w:p>
        </w:tc>
        <w:tc>
          <w:tcPr>
            <w:tcW w:type="dxa" w:w="3456"/>
            <w:vAlign w:val="center"/>
            <w:shd w:fill="F3F6F7"/>
          </w:tcPr>
          <w:p>
            <w:pPr>
              <w:spacing w:after="0"/>
            </w:pPr>
            <w:r/>
            <w:r>
              <w:rPr>
                <w:rFonts w:ascii="Aptos" w:hAnsi="Aptos"/>
                <w:b w:val="0"/>
                <w:sz w:val="15"/>
              </w:rPr>
              <w:t>Ignores use-case context</w:t>
            </w:r>
          </w:p>
        </w:tc>
        <w:tc>
          <w:tcPr>
            <w:tcW w:type="dxa" w:w="3600"/>
            <w:vAlign w:val="center"/>
            <w:shd w:fill="F3F6F7"/>
          </w:tcPr>
          <w:p>
            <w:pPr>
              <w:spacing w:after="0"/>
            </w:pPr>
            <w:r/>
            <w:r>
              <w:rPr>
                <w:rFonts w:ascii="Aptos" w:hAnsi="Aptos"/>
                <w:b w:val="0"/>
                <w:sz w:val="15"/>
              </w:rPr>
              <w:t>Approve system-and-context combinations</w:t>
            </w:r>
          </w:p>
        </w:tc>
      </w:tr>
      <w:tr>
        <w:trPr>
          <w:cantSplit/>
        </w:trPr>
        <w:tc>
          <w:tcPr>
            <w:tcW w:type="dxa" w:w="2592"/>
            <w:vAlign w:val="center"/>
          </w:tcPr>
          <w:p>
            <w:pPr>
              <w:spacing w:after="0"/>
            </w:pPr>
            <w:r/>
            <w:r>
              <w:rPr>
                <w:rFonts w:ascii="Aptos" w:hAnsi="Aptos"/>
                <w:b w:val="0"/>
                <w:sz w:val="15"/>
              </w:rPr>
              <w:t>Supplier attestation reliance</w:t>
            </w:r>
          </w:p>
        </w:tc>
        <w:tc>
          <w:tcPr>
            <w:tcW w:type="dxa" w:w="3456"/>
            <w:vAlign w:val="center"/>
          </w:tcPr>
          <w:p>
            <w:pPr>
              <w:spacing w:after="0"/>
            </w:pPr>
            <w:r/>
            <w:r>
              <w:rPr>
                <w:rFonts w:ascii="Aptos" w:hAnsi="Aptos"/>
                <w:b w:val="0"/>
                <w:sz w:val="15"/>
              </w:rPr>
              <w:t>Hides inherited gaps</w:t>
            </w:r>
          </w:p>
        </w:tc>
        <w:tc>
          <w:tcPr>
            <w:tcW w:type="dxa" w:w="3600"/>
            <w:vAlign w:val="center"/>
          </w:tcPr>
          <w:p>
            <w:pPr>
              <w:spacing w:after="0"/>
            </w:pPr>
            <w:r/>
            <w:r>
              <w:rPr>
                <w:rFonts w:ascii="Aptos" w:hAnsi="Aptos"/>
                <w:b w:val="0"/>
                <w:sz w:val="15"/>
              </w:rPr>
              <w:t>Request system-specific evidence</w:t>
            </w:r>
          </w:p>
        </w:tc>
      </w:tr>
      <w:tr>
        <w:trPr>
          <w:cantSplit/>
        </w:trPr>
        <w:tc>
          <w:tcPr>
            <w:tcW w:type="dxa" w:w="2592"/>
            <w:vAlign w:val="center"/>
            <w:shd w:fill="F3F6F7"/>
          </w:tcPr>
          <w:p>
            <w:pPr>
              <w:spacing w:after="0"/>
            </w:pPr>
            <w:r/>
            <w:r>
              <w:rPr>
                <w:rFonts w:ascii="Aptos" w:hAnsi="Aptos"/>
                <w:b w:val="0"/>
                <w:sz w:val="15"/>
              </w:rPr>
              <w:t>Logging without review</w:t>
            </w:r>
          </w:p>
        </w:tc>
        <w:tc>
          <w:tcPr>
            <w:tcW w:type="dxa" w:w="3456"/>
            <w:vAlign w:val="center"/>
            <w:shd w:fill="F3F6F7"/>
          </w:tcPr>
          <w:p>
            <w:pPr>
              <w:spacing w:after="0"/>
            </w:pPr>
            <w:r/>
            <w:r>
              <w:rPr>
                <w:rFonts w:ascii="Aptos" w:hAnsi="Aptos"/>
                <w:b w:val="0"/>
                <w:sz w:val="15"/>
              </w:rPr>
              <w:t>Creates data, not control operation</w:t>
            </w:r>
          </w:p>
        </w:tc>
        <w:tc>
          <w:tcPr>
            <w:tcW w:type="dxa" w:w="3600"/>
            <w:vAlign w:val="center"/>
            <w:shd w:fill="F3F6F7"/>
          </w:tcPr>
          <w:p>
            <w:pPr>
              <w:spacing w:after="0"/>
            </w:pPr>
            <w:r/>
            <w:r>
              <w:rPr>
                <w:rFonts w:ascii="Aptos" w:hAnsi="Aptos"/>
                <w:b w:val="0"/>
                <w:sz w:val="15"/>
              </w:rPr>
              <w:t>Assign alerting and review ownership</w:t>
            </w:r>
          </w:p>
        </w:tc>
      </w:tr>
      <w:tr>
        <w:trPr>
          <w:cantSplit/>
        </w:trPr>
        <w:tc>
          <w:tcPr>
            <w:tcW w:type="dxa" w:w="2592"/>
            <w:vAlign w:val="center"/>
          </w:tcPr>
          <w:p>
            <w:pPr>
              <w:spacing w:after="0"/>
            </w:pPr>
            <w:r/>
            <w:r>
              <w:rPr>
                <w:rFonts w:ascii="Aptos" w:hAnsi="Aptos"/>
                <w:b w:val="0"/>
                <w:sz w:val="15"/>
              </w:rPr>
              <w:t>Exception without expiry</w:t>
            </w:r>
          </w:p>
        </w:tc>
        <w:tc>
          <w:tcPr>
            <w:tcW w:type="dxa" w:w="3456"/>
            <w:vAlign w:val="center"/>
          </w:tcPr>
          <w:p>
            <w:pPr>
              <w:spacing w:after="0"/>
            </w:pPr>
            <w:r/>
            <w:r>
              <w:rPr>
                <w:rFonts w:ascii="Aptos" w:hAnsi="Aptos"/>
                <w:b w:val="0"/>
                <w:sz w:val="15"/>
              </w:rPr>
              <w:t>Normalizes nonconformance</w:t>
            </w:r>
          </w:p>
        </w:tc>
        <w:tc>
          <w:tcPr>
            <w:tcW w:type="dxa" w:w="3600"/>
            <w:vAlign w:val="center"/>
          </w:tcPr>
          <w:p>
            <w:pPr>
              <w:spacing w:after="0"/>
            </w:pPr>
            <w:r/>
            <w:r>
              <w:rPr>
                <w:rFonts w:ascii="Aptos" w:hAnsi="Aptos"/>
                <w:b w:val="0"/>
                <w:sz w:val="15"/>
              </w:rPr>
              <w:t>Time-bound and monitor exceptions</w:t>
            </w:r>
          </w:p>
        </w:tc>
      </w:tr>
      <w:tr>
        <w:trPr>
          <w:cantSplit/>
        </w:trPr>
        <w:tc>
          <w:tcPr>
            <w:tcW w:type="dxa" w:w="2592"/>
            <w:vAlign w:val="center"/>
            <w:shd w:fill="F3F6F7"/>
          </w:tcPr>
          <w:p>
            <w:pPr>
              <w:spacing w:after="0"/>
            </w:pPr>
            <w:r/>
            <w:r>
              <w:rPr>
                <w:rFonts w:ascii="Aptos" w:hAnsi="Aptos"/>
                <w:b w:val="0"/>
                <w:sz w:val="15"/>
              </w:rPr>
              <w:t>Silent failed tests</w:t>
            </w:r>
          </w:p>
        </w:tc>
        <w:tc>
          <w:tcPr>
            <w:tcW w:type="dxa" w:w="3456"/>
            <w:vAlign w:val="center"/>
            <w:shd w:fill="F3F6F7"/>
          </w:tcPr>
          <w:p>
            <w:pPr>
              <w:spacing w:after="0"/>
            </w:pPr>
            <w:r/>
            <w:r>
              <w:rPr>
                <w:rFonts w:ascii="Aptos" w:hAnsi="Aptos"/>
                <w:b w:val="0"/>
                <w:sz w:val="15"/>
              </w:rPr>
              <w:t>Overstates assurance</w:t>
            </w:r>
          </w:p>
        </w:tc>
        <w:tc>
          <w:tcPr>
            <w:tcW w:type="dxa" w:w="3600"/>
            <w:vAlign w:val="center"/>
            <w:shd w:fill="F3F6F7"/>
          </w:tcPr>
          <w:p>
            <w:pPr>
              <w:spacing w:after="0"/>
            </w:pPr>
            <w:r/>
            <w:r>
              <w:rPr>
                <w:rFonts w:ascii="Aptos" w:hAnsi="Aptos"/>
                <w:b w:val="0"/>
                <w:sz w:val="15"/>
              </w:rPr>
              <w:t>Retain failed and inconclusive results</w:t>
            </w:r>
          </w:p>
        </w:tc>
      </w:tr>
    </w:tbl>
    <w:p/>
    <w:p>
      <w:pPr>
        <w:pStyle w:val="Heading1"/>
      </w:pPr>
      <w:r>
        <w:t>16. Deployment Readiness Checklist</w:t>
      </w:r>
    </w:p>
    <w:p>
      <w:r>
        <w:t>☐ Scope and inventory approved</w:t>
      </w:r>
    </w:p>
    <w:p>
      <w:r>
        <w:t>☐ Threat model current</w:t>
      </w:r>
    </w:p>
    <w:p>
      <w:r>
        <w:t>☐ Control implementation record complete</w:t>
      </w:r>
    </w:p>
    <w:p>
      <w:r>
        <w:t>☐ Applicable requirements traced</w:t>
      </w:r>
    </w:p>
    <w:p>
      <w:r>
        <w:t>☐ Critical tests passed</w:t>
      </w:r>
    </w:p>
    <w:p>
      <w:r>
        <w:t>☐ Open failures risk-assessed</w:t>
      </w:r>
    </w:p>
    <w:p>
      <w:r>
        <w:t>☐ Evidence package complete</w:t>
      </w:r>
    </w:p>
    <w:p>
      <w:r>
        <w:t>☐ Monitoring and alerting active</w:t>
      </w:r>
    </w:p>
    <w:p>
      <w:r>
        <w:t>☐ Incident runbook tested</w:t>
      </w:r>
    </w:p>
    <w:p>
      <w:r>
        <w:t>☐ Rollback and safe-state mechanisms validated</w:t>
      </w:r>
    </w:p>
    <w:p>
      <w:r>
        <w:t>☐ Supplier dependencies reviewed</w:t>
      </w:r>
    </w:p>
    <w:p>
      <w:r>
        <w:t>☐ Exceptions approved and time-bound</w:t>
      </w:r>
    </w:p>
    <w:p>
      <w:r>
        <w:t>☐ Management approval recorded</w:t>
      </w:r>
    </w:p>
    <w:p>
      <w:pPr>
        <w:pStyle w:val="Heading1"/>
      </w:pPr>
      <w:r>
        <w:t>17. Operating Cadence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1728"/>
            <w:vAlign w:val="center"/>
            <w:shd w:fill="17324D"/>
          </w:tcPr>
          <w:p>
            <w:pPr>
              <w:spacing w:after="0"/>
            </w:pPr>
            <w:r/>
            <w:r>
              <w:rPr>
                <w:rFonts w:ascii="Aptos" w:hAnsi="Aptos"/>
                <w:b/>
                <w:color w:val="FFFFFF"/>
                <w:sz w:val="15"/>
              </w:rPr>
              <w:t>Cadence</w:t>
            </w:r>
          </w:p>
        </w:tc>
        <w:tc>
          <w:tcPr>
            <w:tcW w:type="dxa" w:w="7920"/>
            <w:vAlign w:val="center"/>
            <w:shd w:fill="17324D"/>
          </w:tcPr>
          <w:p>
            <w:pPr>
              <w:spacing w:after="0"/>
            </w:pPr>
            <w:r/>
            <w:r>
              <w:rPr>
                <w:rFonts w:ascii="Aptos" w:hAnsi="Aptos"/>
                <w:b/>
                <w:color w:val="FFFFFF"/>
                <w:sz w:val="15"/>
              </w:rPr>
              <w:t>Activities</w:t>
            </w:r>
          </w:p>
        </w:tc>
      </w:tr>
      <w:tr>
        <w:trPr>
          <w:cantSplit/>
        </w:trPr>
        <w:tc>
          <w:tcPr>
            <w:tcW w:type="dxa" w:w="1728"/>
            <w:vAlign w:val="center"/>
          </w:tcPr>
          <w:p>
            <w:pPr>
              <w:spacing w:after="0"/>
            </w:pPr>
            <w:r/>
            <w:r>
              <w:rPr>
                <w:rFonts w:ascii="Aptos" w:hAnsi="Aptos"/>
                <w:b w:val="0"/>
                <w:sz w:val="15"/>
              </w:rPr>
              <w:t>Continuous</w:t>
            </w:r>
          </w:p>
        </w:tc>
        <w:tc>
          <w:tcPr>
            <w:tcW w:type="dxa" w:w="7920"/>
            <w:vAlign w:val="center"/>
          </w:tcPr>
          <w:p>
            <w:pPr>
              <w:spacing w:after="0"/>
            </w:pPr>
            <w:r/>
            <w:r>
              <w:rPr>
                <w:rFonts w:ascii="Aptos" w:hAnsi="Aptos"/>
                <w:b w:val="0"/>
                <w:sz w:val="15"/>
              </w:rPr>
              <w:t>Security telemetry, control-health monitoring, abuse and safety alerts</w:t>
            </w:r>
          </w:p>
        </w:tc>
      </w:tr>
      <w:tr>
        <w:trPr>
          <w:cantSplit/>
        </w:trPr>
        <w:tc>
          <w:tcPr>
            <w:tcW w:type="dxa" w:w="1728"/>
            <w:vAlign w:val="center"/>
            <w:shd w:fill="F3F6F7"/>
          </w:tcPr>
          <w:p>
            <w:pPr>
              <w:spacing w:after="0"/>
            </w:pPr>
            <w:r/>
            <w:r>
              <w:rPr>
                <w:rFonts w:ascii="Aptos" w:hAnsi="Aptos"/>
                <w:b w:val="0"/>
                <w:sz w:val="15"/>
              </w:rPr>
              <w:t>Per change</w:t>
            </w:r>
          </w:p>
        </w:tc>
        <w:tc>
          <w:tcPr>
            <w:tcW w:type="dxa" w:w="7920"/>
            <w:vAlign w:val="center"/>
            <w:shd w:fill="F3F6F7"/>
          </w:tcPr>
          <w:p>
            <w:pPr>
              <w:spacing w:after="0"/>
            </w:pPr>
            <w:r/>
            <w:r>
              <w:rPr>
                <w:rFonts w:ascii="Aptos" w:hAnsi="Aptos"/>
                <w:b w:val="0"/>
                <w:sz w:val="15"/>
              </w:rPr>
              <w:t>Impact assessment, regression testing, evidence refresh</w:t>
            </w:r>
          </w:p>
        </w:tc>
      </w:tr>
      <w:tr>
        <w:trPr>
          <w:cantSplit/>
        </w:trPr>
        <w:tc>
          <w:tcPr>
            <w:tcW w:type="dxa" w:w="1728"/>
            <w:vAlign w:val="center"/>
          </w:tcPr>
          <w:p>
            <w:pPr>
              <w:spacing w:after="0"/>
            </w:pPr>
            <w:r/>
            <w:r>
              <w:rPr>
                <w:rFonts w:ascii="Aptos" w:hAnsi="Aptos"/>
                <w:b w:val="0"/>
                <w:sz w:val="15"/>
              </w:rPr>
              <w:t>Monthly</w:t>
            </w:r>
          </w:p>
        </w:tc>
        <w:tc>
          <w:tcPr>
            <w:tcW w:type="dxa" w:w="7920"/>
            <w:vAlign w:val="center"/>
          </w:tcPr>
          <w:p>
            <w:pPr>
              <w:spacing w:after="0"/>
            </w:pPr>
            <w:r/>
            <w:r>
              <w:rPr>
                <w:rFonts w:ascii="Aptos" w:hAnsi="Aptos"/>
                <w:b w:val="0"/>
                <w:sz w:val="15"/>
              </w:rPr>
              <w:t>Exception review, overdue findings, supplier changes, metric trends</w:t>
            </w:r>
          </w:p>
        </w:tc>
      </w:tr>
      <w:tr>
        <w:trPr>
          <w:cantSplit/>
        </w:trPr>
        <w:tc>
          <w:tcPr>
            <w:tcW w:type="dxa" w:w="1728"/>
            <w:vAlign w:val="center"/>
            <w:shd w:fill="F3F6F7"/>
          </w:tcPr>
          <w:p>
            <w:pPr>
              <w:spacing w:after="0"/>
            </w:pPr>
            <w:r/>
            <w:r>
              <w:rPr>
                <w:rFonts w:ascii="Aptos" w:hAnsi="Aptos"/>
                <w:b w:val="0"/>
                <w:sz w:val="15"/>
              </w:rPr>
              <w:t>Quarterly</w:t>
            </w:r>
          </w:p>
        </w:tc>
        <w:tc>
          <w:tcPr>
            <w:tcW w:type="dxa" w:w="7920"/>
            <w:vAlign w:val="center"/>
            <w:shd w:fill="F3F6F7"/>
          </w:tcPr>
          <w:p>
            <w:pPr>
              <w:spacing w:after="0"/>
            </w:pPr>
            <w:r/>
            <w:r>
              <w:rPr>
                <w:rFonts w:ascii="Aptos" w:hAnsi="Aptos"/>
                <w:b w:val="0"/>
                <w:sz w:val="15"/>
              </w:rPr>
              <w:t>Control-owner attestation, technical reassessment, management reporting</w:t>
            </w:r>
          </w:p>
        </w:tc>
      </w:tr>
      <w:tr>
        <w:trPr>
          <w:cantSplit/>
        </w:trPr>
        <w:tc>
          <w:tcPr>
            <w:tcW w:type="dxa" w:w="1728"/>
            <w:vAlign w:val="center"/>
          </w:tcPr>
          <w:p>
            <w:pPr>
              <w:spacing w:after="0"/>
            </w:pPr>
            <w:r/>
            <w:r>
              <w:rPr>
                <w:rFonts w:ascii="Aptos" w:hAnsi="Aptos"/>
                <w:b w:val="0"/>
                <w:sz w:val="15"/>
              </w:rPr>
              <w:t>Semiannual</w:t>
            </w:r>
          </w:p>
        </w:tc>
        <w:tc>
          <w:tcPr>
            <w:tcW w:type="dxa" w:w="7920"/>
            <w:vAlign w:val="center"/>
          </w:tcPr>
          <w:p>
            <w:pPr>
              <w:spacing w:after="0"/>
            </w:pPr>
            <w:r/>
            <w:r>
              <w:rPr>
                <w:rFonts w:ascii="Aptos" w:hAnsi="Aptos"/>
                <w:b w:val="0"/>
                <w:sz w:val="15"/>
              </w:rPr>
              <w:t>Cross-functional assurance and scenario exercises</w:t>
            </w:r>
          </w:p>
        </w:tc>
      </w:tr>
      <w:tr>
        <w:trPr>
          <w:cantSplit/>
        </w:trPr>
        <w:tc>
          <w:tcPr>
            <w:tcW w:type="dxa" w:w="1728"/>
            <w:vAlign w:val="center"/>
            <w:shd w:fill="F3F6F7"/>
          </w:tcPr>
          <w:p>
            <w:pPr>
              <w:spacing w:after="0"/>
            </w:pPr>
            <w:r/>
            <w:r>
              <w:rPr>
                <w:rFonts w:ascii="Aptos" w:hAnsi="Aptos"/>
                <w:b w:val="0"/>
                <w:sz w:val="15"/>
              </w:rPr>
              <w:t>Annual</w:t>
            </w:r>
          </w:p>
        </w:tc>
        <w:tc>
          <w:tcPr>
            <w:tcW w:type="dxa" w:w="7920"/>
            <w:vAlign w:val="center"/>
            <w:shd w:fill="F3F6F7"/>
          </w:tcPr>
          <w:p>
            <w:pPr>
              <w:spacing w:after="0"/>
            </w:pPr>
            <w:r/>
            <w:r>
              <w:rPr>
                <w:rFonts w:ascii="Aptos" w:hAnsi="Aptos"/>
                <w:b w:val="0"/>
                <w:sz w:val="15"/>
              </w:rPr>
              <w:t>Full profile review, scope confirmation, internal audit and release-impact review</w:t>
            </w:r>
          </w:p>
        </w:tc>
      </w:tr>
    </w:tbl>
    <w:p/>
    <w:p>
      <w:pPr>
        <w:pStyle w:val="Heading1"/>
      </w:pPr>
      <w:r>
        <w:t>18. Limitations</w:t>
      </w:r>
    </w:p>
    <w:p>
      <w:pPr>
        <w:pStyle w:val="ListBullet"/>
      </w:pPr>
      <w:r>
        <w:t>This handbook does not provide the exact implementation for every technology stack.</w:t>
      </w:r>
    </w:p>
    <w:p>
      <w:pPr>
        <w:pStyle w:val="ListBullet"/>
      </w:pPr>
      <w:r>
        <w:t>Examples do not establish certification evidence sufficiency.</w:t>
      </w:r>
    </w:p>
    <w:p>
      <w:pPr>
        <w:pStyle w:val="ListBullet"/>
      </w:pPr>
      <w:r>
        <w:t>System-specific safety, legal and sector engineering remain necessary.</w:t>
      </w:r>
    </w:p>
    <w:p>
      <w:pPr>
        <w:pStyle w:val="ListBullet"/>
      </w:pPr>
      <w:r>
        <w:t>Monitoring metrics may not be comparable across systems without normalization.</w:t>
      </w:r>
    </w:p>
    <w:p>
      <w:pPr>
        <w:pStyle w:val="ListBullet"/>
      </w:pPr>
      <w:r>
        <w:t>Control operation cannot eliminate unknown threats or model uncertainty.</w:t>
      </w:r>
    </w:p>
    <w:p>
      <w:pPr>
        <w:pStyle w:val="Heading1"/>
      </w:pPr>
      <w:r>
        <w:t>19. Notably Absent</w:t>
      </w:r>
    </w:p>
    <w:p>
      <w:pPr>
        <w:pStyle w:val="ListBullet"/>
      </w:pPr>
      <w:r>
        <w:t>No assumption that a tool purchase constitutes control implementation.</w:t>
      </w:r>
    </w:p>
    <w:p>
      <w:pPr>
        <w:pStyle w:val="ListBullet"/>
      </w:pPr>
      <w:r>
        <w:t>No guarantee that automated testing establishes conformance.</w:t>
      </w:r>
    </w:p>
    <w:p>
      <w:pPr>
        <w:pStyle w:val="ListBullet"/>
      </w:pPr>
      <w:r>
        <w:t>No universal architecture mandated for all AI systems.</w:t>
      </w:r>
    </w:p>
    <w:p>
      <w:pPr>
        <w:pStyle w:val="ListBullet"/>
      </w:pPr>
      <w:r>
        <w:t>No substitution for independent safety engineering in physical AI.</w:t>
      </w:r>
    </w:p>
    <w:p>
      <w:pPr>
        <w:pStyle w:val="ListBullet"/>
      </w:pPr>
      <w:r>
        <w:t>No permission to omit failed, negative or inconclusive evidence.</w:t>
      </w:r>
    </w:p>
    <w:p>
      <w:pPr>
        <w:pStyle w:val="ListBullet"/>
      </w:pPr>
      <w:r>
        <w:t>No claim that every control can be fully automated.</w:t>
      </w:r>
    </w:p>
    <w:p>
      <w:pPr>
        <w:pStyle w:val="Heading1"/>
      </w:pPr>
      <w:r>
        <w:t>Annex A — Control Implementation Record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Field</w:t>
            </w:r>
          </w:p>
        </w:tc>
        <w:tc>
          <w:tcPr>
            <w:tcW w:type="dxa" w:w="6480"/>
            <w:vAlign w:val="center"/>
            <w:shd w:fill="17324D"/>
          </w:tcPr>
          <w:p>
            <w:pPr>
              <w:spacing w:after="0"/>
            </w:pPr>
            <w:r/>
            <w:r>
              <w:rPr>
                <w:rFonts w:ascii="Aptos" w:hAnsi="Aptos"/>
                <w:b/>
                <w:color w:val="FFFFFF"/>
                <w:sz w:val="15"/>
              </w:rPr>
              <w:t>Entry</w:t>
            </w:r>
          </w:p>
        </w:tc>
      </w:tr>
      <w:tr>
        <w:trPr>
          <w:cantSplit/>
        </w:trPr>
        <w:tc>
          <w:tcPr>
            <w:tcW w:type="dxa" w:w="3168"/>
            <w:vAlign w:val="center"/>
          </w:tcPr>
          <w:p>
            <w:pPr>
              <w:spacing w:after="0"/>
            </w:pPr>
            <w:r/>
            <w:r>
              <w:rPr>
                <w:rFonts w:ascii="Aptos" w:hAnsi="Aptos"/>
                <w:b w:val="0"/>
                <w:sz w:val="15"/>
              </w:rPr>
              <w:t>Control ID</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System/scope</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Owner</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Objective</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Mechanisms</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Workflow trigger</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Inputs</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Outputs</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Dependencies</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Failure modes</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Monitoring</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Evidence IDs</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Metrics</w:t>
            </w:r>
          </w:p>
        </w:tc>
        <w:tc>
          <w:tcPr>
            <w:tcW w:type="dxa" w:w="6480"/>
            <w:vAlign w:val="center"/>
          </w:tcPr>
          <w:p>
            <w:pPr>
              <w:spacing w:after="0"/>
            </w:pPr>
            <w:r/>
            <w:r>
              <w:rPr>
                <w:rFonts w:ascii="Aptos" w:hAnsi="Aptos"/>
                <w:b w:val="0"/>
                <w:sz w:val="15"/>
              </w:rPr>
            </w:r>
          </w:p>
        </w:tc>
      </w:tr>
      <w:tr>
        <w:trPr>
          <w:cantSplit/>
        </w:trPr>
        <w:tc>
          <w:tcPr>
            <w:tcW w:type="dxa" w:w="3168"/>
            <w:vAlign w:val="center"/>
            <w:shd w:fill="F3F6F7"/>
          </w:tcPr>
          <w:p>
            <w:pPr>
              <w:spacing w:after="0"/>
            </w:pPr>
            <w:r/>
            <w:r>
              <w:rPr>
                <w:rFonts w:ascii="Aptos" w:hAnsi="Aptos"/>
                <w:b w:val="0"/>
                <w:sz w:val="15"/>
              </w:rPr>
              <w:t>Exceptions</w:t>
            </w:r>
          </w:p>
        </w:tc>
        <w:tc>
          <w:tcPr>
            <w:tcW w:type="dxa" w:w="6480"/>
            <w:vAlign w:val="center"/>
            <w:shd w:fill="F3F6F7"/>
          </w:tcPr>
          <w:p>
            <w:pPr>
              <w:spacing w:after="0"/>
            </w:pPr>
            <w:r/>
            <w:r>
              <w:rPr>
                <w:rFonts w:ascii="Aptos" w:hAnsi="Aptos"/>
                <w:b w:val="0"/>
                <w:sz w:val="15"/>
              </w:rPr>
            </w:r>
          </w:p>
        </w:tc>
      </w:tr>
      <w:tr>
        <w:trPr>
          <w:cantSplit/>
        </w:trPr>
        <w:tc>
          <w:tcPr>
            <w:tcW w:type="dxa" w:w="3168"/>
            <w:vAlign w:val="center"/>
          </w:tcPr>
          <w:p>
            <w:pPr>
              <w:spacing w:after="0"/>
            </w:pPr>
            <w:r/>
            <w:r>
              <w:rPr>
                <w:rFonts w:ascii="Aptos" w:hAnsi="Aptos"/>
                <w:b w:val="0"/>
                <w:sz w:val="15"/>
              </w:rPr>
              <w:t>Assurance result</w:t>
            </w:r>
          </w:p>
        </w:tc>
        <w:tc>
          <w:tcPr>
            <w:tcW w:type="dxa" w:w="6480"/>
            <w:vAlign w:val="center"/>
          </w:tcPr>
          <w:p>
            <w:pPr>
              <w:spacing w:after="0"/>
            </w:pPr>
            <w:r/>
            <w:r>
              <w:rPr>
                <w:rFonts w:ascii="Aptos" w:hAnsi="Aptos"/>
                <w:b w:val="0"/>
                <w:sz w:val="15"/>
              </w:rPr>
            </w:r>
          </w:p>
        </w:tc>
      </w:tr>
    </w:tbl>
    <w:p/>
    <w:p>
      <w:pPr>
        <w:pStyle w:val="Heading1"/>
      </w:pPr>
      <w:r>
        <w:t>Annex B — Evidence Index Template</w:t>
      </w:r>
    </w:p>
    <w:tbl>
      <w:tblPr>
        <w:tblStyle w:val="TableGrid"/>
        <w:tblW w:type="auto" w:w="0"/>
        <w:jc w:val="center"/>
        <w:tblLook w:firstColumn="1" w:firstRow="1" w:lastColumn="0" w:lastRow="0" w:noHBand="0" w:noVBand="1" w:val="04A0"/>
      </w:tblPr>
      <w:tblGrid>
        <w:gridCol w:w="1142"/>
        <w:gridCol w:w="1142"/>
        <w:gridCol w:w="1142"/>
        <w:gridCol w:w="1142"/>
        <w:gridCol w:w="1142"/>
        <w:gridCol w:w="1142"/>
        <w:gridCol w:w="1142"/>
        <w:gridCol w:w="1142"/>
        <w:gridCol w:w="1142"/>
      </w:tblGrid>
      <w:tr>
        <w:trPr>
          <w:tblHeader w:val="true"/>
          <w:cantSplit/>
        </w:trPr>
        <w:tc>
          <w:tcPr>
            <w:tcW w:type="dxa" w:w="1440"/>
            <w:vAlign w:val="center"/>
            <w:shd w:fill="17324D"/>
          </w:tcPr>
          <w:p>
            <w:pPr>
              <w:spacing w:after="0"/>
            </w:pPr>
            <w:r/>
            <w:r>
              <w:rPr>
                <w:rFonts w:ascii="Aptos" w:hAnsi="Aptos"/>
                <w:b/>
                <w:color w:val="FFFFFF"/>
                <w:sz w:val="15"/>
              </w:rPr>
              <w:t>Evidence ID</w:t>
            </w:r>
          </w:p>
        </w:tc>
        <w:tc>
          <w:tcPr>
            <w:tcW w:type="dxa" w:w="1296"/>
            <w:vAlign w:val="center"/>
            <w:shd w:fill="17324D"/>
          </w:tcPr>
          <w:p>
            <w:pPr>
              <w:spacing w:after="0"/>
            </w:pPr>
            <w:r/>
            <w:r>
              <w:rPr>
                <w:rFonts w:ascii="Aptos" w:hAnsi="Aptos"/>
                <w:b/>
                <w:color w:val="FFFFFF"/>
                <w:sz w:val="15"/>
              </w:rPr>
              <w:t>Control ID</w:t>
            </w:r>
          </w:p>
        </w:tc>
        <w:tc>
          <w:tcPr>
            <w:tcW w:type="dxa" w:w="1296"/>
            <w:vAlign w:val="center"/>
            <w:shd w:fill="17324D"/>
          </w:tcPr>
          <w:p>
            <w:pPr>
              <w:spacing w:after="0"/>
            </w:pPr>
            <w:r/>
            <w:r>
              <w:rPr>
                <w:rFonts w:ascii="Aptos" w:hAnsi="Aptos"/>
                <w:b/>
                <w:color w:val="FFFFFF"/>
                <w:sz w:val="15"/>
              </w:rPr>
              <w:t>System</w:t>
            </w:r>
          </w:p>
        </w:tc>
        <w:tc>
          <w:tcPr>
            <w:tcW w:type="dxa" w:w="1152"/>
            <w:vAlign w:val="center"/>
            <w:shd w:fill="17324D"/>
          </w:tcPr>
          <w:p>
            <w:pPr>
              <w:spacing w:after="0"/>
            </w:pPr>
            <w:r/>
            <w:r>
              <w:rPr>
                <w:rFonts w:ascii="Aptos" w:hAnsi="Aptos"/>
                <w:b/>
                <w:color w:val="FFFFFF"/>
                <w:sz w:val="15"/>
              </w:rPr>
              <w:t>Type</w:t>
            </w:r>
          </w:p>
        </w:tc>
        <w:tc>
          <w:tcPr>
            <w:tcW w:type="dxa" w:w="1296"/>
            <w:vAlign w:val="center"/>
            <w:shd w:fill="17324D"/>
          </w:tcPr>
          <w:p>
            <w:pPr>
              <w:spacing w:after="0"/>
            </w:pPr>
            <w:r/>
            <w:r>
              <w:rPr>
                <w:rFonts w:ascii="Aptos" w:hAnsi="Aptos"/>
                <w:b/>
                <w:color w:val="FFFFFF"/>
                <w:sz w:val="15"/>
              </w:rPr>
              <w:t>Period</w:t>
            </w:r>
          </w:p>
        </w:tc>
        <w:tc>
          <w:tcPr>
            <w:tcW w:type="dxa" w:w="1296"/>
            <w:vAlign w:val="center"/>
            <w:shd w:fill="17324D"/>
          </w:tcPr>
          <w:p>
            <w:pPr>
              <w:spacing w:after="0"/>
            </w:pPr>
            <w:r/>
            <w:r>
              <w:rPr>
                <w:rFonts w:ascii="Aptos" w:hAnsi="Aptos"/>
                <w:b/>
                <w:color w:val="FFFFFF"/>
                <w:sz w:val="15"/>
              </w:rPr>
              <w:t>Owner</w:t>
            </w:r>
          </w:p>
        </w:tc>
        <w:tc>
          <w:tcPr>
            <w:tcW w:type="dxa" w:w="1296"/>
            <w:vAlign w:val="center"/>
            <w:shd w:fill="17324D"/>
          </w:tcPr>
          <w:p>
            <w:pPr>
              <w:spacing w:after="0"/>
            </w:pPr>
            <w:r/>
            <w:r>
              <w:rPr>
                <w:rFonts w:ascii="Aptos" w:hAnsi="Aptos"/>
                <w:b/>
                <w:color w:val="FFFFFF"/>
                <w:sz w:val="15"/>
              </w:rPr>
              <w:t>Integrity</w:t>
            </w:r>
          </w:p>
        </w:tc>
        <w:tc>
          <w:tcPr>
            <w:tcW w:type="dxa" w:w="1440"/>
            <w:vAlign w:val="center"/>
            <w:shd w:fill="17324D"/>
          </w:tcPr>
          <w:p>
            <w:pPr>
              <w:spacing w:after="0"/>
            </w:pPr>
            <w:r/>
            <w:r>
              <w:rPr>
                <w:rFonts w:ascii="Aptos" w:hAnsi="Aptos"/>
                <w:b/>
                <w:color w:val="FFFFFF"/>
                <w:sz w:val="15"/>
              </w:rPr>
              <w:t>Location</w:t>
            </w:r>
          </w:p>
        </w:tc>
        <w:tc>
          <w:tcPr>
            <w:tcW w:type="dxa" w:w="1152"/>
            <w:vAlign w:val="center"/>
            <w:shd w:fill="17324D"/>
          </w:tcPr>
          <w:p>
            <w:pPr>
              <w:spacing w:after="0"/>
            </w:pPr>
            <w:r/>
            <w:r>
              <w:rPr>
                <w:rFonts w:ascii="Aptos" w:hAnsi="Aptos"/>
                <w:b/>
                <w:color w:val="FFFFFF"/>
                <w:sz w:val="15"/>
              </w:rPr>
              <w:t>Status</w:t>
            </w:r>
          </w:p>
        </w:tc>
      </w:tr>
      <w:tr>
        <w:trPr>
          <w:cantSplit/>
        </w:trPr>
        <w:tc>
          <w:tcPr>
            <w:tcW w:type="dxa" w:w="1440"/>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r>
        <w:trPr>
          <w:cantSplit/>
        </w:trPr>
        <w:tc>
          <w:tcPr>
            <w:tcW w:type="dxa" w:w="1440"/>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r>
      <w:tr>
        <w:trPr>
          <w:cantSplit/>
        </w:trPr>
        <w:tc>
          <w:tcPr>
            <w:tcW w:type="dxa" w:w="1440"/>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r>
    </w:tbl>
    <w:p/>
    <w:p>
      <w:pPr>
        <w:pStyle w:val="Heading1"/>
      </w:pPr>
      <w:r>
        <w:t>Annex C — Workflow-to-Control Traceability Template</w:t>
      </w:r>
    </w:p>
    <w:tbl>
      <w:tblPr>
        <w:tblStyle w:val="TableGrid"/>
        <w:tblW w:type="auto" w:w="0"/>
        <w:jc w:val="center"/>
        <w:tblLook w:firstColumn="1" w:firstRow="1" w:lastColumn="0" w:lastRow="0" w:noHBand="0" w:noVBand="1" w:val="04A0"/>
      </w:tblPr>
      <w:tblGrid>
        <w:gridCol w:w="1714"/>
        <w:gridCol w:w="1714"/>
        <w:gridCol w:w="1714"/>
        <w:gridCol w:w="1714"/>
        <w:gridCol w:w="1714"/>
        <w:gridCol w:w="1714"/>
      </w:tblGrid>
      <w:tr>
        <w:trPr>
          <w:tblHeader w:val="true"/>
          <w:cantSplit/>
        </w:trPr>
        <w:tc>
          <w:tcPr>
            <w:tcW w:type="dxa" w:w="1584"/>
            <w:vAlign w:val="center"/>
            <w:shd w:fill="17324D"/>
          </w:tcPr>
          <w:p>
            <w:pPr>
              <w:spacing w:after="0"/>
            </w:pPr>
            <w:r/>
            <w:r>
              <w:rPr>
                <w:rFonts w:ascii="Aptos" w:hAnsi="Aptos"/>
                <w:b/>
                <w:color w:val="FFFFFF"/>
                <w:sz w:val="15"/>
              </w:rPr>
              <w:t>Workflow stage</w:t>
            </w:r>
          </w:p>
        </w:tc>
        <w:tc>
          <w:tcPr>
            <w:tcW w:type="dxa" w:w="2160"/>
            <w:vAlign w:val="center"/>
            <w:shd w:fill="17324D"/>
          </w:tcPr>
          <w:p>
            <w:pPr>
              <w:spacing w:after="0"/>
            </w:pPr>
            <w:r/>
            <w:r>
              <w:rPr>
                <w:rFonts w:ascii="Aptos" w:hAnsi="Aptos"/>
                <w:b/>
                <w:color w:val="FFFFFF"/>
                <w:sz w:val="15"/>
              </w:rPr>
              <w:t>Activity</w:t>
            </w:r>
          </w:p>
        </w:tc>
        <w:tc>
          <w:tcPr>
            <w:tcW w:type="dxa" w:w="1728"/>
            <w:vAlign w:val="center"/>
            <w:shd w:fill="17324D"/>
          </w:tcPr>
          <w:p>
            <w:pPr>
              <w:spacing w:after="0"/>
            </w:pPr>
            <w:r/>
            <w:r>
              <w:rPr>
                <w:rFonts w:ascii="Aptos" w:hAnsi="Aptos"/>
                <w:b/>
                <w:color w:val="FFFFFF"/>
                <w:sz w:val="15"/>
              </w:rPr>
              <w:t>Control IDs</w:t>
            </w:r>
          </w:p>
        </w:tc>
        <w:tc>
          <w:tcPr>
            <w:tcW w:type="dxa" w:w="1584"/>
            <w:vAlign w:val="center"/>
            <w:shd w:fill="17324D"/>
          </w:tcPr>
          <w:p>
            <w:pPr>
              <w:spacing w:after="0"/>
            </w:pPr>
            <w:r/>
            <w:r>
              <w:rPr>
                <w:rFonts w:ascii="Aptos" w:hAnsi="Aptos"/>
                <w:b/>
                <w:color w:val="FFFFFF"/>
                <w:sz w:val="15"/>
              </w:rPr>
              <w:t>System owner</w:t>
            </w:r>
          </w:p>
        </w:tc>
        <w:tc>
          <w:tcPr>
            <w:tcW w:type="dxa" w:w="1872"/>
            <w:vAlign w:val="center"/>
            <w:shd w:fill="17324D"/>
          </w:tcPr>
          <w:p>
            <w:pPr>
              <w:spacing w:after="0"/>
            </w:pPr>
            <w:r/>
            <w:r>
              <w:rPr>
                <w:rFonts w:ascii="Aptos" w:hAnsi="Aptos"/>
                <w:b/>
                <w:color w:val="FFFFFF"/>
                <w:sz w:val="15"/>
              </w:rPr>
              <w:t>Evidence</w:t>
            </w:r>
          </w:p>
        </w:tc>
        <w:tc>
          <w:tcPr>
            <w:tcW w:type="dxa" w:w="2016"/>
            <w:vAlign w:val="center"/>
            <w:shd w:fill="17324D"/>
          </w:tcPr>
          <w:p>
            <w:pPr>
              <w:spacing w:after="0"/>
            </w:pPr>
            <w:r/>
            <w:r>
              <w:rPr>
                <w:rFonts w:ascii="Aptos" w:hAnsi="Aptos"/>
                <w:b/>
                <w:color w:val="FFFFFF"/>
                <w:sz w:val="15"/>
              </w:rPr>
              <w:t>Failure treatment</w:t>
            </w:r>
          </w:p>
        </w:tc>
      </w:tr>
      <w:tr>
        <w:trPr>
          <w:cantSplit/>
        </w:trPr>
        <w:tc>
          <w:tcPr>
            <w:tcW w:type="dxa" w:w="1584"/>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584"/>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r>
      <w:tr>
        <w:trPr>
          <w:cantSplit/>
        </w:trPr>
        <w:tc>
          <w:tcPr>
            <w:tcW w:type="dxa" w:w="1584"/>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c>
          <w:tcPr>
            <w:tcW w:type="dxa" w:w="1584"/>
            <w:vAlign w:val="center"/>
            <w:shd w:fill="F3F6F7"/>
          </w:tcPr>
          <w:p>
            <w:pPr>
              <w:spacing w:after="0"/>
            </w:pPr>
            <w:r/>
            <w:r>
              <w:rPr>
                <w:rFonts w:ascii="Aptos" w:hAnsi="Aptos"/>
                <w:b w:val="0"/>
                <w:sz w:val="15"/>
              </w:rPr>
            </w:r>
          </w:p>
        </w:tc>
        <w:tc>
          <w:tcPr>
            <w:tcW w:type="dxa" w:w="1872"/>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r>
      <w:tr>
        <w:trPr>
          <w:cantSplit/>
        </w:trPr>
        <w:tc>
          <w:tcPr>
            <w:tcW w:type="dxa" w:w="1584"/>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584"/>
            <w:vAlign w:val="center"/>
          </w:tcPr>
          <w:p>
            <w:pPr>
              <w:spacing w:after="0"/>
            </w:pPr>
            <w:r/>
            <w:r>
              <w:rPr>
                <w:rFonts w:ascii="Aptos" w:hAnsi="Aptos"/>
                <w:b w:val="0"/>
                <w:sz w:val="15"/>
              </w:rPr>
            </w:r>
          </w:p>
        </w:tc>
        <w:tc>
          <w:tcPr>
            <w:tcW w:type="dxa" w:w="1872"/>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r>
    </w:tbl>
    <w:p/>
    <w:p>
      <w:pPr>
        <w:pStyle w:val="Heading1"/>
      </w:pPr>
      <w:r>
        <w:t>Annex D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032"/>
            <w:vAlign w:val="center"/>
            <w:shd w:fill="17324D"/>
          </w:tcPr>
          <w:p>
            <w:pPr>
              <w:spacing w:after="0"/>
            </w:pPr>
            <w:r/>
            <w:r>
              <w:rPr>
                <w:rFonts w:ascii="Aptos" w:hAnsi="Aptos"/>
                <w:b/>
                <w:color w:val="FFFFFF"/>
                <w:sz w:val="15"/>
              </w:rPr>
              <w:t>Handbook subject</w:t>
            </w:r>
          </w:p>
        </w:tc>
        <w:tc>
          <w:tcPr>
            <w:tcW w:type="dxa" w:w="5328"/>
            <w:vAlign w:val="center"/>
            <w:shd w:fill="17324D"/>
          </w:tcPr>
          <w:p>
            <w:pPr>
              <w:spacing w:after="0"/>
            </w:pPr>
            <w:r/>
            <w:r>
              <w:rPr>
                <w:rFonts w:ascii="Aptos" w:hAnsi="Aptos"/>
                <w:b/>
                <w:color w:val="FFFFFF"/>
                <w:sz w:val="15"/>
              </w:rPr>
              <w:t>Controlled source</w:t>
            </w:r>
          </w:p>
        </w:tc>
      </w:tr>
      <w:tr>
        <w:trPr>
          <w:cantSplit/>
        </w:trPr>
        <w:tc>
          <w:tcPr>
            <w:tcW w:type="dxa" w:w="4032"/>
            <w:vAlign w:val="center"/>
          </w:tcPr>
          <w:p>
            <w:pPr>
              <w:spacing w:after="0"/>
            </w:pPr>
            <w:r/>
            <w:r>
              <w:rPr>
                <w:rFonts w:ascii="Aptos" w:hAnsi="Aptos"/>
                <w:b w:val="0"/>
                <w:sz w:val="15"/>
              </w:rPr>
              <w:t>Normative requirements</w:t>
            </w:r>
          </w:p>
        </w:tc>
        <w:tc>
          <w:tcPr>
            <w:tcW w:type="dxa" w:w="5328"/>
            <w:vAlign w:val="center"/>
          </w:tcPr>
          <w:p>
            <w:pPr>
              <w:spacing w:after="0"/>
            </w:pPr>
            <w:r/>
            <w:r>
              <w:rPr>
                <w:rFonts w:ascii="Aptos" w:hAnsi="Aptos"/>
                <w:b w:val="0"/>
                <w:sz w:val="15"/>
              </w:rPr>
              <w:t>GAISSF-NOR-001</w:t>
            </w:r>
          </w:p>
        </w:tc>
      </w:tr>
      <w:tr>
        <w:trPr>
          <w:cantSplit/>
        </w:trPr>
        <w:tc>
          <w:tcPr>
            <w:tcW w:type="dxa" w:w="4032"/>
            <w:vAlign w:val="center"/>
            <w:shd w:fill="F3F6F7"/>
          </w:tcPr>
          <w:p>
            <w:pPr>
              <w:spacing w:after="0"/>
            </w:pPr>
            <w:r/>
            <w:r>
              <w:rPr>
                <w:rFonts w:ascii="Aptos" w:hAnsi="Aptos"/>
                <w:b w:val="0"/>
                <w:sz w:val="15"/>
              </w:rPr>
              <w:t>Control records</w:t>
            </w:r>
          </w:p>
        </w:tc>
        <w:tc>
          <w:tcPr>
            <w:tcW w:type="dxa" w:w="5328"/>
            <w:vAlign w:val="center"/>
            <w:shd w:fill="F3F6F7"/>
          </w:tcPr>
          <w:p>
            <w:pPr>
              <w:spacing w:after="0"/>
            </w:pPr>
            <w:r/>
            <w:r>
              <w:rPr>
                <w:rFonts w:ascii="Aptos" w:hAnsi="Aptos"/>
                <w:b w:val="0"/>
                <w:sz w:val="15"/>
              </w:rPr>
              <w:t>GAISSF-NOR-004</w:t>
            </w:r>
          </w:p>
        </w:tc>
      </w:tr>
      <w:tr>
        <w:trPr>
          <w:cantSplit/>
        </w:trPr>
        <w:tc>
          <w:tcPr>
            <w:tcW w:type="dxa" w:w="4032"/>
            <w:vAlign w:val="center"/>
          </w:tcPr>
          <w:p>
            <w:pPr>
              <w:spacing w:after="0"/>
            </w:pPr>
            <w:r/>
            <w:r>
              <w:rPr>
                <w:rFonts w:ascii="Aptos" w:hAnsi="Aptos"/>
                <w:b w:val="0"/>
                <w:sz w:val="15"/>
              </w:rPr>
              <w:t>Terminology</w:t>
            </w:r>
          </w:p>
        </w:tc>
        <w:tc>
          <w:tcPr>
            <w:tcW w:type="dxa" w:w="5328"/>
            <w:vAlign w:val="center"/>
          </w:tcPr>
          <w:p>
            <w:pPr>
              <w:spacing w:after="0"/>
            </w:pPr>
            <w:r/>
            <w:r>
              <w:rPr>
                <w:rFonts w:ascii="Aptos" w:hAnsi="Aptos"/>
                <w:b w:val="0"/>
                <w:sz w:val="15"/>
              </w:rPr>
              <w:t>GAISSF-NOR-005</w:t>
            </w:r>
          </w:p>
        </w:tc>
      </w:tr>
      <w:tr>
        <w:trPr>
          <w:cantSplit/>
        </w:trPr>
        <w:tc>
          <w:tcPr>
            <w:tcW w:type="dxa" w:w="4032"/>
            <w:vAlign w:val="center"/>
            <w:shd w:fill="F3F6F7"/>
          </w:tcPr>
          <w:p>
            <w:pPr>
              <w:spacing w:after="0"/>
            </w:pPr>
            <w:r/>
            <w:r>
              <w:rPr>
                <w:rFonts w:ascii="Aptos" w:hAnsi="Aptos"/>
                <w:b w:val="0"/>
                <w:sz w:val="15"/>
              </w:rPr>
              <w:t>References</w:t>
            </w:r>
          </w:p>
        </w:tc>
        <w:tc>
          <w:tcPr>
            <w:tcW w:type="dxa" w:w="5328"/>
            <w:vAlign w:val="center"/>
            <w:shd w:fill="F3F6F7"/>
          </w:tcPr>
          <w:p>
            <w:pPr>
              <w:spacing w:after="0"/>
            </w:pPr>
            <w:r/>
            <w:r>
              <w:rPr>
                <w:rFonts w:ascii="Aptos" w:hAnsi="Aptos"/>
                <w:b w:val="0"/>
                <w:sz w:val="15"/>
              </w:rPr>
              <w:t>GAISSF-NOR-006</w:t>
            </w:r>
          </w:p>
        </w:tc>
      </w:tr>
      <w:tr>
        <w:trPr>
          <w:cantSplit/>
        </w:trPr>
        <w:tc>
          <w:tcPr>
            <w:tcW w:type="dxa" w:w="4032"/>
            <w:vAlign w:val="center"/>
          </w:tcPr>
          <w:p>
            <w:pPr>
              <w:spacing w:after="0"/>
            </w:pPr>
            <w:r/>
            <w:r>
              <w:rPr>
                <w:rFonts w:ascii="Aptos" w:hAnsi="Aptos"/>
                <w:b w:val="0"/>
                <w:sz w:val="15"/>
              </w:rPr>
              <w:t>Release status</w:t>
            </w:r>
          </w:p>
        </w:tc>
        <w:tc>
          <w:tcPr>
            <w:tcW w:type="dxa" w:w="5328"/>
            <w:vAlign w:val="center"/>
          </w:tcPr>
          <w:p>
            <w:pPr>
              <w:spacing w:after="0"/>
            </w:pPr>
            <w:r/>
            <w:r>
              <w:rPr>
                <w:rFonts w:ascii="Aptos" w:hAnsi="Aptos"/>
                <w:b w:val="0"/>
                <w:sz w:val="15"/>
              </w:rPr>
              <w:t>GAISSF-NOR-007</w:t>
            </w:r>
          </w:p>
        </w:tc>
      </w:tr>
      <w:tr>
        <w:trPr>
          <w:cantSplit/>
        </w:trPr>
        <w:tc>
          <w:tcPr>
            <w:tcW w:type="dxa" w:w="4032"/>
            <w:vAlign w:val="center"/>
            <w:shd w:fill="F3F6F7"/>
          </w:tcPr>
          <w:p>
            <w:pPr>
              <w:spacing w:after="0"/>
            </w:pPr>
            <w:r/>
            <w:r>
              <w:rPr>
                <w:rFonts w:ascii="Aptos" w:hAnsi="Aptos"/>
                <w:b w:val="0"/>
                <w:sz w:val="15"/>
              </w:rPr>
              <w:t>Historical decisions</w:t>
            </w:r>
          </w:p>
        </w:tc>
        <w:tc>
          <w:tcPr>
            <w:tcW w:type="dxa" w:w="5328"/>
            <w:vAlign w:val="center"/>
            <w:shd w:fill="F3F6F7"/>
          </w:tcPr>
          <w:p>
            <w:pPr>
              <w:spacing w:after="0"/>
            </w:pPr>
            <w:r/>
            <w:r>
              <w:rPr>
                <w:rFonts w:ascii="Aptos" w:hAnsi="Aptos"/>
                <w:b w:val="0"/>
                <w:sz w:val="15"/>
              </w:rPr>
              <w:t>GAISSF-NOR-008</w:t>
            </w:r>
          </w:p>
        </w:tc>
      </w:tr>
      <w:tr>
        <w:trPr>
          <w:cantSplit/>
        </w:trPr>
        <w:tc>
          <w:tcPr>
            <w:tcW w:type="dxa" w:w="4032"/>
            <w:vAlign w:val="center"/>
          </w:tcPr>
          <w:p>
            <w:pPr>
              <w:spacing w:after="0"/>
            </w:pPr>
            <w:r/>
            <w:r>
              <w:rPr>
                <w:rFonts w:ascii="Aptos" w:hAnsi="Aptos"/>
                <w:b w:val="0"/>
                <w:sz w:val="15"/>
              </w:rPr>
              <w:t>Adoption program</w:t>
            </w:r>
          </w:p>
        </w:tc>
        <w:tc>
          <w:tcPr>
            <w:tcW w:type="dxa" w:w="5328"/>
            <w:vAlign w:val="center"/>
          </w:tcPr>
          <w:p>
            <w:pPr>
              <w:spacing w:after="0"/>
            </w:pPr>
            <w:r/>
            <w:r>
              <w:rPr>
                <w:rFonts w:ascii="Aptos" w:hAnsi="Aptos"/>
                <w:b w:val="0"/>
                <w:sz w:val="15"/>
              </w:rPr>
              <w:t>GAISSF-IMP-009</w:t>
            </w:r>
          </w:p>
        </w:tc>
      </w:tr>
    </w:tbl>
    <w:p/>
    <w:p>
      <w:pPr>
        <w:pStyle w:val="Heading1"/>
      </w:pPr>
      <w:r>
        <w:t>Annex E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implementation handbook for GAISSF v1.0</w:t>
            </w:r>
          </w:p>
        </w:tc>
        <w:tc>
          <w:tcPr>
            <w:tcW w:type="dxa" w:w="1584"/>
            <w:vAlign w:val="center"/>
          </w:tcPr>
          <w:p>
            <w:r>
              <w:t>Final Publication Edition</w:t>
            </w:r>
          </w:p>
        </w:tc>
      </w:tr>
    </w:tbl>
    <w:p/>
    <w:p>
      <w:pPr>
        <w:pStyle w:val="Heading1"/>
      </w:pPr>
      <w:r>
        <w:t>Controlled Profile Reconciliation Notice</w:t>
      </w:r>
    </w:p>
    <w:p>
      <w:r>
        <w:t>The Foundational profile comprises 52 controls across all nine domains, as enumerated in the controlled conformance profile. Seven controls are excluded from that profile; the exclusions are not equivalent to excluding the D9 domain.</w:t>
      </w:r>
    </w:p>
    <w:p>
      <w:r>
        <w:t>Any earlier wording that described the Foundational profile as D1-D8 only or treated the entire D9 domain as excluded is superseded by this statement and the controlled conformance profile.</w:t>
      </w:r>
    </w:p>
    <w:p>
      <w:pPr>
        <w:pStyle w:val="Heading1"/>
      </w:pPr>
      <w:r>
        <w:t>Control-by-Control Operationalization Method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Design step</w:t>
            </w:r>
          </w:p>
        </w:tc>
        <w:tc>
          <w:tcPr>
            <w:tcW w:type="dxa" w:w="5141"/>
            <w:vAlign w:val="center"/>
            <w:shd w:fill="17324D"/>
          </w:tcPr>
          <w:p>
            <w:pPr>
              <w:spacing w:after="0"/>
            </w:pPr>
            <w:r/>
            <w:r>
              <w:rPr>
                <w:rFonts w:ascii="Aptos" w:hAnsi="Aptos"/>
                <w:b/>
                <w:color w:val="FFFFFF"/>
                <w:sz w:val="15"/>
              </w:rPr>
              <w:t>Practitioner action</w:t>
            </w:r>
          </w:p>
        </w:tc>
      </w:tr>
      <w:tr>
        <w:trPr>
          <w:cantSplit/>
        </w:trPr>
        <w:tc>
          <w:tcPr>
            <w:tcW w:type="dxa" w:w="5141"/>
            <w:vAlign w:val="center"/>
            <w:shd w:fill="FFFFFF"/>
          </w:tcPr>
          <w:p>
            <w:pPr>
              <w:spacing w:after="0"/>
            </w:pPr>
            <w:r/>
            <w:r>
              <w:rPr>
                <w:rFonts w:ascii="Aptos" w:hAnsi="Aptos"/>
                <w:b w:val="0"/>
                <w:sz w:val="15"/>
              </w:rPr>
              <w:t>Purpose and risk outcome</w:t>
            </w:r>
          </w:p>
        </w:tc>
        <w:tc>
          <w:tcPr>
            <w:tcW w:type="dxa" w:w="5141"/>
            <w:vAlign w:val="center"/>
            <w:shd w:fill="FFFFFF"/>
          </w:tcPr>
          <w:p>
            <w:pPr>
              <w:spacing w:after="0"/>
            </w:pPr>
            <w:r/>
            <w:r>
              <w:rPr>
                <w:rFonts w:ascii="Aptos" w:hAnsi="Aptos"/>
                <w:b w:val="0"/>
                <w:sz w:val="15"/>
              </w:rPr>
              <w:t>State the adverse condition the control is intended to prevent, detect, contain or recover from.</w:t>
            </w:r>
          </w:p>
        </w:tc>
      </w:tr>
      <w:tr>
        <w:trPr>
          <w:cantSplit/>
        </w:trPr>
        <w:tc>
          <w:tcPr>
            <w:tcW w:type="dxa" w:w="5141"/>
            <w:vAlign w:val="center"/>
            <w:shd w:fill="F3F6F7"/>
          </w:tcPr>
          <w:p>
            <w:pPr>
              <w:spacing w:after="0"/>
            </w:pPr>
            <w:r/>
            <w:r>
              <w:rPr>
                <w:rFonts w:ascii="Aptos" w:hAnsi="Aptos"/>
                <w:b w:val="0"/>
                <w:sz w:val="15"/>
              </w:rPr>
              <w:t>Scope and applicability</w:t>
            </w:r>
          </w:p>
        </w:tc>
        <w:tc>
          <w:tcPr>
            <w:tcW w:type="dxa" w:w="5141"/>
            <w:vAlign w:val="center"/>
            <w:shd w:fill="F3F6F7"/>
          </w:tcPr>
          <w:p>
            <w:pPr>
              <w:spacing w:after="0"/>
            </w:pPr>
            <w:r/>
            <w:r>
              <w:rPr>
                <w:rFonts w:ascii="Aptos" w:hAnsi="Aptos"/>
                <w:b w:val="0"/>
                <w:sz w:val="15"/>
              </w:rPr>
              <w:t>Identify systems, models, data, users, agents, suppliers, environments and lifecycle stages.</w:t>
            </w:r>
          </w:p>
        </w:tc>
      </w:tr>
      <w:tr>
        <w:trPr>
          <w:cantSplit/>
        </w:trPr>
        <w:tc>
          <w:tcPr>
            <w:tcW w:type="dxa" w:w="5141"/>
            <w:vAlign w:val="center"/>
            <w:shd w:fill="FFFFFF"/>
          </w:tcPr>
          <w:p>
            <w:pPr>
              <w:spacing w:after="0"/>
            </w:pPr>
            <w:r/>
            <w:r>
              <w:rPr>
                <w:rFonts w:ascii="Aptos" w:hAnsi="Aptos"/>
                <w:b w:val="0"/>
                <w:sz w:val="15"/>
              </w:rPr>
              <w:t>Control design</w:t>
            </w:r>
          </w:p>
        </w:tc>
        <w:tc>
          <w:tcPr>
            <w:tcW w:type="dxa" w:w="5141"/>
            <w:vAlign w:val="center"/>
            <w:shd w:fill="FFFFFF"/>
          </w:tcPr>
          <w:p>
            <w:pPr>
              <w:spacing w:after="0"/>
            </w:pPr>
            <w:r/>
            <w:r>
              <w:rPr>
                <w:rFonts w:ascii="Aptos" w:hAnsi="Aptos"/>
                <w:b w:val="0"/>
                <w:sz w:val="15"/>
              </w:rPr>
              <w:t>Document preventive, detective, corrective and compensating mechanisms.</w:t>
            </w:r>
          </w:p>
        </w:tc>
      </w:tr>
      <w:tr>
        <w:trPr>
          <w:cantSplit/>
        </w:trPr>
        <w:tc>
          <w:tcPr>
            <w:tcW w:type="dxa" w:w="5141"/>
            <w:vAlign w:val="center"/>
            <w:shd w:fill="F3F6F7"/>
          </w:tcPr>
          <w:p>
            <w:pPr>
              <w:spacing w:after="0"/>
            </w:pPr>
            <w:r/>
            <w:r>
              <w:rPr>
                <w:rFonts w:ascii="Aptos" w:hAnsi="Aptos"/>
                <w:b w:val="0"/>
                <w:sz w:val="15"/>
              </w:rPr>
              <w:t>Operating procedure</w:t>
            </w:r>
          </w:p>
        </w:tc>
        <w:tc>
          <w:tcPr>
            <w:tcW w:type="dxa" w:w="5141"/>
            <w:vAlign w:val="center"/>
            <w:shd w:fill="F3F6F7"/>
          </w:tcPr>
          <w:p>
            <w:pPr>
              <w:spacing w:after="0"/>
            </w:pPr>
            <w:r/>
            <w:r>
              <w:rPr>
                <w:rFonts w:ascii="Aptos" w:hAnsi="Aptos"/>
                <w:b w:val="0"/>
                <w:sz w:val="15"/>
              </w:rPr>
              <w:t>Define trigger, inputs, sequence, decisions, outputs, responsible operator and escalation.</w:t>
            </w:r>
          </w:p>
        </w:tc>
      </w:tr>
      <w:tr>
        <w:trPr>
          <w:cantSplit/>
        </w:trPr>
        <w:tc>
          <w:tcPr>
            <w:tcW w:type="dxa" w:w="5141"/>
            <w:vAlign w:val="center"/>
            <w:shd w:fill="FFFFFF"/>
          </w:tcPr>
          <w:p>
            <w:pPr>
              <w:spacing w:after="0"/>
            </w:pPr>
            <w:r/>
            <w:r>
              <w:rPr>
                <w:rFonts w:ascii="Aptos" w:hAnsi="Aptos"/>
                <w:b w:val="0"/>
                <w:sz w:val="15"/>
              </w:rPr>
              <w:t>Evidence</w:t>
            </w:r>
          </w:p>
        </w:tc>
        <w:tc>
          <w:tcPr>
            <w:tcW w:type="dxa" w:w="5141"/>
            <w:vAlign w:val="center"/>
            <w:shd w:fill="FFFFFF"/>
          </w:tcPr>
          <w:p>
            <w:pPr>
              <w:spacing w:after="0"/>
            </w:pPr>
            <w:r/>
            <w:r>
              <w:rPr>
                <w:rFonts w:ascii="Aptos" w:hAnsi="Aptos"/>
                <w:b w:val="0"/>
                <w:sz w:val="15"/>
              </w:rPr>
              <w:t>Specify design, implementation, operating and effectiveness artifacts.</w:t>
            </w:r>
          </w:p>
        </w:tc>
      </w:tr>
      <w:tr>
        <w:trPr>
          <w:cantSplit/>
        </w:trPr>
        <w:tc>
          <w:tcPr>
            <w:tcW w:type="dxa" w:w="5141"/>
            <w:vAlign w:val="center"/>
            <w:shd w:fill="F3F6F7"/>
          </w:tcPr>
          <w:p>
            <w:pPr>
              <w:spacing w:after="0"/>
            </w:pPr>
            <w:r/>
            <w:r>
              <w:rPr>
                <w:rFonts w:ascii="Aptos" w:hAnsi="Aptos"/>
                <w:b w:val="0"/>
                <w:sz w:val="15"/>
              </w:rPr>
              <w:t>Monitoring</w:t>
            </w:r>
          </w:p>
        </w:tc>
        <w:tc>
          <w:tcPr>
            <w:tcW w:type="dxa" w:w="5141"/>
            <w:vAlign w:val="center"/>
            <w:shd w:fill="F3F6F7"/>
          </w:tcPr>
          <w:p>
            <w:pPr>
              <w:spacing w:after="0"/>
            </w:pPr>
            <w:r/>
            <w:r>
              <w:rPr>
                <w:rFonts w:ascii="Aptos" w:hAnsi="Aptos"/>
                <w:b w:val="0"/>
                <w:sz w:val="15"/>
              </w:rPr>
              <w:t>Define health signals, thresholds, alert ownership and review frequency.</w:t>
            </w:r>
          </w:p>
        </w:tc>
      </w:tr>
      <w:tr>
        <w:trPr>
          <w:cantSplit/>
        </w:trPr>
        <w:tc>
          <w:tcPr>
            <w:tcW w:type="dxa" w:w="5141"/>
            <w:vAlign w:val="center"/>
            <w:shd w:fill="FFFFFF"/>
          </w:tcPr>
          <w:p>
            <w:pPr>
              <w:spacing w:after="0"/>
            </w:pPr>
            <w:r/>
            <w:r>
              <w:rPr>
                <w:rFonts w:ascii="Aptos" w:hAnsi="Aptos"/>
                <w:b w:val="0"/>
                <w:sz w:val="15"/>
              </w:rPr>
              <w:t>Assurance</w:t>
            </w:r>
          </w:p>
        </w:tc>
        <w:tc>
          <w:tcPr>
            <w:tcW w:type="dxa" w:w="5141"/>
            <w:vAlign w:val="center"/>
            <w:shd w:fill="FFFFFF"/>
          </w:tcPr>
          <w:p>
            <w:pPr>
              <w:spacing w:after="0"/>
            </w:pPr>
            <w:r/>
            <w:r>
              <w:rPr>
                <w:rFonts w:ascii="Aptos" w:hAnsi="Aptos"/>
                <w:b w:val="0"/>
                <w:sz w:val="15"/>
              </w:rPr>
              <w:t>Define inspection, sampling, technical test, re-performance and independence expectations.</w:t>
            </w:r>
          </w:p>
        </w:tc>
      </w:tr>
      <w:tr>
        <w:trPr>
          <w:cantSplit/>
        </w:trPr>
        <w:tc>
          <w:tcPr>
            <w:tcW w:type="dxa" w:w="5141"/>
            <w:vAlign w:val="center"/>
            <w:shd w:fill="F3F6F7"/>
          </w:tcPr>
          <w:p>
            <w:pPr>
              <w:spacing w:after="0"/>
            </w:pPr>
            <w:r/>
            <w:r>
              <w:rPr>
                <w:rFonts w:ascii="Aptos" w:hAnsi="Aptos"/>
                <w:b w:val="0"/>
                <w:sz w:val="15"/>
              </w:rPr>
              <w:t>Failure response</w:t>
            </w:r>
          </w:p>
        </w:tc>
        <w:tc>
          <w:tcPr>
            <w:tcW w:type="dxa" w:w="5141"/>
            <w:vAlign w:val="center"/>
            <w:shd w:fill="F3F6F7"/>
          </w:tcPr>
          <w:p>
            <w:pPr>
              <w:spacing w:after="0"/>
            </w:pPr>
            <w:r/>
            <w:r>
              <w:rPr>
                <w:rFonts w:ascii="Aptos" w:hAnsi="Aptos"/>
                <w:b w:val="0"/>
                <w:sz w:val="15"/>
              </w:rPr>
              <w:t>Define containment, exception, incident, corrective action and retest.</w:t>
            </w:r>
          </w:p>
        </w:tc>
      </w:tr>
    </w:tbl>
    <w:p/>
    <w:p>
      <w:pPr>
        <w:pStyle w:val="Heading1"/>
      </w:pPr>
      <w:r>
        <w:t>Detailed Workflow Library</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2570"/>
            <w:vAlign w:val="center"/>
            <w:shd w:fill="17324D"/>
          </w:tcPr>
          <w:p>
            <w:pPr>
              <w:spacing w:after="0"/>
            </w:pPr>
            <w:r/>
            <w:r>
              <w:rPr>
                <w:rFonts w:ascii="Aptos" w:hAnsi="Aptos"/>
                <w:b/>
                <w:color w:val="FFFFFF"/>
                <w:sz w:val="15"/>
              </w:rPr>
              <w:t>Workflow</w:t>
            </w:r>
          </w:p>
        </w:tc>
        <w:tc>
          <w:tcPr>
            <w:tcW w:type="dxa" w:w="2570"/>
            <w:vAlign w:val="center"/>
            <w:shd w:fill="17324D"/>
          </w:tcPr>
          <w:p>
            <w:pPr>
              <w:spacing w:after="0"/>
            </w:pPr>
            <w:r/>
            <w:r>
              <w:rPr>
                <w:rFonts w:ascii="Aptos" w:hAnsi="Aptos"/>
                <w:b/>
                <w:color w:val="FFFFFF"/>
                <w:sz w:val="15"/>
              </w:rPr>
              <w:t>Trigger</w:t>
            </w:r>
          </w:p>
        </w:tc>
        <w:tc>
          <w:tcPr>
            <w:tcW w:type="dxa" w:w="2570"/>
            <w:vAlign w:val="center"/>
            <w:shd w:fill="17324D"/>
          </w:tcPr>
          <w:p>
            <w:pPr>
              <w:spacing w:after="0"/>
            </w:pPr>
            <w:r/>
            <w:r>
              <w:rPr>
                <w:rFonts w:ascii="Aptos" w:hAnsi="Aptos"/>
                <w:b/>
                <w:color w:val="FFFFFF"/>
                <w:sz w:val="15"/>
              </w:rPr>
              <w:t>Core steps</w:t>
            </w:r>
          </w:p>
        </w:tc>
        <w:tc>
          <w:tcPr>
            <w:tcW w:type="dxa" w:w="2570"/>
            <w:vAlign w:val="center"/>
            <w:shd w:fill="17324D"/>
          </w:tcPr>
          <w:p>
            <w:pPr>
              <w:spacing w:after="0"/>
            </w:pPr>
            <w:r/>
            <w:r>
              <w:rPr>
                <w:rFonts w:ascii="Aptos" w:hAnsi="Aptos"/>
                <w:b/>
                <w:color w:val="FFFFFF"/>
                <w:sz w:val="15"/>
              </w:rPr>
              <w:t>Evidence</w:t>
            </w:r>
          </w:p>
        </w:tc>
      </w:tr>
      <w:tr>
        <w:trPr>
          <w:cantSplit/>
        </w:trPr>
        <w:tc>
          <w:tcPr>
            <w:tcW w:type="dxa" w:w="2570"/>
            <w:vAlign w:val="center"/>
            <w:shd w:fill="FFFFFF"/>
          </w:tcPr>
          <w:p>
            <w:pPr>
              <w:spacing w:after="0"/>
            </w:pPr>
            <w:r/>
            <w:r>
              <w:rPr>
                <w:rFonts w:ascii="Aptos" w:hAnsi="Aptos"/>
                <w:b w:val="0"/>
                <w:sz w:val="15"/>
              </w:rPr>
              <w:t>AI intake</w:t>
            </w:r>
          </w:p>
        </w:tc>
        <w:tc>
          <w:tcPr>
            <w:tcW w:type="dxa" w:w="2570"/>
            <w:vAlign w:val="center"/>
            <w:shd w:fill="FFFFFF"/>
          </w:tcPr>
          <w:p>
            <w:pPr>
              <w:spacing w:after="0"/>
            </w:pPr>
            <w:r/>
            <w:r>
              <w:rPr>
                <w:rFonts w:ascii="Aptos" w:hAnsi="Aptos"/>
                <w:b w:val="0"/>
                <w:sz w:val="15"/>
              </w:rPr>
              <w:t>New use case or material change</w:t>
            </w:r>
          </w:p>
        </w:tc>
        <w:tc>
          <w:tcPr>
            <w:tcW w:type="dxa" w:w="2570"/>
            <w:vAlign w:val="center"/>
            <w:shd w:fill="FFFFFF"/>
          </w:tcPr>
          <w:p>
            <w:pPr>
              <w:spacing w:after="0"/>
            </w:pPr>
            <w:r/>
            <w:r>
              <w:rPr>
                <w:rFonts w:ascii="Aptos" w:hAnsi="Aptos"/>
                <w:b w:val="0"/>
                <w:sz w:val="15"/>
              </w:rPr>
              <w:t>Register, classify, scope, assess, approve</w:t>
            </w:r>
          </w:p>
        </w:tc>
        <w:tc>
          <w:tcPr>
            <w:tcW w:type="dxa" w:w="2570"/>
            <w:vAlign w:val="center"/>
            <w:shd w:fill="FFFFFF"/>
          </w:tcPr>
          <w:p>
            <w:pPr>
              <w:spacing w:after="0"/>
            </w:pPr>
            <w:r/>
            <w:r>
              <w:rPr>
                <w:rFonts w:ascii="Aptos" w:hAnsi="Aptos"/>
                <w:b w:val="0"/>
                <w:sz w:val="15"/>
              </w:rPr>
              <w:t>Intake, risk and approval record</w:t>
            </w:r>
          </w:p>
        </w:tc>
      </w:tr>
      <w:tr>
        <w:trPr>
          <w:cantSplit/>
        </w:trPr>
        <w:tc>
          <w:tcPr>
            <w:tcW w:type="dxa" w:w="2570"/>
            <w:vAlign w:val="center"/>
            <w:shd w:fill="F3F6F7"/>
          </w:tcPr>
          <w:p>
            <w:pPr>
              <w:spacing w:after="0"/>
            </w:pPr>
            <w:r/>
            <w:r>
              <w:rPr>
                <w:rFonts w:ascii="Aptos" w:hAnsi="Aptos"/>
                <w:b w:val="0"/>
                <w:sz w:val="15"/>
              </w:rPr>
              <w:t>Model onboarding</w:t>
            </w:r>
          </w:p>
        </w:tc>
        <w:tc>
          <w:tcPr>
            <w:tcW w:type="dxa" w:w="2570"/>
            <w:vAlign w:val="center"/>
            <w:shd w:fill="F3F6F7"/>
          </w:tcPr>
          <w:p>
            <w:pPr>
              <w:spacing w:after="0"/>
            </w:pPr>
            <w:r/>
            <w:r>
              <w:rPr>
                <w:rFonts w:ascii="Aptos" w:hAnsi="Aptos"/>
                <w:b w:val="0"/>
                <w:sz w:val="15"/>
              </w:rPr>
              <w:t>New or changed model</w:t>
            </w:r>
          </w:p>
        </w:tc>
        <w:tc>
          <w:tcPr>
            <w:tcW w:type="dxa" w:w="2570"/>
            <w:vAlign w:val="center"/>
            <w:shd w:fill="F3F6F7"/>
          </w:tcPr>
          <w:p>
            <w:pPr>
              <w:spacing w:after="0"/>
            </w:pPr>
            <w:r/>
            <w:r>
              <w:rPr>
                <w:rFonts w:ascii="Aptos" w:hAnsi="Aptos"/>
                <w:b w:val="0"/>
                <w:sz w:val="15"/>
              </w:rPr>
              <w:t>Provenance, licence, security, safety, evaluation, release</w:t>
            </w:r>
          </w:p>
        </w:tc>
        <w:tc>
          <w:tcPr>
            <w:tcW w:type="dxa" w:w="2570"/>
            <w:vAlign w:val="center"/>
            <w:shd w:fill="F3F6F7"/>
          </w:tcPr>
          <w:p>
            <w:pPr>
              <w:spacing w:after="0"/>
            </w:pPr>
            <w:r/>
            <w:r>
              <w:rPr>
                <w:rFonts w:ascii="Aptos" w:hAnsi="Aptos"/>
                <w:b w:val="0"/>
                <w:sz w:val="15"/>
              </w:rPr>
              <w:t>Model card, tests, signed release</w:t>
            </w:r>
          </w:p>
        </w:tc>
      </w:tr>
      <w:tr>
        <w:trPr>
          <w:cantSplit/>
        </w:trPr>
        <w:tc>
          <w:tcPr>
            <w:tcW w:type="dxa" w:w="2570"/>
            <w:vAlign w:val="center"/>
            <w:shd w:fill="FFFFFF"/>
          </w:tcPr>
          <w:p>
            <w:pPr>
              <w:spacing w:after="0"/>
            </w:pPr>
            <w:r/>
            <w:r>
              <w:rPr>
                <w:rFonts w:ascii="Aptos" w:hAnsi="Aptos"/>
                <w:b w:val="0"/>
                <w:sz w:val="15"/>
              </w:rPr>
              <w:t>Data onboarding</w:t>
            </w:r>
          </w:p>
        </w:tc>
        <w:tc>
          <w:tcPr>
            <w:tcW w:type="dxa" w:w="2570"/>
            <w:vAlign w:val="center"/>
            <w:shd w:fill="FFFFFF"/>
          </w:tcPr>
          <w:p>
            <w:pPr>
              <w:spacing w:after="0"/>
            </w:pPr>
            <w:r/>
            <w:r>
              <w:rPr>
                <w:rFonts w:ascii="Aptos" w:hAnsi="Aptos"/>
                <w:b w:val="0"/>
                <w:sz w:val="15"/>
              </w:rPr>
              <w:t>New data source</w:t>
            </w:r>
          </w:p>
        </w:tc>
        <w:tc>
          <w:tcPr>
            <w:tcW w:type="dxa" w:w="2570"/>
            <w:vAlign w:val="center"/>
            <w:shd w:fill="FFFFFF"/>
          </w:tcPr>
          <w:p>
            <w:pPr>
              <w:spacing w:after="0"/>
            </w:pPr>
            <w:r/>
            <w:r>
              <w:rPr>
                <w:rFonts w:ascii="Aptos" w:hAnsi="Aptos"/>
                <w:b w:val="0"/>
                <w:sz w:val="15"/>
              </w:rPr>
              <w:t>Purpose, rights, lineage, quality, privacy, poisoning checks</w:t>
            </w:r>
          </w:p>
        </w:tc>
        <w:tc>
          <w:tcPr>
            <w:tcW w:type="dxa" w:w="2570"/>
            <w:vAlign w:val="center"/>
            <w:shd w:fill="FFFFFF"/>
          </w:tcPr>
          <w:p>
            <w:pPr>
              <w:spacing w:after="0"/>
            </w:pPr>
            <w:r/>
            <w:r>
              <w:rPr>
                <w:rFonts w:ascii="Aptos" w:hAnsi="Aptos"/>
                <w:b w:val="0"/>
                <w:sz w:val="15"/>
              </w:rPr>
              <w:t>Data record and validation</w:t>
            </w:r>
          </w:p>
        </w:tc>
      </w:tr>
      <w:tr>
        <w:trPr>
          <w:cantSplit/>
        </w:trPr>
        <w:tc>
          <w:tcPr>
            <w:tcW w:type="dxa" w:w="2570"/>
            <w:vAlign w:val="center"/>
            <w:shd w:fill="F3F6F7"/>
          </w:tcPr>
          <w:p>
            <w:pPr>
              <w:spacing w:after="0"/>
            </w:pPr>
            <w:r/>
            <w:r>
              <w:rPr>
                <w:rFonts w:ascii="Aptos" w:hAnsi="Aptos"/>
                <w:b w:val="0"/>
                <w:sz w:val="15"/>
              </w:rPr>
              <w:t>Agent/tool approval</w:t>
            </w:r>
          </w:p>
        </w:tc>
        <w:tc>
          <w:tcPr>
            <w:tcW w:type="dxa" w:w="2570"/>
            <w:vAlign w:val="center"/>
            <w:shd w:fill="F3F6F7"/>
          </w:tcPr>
          <w:p>
            <w:pPr>
              <w:spacing w:after="0"/>
            </w:pPr>
            <w:r/>
            <w:r>
              <w:rPr>
                <w:rFonts w:ascii="Aptos" w:hAnsi="Aptos"/>
                <w:b w:val="0"/>
                <w:sz w:val="15"/>
              </w:rPr>
              <w:t>New capability</w:t>
            </w:r>
          </w:p>
        </w:tc>
        <w:tc>
          <w:tcPr>
            <w:tcW w:type="dxa" w:w="2570"/>
            <w:vAlign w:val="center"/>
            <w:shd w:fill="F3F6F7"/>
          </w:tcPr>
          <w:p>
            <w:pPr>
              <w:spacing w:after="0"/>
            </w:pPr>
            <w:r/>
            <w:r>
              <w:rPr>
                <w:rFonts w:ascii="Aptos" w:hAnsi="Aptos"/>
                <w:b w:val="0"/>
                <w:sz w:val="15"/>
              </w:rPr>
              <w:t>Identity, permissions, transactions, sandbox, rollback</w:t>
            </w:r>
          </w:p>
        </w:tc>
        <w:tc>
          <w:tcPr>
            <w:tcW w:type="dxa" w:w="2570"/>
            <w:vAlign w:val="center"/>
            <w:shd w:fill="F3F6F7"/>
          </w:tcPr>
          <w:p>
            <w:pPr>
              <w:spacing w:after="0"/>
            </w:pPr>
            <w:r/>
            <w:r>
              <w:rPr>
                <w:rFonts w:ascii="Aptos" w:hAnsi="Aptos"/>
                <w:b w:val="0"/>
                <w:sz w:val="15"/>
              </w:rPr>
              <w:t>Tool profile and approval</w:t>
            </w:r>
          </w:p>
        </w:tc>
      </w:tr>
      <w:tr>
        <w:trPr>
          <w:cantSplit/>
        </w:trPr>
        <w:tc>
          <w:tcPr>
            <w:tcW w:type="dxa" w:w="2570"/>
            <w:vAlign w:val="center"/>
            <w:shd w:fill="FFFFFF"/>
          </w:tcPr>
          <w:p>
            <w:pPr>
              <w:spacing w:after="0"/>
            </w:pPr>
            <w:r/>
            <w:r>
              <w:rPr>
                <w:rFonts w:ascii="Aptos" w:hAnsi="Aptos"/>
                <w:b w:val="0"/>
                <w:sz w:val="15"/>
              </w:rPr>
              <w:t>Exception</w:t>
            </w:r>
          </w:p>
        </w:tc>
        <w:tc>
          <w:tcPr>
            <w:tcW w:type="dxa" w:w="2570"/>
            <w:vAlign w:val="center"/>
            <w:shd w:fill="FFFFFF"/>
          </w:tcPr>
          <w:p>
            <w:pPr>
              <w:spacing w:after="0"/>
            </w:pPr>
            <w:r/>
            <w:r>
              <w:rPr>
                <w:rFonts w:ascii="Aptos" w:hAnsi="Aptos"/>
                <w:b w:val="0"/>
                <w:sz w:val="15"/>
              </w:rPr>
              <w:t>Unmet control</w:t>
            </w:r>
          </w:p>
        </w:tc>
        <w:tc>
          <w:tcPr>
            <w:tcW w:type="dxa" w:w="2570"/>
            <w:vAlign w:val="center"/>
            <w:shd w:fill="FFFFFF"/>
          </w:tcPr>
          <w:p>
            <w:pPr>
              <w:spacing w:after="0"/>
            </w:pPr>
            <w:r/>
            <w:r>
              <w:rPr>
                <w:rFonts w:ascii="Aptos" w:hAnsi="Aptos"/>
                <w:b w:val="0"/>
                <w:sz w:val="15"/>
              </w:rPr>
              <w:t>Assess, compensate, approve, monitor, expire</w:t>
            </w:r>
          </w:p>
        </w:tc>
        <w:tc>
          <w:tcPr>
            <w:tcW w:type="dxa" w:w="2570"/>
            <w:vAlign w:val="center"/>
            <w:shd w:fill="FFFFFF"/>
          </w:tcPr>
          <w:p>
            <w:pPr>
              <w:spacing w:after="0"/>
            </w:pPr>
            <w:r/>
            <w:r>
              <w:rPr>
                <w:rFonts w:ascii="Aptos" w:hAnsi="Aptos"/>
                <w:b w:val="0"/>
                <w:sz w:val="15"/>
              </w:rPr>
              <w:t>Exception record</w:t>
            </w:r>
          </w:p>
        </w:tc>
      </w:tr>
      <w:tr>
        <w:trPr>
          <w:cantSplit/>
        </w:trPr>
        <w:tc>
          <w:tcPr>
            <w:tcW w:type="dxa" w:w="2570"/>
            <w:vAlign w:val="center"/>
            <w:shd w:fill="F3F6F7"/>
          </w:tcPr>
          <w:p>
            <w:pPr>
              <w:spacing w:after="0"/>
            </w:pPr>
            <w:r/>
            <w:r>
              <w:rPr>
                <w:rFonts w:ascii="Aptos" w:hAnsi="Aptos"/>
                <w:b w:val="0"/>
                <w:sz w:val="15"/>
              </w:rPr>
              <w:t>Incident</w:t>
            </w:r>
          </w:p>
        </w:tc>
        <w:tc>
          <w:tcPr>
            <w:tcW w:type="dxa" w:w="2570"/>
            <w:vAlign w:val="center"/>
            <w:shd w:fill="F3F6F7"/>
          </w:tcPr>
          <w:p>
            <w:pPr>
              <w:spacing w:after="0"/>
            </w:pPr>
            <w:r/>
            <w:r>
              <w:rPr>
                <w:rFonts w:ascii="Aptos" w:hAnsi="Aptos"/>
                <w:b w:val="0"/>
                <w:sz w:val="15"/>
              </w:rPr>
              <w:t>Alert or harmful event</w:t>
            </w:r>
          </w:p>
        </w:tc>
        <w:tc>
          <w:tcPr>
            <w:tcW w:type="dxa" w:w="2570"/>
            <w:vAlign w:val="center"/>
            <w:shd w:fill="F3F6F7"/>
          </w:tcPr>
          <w:p>
            <w:pPr>
              <w:spacing w:after="0"/>
            </w:pPr>
            <w:r/>
            <w:r>
              <w:rPr>
                <w:rFonts w:ascii="Aptos" w:hAnsi="Aptos"/>
                <w:b w:val="0"/>
                <w:sz w:val="15"/>
              </w:rPr>
              <w:t>Triage, contain, preserve, investigate, recover, improve</w:t>
            </w:r>
          </w:p>
        </w:tc>
        <w:tc>
          <w:tcPr>
            <w:tcW w:type="dxa" w:w="2570"/>
            <w:vAlign w:val="center"/>
            <w:shd w:fill="F3F6F7"/>
          </w:tcPr>
          <w:p>
            <w:pPr>
              <w:spacing w:after="0"/>
            </w:pPr>
            <w:r/>
            <w:r>
              <w:rPr>
                <w:rFonts w:ascii="Aptos" w:hAnsi="Aptos"/>
                <w:b w:val="0"/>
                <w:sz w:val="15"/>
              </w:rPr>
              <w:t>Incident and corrective-action evidence</w:t>
            </w:r>
          </w:p>
        </w:tc>
      </w:tr>
    </w:tbl>
    <w:p/>
    <w:p>
      <w:pPr>
        <w:pStyle w:val="Heading1"/>
      </w:pPr>
      <w:r>
        <w:t>Engineering Requirements Specification</w:t>
      </w:r>
    </w:p>
    <w:p>
      <w:r>
        <w:t>Each system should maintain a traceable set of security, safety, privacy and governance requirements derived from applicable GAISSF controls. Requirements should include acceptance criteria, verification method, evidence artifact and responsible owner.</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Requirement field</w:t>
            </w:r>
          </w:p>
        </w:tc>
        <w:tc>
          <w:tcPr>
            <w:tcW w:type="dxa" w:w="5141"/>
            <w:vAlign w:val="center"/>
            <w:shd w:fill="17324D"/>
          </w:tcPr>
          <w:p>
            <w:pPr>
              <w:spacing w:after="0"/>
            </w:pPr>
            <w:r/>
            <w:r>
              <w:rPr>
                <w:rFonts w:ascii="Aptos" w:hAnsi="Aptos"/>
                <w:b/>
                <w:color w:val="FFFFFF"/>
                <w:sz w:val="15"/>
              </w:rPr>
              <w:t>Example</w:t>
            </w:r>
          </w:p>
        </w:tc>
      </w:tr>
      <w:tr>
        <w:trPr>
          <w:cantSplit/>
        </w:trPr>
        <w:tc>
          <w:tcPr>
            <w:tcW w:type="dxa" w:w="5141"/>
            <w:vAlign w:val="center"/>
            <w:shd w:fill="FFFFFF"/>
          </w:tcPr>
          <w:p>
            <w:pPr>
              <w:spacing w:after="0"/>
            </w:pPr>
            <w:r/>
            <w:r>
              <w:rPr>
                <w:rFonts w:ascii="Aptos" w:hAnsi="Aptos"/>
                <w:b w:val="0"/>
                <w:sz w:val="15"/>
              </w:rPr>
              <w:t>Requirement ID</w:t>
            </w:r>
          </w:p>
        </w:tc>
        <w:tc>
          <w:tcPr>
            <w:tcW w:type="dxa" w:w="5141"/>
            <w:vAlign w:val="center"/>
            <w:shd w:fill="FFFFFF"/>
          </w:tcPr>
          <w:p>
            <w:pPr>
              <w:spacing w:after="0"/>
            </w:pPr>
            <w:r/>
            <w:r>
              <w:rPr>
                <w:rFonts w:ascii="Aptos" w:hAnsi="Aptos"/>
                <w:b w:val="0"/>
                <w:sz w:val="15"/>
              </w:rPr>
              <w:t>SYS-SEC-042</w:t>
            </w:r>
          </w:p>
        </w:tc>
      </w:tr>
      <w:tr>
        <w:trPr>
          <w:cantSplit/>
        </w:trPr>
        <w:tc>
          <w:tcPr>
            <w:tcW w:type="dxa" w:w="5141"/>
            <w:vAlign w:val="center"/>
            <w:shd w:fill="F3F6F7"/>
          </w:tcPr>
          <w:p>
            <w:pPr>
              <w:spacing w:after="0"/>
            </w:pPr>
            <w:r/>
            <w:r>
              <w:rPr>
                <w:rFonts w:ascii="Aptos" w:hAnsi="Aptos"/>
                <w:b w:val="0"/>
                <w:sz w:val="15"/>
              </w:rPr>
              <w:t>GAISSF control</w:t>
            </w:r>
          </w:p>
        </w:tc>
        <w:tc>
          <w:tcPr>
            <w:tcW w:type="dxa" w:w="5141"/>
            <w:vAlign w:val="center"/>
            <w:shd w:fill="F3F6F7"/>
          </w:tcPr>
          <w:p>
            <w:pPr>
              <w:spacing w:after="0"/>
            </w:pPr>
            <w:r/>
            <w:r>
              <w:rPr>
                <w:rFonts w:ascii="Aptos" w:hAnsi="Aptos"/>
                <w:b w:val="0"/>
                <w:sz w:val="15"/>
              </w:rPr>
              <w:t>Applicable D-domain control ID</w:t>
            </w:r>
          </w:p>
        </w:tc>
      </w:tr>
      <w:tr>
        <w:trPr>
          <w:cantSplit/>
        </w:trPr>
        <w:tc>
          <w:tcPr>
            <w:tcW w:type="dxa" w:w="5141"/>
            <w:vAlign w:val="center"/>
            <w:shd w:fill="FFFFFF"/>
          </w:tcPr>
          <w:p>
            <w:pPr>
              <w:spacing w:after="0"/>
            </w:pPr>
            <w:r/>
            <w:r>
              <w:rPr>
                <w:rFonts w:ascii="Aptos" w:hAnsi="Aptos"/>
                <w:b w:val="0"/>
                <w:sz w:val="15"/>
              </w:rPr>
              <w:t>Statement</w:t>
            </w:r>
          </w:p>
        </w:tc>
        <w:tc>
          <w:tcPr>
            <w:tcW w:type="dxa" w:w="5141"/>
            <w:vAlign w:val="center"/>
            <w:shd w:fill="FFFFFF"/>
          </w:tcPr>
          <w:p>
            <w:pPr>
              <w:spacing w:after="0"/>
            </w:pPr>
            <w:r/>
            <w:r>
              <w:rPr>
                <w:rFonts w:ascii="Aptos" w:hAnsi="Aptos"/>
                <w:b w:val="0"/>
                <w:sz w:val="15"/>
              </w:rPr>
              <w:t>System shall block unapproved tool calls.</w:t>
            </w:r>
          </w:p>
        </w:tc>
      </w:tr>
      <w:tr>
        <w:trPr>
          <w:cantSplit/>
        </w:trPr>
        <w:tc>
          <w:tcPr>
            <w:tcW w:type="dxa" w:w="5141"/>
            <w:vAlign w:val="center"/>
            <w:shd w:fill="F3F6F7"/>
          </w:tcPr>
          <w:p>
            <w:pPr>
              <w:spacing w:after="0"/>
            </w:pPr>
            <w:r/>
            <w:r>
              <w:rPr>
                <w:rFonts w:ascii="Aptos" w:hAnsi="Aptos"/>
                <w:b w:val="0"/>
                <w:sz w:val="15"/>
              </w:rPr>
              <w:t>Acceptance criterion</w:t>
            </w:r>
          </w:p>
        </w:tc>
        <w:tc>
          <w:tcPr>
            <w:tcW w:type="dxa" w:w="5141"/>
            <w:vAlign w:val="center"/>
            <w:shd w:fill="F3F6F7"/>
          </w:tcPr>
          <w:p>
            <w:pPr>
              <w:spacing w:after="0"/>
            </w:pPr>
            <w:r/>
            <w:r>
              <w:rPr>
                <w:rFonts w:ascii="Aptos" w:hAnsi="Aptos"/>
                <w:b w:val="0"/>
                <w:sz w:val="15"/>
              </w:rPr>
              <w:t>100% of denied test cases blocked and logged.</w:t>
            </w:r>
          </w:p>
        </w:tc>
      </w:tr>
      <w:tr>
        <w:trPr>
          <w:cantSplit/>
        </w:trPr>
        <w:tc>
          <w:tcPr>
            <w:tcW w:type="dxa" w:w="5141"/>
            <w:vAlign w:val="center"/>
            <w:shd w:fill="FFFFFF"/>
          </w:tcPr>
          <w:p>
            <w:pPr>
              <w:spacing w:after="0"/>
            </w:pPr>
            <w:r/>
            <w:r>
              <w:rPr>
                <w:rFonts w:ascii="Aptos" w:hAnsi="Aptos"/>
                <w:b w:val="0"/>
                <w:sz w:val="15"/>
              </w:rPr>
              <w:t>Verification</w:t>
            </w:r>
          </w:p>
        </w:tc>
        <w:tc>
          <w:tcPr>
            <w:tcW w:type="dxa" w:w="5141"/>
            <w:vAlign w:val="center"/>
            <w:shd w:fill="FFFFFF"/>
          </w:tcPr>
          <w:p>
            <w:pPr>
              <w:spacing w:after="0"/>
            </w:pPr>
            <w:r/>
            <w:r>
              <w:rPr>
                <w:rFonts w:ascii="Aptos" w:hAnsi="Aptos"/>
                <w:b w:val="0"/>
                <w:sz w:val="15"/>
              </w:rPr>
              <w:t>Automated test plus manual review.</w:t>
            </w:r>
          </w:p>
        </w:tc>
      </w:tr>
      <w:tr>
        <w:trPr>
          <w:cantSplit/>
        </w:trPr>
        <w:tc>
          <w:tcPr>
            <w:tcW w:type="dxa" w:w="5141"/>
            <w:vAlign w:val="center"/>
            <w:shd w:fill="F3F6F7"/>
          </w:tcPr>
          <w:p>
            <w:pPr>
              <w:spacing w:after="0"/>
            </w:pPr>
            <w:r/>
            <w:r>
              <w:rPr>
                <w:rFonts w:ascii="Aptos" w:hAnsi="Aptos"/>
                <w:b w:val="0"/>
                <w:sz w:val="15"/>
              </w:rPr>
              <w:t>Evidence</w:t>
            </w:r>
          </w:p>
        </w:tc>
        <w:tc>
          <w:tcPr>
            <w:tcW w:type="dxa" w:w="5141"/>
            <w:vAlign w:val="center"/>
            <w:shd w:fill="F3F6F7"/>
          </w:tcPr>
          <w:p>
            <w:pPr>
              <w:spacing w:after="0"/>
            </w:pPr>
            <w:r/>
            <w:r>
              <w:rPr>
                <w:rFonts w:ascii="Aptos" w:hAnsi="Aptos"/>
                <w:b w:val="0"/>
                <w:sz w:val="15"/>
              </w:rPr>
              <w:t>Signed test report and gateway logs.</w:t>
            </w:r>
          </w:p>
        </w:tc>
      </w:tr>
    </w:tbl>
    <w:p/>
    <w:p>
      <w:pPr>
        <w:pStyle w:val="Heading1"/>
      </w:pPr>
      <w:r>
        <w:t>Evidence Engineering</w:t>
      </w:r>
    </w:p>
    <w:p>
      <w:pPr>
        <w:pStyle w:val="ListBullet"/>
      </w:pPr>
      <w:r>
        <w:t>Generate evidence automatically where feasible but preserve human decisions and limitations.</w:t>
      </w:r>
    </w:p>
    <w:p>
      <w:pPr>
        <w:pStyle w:val="ListBullet"/>
      </w:pPr>
      <w:r>
        <w:t>Separate source telemetry from interpreted dashboard values.</w:t>
      </w:r>
    </w:p>
    <w:p>
      <w:pPr>
        <w:pStyle w:val="ListBullet"/>
      </w:pPr>
      <w:r>
        <w:t>Protect evidence write paths and record provenance.</w:t>
      </w:r>
    </w:p>
    <w:p>
      <w:pPr>
        <w:pStyle w:val="ListBullet"/>
      </w:pPr>
      <w:r>
        <w:t>Retain failed and inconclusive tests.</w:t>
      </w:r>
    </w:p>
    <w:p>
      <w:pPr>
        <w:pStyle w:val="ListBullet"/>
      </w:pPr>
      <w:r>
        <w:t>Define evidence freshness and expiry.</w:t>
      </w:r>
    </w:p>
    <w:p>
      <w:pPr>
        <w:pStyle w:val="ListBullet"/>
      </w:pPr>
      <w:r>
        <w:t>Test evidence export before external assessment.</w:t>
      </w:r>
    </w:p>
    <w:p>
      <w:pPr>
        <w:pStyle w:val="Heading1"/>
      </w:pPr>
      <w:r>
        <w:t>Operational Handoffs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Handoff</w:t>
            </w:r>
          </w:p>
        </w:tc>
        <w:tc>
          <w:tcPr>
            <w:tcW w:type="dxa" w:w="5141"/>
            <w:vAlign w:val="center"/>
            <w:shd w:fill="17324D"/>
          </w:tcPr>
          <w:p>
            <w:pPr>
              <w:spacing w:after="0"/>
            </w:pPr>
            <w:r/>
            <w:r>
              <w:rPr>
                <w:rFonts w:ascii="Aptos" w:hAnsi="Aptos"/>
                <w:b/>
                <w:color w:val="FFFFFF"/>
                <w:sz w:val="15"/>
              </w:rPr>
              <w:t>Required package</w:t>
            </w:r>
          </w:p>
        </w:tc>
      </w:tr>
      <w:tr>
        <w:trPr>
          <w:cantSplit/>
        </w:trPr>
        <w:tc>
          <w:tcPr>
            <w:tcW w:type="dxa" w:w="5141"/>
            <w:vAlign w:val="center"/>
            <w:shd w:fill="FFFFFF"/>
          </w:tcPr>
          <w:p>
            <w:pPr>
              <w:spacing w:after="0"/>
            </w:pPr>
            <w:r/>
            <w:r>
              <w:rPr>
                <w:rFonts w:ascii="Aptos" w:hAnsi="Aptos"/>
                <w:b w:val="0"/>
                <w:sz w:val="15"/>
              </w:rPr>
              <w:t>Engineering to operations</w:t>
            </w:r>
          </w:p>
        </w:tc>
        <w:tc>
          <w:tcPr>
            <w:tcW w:type="dxa" w:w="5141"/>
            <w:vAlign w:val="center"/>
            <w:shd w:fill="FFFFFF"/>
          </w:tcPr>
          <w:p>
            <w:pPr>
              <w:spacing w:after="0"/>
            </w:pPr>
            <w:r/>
            <w:r>
              <w:rPr>
                <w:rFonts w:ascii="Aptos" w:hAnsi="Aptos"/>
                <w:b w:val="0"/>
                <w:sz w:val="15"/>
              </w:rPr>
              <w:t>Approved release, runbooks, monitoring, rollback, known limitations</w:t>
            </w:r>
          </w:p>
        </w:tc>
      </w:tr>
      <w:tr>
        <w:trPr>
          <w:cantSplit/>
        </w:trPr>
        <w:tc>
          <w:tcPr>
            <w:tcW w:type="dxa" w:w="5141"/>
            <w:vAlign w:val="center"/>
            <w:shd w:fill="F3F6F7"/>
          </w:tcPr>
          <w:p>
            <w:pPr>
              <w:spacing w:after="0"/>
            </w:pPr>
            <w:r/>
            <w:r>
              <w:rPr>
                <w:rFonts w:ascii="Aptos" w:hAnsi="Aptos"/>
                <w:b w:val="0"/>
                <w:sz w:val="15"/>
              </w:rPr>
              <w:t>Operations to incident response</w:t>
            </w:r>
          </w:p>
        </w:tc>
        <w:tc>
          <w:tcPr>
            <w:tcW w:type="dxa" w:w="5141"/>
            <w:vAlign w:val="center"/>
            <w:shd w:fill="F3F6F7"/>
          </w:tcPr>
          <w:p>
            <w:pPr>
              <w:spacing w:after="0"/>
            </w:pPr>
            <w:r/>
            <w:r>
              <w:rPr>
                <w:rFonts w:ascii="Aptos" w:hAnsi="Aptos"/>
                <w:b w:val="0"/>
                <w:sz w:val="15"/>
              </w:rPr>
              <w:t>Alert definitions, escalation, evidence sources, containment actions</w:t>
            </w:r>
          </w:p>
        </w:tc>
      </w:tr>
      <w:tr>
        <w:trPr>
          <w:cantSplit/>
        </w:trPr>
        <w:tc>
          <w:tcPr>
            <w:tcW w:type="dxa" w:w="5141"/>
            <w:vAlign w:val="center"/>
            <w:shd w:fill="FFFFFF"/>
          </w:tcPr>
          <w:p>
            <w:pPr>
              <w:spacing w:after="0"/>
            </w:pPr>
            <w:r/>
            <w:r>
              <w:rPr>
                <w:rFonts w:ascii="Aptos" w:hAnsi="Aptos"/>
                <w:b w:val="0"/>
                <w:sz w:val="15"/>
              </w:rPr>
              <w:t>Control owner to assurance</w:t>
            </w:r>
          </w:p>
        </w:tc>
        <w:tc>
          <w:tcPr>
            <w:tcW w:type="dxa" w:w="5141"/>
            <w:vAlign w:val="center"/>
            <w:shd w:fill="FFFFFF"/>
          </w:tcPr>
          <w:p>
            <w:pPr>
              <w:spacing w:after="0"/>
            </w:pPr>
            <w:r/>
            <w:r>
              <w:rPr>
                <w:rFonts w:ascii="Aptos" w:hAnsi="Aptos"/>
                <w:b w:val="0"/>
                <w:sz w:val="15"/>
              </w:rPr>
              <w:t>Implementation narrative, population, evidence index, known gaps</w:t>
            </w:r>
          </w:p>
        </w:tc>
      </w:tr>
      <w:tr>
        <w:trPr>
          <w:cantSplit/>
        </w:trPr>
        <w:tc>
          <w:tcPr>
            <w:tcW w:type="dxa" w:w="5141"/>
            <w:vAlign w:val="center"/>
            <w:shd w:fill="F3F6F7"/>
          </w:tcPr>
          <w:p>
            <w:pPr>
              <w:spacing w:after="0"/>
            </w:pPr>
            <w:r/>
            <w:r>
              <w:rPr>
                <w:rFonts w:ascii="Aptos" w:hAnsi="Aptos"/>
                <w:b w:val="0"/>
                <w:sz w:val="15"/>
              </w:rPr>
              <w:t>Supplier manager to system owner</w:t>
            </w:r>
          </w:p>
        </w:tc>
        <w:tc>
          <w:tcPr>
            <w:tcW w:type="dxa" w:w="5141"/>
            <w:vAlign w:val="center"/>
            <w:shd w:fill="F3F6F7"/>
          </w:tcPr>
          <w:p>
            <w:pPr>
              <w:spacing w:after="0"/>
            </w:pPr>
            <w:r/>
            <w:r>
              <w:rPr>
                <w:rFonts w:ascii="Aptos" w:hAnsi="Aptos"/>
                <w:b w:val="0"/>
                <w:sz w:val="15"/>
              </w:rPr>
              <w:t>Assurance, changes, incidents, dependencies and exit plan</w:t>
            </w:r>
          </w:p>
        </w:tc>
      </w:tr>
    </w:tbl>
    <w:p/>
    <w:p>
      <w:pPr>
        <w:pStyle w:val="Heading1"/>
      </w:pPr>
      <w:r>
        <w:t>Detailed D1-D9 Implementation Checklist</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Domain</w:t>
            </w:r>
          </w:p>
        </w:tc>
        <w:tc>
          <w:tcPr>
            <w:tcW w:type="dxa" w:w="3427"/>
            <w:vAlign w:val="center"/>
            <w:shd w:fill="17324D"/>
          </w:tcPr>
          <w:p>
            <w:pPr>
              <w:spacing w:after="0"/>
            </w:pPr>
            <w:r/>
            <w:r>
              <w:rPr>
                <w:rFonts w:ascii="Aptos" w:hAnsi="Aptos"/>
                <w:b/>
                <w:color w:val="FFFFFF"/>
                <w:sz w:val="15"/>
              </w:rPr>
              <w:t>Design questions</w:t>
            </w:r>
          </w:p>
        </w:tc>
        <w:tc>
          <w:tcPr>
            <w:tcW w:type="dxa" w:w="3427"/>
            <w:vAlign w:val="center"/>
            <w:shd w:fill="17324D"/>
          </w:tcPr>
          <w:p>
            <w:pPr>
              <w:spacing w:after="0"/>
            </w:pPr>
            <w:r/>
            <w:r>
              <w:rPr>
                <w:rFonts w:ascii="Aptos" w:hAnsi="Aptos"/>
                <w:b/>
                <w:color w:val="FFFFFF"/>
                <w:sz w:val="15"/>
              </w:rPr>
              <w:t>Operating evidence</w:t>
            </w:r>
          </w:p>
        </w:tc>
      </w:tr>
      <w:tr>
        <w:trPr>
          <w:cantSplit/>
        </w:trPr>
        <w:tc>
          <w:tcPr>
            <w:tcW w:type="dxa" w:w="3427"/>
            <w:vAlign w:val="center"/>
            <w:shd w:fill="FFFFFF"/>
          </w:tcPr>
          <w:p>
            <w:pPr>
              <w:spacing w:after="0"/>
            </w:pPr>
            <w:r/>
            <w:r>
              <w:rPr>
                <w:rFonts w:ascii="Aptos" w:hAnsi="Aptos"/>
                <w:b w:val="0"/>
                <w:sz w:val="15"/>
              </w:rPr>
              <w:t>D1</w:t>
            </w:r>
          </w:p>
        </w:tc>
        <w:tc>
          <w:tcPr>
            <w:tcW w:type="dxa" w:w="3427"/>
            <w:vAlign w:val="center"/>
            <w:shd w:fill="FFFFFF"/>
          </w:tcPr>
          <w:p>
            <w:pPr>
              <w:spacing w:after="0"/>
            </w:pPr>
            <w:r/>
            <w:r>
              <w:rPr>
                <w:rFonts w:ascii="Aptos" w:hAnsi="Aptos"/>
                <w:b w:val="0"/>
                <w:sz w:val="15"/>
              </w:rPr>
              <w:t>Are model and data provenance, integrity and change controlled?</w:t>
            </w:r>
          </w:p>
        </w:tc>
        <w:tc>
          <w:tcPr>
            <w:tcW w:type="dxa" w:w="3427"/>
            <w:vAlign w:val="center"/>
            <w:shd w:fill="FFFFFF"/>
          </w:tcPr>
          <w:p>
            <w:pPr>
              <w:spacing w:after="0"/>
            </w:pPr>
            <w:r/>
            <w:r>
              <w:rPr>
                <w:rFonts w:ascii="Aptos" w:hAnsi="Aptos"/>
                <w:b w:val="0"/>
                <w:sz w:val="15"/>
              </w:rPr>
              <w:t>Registry, signatures, lineage, evaluations</w:t>
            </w:r>
          </w:p>
        </w:tc>
      </w:tr>
      <w:tr>
        <w:trPr>
          <w:cantSplit/>
        </w:trPr>
        <w:tc>
          <w:tcPr>
            <w:tcW w:type="dxa" w:w="3427"/>
            <w:vAlign w:val="center"/>
            <w:shd w:fill="F3F6F7"/>
          </w:tcPr>
          <w:p>
            <w:pPr>
              <w:spacing w:after="0"/>
            </w:pPr>
            <w:r/>
            <w:r>
              <w:rPr>
                <w:rFonts w:ascii="Aptos" w:hAnsi="Aptos"/>
                <w:b w:val="0"/>
                <w:sz w:val="15"/>
              </w:rPr>
              <w:t>D2</w:t>
            </w:r>
          </w:p>
        </w:tc>
        <w:tc>
          <w:tcPr>
            <w:tcW w:type="dxa" w:w="3427"/>
            <w:vAlign w:val="center"/>
            <w:shd w:fill="F3F6F7"/>
          </w:tcPr>
          <w:p>
            <w:pPr>
              <w:spacing w:after="0"/>
            </w:pPr>
            <w:r/>
            <w:r>
              <w:rPr>
                <w:rFonts w:ascii="Aptos" w:hAnsi="Aptos"/>
                <w:b w:val="0"/>
                <w:sz w:val="15"/>
              </w:rPr>
              <w:t>Are adversarial threats tested and monitored?</w:t>
            </w:r>
          </w:p>
        </w:tc>
        <w:tc>
          <w:tcPr>
            <w:tcW w:type="dxa" w:w="3427"/>
            <w:vAlign w:val="center"/>
            <w:shd w:fill="F3F6F7"/>
          </w:tcPr>
          <w:p>
            <w:pPr>
              <w:spacing w:after="0"/>
            </w:pPr>
            <w:r/>
            <w:r>
              <w:rPr>
                <w:rFonts w:ascii="Aptos" w:hAnsi="Aptos"/>
                <w:b w:val="0"/>
                <w:sz w:val="15"/>
              </w:rPr>
              <w:t>Red-team results, attack telemetry, regression tests</w:t>
            </w:r>
          </w:p>
        </w:tc>
      </w:tr>
      <w:tr>
        <w:trPr>
          <w:cantSplit/>
        </w:trPr>
        <w:tc>
          <w:tcPr>
            <w:tcW w:type="dxa" w:w="3427"/>
            <w:vAlign w:val="center"/>
            <w:shd w:fill="FFFFFF"/>
          </w:tcPr>
          <w:p>
            <w:pPr>
              <w:spacing w:after="0"/>
            </w:pPr>
            <w:r/>
            <w:r>
              <w:rPr>
                <w:rFonts w:ascii="Aptos" w:hAnsi="Aptos"/>
                <w:b w:val="0"/>
                <w:sz w:val="15"/>
              </w:rPr>
              <w:t>D3</w:t>
            </w:r>
          </w:p>
        </w:tc>
        <w:tc>
          <w:tcPr>
            <w:tcW w:type="dxa" w:w="3427"/>
            <w:vAlign w:val="center"/>
            <w:shd w:fill="FFFFFF"/>
          </w:tcPr>
          <w:p>
            <w:pPr>
              <w:spacing w:after="0"/>
            </w:pPr>
            <w:r/>
            <w:r>
              <w:rPr>
                <w:rFonts w:ascii="Aptos" w:hAnsi="Aptos"/>
                <w:b w:val="0"/>
                <w:sz w:val="15"/>
              </w:rPr>
              <w:t>Are architecture, agents, suppliers and trust boundaries controlled?</w:t>
            </w:r>
          </w:p>
        </w:tc>
        <w:tc>
          <w:tcPr>
            <w:tcW w:type="dxa" w:w="3427"/>
            <w:vAlign w:val="center"/>
            <w:shd w:fill="FFFFFF"/>
          </w:tcPr>
          <w:p>
            <w:pPr>
              <w:spacing w:after="0"/>
            </w:pPr>
            <w:r/>
            <w:r>
              <w:rPr>
                <w:rFonts w:ascii="Aptos" w:hAnsi="Aptos"/>
                <w:b w:val="0"/>
                <w:sz w:val="15"/>
              </w:rPr>
              <w:t>Diagrams, permissions, supplier evidence</w:t>
            </w:r>
          </w:p>
        </w:tc>
      </w:tr>
      <w:tr>
        <w:trPr>
          <w:cantSplit/>
        </w:trPr>
        <w:tc>
          <w:tcPr>
            <w:tcW w:type="dxa" w:w="3427"/>
            <w:vAlign w:val="center"/>
            <w:shd w:fill="F3F6F7"/>
          </w:tcPr>
          <w:p>
            <w:pPr>
              <w:spacing w:after="0"/>
            </w:pPr>
            <w:r/>
            <w:r>
              <w:rPr>
                <w:rFonts w:ascii="Aptos" w:hAnsi="Aptos"/>
                <w:b w:val="0"/>
                <w:sz w:val="15"/>
              </w:rPr>
              <w:t>D4</w:t>
            </w:r>
          </w:p>
        </w:tc>
        <w:tc>
          <w:tcPr>
            <w:tcW w:type="dxa" w:w="3427"/>
            <w:vAlign w:val="center"/>
            <w:shd w:fill="F3F6F7"/>
          </w:tcPr>
          <w:p>
            <w:pPr>
              <w:spacing w:after="0"/>
            </w:pPr>
            <w:r/>
            <w:r>
              <w:rPr>
                <w:rFonts w:ascii="Aptos" w:hAnsi="Aptos"/>
                <w:b w:val="0"/>
                <w:sz w:val="15"/>
              </w:rPr>
              <w:t>Are development, release and configuration changes controlled?</w:t>
            </w:r>
          </w:p>
        </w:tc>
        <w:tc>
          <w:tcPr>
            <w:tcW w:type="dxa" w:w="3427"/>
            <w:vAlign w:val="center"/>
            <w:shd w:fill="F3F6F7"/>
          </w:tcPr>
          <w:p>
            <w:pPr>
              <w:spacing w:after="0"/>
            </w:pPr>
            <w:r/>
            <w:r>
              <w:rPr>
                <w:rFonts w:ascii="Aptos" w:hAnsi="Aptos"/>
                <w:b w:val="0"/>
                <w:sz w:val="15"/>
              </w:rPr>
              <w:t>Pipeline gates, reviews, manifests, rollback</w:t>
            </w:r>
          </w:p>
        </w:tc>
      </w:tr>
      <w:tr>
        <w:trPr>
          <w:cantSplit/>
        </w:trPr>
        <w:tc>
          <w:tcPr>
            <w:tcW w:type="dxa" w:w="3427"/>
            <w:vAlign w:val="center"/>
            <w:shd w:fill="FFFFFF"/>
          </w:tcPr>
          <w:p>
            <w:pPr>
              <w:spacing w:after="0"/>
            </w:pPr>
            <w:r/>
            <w:r>
              <w:rPr>
                <w:rFonts w:ascii="Aptos" w:hAnsi="Aptos"/>
                <w:b w:val="0"/>
                <w:sz w:val="15"/>
              </w:rPr>
              <w:t>D5</w:t>
            </w:r>
          </w:p>
        </w:tc>
        <w:tc>
          <w:tcPr>
            <w:tcW w:type="dxa" w:w="3427"/>
            <w:vAlign w:val="center"/>
            <w:shd w:fill="FFFFFF"/>
          </w:tcPr>
          <w:p>
            <w:pPr>
              <w:spacing w:after="0"/>
            </w:pPr>
            <w:r/>
            <w:r>
              <w:rPr>
                <w:rFonts w:ascii="Aptos" w:hAnsi="Aptos"/>
                <w:b w:val="0"/>
                <w:sz w:val="15"/>
              </w:rPr>
              <w:t>Are privacy, retention and leakage risks controlled?</w:t>
            </w:r>
          </w:p>
        </w:tc>
        <w:tc>
          <w:tcPr>
            <w:tcW w:type="dxa" w:w="3427"/>
            <w:vAlign w:val="center"/>
            <w:shd w:fill="FFFFFF"/>
          </w:tcPr>
          <w:p>
            <w:pPr>
              <w:spacing w:after="0"/>
            </w:pPr>
            <w:r/>
            <w:r>
              <w:rPr>
                <w:rFonts w:ascii="Aptos" w:hAnsi="Aptos"/>
                <w:b w:val="0"/>
                <w:sz w:val="15"/>
              </w:rPr>
              <w:t>Data records, DLP, deletion and privacy tests</w:t>
            </w:r>
          </w:p>
        </w:tc>
      </w:tr>
      <w:tr>
        <w:trPr>
          <w:cantSplit/>
        </w:trPr>
        <w:tc>
          <w:tcPr>
            <w:tcW w:type="dxa" w:w="3427"/>
            <w:vAlign w:val="center"/>
            <w:shd w:fill="F3F6F7"/>
          </w:tcPr>
          <w:p>
            <w:pPr>
              <w:spacing w:after="0"/>
            </w:pPr>
            <w:r/>
            <w:r>
              <w:rPr>
                <w:rFonts w:ascii="Aptos" w:hAnsi="Aptos"/>
                <w:b w:val="0"/>
                <w:sz w:val="15"/>
              </w:rPr>
              <w:t>D6</w:t>
            </w:r>
          </w:p>
        </w:tc>
        <w:tc>
          <w:tcPr>
            <w:tcW w:type="dxa" w:w="3427"/>
            <w:vAlign w:val="center"/>
            <w:shd w:fill="F3F6F7"/>
          </w:tcPr>
          <w:p>
            <w:pPr>
              <w:spacing w:after="0"/>
            </w:pPr>
            <w:r/>
            <w:r>
              <w:rPr>
                <w:rFonts w:ascii="Aptos" w:hAnsi="Aptos"/>
                <w:b w:val="0"/>
                <w:sz w:val="15"/>
              </w:rPr>
              <w:t>Are accountability, oversight and incidents operational?</w:t>
            </w:r>
          </w:p>
        </w:tc>
        <w:tc>
          <w:tcPr>
            <w:tcW w:type="dxa" w:w="3427"/>
            <w:vAlign w:val="center"/>
            <w:shd w:fill="F3F6F7"/>
          </w:tcPr>
          <w:p>
            <w:pPr>
              <w:spacing w:after="0"/>
            </w:pPr>
            <w:r/>
            <w:r>
              <w:rPr>
                <w:rFonts w:ascii="Aptos" w:hAnsi="Aptos"/>
                <w:b w:val="0"/>
                <w:sz w:val="15"/>
              </w:rPr>
              <w:t>Minutes, approvals, incidents and management review</w:t>
            </w:r>
          </w:p>
        </w:tc>
      </w:tr>
      <w:tr>
        <w:trPr>
          <w:cantSplit/>
        </w:trPr>
        <w:tc>
          <w:tcPr>
            <w:tcW w:type="dxa" w:w="3427"/>
            <w:vAlign w:val="center"/>
            <w:shd w:fill="FFFFFF"/>
          </w:tcPr>
          <w:p>
            <w:pPr>
              <w:spacing w:after="0"/>
            </w:pPr>
            <w:r/>
            <w:r>
              <w:rPr>
                <w:rFonts w:ascii="Aptos" w:hAnsi="Aptos"/>
                <w:b w:val="0"/>
                <w:sz w:val="15"/>
              </w:rPr>
              <w:t>D7</w:t>
            </w:r>
          </w:p>
        </w:tc>
        <w:tc>
          <w:tcPr>
            <w:tcW w:type="dxa" w:w="3427"/>
            <w:vAlign w:val="center"/>
            <w:shd w:fill="FFFFFF"/>
          </w:tcPr>
          <w:p>
            <w:pPr>
              <w:spacing w:after="0"/>
            </w:pPr>
            <w:r/>
            <w:r>
              <w:rPr>
                <w:rFonts w:ascii="Aptos" w:hAnsi="Aptos"/>
                <w:b w:val="0"/>
                <w:sz w:val="15"/>
              </w:rPr>
              <w:t>Are human, societal and content risks addressed?</w:t>
            </w:r>
          </w:p>
        </w:tc>
        <w:tc>
          <w:tcPr>
            <w:tcW w:type="dxa" w:w="3427"/>
            <w:vAlign w:val="center"/>
            <w:shd w:fill="FFFFFF"/>
          </w:tcPr>
          <w:p>
            <w:pPr>
              <w:spacing w:after="0"/>
            </w:pPr>
            <w:r/>
            <w:r>
              <w:rPr>
                <w:rFonts w:ascii="Aptos" w:hAnsi="Aptos"/>
                <w:b w:val="0"/>
                <w:sz w:val="15"/>
              </w:rPr>
              <w:t>Disclosures, recourse, safety tests and complaints</w:t>
            </w:r>
          </w:p>
        </w:tc>
      </w:tr>
      <w:tr>
        <w:trPr>
          <w:cantSplit/>
        </w:trPr>
        <w:tc>
          <w:tcPr>
            <w:tcW w:type="dxa" w:w="3427"/>
            <w:vAlign w:val="center"/>
            <w:shd w:fill="F3F6F7"/>
          </w:tcPr>
          <w:p>
            <w:pPr>
              <w:spacing w:after="0"/>
            </w:pPr>
            <w:r/>
            <w:r>
              <w:rPr>
                <w:rFonts w:ascii="Aptos" w:hAnsi="Aptos"/>
                <w:b w:val="0"/>
                <w:sz w:val="15"/>
              </w:rPr>
              <w:t>D8</w:t>
            </w:r>
          </w:p>
        </w:tc>
        <w:tc>
          <w:tcPr>
            <w:tcW w:type="dxa" w:w="3427"/>
            <w:vAlign w:val="center"/>
            <w:shd w:fill="F3F6F7"/>
          </w:tcPr>
          <w:p>
            <w:pPr>
              <w:spacing w:after="0"/>
            </w:pPr>
            <w:r/>
            <w:r>
              <w:rPr>
                <w:rFonts w:ascii="Aptos" w:hAnsi="Aptos"/>
                <w:b w:val="0"/>
                <w:sz w:val="15"/>
              </w:rPr>
              <w:t>Are risk, assurance, exceptions and improvement integrated?</w:t>
            </w:r>
          </w:p>
        </w:tc>
        <w:tc>
          <w:tcPr>
            <w:tcW w:type="dxa" w:w="3427"/>
            <w:vAlign w:val="center"/>
            <w:shd w:fill="F3F6F7"/>
          </w:tcPr>
          <w:p>
            <w:pPr>
              <w:spacing w:after="0"/>
            </w:pPr>
            <w:r/>
            <w:r>
              <w:rPr>
                <w:rFonts w:ascii="Aptos" w:hAnsi="Aptos"/>
                <w:b w:val="0"/>
                <w:sz w:val="15"/>
              </w:rPr>
              <w:t>Risk register, audits, actions and metrics</w:t>
            </w:r>
          </w:p>
        </w:tc>
      </w:tr>
      <w:tr>
        <w:trPr>
          <w:cantSplit/>
        </w:trPr>
        <w:tc>
          <w:tcPr>
            <w:tcW w:type="dxa" w:w="3427"/>
            <w:vAlign w:val="center"/>
            <w:shd w:fill="FFFFFF"/>
          </w:tcPr>
          <w:p>
            <w:pPr>
              <w:spacing w:after="0"/>
            </w:pPr>
            <w:r/>
            <w:r>
              <w:rPr>
                <w:rFonts w:ascii="Aptos" w:hAnsi="Aptos"/>
                <w:b w:val="0"/>
                <w:sz w:val="15"/>
              </w:rPr>
              <w:t>D9</w:t>
            </w:r>
          </w:p>
        </w:tc>
        <w:tc>
          <w:tcPr>
            <w:tcW w:type="dxa" w:w="3427"/>
            <w:vAlign w:val="center"/>
            <w:shd w:fill="FFFFFF"/>
          </w:tcPr>
          <w:p>
            <w:pPr>
              <w:spacing w:after="0"/>
            </w:pPr>
            <w:r/>
            <w:r>
              <w:rPr>
                <w:rFonts w:ascii="Aptos" w:hAnsi="Aptos"/>
                <w:b w:val="0"/>
                <w:sz w:val="15"/>
              </w:rPr>
              <w:t>Are physical hazards, override and safe state independently assured?</w:t>
            </w:r>
          </w:p>
        </w:tc>
        <w:tc>
          <w:tcPr>
            <w:tcW w:type="dxa" w:w="3427"/>
            <w:vAlign w:val="center"/>
            <w:shd w:fill="FFFFFF"/>
          </w:tcPr>
          <w:p>
            <w:pPr>
              <w:spacing w:after="0"/>
            </w:pPr>
            <w:r/>
            <w:r>
              <w:rPr>
                <w:rFonts w:ascii="Aptos" w:hAnsi="Aptos"/>
                <w:b w:val="0"/>
                <w:sz w:val="15"/>
              </w:rPr>
              <w:t>Hazard analysis, HIL, override and event telemetry</w:t>
            </w:r>
          </w:p>
        </w:tc>
      </w:tr>
    </w:tbl>
    <w:p/>
    <w:p>
      <w:r/>
    </w:p>
    <w:p>
      <w:pPr>
        <w:pStyle w:val="Heading1"/>
      </w:pPr>
      <w:r>
        <w:t>Publication Completeness and Intended Use</w:t>
      </w:r>
    </w:p>
    <w:p>
      <w:r>
        <w:t>This full publication edition of GAISSF-IMP-010 is designed to stand on its own for its stated role: comprehensive practitioner implementation handbook.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Completeness dimension</w:t>
            </w:r>
          </w:p>
        </w:tc>
        <w:tc>
          <w:tcPr>
            <w:tcW w:type="dxa" w:w="5141"/>
            <w:vAlign w:val="center"/>
            <w:shd w:fill="17324D"/>
          </w:tcPr>
          <w:p>
            <w:pPr>
              <w:spacing w:after="0"/>
            </w:pPr>
            <w:r/>
            <w:r>
              <w:rPr>
                <w:rFonts w:ascii="Aptos" w:hAnsi="Aptos"/>
                <w:b/>
                <w:color w:val="FFFFFF"/>
                <w:sz w:val="15"/>
              </w:rPr>
              <w:t>Treatment in this edition</w:t>
            </w:r>
          </w:p>
        </w:tc>
      </w:tr>
      <w:tr>
        <w:trPr>
          <w:cantSplit/>
        </w:trPr>
        <w:tc>
          <w:tcPr>
            <w:tcW w:type="dxa" w:w="5141"/>
            <w:vAlign w:val="center"/>
            <w:shd w:fill="FFFFFF"/>
          </w:tcPr>
          <w:p>
            <w:pPr>
              <w:spacing w:after="0"/>
            </w:pPr>
            <w:r/>
            <w:r>
              <w:rPr>
                <w:rFonts w:ascii="Aptos" w:hAnsi="Aptos"/>
                <w:b w:val="0"/>
                <w:sz w:val="15"/>
              </w:rPr>
              <w:t>Normative alignment</w:t>
            </w:r>
          </w:p>
        </w:tc>
        <w:tc>
          <w:tcPr>
            <w:tcW w:type="dxa" w:w="5141"/>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141"/>
            <w:vAlign w:val="center"/>
            <w:shd w:fill="F3F6F7"/>
          </w:tcPr>
          <w:p>
            <w:pPr>
              <w:spacing w:after="0"/>
            </w:pPr>
            <w:r/>
            <w:r>
              <w:rPr>
                <w:rFonts w:ascii="Aptos" w:hAnsi="Aptos"/>
                <w:b w:val="0"/>
                <w:sz w:val="15"/>
              </w:rPr>
              <w:t>Operational usability</w:t>
            </w:r>
          </w:p>
        </w:tc>
        <w:tc>
          <w:tcPr>
            <w:tcW w:type="dxa" w:w="5141"/>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141"/>
            <w:vAlign w:val="center"/>
            <w:shd w:fill="FFFFFF"/>
          </w:tcPr>
          <w:p>
            <w:pPr>
              <w:spacing w:after="0"/>
            </w:pPr>
            <w:r/>
            <w:r>
              <w:rPr>
                <w:rFonts w:ascii="Aptos" w:hAnsi="Aptos"/>
                <w:b w:val="0"/>
                <w:sz w:val="15"/>
              </w:rPr>
              <w:t>Traceability</w:t>
            </w:r>
          </w:p>
        </w:tc>
        <w:tc>
          <w:tcPr>
            <w:tcW w:type="dxa" w:w="5141"/>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141"/>
            <w:vAlign w:val="center"/>
            <w:shd w:fill="F3F6F7"/>
          </w:tcPr>
          <w:p>
            <w:pPr>
              <w:spacing w:after="0"/>
            </w:pPr>
            <w:r/>
            <w:r>
              <w:rPr>
                <w:rFonts w:ascii="Aptos" w:hAnsi="Aptos"/>
                <w:b w:val="0"/>
                <w:sz w:val="15"/>
              </w:rPr>
              <w:t>Limitations</w:t>
            </w:r>
          </w:p>
        </w:tc>
        <w:tc>
          <w:tcPr>
            <w:tcW w:type="dxa" w:w="5141"/>
            <w:vAlign w:val="center"/>
            <w:shd w:fill="F3F6F7"/>
          </w:tcPr>
          <w:p>
            <w:pPr>
              <w:spacing w:after="0"/>
            </w:pPr>
            <w:r/>
            <w:r>
              <w:rPr>
                <w:rFonts w:ascii="Aptos" w:hAnsi="Aptos"/>
                <w:b w:val="0"/>
                <w:sz w:val="15"/>
              </w:rPr>
              <w:t>States what the document does not establish or guarantee.</w:t>
            </w:r>
          </w:p>
        </w:tc>
      </w:tr>
      <w:tr>
        <w:trPr>
          <w:cantSplit/>
        </w:trPr>
        <w:tc>
          <w:tcPr>
            <w:tcW w:type="dxa" w:w="5141"/>
            <w:vAlign w:val="center"/>
            <w:shd w:fill="FFFFFF"/>
          </w:tcPr>
          <w:p>
            <w:pPr>
              <w:spacing w:after="0"/>
            </w:pPr>
            <w:r/>
            <w:r>
              <w:rPr>
                <w:rFonts w:ascii="Aptos" w:hAnsi="Aptos"/>
                <w:b w:val="0"/>
                <w:sz w:val="15"/>
              </w:rPr>
              <w:t>Maintenance</w:t>
            </w:r>
          </w:p>
        </w:tc>
        <w:tc>
          <w:tcPr>
            <w:tcW w:type="dxa" w:w="5141"/>
            <w:vAlign w:val="center"/>
            <w:shd w:fill="FFFFFF"/>
          </w:tcPr>
          <w:p>
            <w:pPr>
              <w:spacing w:after="0"/>
            </w:pPr>
            <w:r/>
            <w:r>
              <w:rPr>
                <w:rFonts w:ascii="Aptos" w:hAnsi="Aptos"/>
                <w:b w:val="0"/>
                <w:sz w:val="15"/>
              </w:rPr>
              <w:t>Includes review triggers, change control and publication status.</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GAISSF-IMP-011 for deployment gates.</w:t>
      </w:r>
    </w:p>
    <w:p>
      <w:pPr>
        <w:pStyle w:val="ListBullet"/>
      </w:pPr>
      <w:r>
        <w:t>GAISSF-IMP-013 for architecture patterns.</w:t>
      </w:r>
    </w:p>
    <w:p>
      <w:pPr>
        <w:pStyle w:val="ListBullet"/>
      </w:pPr>
      <w:r>
        <w:t>GAISSF-IMP-017 for evidence collection.</w:t>
      </w:r>
    </w:p>
    <w:p>
      <w:pPr>
        <w:pStyle w:val="Heading1"/>
      </w:pPr>
      <w:r>
        <w:t>Implementation-specific regulatory enhancements</w:t>
      </w:r>
    </w:p>
    <w:p>
      <w:pPr>
        <w:pStyle w:val="Heading2"/>
      </w:pPr>
      <w:r>
        <w:t>Automated-decision rights and explanation support workflow</w:t>
      </w:r>
    </w:p>
    <w:p>
      <w:pPr>
        <w:pStyle w:val="ListNumber"/>
      </w:pPr>
      <w:r>
        <w:t>Authenticate the requester and determine the applicable jurisdiction, legal basis and response deadline.</w:t>
      </w:r>
    </w:p>
    <w:p>
      <w:pPr>
        <w:pStyle w:val="ListNumber"/>
      </w:pPr>
      <w:r>
        <w:t>Locate the decision, system, model, data, policy and rule versions.</w:t>
      </w:r>
    </w:p>
    <w:p>
      <w:pPr>
        <w:pStyle w:val="ListNumber"/>
      </w:pPr>
      <w:r>
        <w:t>Preserve the decision record and relevant evidence.</w:t>
      </w:r>
    </w:p>
    <w:p>
      <w:pPr>
        <w:pStyle w:val="ListNumber"/>
      </w:pPr>
      <w:r>
        <w:t>Retrieve material inputs, factors, sources, rules, human interventions and downstream effects.</w:t>
      </w:r>
    </w:p>
    <w:p>
      <w:pPr>
        <w:pStyle w:val="ListNumber"/>
      </w:pPr>
      <w:r>
        <w:t>Generate a context-appropriate explanation or reason-code artifact without misrepresenting model internals.</w:t>
      </w:r>
    </w:p>
    <w:p>
      <w:pPr>
        <w:pStyle w:val="ListNumber"/>
      </w:pPr>
      <w:r>
        <w:t>Apply lawful redaction and protection for third-party, privileged, security-sensitive and trade-secret material.</w:t>
      </w:r>
    </w:p>
    <w:p>
      <w:pPr>
        <w:pStyle w:val="ListNumber"/>
      </w:pPr>
      <w:r>
        <w:t>Support correction, contestation or human review where required.</w:t>
      </w:r>
    </w:p>
    <w:p>
      <w:pPr>
        <w:pStyle w:val="ListNumber"/>
      </w:pPr>
      <w:r>
        <w:t>Record the response, legal basis, limitations, approvals and closure.</w:t>
      </w:r>
    </w:p>
    <w:p>
      <w:pPr>
        <w:pStyle w:val="Heading2"/>
      </w:pPr>
      <w:r>
        <w:t>Audit-trail capability requirements</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Capability</w:t>
            </w:r>
          </w:p>
        </w:tc>
        <w:tc>
          <w:tcPr>
            <w:tcW w:type="dxa" w:w="5141"/>
            <w:shd w:fill="17324D"/>
            <w:vAlign w:val="center"/>
          </w:tcPr>
          <w:p>
            <w:r>
              <w:rPr>
                <w:b/>
              </w:rPr>
              <w:t>Minimum expectation</w:t>
            </w:r>
          </w:p>
        </w:tc>
      </w:tr>
      <w:tr>
        <w:tc>
          <w:tcPr>
            <w:tcW w:type="dxa" w:w="5141"/>
          </w:tcPr>
          <w:p>
            <w:r>
              <w:t>Time integrity</w:t>
            </w:r>
          </w:p>
        </w:tc>
        <w:tc>
          <w:tcPr>
            <w:tcW w:type="dxa" w:w="5141"/>
          </w:tcPr>
          <w:p>
            <w:r>
              <w:t>Authoritative time source, drift monitoring and recorded timezone.</w:t>
            </w:r>
          </w:p>
        </w:tc>
      </w:tr>
      <w:tr>
        <w:tc>
          <w:tcPr>
            <w:tcW w:type="dxa" w:w="5141"/>
          </w:tcPr>
          <w:p>
            <w:r>
              <w:t>Attribution</w:t>
            </w:r>
          </w:p>
        </w:tc>
        <w:tc>
          <w:tcPr>
            <w:tcW w:type="dxa" w:w="5141"/>
          </w:tcPr>
          <w:p>
            <w:r>
              <w:t>Actor, service, model, tool and transaction identity.</w:t>
            </w:r>
          </w:p>
        </w:tc>
      </w:tr>
      <w:tr>
        <w:tc>
          <w:tcPr>
            <w:tcW w:type="dxa" w:w="5141"/>
          </w:tcPr>
          <w:p>
            <w:r>
              <w:t>Tamper evidence</w:t>
            </w:r>
          </w:p>
        </w:tc>
        <w:tc>
          <w:tcPr>
            <w:tcW w:type="dxa" w:w="5141"/>
          </w:tcPr>
          <w:p>
            <w:r>
              <w:t>Integrity controls proportionate to risk, including hashing or signing where appropriate.</w:t>
            </w:r>
          </w:p>
        </w:tc>
      </w:tr>
      <w:tr>
        <w:tc>
          <w:tcPr>
            <w:tcW w:type="dxa" w:w="5141"/>
          </w:tcPr>
          <w:p>
            <w:r>
              <w:t>Version linkage</w:t>
            </w:r>
          </w:p>
        </w:tc>
        <w:tc>
          <w:tcPr>
            <w:tcW w:type="dxa" w:w="5141"/>
          </w:tcPr>
          <w:p>
            <w:r>
              <w:t>Model, prompt, policy, data, code and configuration versions.</w:t>
            </w:r>
          </w:p>
        </w:tc>
      </w:tr>
      <w:tr>
        <w:tc>
          <w:tcPr>
            <w:tcW w:type="dxa" w:w="5141"/>
          </w:tcPr>
          <w:p>
            <w:r>
              <w:t>Reviewability</w:t>
            </w:r>
          </w:p>
        </w:tc>
        <w:tc>
          <w:tcPr>
            <w:tcW w:type="dxa" w:w="5141"/>
          </w:tcPr>
          <w:p>
            <w:r>
              <w:t>Searchable export, preserved context and documented telemetry gaps.</w:t>
            </w:r>
          </w:p>
        </w:tc>
      </w:tr>
      <w:tr>
        <w:tc>
          <w:tcPr>
            <w:tcW w:type="dxa" w:w="5141"/>
          </w:tcPr>
          <w:p>
            <w:r>
              <w:t>Preservation</w:t>
            </w:r>
          </w:p>
        </w:tc>
        <w:tc>
          <w:tcPr>
            <w:tcW w:type="dxa" w:w="5141"/>
          </w:tcPr>
          <w:p>
            <w:r>
              <w:t>Retention enforcement, legal-hold override and chain of custody.</w:t>
            </w:r>
          </w:p>
        </w:tc>
      </w:tr>
      <w:tr>
        <w:tc>
          <w:tcPr>
            <w:tcW w:type="dxa" w:w="5141"/>
          </w:tcPr>
          <w:p>
            <w:r>
              <w:t>Access control</w:t>
            </w:r>
          </w:p>
        </w:tc>
        <w:tc>
          <w:tcPr>
            <w:tcW w:type="dxa" w:w="5141"/>
          </w:tcPr>
          <w:p>
            <w:r>
              <w:t>Least privilege, separation of duties and access logging.</w:t>
            </w:r>
          </w:p>
        </w:tc>
      </w:tr>
    </w:tbl>
    <w:p>
      <w:pPr>
        <w:pStyle w:val="Heading2"/>
      </w:pPr>
      <w:r>
        <w:t>Agentic legal-policy gates</w:t>
      </w:r>
    </w:p>
    <w:p>
      <w:r>
        <w:t>Before consequential tool execution, architectures should support configurable deny, allow, require-human-approval, restrict-data, substitute-route, log-and-escalate and safe-state outcomes for applicable sanctions, export control, geographic, licensing, court-order, transaction-limit and regulated-product constraints.</w:t>
      </w:r>
    </w:p>
    <w:p>
      <w:pPr>
        <w:pStyle w:val="Heading2"/>
      </w:pPr>
      <w:r>
        <w:t>Implementation Toolchain Capability Model</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Service</w:t>
            </w:r>
          </w:p>
        </w:tc>
        <w:tc>
          <w:tcPr>
            <w:tcW w:type="dxa" w:w="5141"/>
            <w:shd w:fill="17324D"/>
            <w:vAlign w:val="center"/>
          </w:tcPr>
          <w:p>
            <w:r>
              <w:rPr>
                <w:b/>
              </w:rPr>
              <w:t>Minimum capabilities</w:t>
            </w:r>
          </w:p>
        </w:tc>
      </w:tr>
      <w:tr>
        <w:tc>
          <w:tcPr>
            <w:tcW w:type="dxa" w:w="5141"/>
          </w:tcPr>
          <w:p>
            <w:r>
              <w:t>Evidence repository</w:t>
            </w:r>
          </w:p>
        </w:tc>
        <w:tc>
          <w:tcPr>
            <w:tcW w:type="dxa" w:w="5141"/>
          </w:tcPr>
          <w:p>
            <w:r>
              <w:t>Access control, metadata, integrity verification, retention, legal hold and export.</w:t>
            </w:r>
          </w:p>
        </w:tc>
      </w:tr>
      <w:tr>
        <w:tc>
          <w:tcPr>
            <w:tcW w:type="dxa" w:w="5141"/>
          </w:tcPr>
          <w:p>
            <w:r>
              <w:t>CI/CD and MLOps gate</w:t>
            </w:r>
          </w:p>
        </w:tc>
        <w:tc>
          <w:tcPr>
            <w:tcW w:type="dxa" w:w="5141"/>
          </w:tcPr>
          <w:p>
            <w:r>
              <w:t>Artifact identity, policy checks, test evidence, approvals and rollback linkage.</w:t>
            </w:r>
          </w:p>
        </w:tc>
      </w:tr>
      <w:tr>
        <w:tc>
          <w:tcPr>
            <w:tcW w:type="dxa" w:w="5141"/>
          </w:tcPr>
          <w:p>
            <w:r>
              <w:t>Decision record service</w:t>
            </w:r>
          </w:p>
        </w:tc>
        <w:tc>
          <w:tcPr>
            <w:tcW w:type="dxa" w:w="5141"/>
          </w:tcPr>
          <w:p>
            <w:r>
              <w:t>Transaction correlation, version linkage, explanation artifact and human-review record.</w:t>
            </w:r>
          </w:p>
        </w:tc>
      </w:tr>
      <w:tr>
        <w:tc>
          <w:tcPr>
            <w:tcW w:type="dxa" w:w="5141"/>
          </w:tcPr>
          <w:p>
            <w:r>
              <w:t>Policy decision point</w:t>
            </w:r>
          </w:p>
        </w:tc>
        <w:tc>
          <w:tcPr>
            <w:tcW w:type="dxa" w:w="5141"/>
          </w:tcPr>
          <w:p>
            <w:r>
              <w:t>Deterministic legal, security and business constraints with auditable outcomes.</w:t>
            </w:r>
          </w:p>
        </w:tc>
      </w:tr>
      <w:tr>
        <w:tc>
          <w:tcPr>
            <w:tcW w:type="dxa" w:w="5141"/>
          </w:tcPr>
          <w:p>
            <w:r>
              <w:t>Monitoring platform</w:t>
            </w:r>
          </w:p>
        </w:tc>
        <w:tc>
          <w:tcPr>
            <w:tcW w:type="dxa" w:w="5141"/>
          </w:tcPr>
          <w:p>
            <w:r>
              <w:t>Regional routing, alerting, evidence preservation and control-health reporting.</w:t>
            </w:r>
          </w:p>
        </w:tc>
      </w:tr>
    </w:tbl>
    <w:p>
      <w:pPr>
        <w:pStyle w:val="Heading2"/>
      </w:pPr>
      <w:r>
        <w:t>Notably Absent — legal and regulatory boundary</w:t>
      </w:r>
    </w:p>
    <w:p>
      <w:pPr>
        <w:pStyle w:val="ListBullet"/>
      </w:pPr>
      <w:r>
        <w:t>No universal right-to-explanation claim.</w:t>
      </w:r>
    </w:p>
    <w:p>
      <w:pPr>
        <w:pStyle w:val="ListBullet"/>
      </w:pPr>
      <w:r>
        <w:t>No representation that an audit trail is legally sufficient in every proceeding.</w:t>
      </w:r>
    </w:p>
    <w:p>
      <w:pPr>
        <w:pStyle w:val="ListBullet"/>
      </w:pPr>
      <w:r>
        <w:t>No universal requirement for sanctions or export screening where those regimes do not apply.</w:t>
      </w:r>
    </w:p>
    <w:p>
      <w:pPr>
        <w:pStyle w:val="ListBullet"/>
      </w:pPr>
      <w:r>
        <w:t>No endorsement of named vendors or tools.</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GAISSF-IMP-010 | GAISSF® v1.0 Implementation Handbook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5"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Implementation Handbook</dc:title>
  <dc:subject>Operational architecture, workflows and evidence | Full final edition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