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160"/>
        <w:jc w:val="center"/>
      </w:pPr>
      <w:r>
        <w:rPr>
          <w:b/>
          <w:color w:val="17324D"/>
          <w:sz w:val="60"/>
        </w:rPr>
        <w:t>GAISSF® v1.0</w:t>
      </w:r>
    </w:p>
    <w:p>
      <w:pPr>
        <w:jc w:val="center"/>
      </w:pPr>
      <w:r>
        <w:rPr>
          <w:b/>
          <w:color w:val="205B65"/>
          <w:sz w:val="48"/>
        </w:rPr>
        <w:t>Deployment Playbook</w:t>
      </w:r>
    </w:p>
    <w:p>
      <w:pPr>
        <w:jc w:val="center"/>
      </w:pPr>
      <w:r>
        <w:rPr>
          <w:color w:val="4C6B7A"/>
          <w:sz w:val="23"/>
        </w:rPr>
        <w:t>Step-by-Step Rollout, Production Transition and Operational Handover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736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Field</w:t>
            </w:r>
          </w:p>
        </w:tc>
        <w:tc>
          <w:tcPr>
            <w:tcW w:type="dxa" w:w="691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Value</w:t>
            </w:r>
          </w:p>
        </w:tc>
      </w:tr>
      <w:tr>
        <w:trPr>
          <w:cantSplit/>
        </w:trP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Document ID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GAISSF-IMP-011</w:t>
            </w:r>
          </w:p>
        </w:tc>
      </w:tr>
      <w:tr>
        <w:trPr>
          <w:cantSplit/>
        </w:trPr>
        <w:tc>
          <w:tcPr>
            <w:tcW w:type="dxa" w:w="273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Version</w:t>
            </w:r>
          </w:p>
        </w:tc>
        <w:tc>
          <w:tcPr>
            <w:tcW w:type="dxa" w:w="691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1.0</w:t>
            </w:r>
          </w:p>
        </w:tc>
      </w:tr>
      <w:tr>
        <w:trPr>
          <w:cantSplit/>
        </w:trP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Status</w:t>
            </w:r>
          </w:p>
        </w:tc>
        <w:tc>
          <w:tcPr>
            <w:tcW w:type="dxa" w:w="6912"/>
            <w:vAlign w:val="center"/>
          </w:tcPr>
          <w:p>
            <w:r>
              <w:t>Final Publication Edition</w:t>
            </w:r>
          </w:p>
        </w:tc>
      </w:tr>
      <w:tr>
        <w:trPr>
          <w:cantSplit/>
        </w:trPr>
        <w:tc>
          <w:tcPr>
            <w:tcW w:type="dxa" w:w="273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Classification</w:t>
            </w:r>
          </w:p>
        </w:tc>
        <w:tc>
          <w:tcPr>
            <w:tcW w:type="dxa" w:w="691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Implementation guidance — informative</w:t>
            </w:r>
          </w:p>
        </w:tc>
      </w:tr>
      <w:tr>
        <w:trPr>
          <w:cantSplit/>
        </w:trP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Publisher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ODA3 Institute</w:t>
            </w:r>
          </w:p>
        </w:tc>
      </w:tr>
      <w:tr>
        <w:trPr>
          <w:cantSplit/>
        </w:trPr>
        <w:tc>
          <w:tcPr>
            <w:tcW w:type="dxa" w:w="273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Legal entity</w:t>
            </w:r>
          </w:p>
        </w:tc>
        <w:tc>
          <w:tcPr>
            <w:tcW w:type="dxa" w:w="691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ODA3 Pvt Ltd</w:t>
            </w:r>
          </w:p>
        </w:tc>
      </w:tr>
      <w:tr>
        <w:trPr>
          <w:cantSplit/>
        </w:trP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Authoritative normative source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GAISSF-NOR-001</w:t>
            </w:r>
          </w:p>
        </w:tc>
      </w:tr>
      <w:tr>
        <w:trPr>
          <w:cantSplit/>
        </w:trPr>
        <w:tc>
          <w:tcPr>
            <w:tcW w:type="dxa" w:w="273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Control baseline</w:t>
            </w:r>
          </w:p>
        </w:tc>
        <w:tc>
          <w:tcPr>
            <w:tcW w:type="dxa" w:w="691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59 controls across nine domains</w:t>
            </w:r>
          </w:p>
        </w:tc>
      </w:tr>
      <w:tr>
        <w:trPr>
          <w:cantSplit/>
        </w:trPr>
        <w:tc>
          <w:tcPr>
            <w:tcW w:type="dxa" w:w="273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Publication date</w:t>
            </w:r>
          </w:p>
        </w:tc>
        <w:tc>
          <w:tcPr>
            <w:tcW w:type="dxa" w:w="691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29 June 2026</w:t>
            </w:r>
          </w:p>
        </w:tc>
      </w:tr>
    </w:tbl>
    <w:p/>
    <w:p>
      <w:pPr>
        <w:pStyle w:val="SmallNote"/>
        <w:jc w:val="center"/>
      </w:pPr>
      <w:r>
        <w:t>This playbook provides rollout guidance. It does not replace the normative framework, control catalogue, approved conformance profile, system safety case or organizational change-control process.</w:t>
      </w:r>
    </w:p>
    <w:p>
      <w:r/>
    </w:p>
    <w:p>
      <w:pPr>
        <w:pStyle w:val="Heading1"/>
      </w:pPr>
      <w:r>
        <w:t>Document Control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59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Attribute</w:t>
            </w:r>
          </w:p>
        </w:tc>
        <w:tc>
          <w:tcPr>
            <w:tcW w:type="dxa" w:w="7056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Controlled value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Title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GAISSF® v1.0 Deployment Playbook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Document ID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GAISSF-IMP-011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Purpose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Provide a repeatable step-by-step deployment and rollout method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Primary audience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Program managers, security architects, AI engineers, platform teams, MLOps, DevSecOps, system owners, change managers, risk, compliance and assurance teams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Dependencies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GAISSF-NOR-001 through GAISSF-NOR-008, GAISSF-IMP-009 and GAISSF-IMP-010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Classification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Informative implementation guidance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Precedence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GAISSF-NOR-001, GAISSF-NOR-004 and controlled conformance profiles prevail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Distribution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Public — Website and GitHub</w:t>
            </w:r>
          </w:p>
        </w:tc>
      </w:tr>
    </w:tbl>
    <w:p/>
    <w:p>
      <w:pPr>
        <w:pStyle w:val="Heading1"/>
      </w:pPr>
      <w:r>
        <w:t>Legal and Reliance Notice</w:t>
      </w:r>
    </w:p>
    <w:p>
      <w:r>
        <w:t>© 2026 ODA3 Pvt Ltd. Published market-facing by ODA3 Institute.</w:t>
      </w:r>
    </w:p>
    <w:p>
      <w:r>
        <w:t>GAISSF® is used as a framework mark. Third-party names and marks remain the property of their respective owners.</w:t>
      </w:r>
    </w:p>
    <w:p>
      <w:r>
        <w:t>This playbook does not constitute legal, regulatory, safety, engineering, certification or audit advice.</w:t>
      </w:r>
      <w:r>
        <w:t xml:space="preserve"> It does not create a legal safe harbour, establish a legal standard of care, or determine statutory compliance in any jurisdiction.</w:t>
      </w:r>
    </w:p>
    <w:p>
      <w:r>
        <w:t>A deployment decision remains the responsibility of the organization and its designated accountable authorities.</w:t>
      </w:r>
    </w:p>
    <w:p>
      <w:pPr>
        <w:pStyle w:val="Heading1"/>
      </w:pPr>
      <w:r>
        <w:t>Foreword</w:t>
      </w:r>
    </w:p>
    <w:p>
      <w:r>
        <w:t>A controlled deployment converts an approved AI system design into an operating service without losing traceability, safety constraints, security controls or accountability. This playbook provides a practical sequence from rollout planning through pilot, production release, stabilization, handover and post-deployment assurance.</w:t>
      </w:r>
    </w:p>
    <w:p>
      <w:pPr>
        <w:pStyle w:val="Heading1"/>
      </w:pPr>
      <w:r>
        <w:t>1. Purpose and Scope</w:t>
      </w:r>
    </w:p>
    <w:p>
      <w:r>
        <w:t>This playbook applies to new AI systems, material model upgrades, significant architecture changes, new agentic capabilities, external tool integrations, major data-source changes and physical-AI deployments.</w:t>
      </w:r>
    </w:p>
    <w:p>
      <w:r>
        <w:t>It covers deployment preparation, release strategy, change approval, pilot execution, production transition, rollback, operational acceptance and continuing assurance. Minor routine changes may use a proportionate workflow where organizational change policy permits.</w:t>
      </w:r>
    </w:p>
    <w:p>
      <w:pPr>
        <w:pStyle w:val="Heading1"/>
      </w:pPr>
      <w:r>
        <w:t>2. Deployment Principles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88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Principle</w:t>
            </w:r>
          </w:p>
        </w:tc>
        <w:tc>
          <w:tcPr>
            <w:tcW w:type="dxa" w:w="676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Operational meaning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No production without scope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The deployed system, interfaces, data, users, suppliers and operating regions are explicitly defined.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No approval without evidence</w:t>
            </w:r>
          </w:p>
        </w:tc>
        <w:tc>
          <w:tcPr>
            <w:tcW w:type="dxa" w:w="676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Release decisions rely on current testing, risk and control evidence.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Progressive exposure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Increase users, traffic, autonomy and consequence only after stage-gate criteria are met.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Reversible change</w:t>
            </w:r>
          </w:p>
        </w:tc>
        <w:tc>
          <w:tcPr>
            <w:tcW w:type="dxa" w:w="676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Every material deployment has a tested rollback, disablement or safe-state path.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Separation of duties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Build, approval, deployment and independent assurance are appropriately separated.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Observe before expanding</w:t>
            </w:r>
          </w:p>
        </w:tc>
        <w:tc>
          <w:tcPr>
            <w:tcW w:type="dxa" w:w="676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Telemetry and human review are used to validate actual behavior before scale-up.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Known limitations remain visible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Residual risks, constraints and unsupported use cases are communicated to operators and users.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Failed evidence is retained</w:t>
            </w:r>
          </w:p>
        </w:tc>
        <w:tc>
          <w:tcPr>
            <w:tcW w:type="dxa" w:w="676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Negative, inconclusive and failed results remain part of the decision record.</w:t>
            </w:r>
          </w:p>
        </w:tc>
      </w:tr>
    </w:tbl>
    <w:p/>
    <w:p>
      <w:pPr>
        <w:pStyle w:val="Heading1"/>
      </w:pPr>
      <w:r>
        <w:t>3. Rollout Model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rPr>
          <w:tblHeader w:val="true"/>
          <w:cantSplit/>
        </w:trPr>
        <w:tc>
          <w:tcPr>
            <w:tcW w:type="dxa" w:w="72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Stage</w:t>
            </w:r>
          </w:p>
        </w:tc>
        <w:tc>
          <w:tcPr>
            <w:tcW w:type="dxa" w:w="216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Deployment state</w:t>
            </w:r>
          </w:p>
        </w:tc>
        <w:tc>
          <w:tcPr>
            <w:tcW w:type="dxa" w:w="432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Primary objective</w:t>
            </w:r>
          </w:p>
        </w:tc>
        <w:tc>
          <w:tcPr>
            <w:tcW w:type="dxa" w:w="288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Exit gate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0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Plan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Define scope, strategy, ownership and deployment risk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Approved rollout plan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1</w:t>
            </w:r>
          </w:p>
        </w:tc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Prepare</w:t>
            </w:r>
          </w:p>
        </w:tc>
        <w:tc>
          <w:tcPr>
            <w:tcW w:type="dxa" w:w="43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Complete controls, evidence, runbooks and environments</w:t>
            </w:r>
          </w:p>
        </w:tc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Readiness review passed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2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Validate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Execute pre-production technical and operational testing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Validation evidence accepted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3</w:t>
            </w:r>
          </w:p>
        </w:tc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Pilot</w:t>
            </w:r>
          </w:p>
        </w:tc>
        <w:tc>
          <w:tcPr>
            <w:tcW w:type="dxa" w:w="43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Expose a limited population under heightened oversight</w:t>
            </w:r>
          </w:p>
        </w:tc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Pilot success criteria met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4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Limited production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Expand traffic with constraints and rapid rollback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Stability criteria met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5</w:t>
            </w:r>
          </w:p>
        </w:tc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General production</w:t>
            </w:r>
          </w:p>
        </w:tc>
        <w:tc>
          <w:tcPr>
            <w:tcW w:type="dxa" w:w="43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Operate at approved scope and service level</w:t>
            </w:r>
          </w:p>
        </w:tc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Operational acceptance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6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Stabilize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Monitor post-release behavior and close deployment findings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Stabilization review passed</w:t>
            </w:r>
          </w:p>
        </w:tc>
      </w:tr>
      <w:tr>
        <w:trPr>
          <w:cantSplit/>
        </w:trPr>
        <w:tc>
          <w:tcPr>
            <w:tcW w:type="dxa" w:w="7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7</w:t>
            </w:r>
          </w:p>
        </w:tc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Handover</w:t>
            </w:r>
          </w:p>
        </w:tc>
        <w:tc>
          <w:tcPr>
            <w:tcW w:type="dxa" w:w="43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Transfer ownership to business-as-usual operations</w:t>
            </w:r>
          </w:p>
        </w:tc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Signed operational acceptance</w:t>
            </w:r>
          </w:p>
        </w:tc>
      </w:tr>
      <w:tr>
        <w:trPr>
          <w:cantSplit/>
        </w:trPr>
        <w:tc>
          <w:tcPr>
            <w:tcW w:type="dxa" w:w="7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8</w:t>
            </w:r>
          </w:p>
        </w:tc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Sustain</w:t>
            </w:r>
          </w:p>
        </w:tc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Maintain continuing conformance and reassess material change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Recurring assurance</w:t>
            </w:r>
          </w:p>
        </w:tc>
      </w:tr>
    </w:tbl>
    <w:p/>
    <w:p>
      <w:pPr>
        <w:pStyle w:val="Heading1"/>
      </w:pPr>
      <w:r>
        <w:t>4. Stage 0 — Plan the Deployment</w:t>
      </w:r>
    </w:p>
    <w:p>
      <w:pPr>
        <w:pStyle w:val="Heading2"/>
      </w:pPr>
      <w:r>
        <w:t>4.1 Deployment plan minimum content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59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Planning element</w:t>
            </w:r>
          </w:p>
        </w:tc>
        <w:tc>
          <w:tcPr>
            <w:tcW w:type="dxa" w:w="7056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Required content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Release identifier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Unique release, build, model and configuration identifiers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Scope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Systems, environments, users, geographies, interfaces and suppliers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Change description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What is new, modified, removed or inherited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Risk classification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Security, safety, privacy, legal, operational and reputational impact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Rollout strategy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Pilot, canary, blue-green, phased region, feature flag or controlled cutover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Owners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Release owner, system owner, control owners and approvers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Success criteria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Functional, security, safety, quality and operational thresholds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Stop criteria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Conditions requiring pause, rollback, containment or escalation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Rollback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Technical and business rollback sequence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Monitoring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Telemetry, dashboards, alert thresholds and review cadence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Communications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Operator, user, customer, regulator and stakeholder notices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Evidence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Required deployment and decision artifacts</w:t>
            </w:r>
          </w:p>
        </w:tc>
      </w:tr>
    </w:tbl>
    <w:p/>
    <w:p>
      <w:pPr>
        <w:pStyle w:val="Heading2"/>
      </w:pPr>
      <w:r>
        <w:t>4.2 Change impact assessment</w:t>
      </w:r>
    </w:p>
    <w:p>
      <w:pPr>
        <w:pStyle w:val="ListNumber"/>
      </w:pPr>
      <w:r>
        <w:t>Identify affected GAISSF controls and evidence packages.</w:t>
      </w:r>
    </w:p>
    <w:p>
      <w:pPr>
        <w:pStyle w:val="ListNumber"/>
      </w:pPr>
      <w:r>
        <w:t>Assess model, data, application, infrastructure, supplier and jurisdiction changes.</w:t>
      </w:r>
    </w:p>
    <w:p>
      <w:pPr>
        <w:pStyle w:val="ListNumber"/>
      </w:pPr>
      <w:r>
        <w:t>Determine whether prior testing remains valid.</w:t>
      </w:r>
    </w:p>
    <w:p>
      <w:pPr>
        <w:pStyle w:val="ListNumber"/>
      </w:pPr>
      <w:r>
        <w:t>Identify new or changed threat scenarios and failure modes.</w:t>
      </w:r>
    </w:p>
    <w:p>
      <w:pPr>
        <w:pStyle w:val="ListNumber"/>
      </w:pPr>
      <w:r>
        <w:t>Determine whether the Statement of Applicability, certification scope or public claims are affected.</w:t>
      </w:r>
    </w:p>
    <w:p>
      <w:pPr>
        <w:pStyle w:val="ListNumber"/>
      </w:pPr>
      <w:r>
        <w:t>Classify the change as routine, significant, major or emergency under organizational policy.</w:t>
      </w:r>
    </w:p>
    <w:p>
      <w:pPr>
        <w:pStyle w:val="Heading1"/>
      </w:pPr>
      <w:r>
        <w:t>5. Stage 1 — Prepare the Release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rPr>
          <w:tblHeader w:val="true"/>
          <w:cantSplit/>
        </w:trPr>
        <w:tc>
          <w:tcPr>
            <w:tcW w:type="dxa" w:w="187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Workstream</w:t>
            </w:r>
          </w:p>
        </w:tc>
        <w:tc>
          <w:tcPr>
            <w:tcW w:type="dxa" w:w="547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Preparation activities</w:t>
            </w:r>
          </w:p>
        </w:tc>
        <w:tc>
          <w:tcPr>
            <w:tcW w:type="dxa" w:w="259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Required output</w:t>
            </w:r>
          </w:p>
        </w:tc>
      </w:tr>
      <w:tr>
        <w:trPr>
          <w:cantSplit/>
        </w:trPr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Architecture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Confirm production topology, trust boundaries, access paths and dependencies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Approved architecture</w:t>
            </w:r>
          </w:p>
        </w:tc>
      </w:tr>
      <w:tr>
        <w:trPr>
          <w:cantSplit/>
        </w:trPr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Security</w:t>
            </w:r>
          </w:p>
        </w:tc>
        <w:tc>
          <w:tcPr>
            <w:tcW w:type="dxa" w:w="54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Harden environments, identities, secrets, network paths and logging</w:t>
            </w:r>
          </w:p>
        </w:tc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Security checklist</w:t>
            </w:r>
          </w:p>
        </w:tc>
      </w:tr>
      <w:tr>
        <w:trPr>
          <w:cantSplit/>
        </w:trPr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Data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Validate source, quality, lineage, privacy, retention and retrieval stores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Data readiness record</w:t>
            </w:r>
          </w:p>
        </w:tc>
      </w:tr>
      <w:tr>
        <w:trPr>
          <w:cantSplit/>
        </w:trPr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Model</w:t>
            </w:r>
          </w:p>
        </w:tc>
        <w:tc>
          <w:tcPr>
            <w:tcW w:type="dxa" w:w="54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Freeze model/version, provenance, configuration and evaluation baseline</w:t>
            </w:r>
          </w:p>
        </w:tc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Model release record</w:t>
            </w:r>
          </w:p>
        </w:tc>
      </w:tr>
      <w:tr>
        <w:trPr>
          <w:cantSplit/>
        </w:trPr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Application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Freeze prompt logic, orchestration, tools, policies and safeguards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Application release record</w:t>
            </w:r>
          </w:p>
        </w:tc>
      </w:tr>
      <w:tr>
        <w:trPr>
          <w:cantSplit/>
        </w:trPr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Operations</w:t>
            </w:r>
          </w:p>
        </w:tc>
        <w:tc>
          <w:tcPr>
            <w:tcW w:type="dxa" w:w="54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Prepare monitoring, support, incident, fallback and escalation runbooks</w:t>
            </w:r>
          </w:p>
        </w:tc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Operational runbooks</w:t>
            </w:r>
          </w:p>
        </w:tc>
      </w:tr>
      <w:tr>
        <w:trPr>
          <w:cantSplit/>
        </w:trPr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Evidence</w:t>
            </w:r>
          </w:p>
        </w:tc>
        <w:tc>
          <w:tcPr>
            <w:tcW w:type="dxa" w:w="54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Assemble release evidence and integrity records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Deployment evidence package</w:t>
            </w:r>
          </w:p>
        </w:tc>
      </w:tr>
      <w:tr>
        <w:trPr>
          <w:cantSplit/>
        </w:trPr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People</w:t>
            </w:r>
          </w:p>
        </w:tc>
        <w:tc>
          <w:tcPr>
            <w:tcW w:type="dxa" w:w="54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Train operators, support, approvers and affected users</w:t>
            </w:r>
          </w:p>
        </w:tc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Training record</w:t>
            </w:r>
          </w:p>
        </w:tc>
      </w:tr>
    </w:tbl>
    <w:p/>
    <w:p>
      <w:pPr>
        <w:pStyle w:val="Heading2"/>
      </w:pPr>
      <w:r>
        <w:t>5.1 Environment controls</w:t>
      </w:r>
    </w:p>
    <w:p>
      <w:pPr>
        <w:pStyle w:val="ListBullet"/>
      </w:pPr>
      <w:r>
        <w:t>Separate development, test, staging and production environments.</w:t>
      </w:r>
    </w:p>
    <w:p>
      <w:pPr>
        <w:pStyle w:val="ListBullet"/>
      </w:pPr>
      <w:r>
        <w:t>Restrict production access using least privilege and privileged-access monitoring.</w:t>
      </w:r>
    </w:p>
    <w:p>
      <w:pPr>
        <w:pStyle w:val="ListBullet"/>
      </w:pPr>
      <w:r>
        <w:t>Use controlled configuration and secret-management processes.</w:t>
      </w:r>
    </w:p>
    <w:p>
      <w:pPr>
        <w:pStyle w:val="ListBullet"/>
      </w:pPr>
      <w:r>
        <w:t>Prevent unapproved model, prompt, data or tool changes after release freeze.</w:t>
      </w:r>
    </w:p>
    <w:p>
      <w:pPr>
        <w:pStyle w:val="ListBullet"/>
      </w:pPr>
      <w:r>
        <w:t>Synchronize release identifiers across code, model, configuration and evidence.</w:t>
      </w:r>
    </w:p>
    <w:p>
      <w:pPr>
        <w:pStyle w:val="Heading1"/>
      </w:pPr>
      <w:r>
        <w:t>6. Stage 2 — Validate Before Production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rPr>
          <w:tblHeader w:val="true"/>
          <w:cantSplit/>
        </w:trPr>
        <w:tc>
          <w:tcPr>
            <w:tcW w:type="dxa" w:w="2016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Validation area</w:t>
            </w:r>
          </w:p>
        </w:tc>
        <w:tc>
          <w:tcPr>
            <w:tcW w:type="dxa" w:w="504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Minimum validation objective</w:t>
            </w:r>
          </w:p>
        </w:tc>
        <w:tc>
          <w:tcPr>
            <w:tcW w:type="dxa" w:w="288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Evidence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Functional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System performs approved use cases and rejects unsupported paths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Test results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Security</w:t>
            </w:r>
          </w:p>
        </w:tc>
        <w:tc>
          <w:tcPr>
            <w:tcW w:type="dxa" w:w="50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Threat scenarios and abuse cases are tested</w:t>
            </w:r>
          </w:p>
        </w:tc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Security evaluation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Robustness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Expected perturbations, malformed inputs and distribution changes are assessed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Robustness report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Privacy</w:t>
            </w:r>
          </w:p>
        </w:tc>
        <w:tc>
          <w:tcPr>
            <w:tcW w:type="dxa" w:w="50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Data flows, leakage, retention and user rights are verified</w:t>
            </w:r>
          </w:p>
        </w:tc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Privacy test record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Content safety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Harmful, prohibited and high-risk outputs are evaluated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Safety evaluation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Human oversight</w:t>
            </w:r>
          </w:p>
        </w:tc>
        <w:tc>
          <w:tcPr>
            <w:tcW w:type="dxa" w:w="50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Review, override and escalation mechanisms function</w:t>
            </w:r>
          </w:p>
        </w:tc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Oversight test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Resilience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Failover, recovery, degradation and rollback are tested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Resilience evidence</w:t>
            </w:r>
          </w:p>
        </w:tc>
      </w:tr>
      <w:tr>
        <w:trPr>
          <w:cantSplit/>
        </w:trPr>
        <w:tc>
          <w:tcPr>
            <w:tcW w:type="dxa" w:w="201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Observability</w:t>
            </w:r>
          </w:p>
        </w:tc>
        <w:tc>
          <w:tcPr>
            <w:tcW w:type="dxa" w:w="50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Required events, decisions and failures are logged</w:t>
            </w:r>
          </w:p>
        </w:tc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Telemetry verification</w:t>
            </w:r>
          </w:p>
        </w:tc>
      </w:tr>
      <w:tr>
        <w:trPr>
          <w:cantSplit/>
        </w:trP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Physical safety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Safe state, override, actuation constraints and HIL/simulation are tested</w:t>
            </w:r>
          </w:p>
        </w:tc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Safety test package</w:t>
            </w:r>
          </w:p>
        </w:tc>
      </w:tr>
    </w:tbl>
    <w:p/>
    <w:p>
      <w:pPr>
        <w:pStyle w:val="Heading2"/>
      </w:pPr>
      <w:r>
        <w:t>6.1 Pre-production gate</w:t>
      </w:r>
    </w:p>
    <w:p>
      <w:pPr>
        <w:spacing w:after="40"/>
      </w:pPr>
      <w:r>
        <w:rPr>
          <w:sz w:val="17"/>
        </w:rPr>
        <w:t>☐ All critical and high-risk test scenarios executed</w:t>
      </w:r>
    </w:p>
    <w:p>
      <w:pPr>
        <w:spacing w:after="40"/>
      </w:pPr>
      <w:r>
        <w:rPr>
          <w:sz w:val="17"/>
        </w:rPr>
        <w:t>☐ No unresolved release-blocking finding</w:t>
      </w:r>
    </w:p>
    <w:p>
      <w:pPr>
        <w:spacing w:after="40"/>
      </w:pPr>
      <w:r>
        <w:rPr>
          <w:sz w:val="17"/>
        </w:rPr>
        <w:t>☐ Residual risks documented and approved</w:t>
      </w:r>
    </w:p>
    <w:p>
      <w:pPr>
        <w:spacing w:after="40"/>
      </w:pPr>
      <w:r>
        <w:rPr>
          <w:sz w:val="17"/>
        </w:rPr>
        <w:t>☐ Evidence package complete and traceable</w:t>
      </w:r>
    </w:p>
    <w:p>
      <w:pPr>
        <w:spacing w:after="40"/>
      </w:pPr>
      <w:r>
        <w:rPr>
          <w:sz w:val="17"/>
        </w:rPr>
        <w:t>☐ Rollback tested</w:t>
      </w:r>
    </w:p>
    <w:p>
      <w:pPr>
        <w:spacing w:after="40"/>
      </w:pPr>
      <w:r>
        <w:rPr>
          <w:sz w:val="17"/>
        </w:rPr>
        <w:t>☐ Monitoring and alert thresholds verified</w:t>
      </w:r>
    </w:p>
    <w:p>
      <w:pPr>
        <w:spacing w:after="40"/>
      </w:pPr>
      <w:r>
        <w:rPr>
          <w:sz w:val="17"/>
        </w:rPr>
        <w:t>☐ Incident and communication runbooks exercised</w:t>
      </w:r>
    </w:p>
    <w:p>
      <w:pPr>
        <w:spacing w:after="40"/>
      </w:pPr>
      <w:r>
        <w:rPr>
          <w:sz w:val="17"/>
        </w:rPr>
        <w:t>☐ Release authority recorded</w:t>
      </w:r>
    </w:p>
    <w:p>
      <w:pPr>
        <w:pStyle w:val="Heading1"/>
      </w:pPr>
      <w:r>
        <w:t>7. Stage 3 — Pilot Deployment</w:t>
      </w:r>
    </w:p>
    <w:p>
      <w:r>
        <w:t>The pilot should limit exposure while producing representative evidence of actual operation. The pilot population, duration, transaction limits, autonomy, data and regions should be explicitly constrained.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16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Pilot control</w:t>
            </w:r>
          </w:p>
        </w:tc>
        <w:tc>
          <w:tcPr>
            <w:tcW w:type="dxa" w:w="748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Recommended practice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Population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Select a controlled user group with informed support channels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Traffic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Limit requests, transactions or physical operating hours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Autonomy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Restrict tool calls, approvals and consequential actions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Data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Use approved data classes and enhanced leakage monitoring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Human review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Increase review frequency and require manual approval for high-impact outputs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Telemetry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Enable detailed logging and daily control-health review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Support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Provide rapid incident triage and direct operator escalation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Decision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Use pre-defined success, pause and failure criteria</w:t>
            </w:r>
          </w:p>
        </w:tc>
      </w:tr>
    </w:tbl>
    <w:p/>
    <w:p>
      <w:pPr>
        <w:pStyle w:val="Heading2"/>
      </w:pPr>
      <w:r>
        <w:t>7.1 Pilot success criteria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16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Criterion</w:t>
            </w:r>
          </w:p>
        </w:tc>
        <w:tc>
          <w:tcPr>
            <w:tcW w:type="dxa" w:w="748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Example decision measure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Control stability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No repeated control failure above approved tolerance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Security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No unresolved exploit path or material abuse pattern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Safety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No uncontained high-severity harmful outcome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Quality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Performance remains within approved operating range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Operations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Support and escalation operate within service targets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Observability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Required events are captured and attributable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User impact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Complaints, confusion and misuse remain within approved thresholds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Rollback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Rollback remains available and tested</w:t>
            </w:r>
          </w:p>
        </w:tc>
      </w:tr>
    </w:tbl>
    <w:p/>
    <w:p>
      <w:pPr>
        <w:pStyle w:val="Heading1"/>
      </w:pPr>
      <w:r>
        <w:t>8. Stage 4 — Limited Production</w:t>
      </w:r>
    </w:p>
    <w:p>
      <w:r>
        <w:t>Limited production expands real-world exposure while retaining enhanced controls. Expansion should be incremental and reversible.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59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Expansion dimension</w:t>
            </w:r>
          </w:p>
        </w:tc>
        <w:tc>
          <w:tcPr>
            <w:tcW w:type="dxa" w:w="7056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Control method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Users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Percentage-based or role-based enablement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Geography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Region-by-region activation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Features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Feature flags and capability allowlists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Traffic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Rate caps and transaction ceilings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Autonomy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Tiered approval and tool-permission limits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Data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Progressive enablement of data classes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Physical operation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Restricted locations, speeds, loads or operating windows</w:t>
            </w:r>
          </w:p>
        </w:tc>
      </w:tr>
    </w:tbl>
    <w:p/>
    <w:p>
      <w:pPr>
        <w:pStyle w:val="Heading2"/>
      </w:pPr>
      <w:r>
        <w:t>8.1 Canary and blue-green patterns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rPr>
          <w:tblHeader w:val="true"/>
          <w:cantSplit/>
        </w:trPr>
        <w:tc>
          <w:tcPr>
            <w:tcW w:type="dxa" w:w="172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Pattern</w:t>
            </w:r>
          </w:p>
        </w:tc>
        <w:tc>
          <w:tcPr>
            <w:tcW w:type="dxa" w:w="3744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Use</w:t>
            </w:r>
          </w:p>
        </w:tc>
        <w:tc>
          <w:tcPr>
            <w:tcW w:type="dxa" w:w="4176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Control concern</w:t>
            </w:r>
          </w:p>
        </w:tc>
      </w:tr>
      <w:tr>
        <w:trPr>
          <w:cantSplit/>
        </w:trP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Canary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Expose a small percentage to the new release</w:t>
            </w:r>
          </w:p>
        </w:tc>
        <w:tc>
          <w:tcPr>
            <w:tcW w:type="dxa" w:w="417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Representative sampling and rapid rollback</w:t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Blue-green</w:t>
            </w:r>
          </w:p>
        </w:tc>
        <w:tc>
          <w:tcPr>
            <w:tcW w:type="dxa" w:w="374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Maintain old and new production stacks</w:t>
            </w:r>
          </w:p>
        </w:tc>
        <w:tc>
          <w:tcPr>
            <w:tcW w:type="dxa" w:w="417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Configuration parity and controlled cutover</w:t>
            </w:r>
          </w:p>
        </w:tc>
      </w:tr>
      <w:tr>
        <w:trPr>
          <w:cantSplit/>
        </w:trP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Shadow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Run new system without affecting decisions</w:t>
            </w:r>
          </w:p>
        </w:tc>
        <w:tc>
          <w:tcPr>
            <w:tcW w:type="dxa" w:w="417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Data protection and non-action assurance</w:t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Feature flag</w:t>
            </w:r>
          </w:p>
        </w:tc>
        <w:tc>
          <w:tcPr>
            <w:tcW w:type="dxa" w:w="374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Enable selected capabilities independently</w:t>
            </w:r>
          </w:p>
        </w:tc>
        <w:tc>
          <w:tcPr>
            <w:tcW w:type="dxa" w:w="417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Flag governance and configuration evidence</w:t>
            </w:r>
          </w:p>
        </w:tc>
      </w:tr>
      <w:tr>
        <w:trPr>
          <w:cantSplit/>
        </w:trP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Regional wave</w:t>
            </w:r>
          </w:p>
        </w:tc>
        <w:tc>
          <w:tcPr>
            <w:tcW w:type="dxa" w:w="374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Deploy by geography or business unit</w:t>
            </w:r>
          </w:p>
        </w:tc>
        <w:tc>
          <w:tcPr>
            <w:tcW w:type="dxa" w:w="417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Jurisdiction and dependency differences</w:t>
            </w:r>
          </w:p>
        </w:tc>
      </w:tr>
    </w:tbl>
    <w:p/>
    <w:p>
      <w:pPr>
        <w:pStyle w:val="Heading1"/>
      </w:pPr>
      <w:r>
        <w:t>9. Stage 5 — General Production Release</w:t>
      </w:r>
    </w:p>
    <w:p>
      <w:pPr>
        <w:pStyle w:val="Heading2"/>
      </w:pPr>
      <w:r>
        <w:t>9.1 Go-live decision package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44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Decision input</w:t>
            </w:r>
          </w:p>
        </w:tc>
        <w:tc>
          <w:tcPr>
            <w:tcW w:type="dxa" w:w="720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Minimum content</w:t>
            </w:r>
          </w:p>
        </w:tc>
      </w:tr>
      <w:tr>
        <w:trPr>
          <w:cantSplit/>
        </w:trP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Scope confirmation</w:t>
            </w:r>
          </w:p>
        </w:tc>
        <w:tc>
          <w:tcPr>
            <w:tcW w:type="dxa" w:w="72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Approved final production boundary</w:t>
            </w:r>
          </w:p>
        </w:tc>
      </w:tr>
      <w:tr>
        <w:trPr>
          <w:cantSplit/>
        </w:trPr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Control status</w:t>
            </w:r>
          </w:p>
        </w:tc>
        <w:tc>
          <w:tcPr>
            <w:tcW w:type="dxa" w:w="72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Applicable control implementation and open findings</w:t>
            </w:r>
          </w:p>
        </w:tc>
      </w:tr>
      <w:tr>
        <w:trPr>
          <w:cantSplit/>
        </w:trP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Validation</w:t>
            </w:r>
          </w:p>
        </w:tc>
        <w:tc>
          <w:tcPr>
            <w:tcW w:type="dxa" w:w="72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Pre-production, pilot and limited-production results</w:t>
            </w:r>
          </w:p>
        </w:tc>
      </w:tr>
      <w:tr>
        <w:trPr>
          <w:cantSplit/>
        </w:trPr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Risk</w:t>
            </w:r>
          </w:p>
        </w:tc>
        <w:tc>
          <w:tcPr>
            <w:tcW w:type="dxa" w:w="72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Residual risks, exceptions and acceptance authority</w:t>
            </w:r>
          </w:p>
        </w:tc>
      </w:tr>
      <w:tr>
        <w:trPr>
          <w:cantSplit/>
        </w:trP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Operations</w:t>
            </w:r>
          </w:p>
        </w:tc>
        <w:tc>
          <w:tcPr>
            <w:tcW w:type="dxa" w:w="72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Support, monitoring, incident, continuity and supplier readiness</w:t>
            </w:r>
          </w:p>
        </w:tc>
      </w:tr>
      <w:tr>
        <w:trPr>
          <w:cantSplit/>
        </w:trPr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Rollback</w:t>
            </w:r>
          </w:p>
        </w:tc>
        <w:tc>
          <w:tcPr>
            <w:tcW w:type="dxa" w:w="72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Current rollback point and safe-state confirmation</w:t>
            </w:r>
          </w:p>
        </w:tc>
      </w:tr>
      <w:tr>
        <w:trPr>
          <w:cantSplit/>
        </w:trP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Communications</w:t>
            </w:r>
          </w:p>
        </w:tc>
        <w:tc>
          <w:tcPr>
            <w:tcW w:type="dxa" w:w="72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User disclosures and stakeholder notices</w:t>
            </w:r>
          </w:p>
        </w:tc>
      </w:tr>
      <w:tr>
        <w:trPr>
          <w:cantSplit/>
        </w:trPr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Approval</w:t>
            </w:r>
          </w:p>
        </w:tc>
        <w:tc>
          <w:tcPr>
            <w:tcW w:type="dxa" w:w="72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Named release authority, date and conditions</w:t>
            </w:r>
          </w:p>
        </w:tc>
      </w:tr>
    </w:tbl>
    <w:p/>
    <w:p>
      <w:pPr>
        <w:pStyle w:val="Heading2"/>
      </w:pPr>
      <w:r>
        <w:t>9.2 Go-live checklist</w:t>
      </w:r>
    </w:p>
    <w:p>
      <w:pPr>
        <w:spacing w:after="40"/>
      </w:pPr>
      <w:r>
        <w:rPr>
          <w:sz w:val="17"/>
        </w:rPr>
        <w:t>☐ Release identifiers verified</w:t>
      </w:r>
    </w:p>
    <w:p>
      <w:pPr>
        <w:spacing w:after="40"/>
      </w:pPr>
      <w:r>
        <w:rPr>
          <w:sz w:val="17"/>
        </w:rPr>
        <w:t>☐ Production configuration matches approved baseline</w:t>
      </w:r>
    </w:p>
    <w:p>
      <w:pPr>
        <w:spacing w:after="40"/>
      </w:pPr>
      <w:r>
        <w:rPr>
          <w:sz w:val="17"/>
        </w:rPr>
        <w:t>☐ Monitoring dashboards active</w:t>
      </w:r>
    </w:p>
    <w:p>
      <w:pPr>
        <w:spacing w:after="40"/>
      </w:pPr>
      <w:r>
        <w:rPr>
          <w:sz w:val="17"/>
        </w:rPr>
        <w:t>☐ On-call and escalation contacts confirmed</w:t>
      </w:r>
    </w:p>
    <w:p>
      <w:pPr>
        <w:spacing w:after="40"/>
      </w:pPr>
      <w:r>
        <w:rPr>
          <w:sz w:val="17"/>
        </w:rPr>
        <w:t>☐ User and operator documentation published</w:t>
      </w:r>
    </w:p>
    <w:p>
      <w:pPr>
        <w:spacing w:after="40"/>
      </w:pPr>
      <w:r>
        <w:rPr>
          <w:sz w:val="17"/>
        </w:rPr>
        <w:t>☐ Supplier dependencies available</w:t>
      </w:r>
    </w:p>
    <w:p>
      <w:pPr>
        <w:spacing w:after="40"/>
      </w:pPr>
      <w:r>
        <w:rPr>
          <w:sz w:val="17"/>
        </w:rPr>
        <w:t>☐ Certificate and public claims reviewed where applicable</w:t>
      </w:r>
    </w:p>
    <w:p>
      <w:pPr>
        <w:spacing w:after="40"/>
      </w:pPr>
      <w:r>
        <w:rPr>
          <w:sz w:val="17"/>
        </w:rPr>
        <w:t>☐ Rollback point preserved</w:t>
      </w:r>
    </w:p>
    <w:p>
      <w:pPr>
        <w:spacing w:after="40"/>
      </w:pPr>
      <w:r>
        <w:rPr>
          <w:sz w:val="17"/>
        </w:rPr>
        <w:t>☐ Approval recorded before activation</w:t>
      </w:r>
    </w:p>
    <w:p>
      <w:pPr>
        <w:pStyle w:val="Heading1"/>
      </w:pPr>
      <w:r>
        <w:t>10. Rollback, Containment and Safe-State Procedures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rPr>
          <w:tblHeader w:val="true"/>
          <w:cantSplit/>
        </w:trPr>
        <w:tc>
          <w:tcPr>
            <w:tcW w:type="dxa" w:w="244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Trigger</w:t>
            </w:r>
          </w:p>
        </w:tc>
        <w:tc>
          <w:tcPr>
            <w:tcW w:type="dxa" w:w="5184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Immediate response</w:t>
            </w:r>
          </w:p>
        </w:tc>
        <w:tc>
          <w:tcPr>
            <w:tcW w:type="dxa" w:w="259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Decision owner</w:t>
            </w:r>
          </w:p>
        </w:tc>
      </w:tr>
      <w:tr>
        <w:trPr>
          <w:cantSplit/>
        </w:trP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Critical security exploit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Disable affected function, isolate systems and initiate incident response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Security incident authority</w:t>
            </w:r>
          </w:p>
        </w:tc>
      </w:tr>
      <w:tr>
        <w:trPr>
          <w:cantSplit/>
        </w:trPr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Material harmful output</w:t>
            </w:r>
          </w:p>
        </w:tc>
        <w:tc>
          <w:tcPr>
            <w:tcW w:type="dxa" w:w="518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Suspend feature, constrain model or require human approval</w:t>
            </w:r>
          </w:p>
        </w:tc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System owner / safety authority</w:t>
            </w:r>
          </w:p>
        </w:tc>
      </w:tr>
      <w:tr>
        <w:trPr>
          <w:cantSplit/>
        </w:trP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Privacy breach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Contain data flow, revoke access and activate breach process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Privacy and incident authority</w:t>
            </w:r>
          </w:p>
        </w:tc>
      </w:tr>
      <w:tr>
        <w:trPr>
          <w:cantSplit/>
        </w:trPr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Loss of monitoring</w:t>
            </w:r>
          </w:p>
        </w:tc>
        <w:tc>
          <w:tcPr>
            <w:tcW w:type="dxa" w:w="518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Pause expansion or revert to last observable release</w:t>
            </w:r>
          </w:p>
        </w:tc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Operations owner</w:t>
            </w:r>
          </w:p>
        </w:tc>
      </w:tr>
      <w:tr>
        <w:trPr>
          <w:cantSplit/>
        </w:trP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Model degradation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Revert model/configuration or restrict use cases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Model owner</w:t>
            </w:r>
          </w:p>
        </w:tc>
      </w:tr>
      <w:tr>
        <w:trPr>
          <w:cantSplit/>
        </w:trPr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Supplier outage/change</w:t>
            </w:r>
          </w:p>
        </w:tc>
        <w:tc>
          <w:tcPr>
            <w:tcW w:type="dxa" w:w="518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Fail over, degrade safely or suspend dependent capability</w:t>
            </w:r>
          </w:p>
        </w:tc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Service owner</w:t>
            </w:r>
          </w:p>
        </w:tc>
      </w:tr>
      <w:tr>
        <w:trPr>
          <w:cantSplit/>
        </w:trP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Physical safety threshold breach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Enter safe state and stop actuation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Safety authority</w:t>
            </w:r>
          </w:p>
        </w:tc>
      </w:tr>
    </w:tbl>
    <w:p/>
    <w:p>
      <w:pPr>
        <w:pStyle w:val="Heading2"/>
      </w:pPr>
      <w:r>
        <w:t>10.1 Rollback record</w:t>
      </w:r>
    </w:p>
    <w:p>
      <w:pPr>
        <w:pStyle w:val="ListBullet"/>
      </w:pPr>
      <w:r>
        <w:t>Trigger and detection time</w:t>
      </w:r>
    </w:p>
    <w:p>
      <w:pPr>
        <w:pStyle w:val="ListBullet"/>
      </w:pPr>
      <w:r>
        <w:t>Affected release and scope</w:t>
      </w:r>
    </w:p>
    <w:p>
      <w:pPr>
        <w:pStyle w:val="ListBullet"/>
      </w:pPr>
      <w:r>
        <w:t>Decision authority</w:t>
      </w:r>
    </w:p>
    <w:p>
      <w:pPr>
        <w:pStyle w:val="ListBullet"/>
      </w:pPr>
      <w:r>
        <w:t>Actions taken</w:t>
      </w:r>
    </w:p>
    <w:p>
      <w:pPr>
        <w:pStyle w:val="ListBullet"/>
      </w:pPr>
      <w:r>
        <w:t>Data and transaction handling</w:t>
      </w:r>
    </w:p>
    <w:p>
      <w:pPr>
        <w:pStyle w:val="ListBullet"/>
      </w:pPr>
      <w:r>
        <w:t>Customer or regulator notification</w:t>
      </w:r>
    </w:p>
    <w:p>
      <w:pPr>
        <w:pStyle w:val="ListBullet"/>
      </w:pPr>
      <w:r>
        <w:t>Evidence preserved</w:t>
      </w:r>
    </w:p>
    <w:p>
      <w:pPr>
        <w:pStyle w:val="ListBullet"/>
      </w:pPr>
      <w:r>
        <w:t>Recovery validation</w:t>
      </w:r>
    </w:p>
    <w:p>
      <w:pPr>
        <w:pStyle w:val="ListBullet"/>
      </w:pPr>
      <w:r>
        <w:t>Root-cause and corrective-action reference</w:t>
      </w:r>
    </w:p>
    <w:p>
      <w:pPr>
        <w:pStyle w:val="Heading1"/>
      </w:pPr>
      <w:r>
        <w:t>11. Stage 6 — Stabilization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16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Time window</w:t>
            </w:r>
          </w:p>
        </w:tc>
        <w:tc>
          <w:tcPr>
            <w:tcW w:type="dxa" w:w="748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Primary activities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First 24 hours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Continuous telemetry review, incident watch, rollback readiness and release verification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Days 2-7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Daily control-health review, user feedback, supplier and performance monitoring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Weeks 2-4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Trend analysis, finding closure, evidence consolidation and operational tuning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End of stabilization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Formal review of success criteria, residual risk and handover readiness</w:t>
            </w:r>
          </w:p>
        </w:tc>
      </w:tr>
    </w:tbl>
    <w:p/>
    <w:p>
      <w:pPr>
        <w:pStyle w:val="Heading2"/>
      </w:pPr>
      <w:r>
        <w:t>11.1 Stabilization review questions</w:t>
      </w:r>
    </w:p>
    <w:p>
      <w:pPr>
        <w:pStyle w:val="ListBullet"/>
      </w:pPr>
      <w:r>
        <w:t>Did actual use remain within approved scope?</w:t>
      </w:r>
    </w:p>
    <w:p>
      <w:pPr>
        <w:pStyle w:val="ListBullet"/>
      </w:pPr>
      <w:r>
        <w:t>Did any control fail, degrade or require manual compensation?</w:t>
      </w:r>
    </w:p>
    <w:p>
      <w:pPr>
        <w:pStyle w:val="ListBullet"/>
      </w:pPr>
      <w:r>
        <w:t>Were alerts actionable and reviewed?</w:t>
      </w:r>
    </w:p>
    <w:p>
      <w:pPr>
        <w:pStyle w:val="ListBullet"/>
      </w:pPr>
      <w:r>
        <w:t>Did user behavior reveal new misuse or confusion?</w:t>
      </w:r>
    </w:p>
    <w:p>
      <w:pPr>
        <w:pStyle w:val="ListBullet"/>
      </w:pPr>
      <w:r>
        <w:t>Did suppliers or data sources change?</w:t>
      </w:r>
    </w:p>
    <w:p>
      <w:pPr>
        <w:pStyle w:val="ListBullet"/>
      </w:pPr>
      <w:r>
        <w:t>Did the release affect certification scope or public claims?</w:t>
      </w:r>
    </w:p>
    <w:p>
      <w:pPr>
        <w:pStyle w:val="ListBullet"/>
      </w:pPr>
      <w:r>
        <w:t>Are operational teams ready to accept ownership?</w:t>
      </w:r>
    </w:p>
    <w:p>
      <w:pPr>
        <w:pStyle w:val="Heading1"/>
      </w:pPr>
      <w:r>
        <w:t>12. Stage 7 — Operational Handover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16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Handover item</w:t>
            </w:r>
          </w:p>
        </w:tc>
        <w:tc>
          <w:tcPr>
            <w:tcW w:type="dxa" w:w="748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Acceptance evidence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Ownership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Named system, service, model, data and control owners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Runbooks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Approved operating, incident, fallback and recovery procedures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Monitoring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Dashboards, alerts, thresholds and review responsibilities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Access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Production roles and privileged-access review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Evidence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Repository, index, retention and refresh ownership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Suppliers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Escalation, support, notification and continuity contacts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Training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Operator and support competence records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Backlog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Known defects, improvements and corrective actions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Risk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Residual-risk and exception register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Acceptance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Signed operational acceptance record</w:t>
            </w:r>
          </w:p>
        </w:tc>
      </w:tr>
    </w:tbl>
    <w:p/>
    <w:p>
      <w:pPr>
        <w:pStyle w:val="Heading1"/>
      </w:pPr>
      <w:r>
        <w:t>13. Stage 8 — Sustain and Improve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88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Trigger</w:t>
            </w:r>
          </w:p>
        </w:tc>
        <w:tc>
          <w:tcPr>
            <w:tcW w:type="dxa" w:w="676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Required reassessment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Model version change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Provenance, regression, security, safety and performance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Prompt/orchestration change</w:t>
            </w:r>
          </w:p>
        </w:tc>
        <w:tc>
          <w:tcPr>
            <w:tcW w:type="dxa" w:w="676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Abuse, authorization, output and workflow testing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New tool or agent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Permissions, transactions, delegation and containment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New data source</w:t>
            </w:r>
          </w:p>
        </w:tc>
        <w:tc>
          <w:tcPr>
            <w:tcW w:type="dxa" w:w="676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Lineage, privacy, quality, poisoning and licence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Infrastructure change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Hardening, identity, segmentation, resilience and logging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New jurisdiction</w:t>
            </w:r>
          </w:p>
        </w:tc>
        <w:tc>
          <w:tcPr>
            <w:tcW w:type="dxa" w:w="676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Legal, regulatory, data-transfer and disclosure analysis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Incident or near miss</w:t>
            </w:r>
          </w:p>
        </w:tc>
        <w:tc>
          <w:tcPr>
            <w:tcW w:type="dxa" w:w="676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Control effectiveness, root cause and corrective action</w:t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 release</w:t>
            </w:r>
          </w:p>
        </w:tc>
        <w:tc>
          <w:tcPr>
            <w:tcW w:type="dxa" w:w="676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Version impact and migration assessment</w:t>
            </w:r>
          </w:p>
        </w:tc>
      </w:tr>
    </w:tbl>
    <w:p/>
    <w:p>
      <w:pPr>
        <w:pStyle w:val="Heading1"/>
      </w:pPr>
      <w:r>
        <w:t>14. Deployment Roles and Decision Rights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59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Role</w:t>
            </w:r>
          </w:p>
        </w:tc>
        <w:tc>
          <w:tcPr>
            <w:tcW w:type="dxa" w:w="7056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Deployment responsibility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Executive sponsor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Resolve material scope, funding and risk issues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Release authority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Approve or reject production activation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System owner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Own business use, scope and residual risk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Security lead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Approve security readiness and containment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Safety lead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Approve safety case and physical-AI constraints where applicable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Model owner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Own model provenance, evaluation and version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Data owner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Approve data use, quality, privacy and retention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Operations lead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Accept monitoring, support and continuity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Independent assurance</w:t>
            </w:r>
          </w:p>
        </w:tc>
        <w:tc>
          <w:tcPr>
            <w:tcW w:type="dxa" w:w="70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Challenge evidence and gate decisions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Change manager</w:t>
            </w:r>
          </w:p>
        </w:tc>
        <w:tc>
          <w:tcPr>
            <w:tcW w:type="dxa" w:w="70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Maintain release and rollback records</w:t>
            </w:r>
          </w:p>
        </w:tc>
      </w:tr>
    </w:tbl>
    <w:p/>
    <w:p>
      <w:pPr>
        <w:pStyle w:val="Heading1"/>
      </w:pPr>
      <w:r>
        <w:t>15. Deployment Evidence Package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216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Evidence group</w:t>
            </w:r>
          </w:p>
        </w:tc>
        <w:tc>
          <w:tcPr>
            <w:tcW w:type="dxa" w:w="748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Artifacts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Planning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Deployment plan, scope, strategy, impact assessment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Build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Release manifests, model/data/configuration identifiers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Validation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Functional, security, safety, privacy and resilience tests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Approval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Gate decisions, exceptions and residual-risk acceptance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Execution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Deployment logs, feature-flag records and environment evidence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Pilot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Pilot metrics, issues, reviews and decision record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Production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Go-live checklist, activation record and monitoring evidence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Stabilization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Control-health reviews, incidents and corrective actions</w:t>
            </w:r>
          </w:p>
        </w:tc>
      </w:tr>
      <w:tr>
        <w:trPr>
          <w:cantSplit/>
        </w:trP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Handover</w:t>
            </w:r>
          </w:p>
        </w:tc>
        <w:tc>
          <w:tcPr>
            <w:tcW w:type="dxa" w:w="748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Operational acceptance and owner acknowledgements</w:t>
            </w:r>
          </w:p>
        </w:tc>
      </w:tr>
      <w:tr>
        <w:trPr>
          <w:cantSplit/>
        </w:trPr>
        <w:tc>
          <w:tcPr>
            <w:tcW w:type="dxa" w:w="216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Integrity</w:t>
            </w:r>
          </w:p>
        </w:tc>
        <w:tc>
          <w:tcPr>
            <w:tcW w:type="dxa" w:w="748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Hashes, signatures, timestamps and repository audit records</w:t>
            </w:r>
          </w:p>
        </w:tc>
      </w:tr>
    </w:tbl>
    <w:p/>
    <w:p>
      <w:pPr>
        <w:pStyle w:val="Heading1"/>
      </w:pPr>
      <w:r>
        <w:t>16. Deployment Metrics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rPr>
          <w:tblHeader w:val="true"/>
          <w:cantSplit/>
        </w:trPr>
        <w:tc>
          <w:tcPr>
            <w:tcW w:type="dxa" w:w="259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Metric</w:t>
            </w:r>
          </w:p>
        </w:tc>
        <w:tc>
          <w:tcPr>
            <w:tcW w:type="dxa" w:w="360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Use</w:t>
            </w:r>
          </w:p>
        </w:tc>
        <w:tc>
          <w:tcPr>
            <w:tcW w:type="dxa" w:w="3456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Caution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Deployment success rate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Track release reliability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Do not hide severity of failed releases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Rollback frequency</w:t>
            </w:r>
          </w:p>
        </w:tc>
        <w:tc>
          <w:tcPr>
            <w:tcW w:type="dxa" w:w="36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Detect instability or weak validation</w:t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Some rollback use demonstrates control effectiveness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Time to detect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Evaluate observability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Depends on event visibility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Time to contain</w:t>
            </w:r>
          </w:p>
        </w:tc>
        <w:tc>
          <w:tcPr>
            <w:tcW w:type="dxa" w:w="36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Evaluate incident readiness</w:t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Measure by severity class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Control-health failures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Identify operational degradation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Normalize by volume and scope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Pilot-to-production defects</w:t>
            </w:r>
          </w:p>
        </w:tc>
        <w:tc>
          <w:tcPr>
            <w:tcW w:type="dxa" w:w="36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Evaluate pilot representativeness</w:t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Classify materiality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Unapproved configuration drift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Detect release-control weakness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Requires authoritative baseline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Evidence completeness</w:t>
            </w:r>
          </w:p>
        </w:tc>
        <w:tc>
          <w:tcPr>
            <w:tcW w:type="dxa" w:w="36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Assess deployment traceability</w:t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Count does not equal quality</w:t>
            </w:r>
          </w:p>
        </w:tc>
      </w:tr>
    </w:tbl>
    <w:p/>
    <w:p>
      <w:pPr>
        <w:pStyle w:val="Heading1"/>
      </w:pPr>
      <w:r>
        <w:t>17. Emergency Deployment Procedure</w:t>
      </w:r>
    </w:p>
    <w:p>
      <w:r>
        <w:t>Emergency deployment may shorten normal sequencing but shall not eliminate accountability, logging, rollback, risk acceptance or retrospective review.</w:t>
      </w:r>
    </w:p>
    <w:p>
      <w:pPr>
        <w:spacing w:after="40"/>
      </w:pPr>
      <w:r>
        <w:t>1.    Document the emergency condition and affected scope.</w:t>
      </w:r>
    </w:p>
    <w:p>
      <w:pPr>
        <w:spacing w:after="40"/>
      </w:pPr>
      <w:r>
        <w:t>2.    Identify minimum mandatory validation and containment.</w:t>
      </w:r>
    </w:p>
    <w:p>
      <w:pPr>
        <w:spacing w:after="40"/>
      </w:pPr>
      <w:r>
        <w:t>3.    Obtain authorized emergency approval.</w:t>
      </w:r>
    </w:p>
    <w:p>
      <w:pPr>
        <w:spacing w:after="40"/>
      </w:pPr>
      <w:r>
        <w:t>4.    Preserve the pre-change state and rollback option.</w:t>
      </w:r>
    </w:p>
    <w:p>
      <w:pPr>
        <w:spacing w:after="40"/>
      </w:pPr>
      <w:r>
        <w:t>5.    Enable enhanced monitoring.</w:t>
      </w:r>
    </w:p>
    <w:p>
      <w:pPr>
        <w:spacing w:after="40"/>
      </w:pPr>
      <w:r>
        <w:t>6.    Complete omitted documentation and testing after stabilization.</w:t>
      </w:r>
    </w:p>
    <w:p>
      <w:pPr>
        <w:spacing w:after="40"/>
      </w:pPr>
      <w:r>
        <w:t>7.    Conduct retrospective review and corrective action.</w:t>
      </w:r>
    </w:p>
    <w:p>
      <w:pPr>
        <w:pStyle w:val="Heading1"/>
      </w:pPr>
      <w:r>
        <w:t>18. Common Deployment Failure Modes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rPr>
          <w:tblHeader w:val="true"/>
          <w:cantSplit/>
        </w:trPr>
        <w:tc>
          <w:tcPr>
            <w:tcW w:type="dxa" w:w="259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Failure mode</w:t>
            </w:r>
          </w:p>
        </w:tc>
        <w:tc>
          <w:tcPr>
            <w:tcW w:type="dxa" w:w="3456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Consequence</w:t>
            </w:r>
          </w:p>
        </w:tc>
        <w:tc>
          <w:tcPr>
            <w:tcW w:type="dxa" w:w="360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Prevention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Uncontrolled model update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Evidence and behavior no longer match approval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Pin versions and enforce release manifests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Pilot not representative</w:t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Production failures appear after scale-up</w:t>
            </w:r>
          </w:p>
        </w:tc>
        <w:tc>
          <w:tcPr>
            <w:tcW w:type="dxa" w:w="36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Select realistic users, data and workloads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Rollback untested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Containment fails during incident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Test rollback before release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Telemetry activated late</w:t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Early failures are invisible</w:t>
            </w:r>
          </w:p>
        </w:tc>
        <w:tc>
          <w:tcPr>
            <w:tcW w:type="dxa" w:w="36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Verify observability before pilot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Feature flags unmanaged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Unauthorized capabilities become active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Control flag ownership and logging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Supplier change unnoticed</w:t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Inherited controls silently change</w:t>
            </w:r>
          </w:p>
        </w:tc>
        <w:tc>
          <w:tcPr>
            <w:tcW w:type="dxa" w:w="36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Contractual notification and dependency monitoring</w:t>
            </w:r>
          </w:p>
        </w:tc>
      </w:tr>
      <w:tr>
        <w:trPr>
          <w:cantSplit/>
        </w:trPr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Handover assumed</w:t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No team owns post-release risks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Require signed operational acceptance</w:t>
            </w:r>
          </w:p>
        </w:tc>
      </w:tr>
      <w:tr>
        <w:trPr>
          <w:cantSplit/>
        </w:trPr>
        <w:tc>
          <w:tcPr>
            <w:tcW w:type="dxa" w:w="259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Success-only reporting</w:t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Negative evidence is lost</w:t>
            </w:r>
          </w:p>
        </w:tc>
        <w:tc>
          <w:tcPr>
            <w:tcW w:type="dxa" w:w="360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Retain failed and inconclusive results</w:t>
            </w:r>
          </w:p>
        </w:tc>
      </w:tr>
    </w:tbl>
    <w:p/>
    <w:p>
      <w:pPr>
        <w:pStyle w:val="Heading1"/>
      </w:pPr>
      <w:r>
        <w:t>19. Limitations</w:t>
      </w:r>
    </w:p>
    <w:p>
      <w:pPr>
        <w:pStyle w:val="ListBullet"/>
      </w:pPr>
      <w:r>
        <w:t>This playbook does not prescribe a universal rollout duration.</w:t>
      </w:r>
    </w:p>
    <w:p>
      <w:pPr>
        <w:pStyle w:val="ListBullet"/>
      </w:pPr>
      <w:r>
        <w:t>It does not replace sector-specific safety, quality or regulatory release processes.</w:t>
      </w:r>
    </w:p>
    <w:p>
      <w:pPr>
        <w:pStyle w:val="ListBullet"/>
      </w:pPr>
      <w:r>
        <w:t>A successful pilot does not prove absence of low-frequency or emerging failures.</w:t>
      </w:r>
    </w:p>
    <w:p>
      <w:pPr>
        <w:pStyle w:val="ListBullet"/>
      </w:pPr>
      <w:r>
        <w:t>Rollback may be constrained where irreversible transactions or physical actions occur.</w:t>
      </w:r>
    </w:p>
    <w:p>
      <w:pPr>
        <w:pStyle w:val="ListBullet"/>
      </w:pPr>
      <w:r>
        <w:t>Deployment evidence remains subject to sampling, completeness and integrity limitations.</w:t>
      </w:r>
    </w:p>
    <w:p>
      <w:pPr>
        <w:pStyle w:val="Heading1"/>
      </w:pPr>
      <w:r>
        <w:t>20. Notably Absent</w:t>
      </w:r>
    </w:p>
    <w:p>
      <w:pPr>
        <w:pStyle w:val="ListBullet"/>
      </w:pPr>
      <w:r>
        <w:t>No authorization to deploy merely because a checklist is complete.</w:t>
      </w:r>
    </w:p>
    <w:p>
      <w:pPr>
        <w:pStyle w:val="ListBullet"/>
      </w:pPr>
      <w:r>
        <w:t>No assumption that canary deployment is safe for every high-consequence system.</w:t>
      </w:r>
    </w:p>
    <w:p>
      <w:pPr>
        <w:pStyle w:val="ListBullet"/>
      </w:pPr>
      <w:r>
        <w:t>No waiver of human oversight, risk acceptance or incident obligations.</w:t>
      </w:r>
    </w:p>
    <w:p>
      <w:pPr>
        <w:pStyle w:val="ListBullet"/>
      </w:pPr>
      <w:r>
        <w:t>No promise that progressive rollout prevents all harmful outcomes.</w:t>
      </w:r>
    </w:p>
    <w:p>
      <w:pPr>
        <w:pStyle w:val="ListBullet"/>
      </w:pPr>
      <w:r>
        <w:t>No substitution for independent physical-safety validation.</w:t>
      </w:r>
    </w:p>
    <w:p>
      <w:pPr>
        <w:pStyle w:val="ListBullet"/>
      </w:pPr>
      <w:r>
        <w:t>No permission to erase failed deployment evidence.</w:t>
      </w:r>
    </w:p>
    <w:p>
      <w:pPr>
        <w:pStyle w:val="Heading1"/>
      </w:pPr>
      <w:r>
        <w:t>Annex A — Deployment Plan Template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3024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Field</w:t>
            </w:r>
          </w:p>
        </w:tc>
        <w:tc>
          <w:tcPr>
            <w:tcW w:type="dxa" w:w="6624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Entry</w:t>
            </w:r>
          </w:p>
        </w:tc>
      </w:tr>
      <w:tr>
        <w:trPr>
          <w:cantSplit/>
        </w:trP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Release identifier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Scope</w:t>
            </w:r>
          </w:p>
        </w:tc>
        <w:tc>
          <w:tcPr>
            <w:tcW w:type="dxa" w:w="66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Change description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Risk classification</w:t>
            </w:r>
          </w:p>
        </w:tc>
        <w:tc>
          <w:tcPr>
            <w:tcW w:type="dxa" w:w="66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Rollout strategy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Owners</w:t>
            </w:r>
          </w:p>
        </w:tc>
        <w:tc>
          <w:tcPr>
            <w:tcW w:type="dxa" w:w="66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Success criteria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Stop criteria</w:t>
            </w:r>
          </w:p>
        </w:tc>
        <w:tc>
          <w:tcPr>
            <w:tcW w:type="dxa" w:w="66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Rollback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Monitoring</w:t>
            </w:r>
          </w:p>
        </w:tc>
        <w:tc>
          <w:tcPr>
            <w:tcW w:type="dxa" w:w="66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Communications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Evidence</w:t>
            </w:r>
          </w:p>
        </w:tc>
        <w:tc>
          <w:tcPr>
            <w:tcW w:type="dxa" w:w="6624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Approval</w:t>
            </w:r>
          </w:p>
        </w:tc>
        <w:tc>
          <w:tcPr>
            <w:tcW w:type="dxa" w:w="662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</w:tbl>
    <w:p/>
    <w:p>
      <w:pPr>
        <w:pStyle w:val="Heading1"/>
      </w:pPr>
      <w:r>
        <w:t>Annex B — Stage-Gate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14"/>
        <w:gridCol w:w="1714"/>
        <w:gridCol w:w="1714"/>
        <w:gridCol w:w="1714"/>
        <w:gridCol w:w="1714"/>
        <w:gridCol w:w="1714"/>
      </w:tblGrid>
      <w:tr>
        <w:trPr>
          <w:tblHeader w:val="true"/>
          <w:cantSplit/>
        </w:trPr>
        <w:tc>
          <w:tcPr>
            <w:tcW w:type="dxa" w:w="172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Gate</w:t>
            </w:r>
          </w:p>
        </w:tc>
        <w:tc>
          <w:tcPr>
            <w:tcW w:type="dxa" w:w="187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Criteria met</w:t>
            </w:r>
          </w:p>
        </w:tc>
        <w:tc>
          <w:tcPr>
            <w:tcW w:type="dxa" w:w="244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Open issues</w:t>
            </w:r>
          </w:p>
        </w:tc>
        <w:tc>
          <w:tcPr>
            <w:tcW w:type="dxa" w:w="144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Decision</w:t>
            </w:r>
          </w:p>
        </w:tc>
        <w:tc>
          <w:tcPr>
            <w:tcW w:type="dxa" w:w="144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Approver</w:t>
            </w:r>
          </w:p>
        </w:tc>
        <w:tc>
          <w:tcPr>
            <w:tcW w:type="dxa" w:w="115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Date</w:t>
            </w:r>
          </w:p>
        </w:tc>
      </w:tr>
      <w:tr>
        <w:trPr>
          <w:cantSplit/>
        </w:trP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Plan</w:t>
            </w:r>
          </w:p>
        </w:tc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15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Prepare</w:t>
            </w:r>
          </w:p>
        </w:tc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15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Validate</w:t>
            </w:r>
          </w:p>
        </w:tc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15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Pilot</w:t>
            </w:r>
          </w:p>
        </w:tc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15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Limited production</w:t>
            </w:r>
          </w:p>
        </w:tc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15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General production</w:t>
            </w:r>
          </w:p>
        </w:tc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15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Stabilization</w:t>
            </w:r>
          </w:p>
        </w:tc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15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172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Handover</w:t>
            </w:r>
          </w:p>
        </w:tc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2448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15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</w:tbl>
    <w:p/>
    <w:p>
      <w:pPr>
        <w:pStyle w:val="Heading1"/>
      </w:pPr>
      <w:r>
        <w:t>Annex C — Rollback Checklist</w:t>
      </w:r>
    </w:p>
    <w:p>
      <w:pPr>
        <w:spacing w:after="40"/>
      </w:pPr>
      <w:r>
        <w:rPr>
          <w:sz w:val="17"/>
        </w:rPr>
        <w:t>☐ Rollback authority confirmed</w:t>
      </w:r>
    </w:p>
    <w:p>
      <w:pPr>
        <w:spacing w:after="40"/>
      </w:pPr>
      <w:r>
        <w:rPr>
          <w:sz w:val="17"/>
        </w:rPr>
        <w:t>☐ Last known good release available</w:t>
      </w:r>
    </w:p>
    <w:p>
      <w:pPr>
        <w:spacing w:after="40"/>
      </w:pPr>
      <w:r>
        <w:rPr>
          <w:sz w:val="17"/>
        </w:rPr>
        <w:t>☐ Data and transaction consequences assessed</w:t>
      </w:r>
    </w:p>
    <w:p>
      <w:pPr>
        <w:spacing w:after="40"/>
      </w:pPr>
      <w:r>
        <w:rPr>
          <w:sz w:val="17"/>
        </w:rPr>
        <w:t>☐ Supplier dependencies addressed</w:t>
      </w:r>
    </w:p>
    <w:p>
      <w:pPr>
        <w:spacing w:after="40"/>
      </w:pPr>
      <w:r>
        <w:rPr>
          <w:sz w:val="17"/>
        </w:rPr>
        <w:t>☐ Monitoring active during rollback</w:t>
      </w:r>
    </w:p>
    <w:p>
      <w:pPr>
        <w:spacing w:after="40"/>
      </w:pPr>
      <w:r>
        <w:rPr>
          <w:sz w:val="17"/>
        </w:rPr>
        <w:t>☐ Users and stakeholders notified</w:t>
      </w:r>
    </w:p>
    <w:p>
      <w:pPr>
        <w:spacing w:after="40"/>
      </w:pPr>
      <w:r>
        <w:rPr>
          <w:sz w:val="17"/>
        </w:rPr>
        <w:t>☐ Evidence preserved</w:t>
      </w:r>
    </w:p>
    <w:p>
      <w:pPr>
        <w:spacing w:after="40"/>
      </w:pPr>
      <w:r>
        <w:rPr>
          <w:sz w:val="17"/>
        </w:rPr>
        <w:t>☐ Recovery validation completed</w:t>
      </w:r>
    </w:p>
    <w:p>
      <w:pPr>
        <w:spacing w:after="40"/>
      </w:pPr>
      <w:r>
        <w:rPr>
          <w:sz w:val="17"/>
        </w:rPr>
        <w:t>☐ Root-cause review initiated</w:t>
      </w:r>
    </w:p>
    <w:p>
      <w:pPr>
        <w:pStyle w:val="Heading1"/>
      </w:pPr>
      <w:r>
        <w:t>Annex D — Operational Acceptance Template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rPr>
          <w:tblHeader w:val="true"/>
          <w:cantSplit/>
        </w:trPr>
        <w:tc>
          <w:tcPr>
            <w:tcW w:type="dxa" w:w="288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Acceptance area</w:t>
            </w:r>
          </w:p>
        </w:tc>
        <w:tc>
          <w:tcPr>
            <w:tcW w:type="dxa" w:w="144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Status</w:t>
            </w:r>
          </w:p>
        </w:tc>
        <w:tc>
          <w:tcPr>
            <w:tcW w:type="dxa" w:w="3456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Evidence</w:t>
            </w:r>
          </w:p>
        </w:tc>
        <w:tc>
          <w:tcPr>
            <w:tcW w:type="dxa" w:w="187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Owner sign-off</w:t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Monitoring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Incident response</w:t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Support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Access and privileges</w:t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Evidence maintenance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Supplier management</w:t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Known risks and exceptions</w:t>
            </w:r>
          </w:p>
        </w:tc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  <w:tr>
        <w:trPr>
          <w:cantSplit/>
        </w:trPr>
        <w:tc>
          <w:tcPr>
            <w:tcW w:type="dxa" w:w="288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Training</w:t>
            </w:r>
          </w:p>
        </w:tc>
        <w:tc>
          <w:tcPr>
            <w:tcW w:type="dxa" w:w="14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3456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  <w:tc>
          <w:tcPr>
            <w:tcW w:type="dxa" w:w="1872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</w:r>
          </w:p>
        </w:tc>
      </w:tr>
    </w:tbl>
    <w:p/>
    <w:p>
      <w:pPr>
        <w:pStyle w:val="Heading1"/>
      </w:pPr>
      <w:r>
        <w:t>Annex E — Source Traceability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432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Playbook subject</w:t>
            </w:r>
          </w:p>
        </w:tc>
        <w:tc>
          <w:tcPr>
            <w:tcW w:type="dxa" w:w="504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Controlled source</w:t>
            </w:r>
          </w:p>
        </w:tc>
      </w:tr>
      <w:tr>
        <w:trPr>
          <w:cantSplit/>
        </w:trPr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Normative requirements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GAISSF-NOR-001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Control records</w:t>
            </w:r>
          </w:p>
        </w:tc>
        <w:tc>
          <w:tcPr>
            <w:tcW w:type="dxa" w:w="50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GAISSF-NOR-004</w:t>
            </w:r>
          </w:p>
        </w:tc>
      </w:tr>
      <w:tr>
        <w:trPr>
          <w:cantSplit/>
        </w:trPr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Terminology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GAISSF-NOR-005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Release status</w:t>
            </w:r>
          </w:p>
        </w:tc>
        <w:tc>
          <w:tcPr>
            <w:tcW w:type="dxa" w:w="50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GAISSF-NOR-007</w:t>
            </w:r>
          </w:p>
        </w:tc>
      </w:tr>
      <w:tr>
        <w:trPr>
          <w:cantSplit/>
        </w:trPr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Historical decisions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GAISSF-NOR-008</w:t>
            </w:r>
          </w:p>
        </w:tc>
      </w:tr>
      <w:tr>
        <w:trPr>
          <w:cantSplit/>
        </w:trPr>
        <w:tc>
          <w:tcPr>
            <w:tcW w:type="dxa" w:w="432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Adoption program</w:t>
            </w:r>
          </w:p>
        </w:tc>
        <w:tc>
          <w:tcPr>
            <w:tcW w:type="dxa" w:w="504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GAISSF-IMP-009</w:t>
            </w:r>
          </w:p>
        </w:tc>
      </w:tr>
      <w:tr>
        <w:trPr>
          <w:cantSplit/>
        </w:trPr>
        <w:tc>
          <w:tcPr>
            <w:tcW w:type="dxa" w:w="432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Implementation architecture and workflows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GAISSF-IMP-010</w:t>
            </w:r>
          </w:p>
        </w:tc>
      </w:tr>
    </w:tbl>
    <w:p/>
    <w:p>
      <w:pPr>
        <w:pStyle w:val="Heading1"/>
      </w:pPr>
      <w:r>
        <w:t>Annex F — Publication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rPr>
          <w:tblHeader w:val="true"/>
          <w:cantSplit/>
        </w:trPr>
        <w:tc>
          <w:tcPr>
            <w:tcW w:type="dxa" w:w="1152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Version</w:t>
            </w:r>
          </w:p>
        </w:tc>
        <w:tc>
          <w:tcPr>
            <w:tcW w:type="dxa" w:w="1728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Date</w:t>
            </w:r>
          </w:p>
        </w:tc>
        <w:tc>
          <w:tcPr>
            <w:tcW w:type="dxa" w:w="5184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Change</w:t>
            </w:r>
          </w:p>
        </w:tc>
        <w:tc>
          <w:tcPr>
            <w:tcW w:type="dxa" w:w="1584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Status</w:t>
            </w:r>
          </w:p>
        </w:tc>
      </w:tr>
      <w:tr>
        <w:trPr>
          <w:cantSplit/>
        </w:trPr>
        <w:tc>
          <w:tcPr>
            <w:tcW w:type="dxa" w:w="1152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1.0</w:t>
            </w:r>
          </w:p>
        </w:tc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29 June 2026</w:t>
            </w:r>
          </w:p>
        </w:tc>
        <w:tc>
          <w:tcPr>
            <w:tcW w:type="dxa" w:w="5184"/>
            <w:vAlign w:val="center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Initial deployment playbook for GAISSF v1.0</w:t>
            </w:r>
          </w:p>
        </w:tc>
        <w:tc>
          <w:tcPr>
            <w:tcW w:type="dxa" w:w="1584"/>
            <w:vAlign w:val="center"/>
          </w:tcPr>
          <w:p>
            <w:r>
              <w:t>Final Publication Edition</w:t>
            </w:r>
          </w:p>
        </w:tc>
      </w:tr>
    </w:tbl>
    <w:p/>
    <w:p>
      <w:pPr>
        <w:pStyle w:val="Heading1"/>
      </w:pPr>
      <w:r>
        <w:t>Controlled Profile Reconciliation Notice</w:t>
      </w:r>
    </w:p>
    <w:p>
      <w:r>
        <w:t>The Foundational profile comprises 52 controls across all nine domains, as enumerated in the controlled conformance profile. Seven controls are excluded from that profile; the exclusions are not equivalent to excluding the D9 domain.</w:t>
      </w:r>
    </w:p>
    <w:p>
      <w:r>
        <w:t>Any earlier wording that described the Foundational profile as D1-D8 only or treated the entire D9 domain as excluded is superseded by this statement and the controlled conformance profile.</w:t>
      </w:r>
    </w:p>
    <w:p>
      <w:pPr>
        <w:pStyle w:val="Heading1"/>
      </w:pPr>
      <w:r>
        <w:t>Detailed Rollout Work Breakdown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70"/>
        <w:gridCol w:w="2570"/>
        <w:gridCol w:w="2570"/>
        <w:gridCol w:w="2570"/>
      </w:tblGrid>
      <w:tr>
        <w:trPr>
          <w:tblHeader w:val="true"/>
          <w:cantSplit/>
        </w:trPr>
        <w:tc>
          <w:tcPr>
            <w:tcW w:type="dxa" w:w="257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Work package</w:t>
            </w:r>
          </w:p>
        </w:tc>
        <w:tc>
          <w:tcPr>
            <w:tcW w:type="dxa" w:w="257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Tasks</w:t>
            </w:r>
          </w:p>
        </w:tc>
        <w:tc>
          <w:tcPr>
            <w:tcW w:type="dxa" w:w="257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Owner</w:t>
            </w:r>
          </w:p>
        </w:tc>
        <w:tc>
          <w:tcPr>
            <w:tcW w:type="dxa" w:w="2570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Exit evidence</w:t>
            </w:r>
          </w:p>
        </w:tc>
      </w:tr>
      <w:tr>
        <w:trPr>
          <w:cantSplit/>
        </w:trPr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Release planning</w:t>
            </w:r>
          </w:p>
        </w:tc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Scope, risk, strategy, schedule, dependencies</w:t>
            </w:r>
          </w:p>
        </w:tc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Release manager</w:t>
            </w:r>
          </w:p>
        </w:tc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Approved plan</w:t>
            </w:r>
          </w:p>
        </w:tc>
      </w:tr>
      <w:tr>
        <w:trPr>
          <w:cantSplit/>
        </w:trPr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Environment preparation</w:t>
            </w:r>
          </w:p>
        </w:tc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Access, secrets, network, logging, baseline</w:t>
            </w:r>
          </w:p>
        </w:tc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Platform owner</w:t>
            </w:r>
          </w:p>
        </w:tc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Environment checklist</w:t>
            </w:r>
          </w:p>
        </w:tc>
      </w:tr>
      <w:tr>
        <w:trPr>
          <w:cantSplit/>
        </w:trPr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Validation</w:t>
            </w:r>
          </w:p>
        </w:tc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Functional, security, safety, privacy, resilience</w:t>
            </w:r>
          </w:p>
        </w:tc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Test lead</w:t>
            </w:r>
          </w:p>
        </w:tc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Signed validation report</w:t>
            </w:r>
          </w:p>
        </w:tc>
      </w:tr>
      <w:tr>
        <w:trPr>
          <w:cantSplit/>
        </w:trPr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Pilot</w:t>
            </w:r>
          </w:p>
        </w:tc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Users, limits, oversight, support, telemetry</w:t>
            </w:r>
          </w:p>
        </w:tc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System owner</w:t>
            </w:r>
          </w:p>
        </w:tc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Pilot decision record</w:t>
            </w:r>
          </w:p>
        </w:tc>
      </w:tr>
      <w:tr>
        <w:trPr>
          <w:cantSplit/>
        </w:trPr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Scale-up</w:t>
            </w:r>
          </w:p>
        </w:tc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Traffic, feature, region and autonomy waves</w:t>
            </w:r>
          </w:p>
        </w:tc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Operations lead</w:t>
            </w:r>
          </w:p>
        </w:tc>
        <w:tc>
          <w:tcPr>
            <w:tcW w:type="dxa" w:w="2570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Wave gate approvals</w:t>
            </w:r>
          </w:p>
        </w:tc>
      </w:tr>
      <w:tr>
        <w:trPr>
          <w:cantSplit/>
        </w:trPr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Handover</w:t>
            </w:r>
          </w:p>
        </w:tc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Runbooks, ownership, training and backlog</w:t>
            </w:r>
          </w:p>
        </w:tc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Service owner</w:t>
            </w:r>
          </w:p>
        </w:tc>
        <w:tc>
          <w:tcPr>
            <w:tcW w:type="dxa" w:w="2570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Operational acceptance</w:t>
            </w:r>
          </w:p>
        </w:tc>
      </w:tr>
    </w:tbl>
    <w:p/>
    <w:p>
      <w:pPr>
        <w:pStyle w:val="Heading1"/>
      </w:pPr>
      <w:r>
        <w:t>Decision Trees for Pause and Rollback</w:t>
      </w:r>
    </w:p>
    <w:p>
      <w:r>
        <w:t>A pause is appropriate when evidence is incomplete, monitoring is impaired or a threshold breach has not created immediate material exposure. Rollback or safe-state activation is appropriate when a material security, safety, privacy or integrity condition exists and continued operation increases harm.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5141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Condition</w:t>
            </w:r>
          </w:p>
        </w:tc>
        <w:tc>
          <w:tcPr>
            <w:tcW w:type="dxa" w:w="5141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Default decision</w:t>
            </w:r>
          </w:p>
        </w:tc>
      </w:tr>
      <w:tr>
        <w:trPr>
          <w:cantSplit/>
        </w:trPr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Critical exploit or unsafe actuation</w:t>
            </w:r>
          </w:p>
        </w:tc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Contain and roll back or enter safe state</w:t>
            </w:r>
          </w:p>
        </w:tc>
      </w:tr>
      <w:tr>
        <w:trPr>
          <w:cantSplit/>
        </w:trPr>
        <w:tc>
          <w:tcPr>
            <w:tcW w:type="dxa" w:w="5141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Material harmful output with uncertain scope</w:t>
            </w:r>
          </w:p>
        </w:tc>
        <w:tc>
          <w:tcPr>
            <w:tcW w:type="dxa" w:w="5141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Pause affected capability and investigate</w:t>
            </w:r>
          </w:p>
        </w:tc>
      </w:tr>
      <w:tr>
        <w:trPr>
          <w:cantSplit/>
        </w:trPr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Monitoring unavailable for high-risk action</w:t>
            </w:r>
          </w:p>
        </w:tc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Restrict or suspend until observability returns</w:t>
            </w:r>
          </w:p>
        </w:tc>
      </w:tr>
      <w:tr>
        <w:trPr>
          <w:cantSplit/>
        </w:trPr>
        <w:tc>
          <w:tcPr>
            <w:tcW w:type="dxa" w:w="5141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Minor performance degradation within risk tolerance</w:t>
            </w:r>
          </w:p>
        </w:tc>
        <w:tc>
          <w:tcPr>
            <w:tcW w:type="dxa" w:w="5141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Continue under enhanced monitoring</w:t>
            </w:r>
          </w:p>
        </w:tc>
      </w:tr>
      <w:tr>
        <w:trPr>
          <w:cantSplit/>
        </w:trPr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Supplier model change without evaluation</w:t>
            </w:r>
          </w:p>
        </w:tc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Hold expansion and revalidate</w:t>
            </w:r>
          </w:p>
        </w:tc>
      </w:tr>
    </w:tbl>
    <w:p/>
    <w:p>
      <w:pPr>
        <w:pStyle w:val="Heading1"/>
      </w:pPr>
      <w:r>
        <w:t>Communications Plan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427"/>
        <w:gridCol w:w="3427"/>
        <w:gridCol w:w="3427"/>
      </w:tblGrid>
      <w:tr>
        <w:trPr>
          <w:tblHeader w:val="true"/>
          <w:cantSplit/>
        </w:trPr>
        <w:tc>
          <w:tcPr>
            <w:tcW w:type="dxa" w:w="3427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Audience</w:t>
            </w:r>
          </w:p>
        </w:tc>
        <w:tc>
          <w:tcPr>
            <w:tcW w:type="dxa" w:w="3427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Message content</w:t>
            </w:r>
          </w:p>
        </w:tc>
        <w:tc>
          <w:tcPr>
            <w:tcW w:type="dxa" w:w="3427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Trigger</w:t>
            </w:r>
          </w:p>
        </w:tc>
      </w:tr>
      <w:tr>
        <w:trPr>
          <w:cantSplit/>
        </w:trPr>
        <w:tc>
          <w:tcPr>
            <w:tcW w:type="dxa" w:w="3427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Operators</w:t>
            </w:r>
          </w:p>
        </w:tc>
        <w:tc>
          <w:tcPr>
            <w:tcW w:type="dxa" w:w="3427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Release, known limitations, monitoring and escalation</w:t>
            </w:r>
          </w:p>
        </w:tc>
        <w:tc>
          <w:tcPr>
            <w:tcW w:type="dxa" w:w="3427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Before activation</w:t>
            </w:r>
          </w:p>
        </w:tc>
      </w:tr>
      <w:tr>
        <w:trPr>
          <w:cantSplit/>
        </w:trPr>
        <w:tc>
          <w:tcPr>
            <w:tcW w:type="dxa" w:w="3427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Users</w:t>
            </w:r>
          </w:p>
        </w:tc>
        <w:tc>
          <w:tcPr>
            <w:tcW w:type="dxa" w:w="3427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Capability, restrictions, disclosures and recourse</w:t>
            </w:r>
          </w:p>
        </w:tc>
        <w:tc>
          <w:tcPr>
            <w:tcW w:type="dxa" w:w="3427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Before access</w:t>
            </w:r>
          </w:p>
        </w:tc>
      </w:tr>
      <w:tr>
        <w:trPr>
          <w:cantSplit/>
        </w:trPr>
        <w:tc>
          <w:tcPr>
            <w:tcW w:type="dxa" w:w="3427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Executives</w:t>
            </w:r>
          </w:p>
        </w:tc>
        <w:tc>
          <w:tcPr>
            <w:tcW w:type="dxa" w:w="3427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Risk, residual issues and go/no-go decision</w:t>
            </w:r>
          </w:p>
        </w:tc>
        <w:tc>
          <w:tcPr>
            <w:tcW w:type="dxa" w:w="3427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Each material gate</w:t>
            </w:r>
          </w:p>
        </w:tc>
      </w:tr>
      <w:tr>
        <w:trPr>
          <w:cantSplit/>
        </w:trPr>
        <w:tc>
          <w:tcPr>
            <w:tcW w:type="dxa" w:w="3427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Customers</w:t>
            </w:r>
          </w:p>
        </w:tc>
        <w:tc>
          <w:tcPr>
            <w:tcW w:type="dxa" w:w="3427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Service impact and material change</w:t>
            </w:r>
          </w:p>
        </w:tc>
        <w:tc>
          <w:tcPr>
            <w:tcW w:type="dxa" w:w="3427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Contractual trigger</w:t>
            </w:r>
          </w:p>
        </w:tc>
      </w:tr>
      <w:tr>
        <w:trPr>
          <w:cantSplit/>
        </w:trPr>
        <w:tc>
          <w:tcPr>
            <w:tcW w:type="dxa" w:w="3427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Regulators</w:t>
            </w:r>
          </w:p>
        </w:tc>
        <w:tc>
          <w:tcPr>
            <w:tcW w:type="dxa" w:w="3427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Required incident or change information</w:t>
            </w:r>
          </w:p>
        </w:tc>
        <w:tc>
          <w:tcPr>
            <w:tcW w:type="dxa" w:w="3427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Legal trigger</w:t>
            </w:r>
          </w:p>
        </w:tc>
      </w:tr>
    </w:tbl>
    <w:p/>
    <w:p>
      <w:pPr>
        <w:pStyle w:val="Heading1"/>
      </w:pPr>
      <w:r>
        <w:t>Post-Deployment Validation</w:t>
      </w:r>
    </w:p>
    <w:p>
      <w:pPr>
        <w:pStyle w:val="ListBullet"/>
      </w:pPr>
      <w:r>
        <w:t>Compare actual traffic and users with approved scope.</w:t>
      </w:r>
    </w:p>
    <w:p>
      <w:pPr>
        <w:pStyle w:val="ListBullet"/>
      </w:pPr>
      <w:r>
        <w:t>Re-run critical tests against production configuration.</w:t>
      </w:r>
    </w:p>
    <w:p>
      <w:pPr>
        <w:pStyle w:val="ListBullet"/>
      </w:pPr>
      <w:r>
        <w:t>Validate alert completeness and operator response.</w:t>
      </w:r>
    </w:p>
    <w:p>
      <w:pPr>
        <w:pStyle w:val="ListBullet"/>
      </w:pPr>
      <w:r>
        <w:t>Review user feedback and unexpected use.</w:t>
      </w:r>
    </w:p>
    <w:p>
      <w:pPr>
        <w:pStyle w:val="ListBullet"/>
      </w:pPr>
      <w:r>
        <w:t>Confirm evidence package matches the deployed release.</w:t>
      </w:r>
    </w:p>
    <w:p>
      <w:pPr>
        <w:pStyle w:val="ListBullet"/>
      </w:pPr>
      <w:r>
        <w:t>Close or reclassify pilot and stabilization findings.</w:t>
      </w:r>
    </w:p>
    <w:p>
      <w:r/>
    </w:p>
    <w:p>
      <w:pPr>
        <w:pStyle w:val="Heading1"/>
      </w:pPr>
      <w:r>
        <w:t>Publication Completeness and Intended Use</w:t>
      </w:r>
    </w:p>
    <w:p>
      <w:r>
        <w:t>This full publication edition of GAISSF-IMP-011 is designed to stand on its own for its stated role: complete execution playbook from planning through production handover. It includes purpose, scope, governance, operating guidance, evidence expectations, limitations, decision criteria and reusable records appropriate to that role.</w:t>
      </w:r>
    </w:p>
    <w:p>
      <w:r>
        <w:t>Completeness does not mean that the document replaces the normative control statements, applicable law, sector-specific engineering, organizational procedures or professional judgement. Cross-referenced GAISSF documents remain part of the controlled document system.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rPr>
          <w:tblHeader w:val="true"/>
          <w:cantSplit/>
        </w:trPr>
        <w:tc>
          <w:tcPr>
            <w:tcW w:type="dxa" w:w="5141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Completeness dimension</w:t>
            </w:r>
          </w:p>
        </w:tc>
        <w:tc>
          <w:tcPr>
            <w:tcW w:type="dxa" w:w="5141"/>
            <w:vAlign w:val="center"/>
            <w:shd w:fill="17324D"/>
          </w:tcPr>
          <w:p>
            <w:pPr>
              <w:spacing w:after="0"/>
            </w:pPr>
            <w:r/>
            <w:r>
              <w:rPr>
                <w:rFonts w:ascii="Aptos" w:hAnsi="Aptos"/>
                <w:b/>
                <w:color w:val="FFFFFF"/>
                <w:sz w:val="15"/>
              </w:rPr>
              <w:t>Treatment in this edition</w:t>
            </w:r>
          </w:p>
        </w:tc>
      </w:tr>
      <w:tr>
        <w:trPr>
          <w:cantSplit/>
        </w:trPr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Normative alignment</w:t>
            </w:r>
          </w:p>
        </w:tc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Reconciled to the authoritative 59-control baseline and controlled profile structure.</w:t>
            </w:r>
          </w:p>
        </w:tc>
      </w:tr>
      <w:tr>
        <w:trPr>
          <w:cantSplit/>
        </w:trPr>
        <w:tc>
          <w:tcPr>
            <w:tcW w:type="dxa" w:w="5141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Operational usability</w:t>
            </w:r>
          </w:p>
        </w:tc>
        <w:tc>
          <w:tcPr>
            <w:tcW w:type="dxa" w:w="5141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Includes roles, workflows, gates, evidence, metrics, escalation and examples where relevant.</w:t>
            </w:r>
          </w:p>
        </w:tc>
      </w:tr>
      <w:tr>
        <w:trPr>
          <w:cantSplit/>
        </w:trPr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Traceability</w:t>
            </w:r>
          </w:p>
        </w:tc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Identifies dependencies and preserves the distinction between requirements, guidance and examples.</w:t>
            </w:r>
          </w:p>
        </w:tc>
      </w:tr>
      <w:tr>
        <w:trPr>
          <w:cantSplit/>
        </w:trPr>
        <w:tc>
          <w:tcPr>
            <w:tcW w:type="dxa" w:w="5141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Limitations</w:t>
            </w:r>
          </w:p>
        </w:tc>
        <w:tc>
          <w:tcPr>
            <w:tcW w:type="dxa" w:w="5141"/>
            <w:vAlign w:val="center"/>
            <w:shd w:fill="F3F6F7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States what the document does not establish or guarantee.</w:t>
            </w:r>
          </w:p>
        </w:tc>
      </w:tr>
      <w:tr>
        <w:trPr>
          <w:cantSplit/>
        </w:trPr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Maintenance</w:t>
            </w:r>
          </w:p>
        </w:tc>
        <w:tc>
          <w:tcPr>
            <w:tcW w:type="dxa" w:w="5141"/>
            <w:vAlign w:val="center"/>
            <w:shd w:fill="FFFFFF"/>
          </w:tcPr>
          <w:p>
            <w:pPr>
              <w:spacing w:after="0"/>
            </w:pPr>
            <w:r/>
            <w:r>
              <w:rPr>
                <w:rFonts w:ascii="Aptos" w:hAnsi="Aptos"/>
                <w:b w:val="0"/>
                <w:sz w:val="15"/>
              </w:rPr>
              <w:t>Includes review triggers, change control and publication status.</w:t>
            </w:r>
          </w:p>
        </w:tc>
      </w:tr>
    </w:tbl>
    <w:p/>
    <w:p>
      <w:r>
        <w:br w:type="page"/>
      </w:r>
    </w:p>
    <w:p>
      <w:pPr>
        <w:pStyle w:val="Heading1"/>
      </w:pPr>
      <w:r>
        <w:t>Legal and Regulatory Integration</w:t>
      </w:r>
    </w:p>
    <w:p>
      <w:r>
        <w:t>GAISSF provides an operational security, safety, governance and evidence framework. It does not determine which laws apply, establish statutory compliance, create a legal safe harbour, define a legal standard of care, replace competent legal advice, or guarantee that evidence collected for GAISSF purposes will satisfy a regulator, court or other authority. Organizations should maintain a jurisdiction-specific legal and regulatory obligations register and map applicable obligations to their GAISSF scope, controls, evidence, reporting processes and decision authorities.</w:t>
      </w:r>
    </w:p>
    <w:p>
      <w:pPr>
        <w:pStyle w:val="Heading2"/>
      </w:pPr>
      <w:r>
        <w:t>Legal and regulatory interface requirements</w:t>
      </w:r>
    </w:p>
    <w:p>
      <w:pPr>
        <w:pStyle w:val="ListBullet"/>
      </w:pPr>
      <w:r>
        <w:t>Identify applicable jurisdictions, regulators, sector rules, contractual duties and internal legal authorities before relying on this guide.</w:t>
      </w:r>
    </w:p>
    <w:p>
      <w:pPr>
        <w:pStyle w:val="ListBullet"/>
      </w:pPr>
      <w:r>
        <w:t>Maintain a controlled obligations register, reporting-clock register, retention schedule, legal-hold process and conflicts-of-obligation procedure.</w:t>
      </w:r>
    </w:p>
    <w:p>
      <w:pPr>
        <w:pStyle w:val="ListBullet"/>
      </w:pPr>
      <w:r>
        <w:t>Treat statutory, regulatory and contractual analysis as a parallel workstream to GAISSF implementation and assurance.</w:t>
      </w:r>
    </w:p>
    <w:p>
      <w:pPr>
        <w:pStyle w:val="ListBullet"/>
      </w:pPr>
      <w:r>
        <w:t>Record the legal basis, responsible owner, scope, decision, evidence, deadline and review date for each material obligation.</w:t>
      </w:r>
    </w:p>
    <w:p>
      <w:pPr>
        <w:pStyle w:val="ListBullet"/>
      </w:pPr>
      <w:r>
        <w:t>Do not represent GAISSF conformance, maturity or certification as legal approval, permission to operate, immunity from enforcement or proof that harm cannot occur.</w:t>
      </w:r>
    </w:p>
    <w:p>
      <w:pPr>
        <w:pStyle w:val="Heading1"/>
      </w:pPr>
      <w:r>
        <w:t>How to use this document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shd w:fill="17324D"/>
            <w:vAlign w:val="center"/>
          </w:tcPr>
          <w:p>
            <w:r>
              <w:rPr>
                <w:b/>
              </w:rPr>
              <w:t>Reader</w:t>
            </w:r>
          </w:p>
        </w:tc>
        <w:tc>
          <w:tcPr>
            <w:tcW w:type="dxa" w:w="5141"/>
            <w:shd w:fill="17324D"/>
            <w:vAlign w:val="center"/>
          </w:tcPr>
          <w:p>
            <w:r>
              <w:rPr>
                <w:b/>
              </w:rPr>
              <w:t>Recommended use</w:t>
            </w:r>
          </w:p>
        </w:tc>
      </w:tr>
      <w:tr>
        <w:tc>
          <w:tcPr>
            <w:tcW w:type="dxa" w:w="5141"/>
          </w:tcPr>
          <w:p>
            <w:r>
              <w:t>Executive or board reader</w:t>
            </w:r>
          </w:p>
        </w:tc>
        <w:tc>
          <w:tcPr>
            <w:tcW w:type="dxa" w:w="5141"/>
          </w:tcPr>
          <w:p>
            <w:r>
              <w:t>Review purpose, decision rights, legal and regulatory integration, limitations and Notably Absent sections.</w:t>
            </w:r>
          </w:p>
        </w:tc>
      </w:tr>
      <w:tr>
        <w:tc>
          <w:tcPr>
            <w:tcW w:type="dxa" w:w="5141"/>
          </w:tcPr>
          <w:p>
            <w:r>
              <w:t>Program or control owner</w:t>
            </w:r>
          </w:p>
        </w:tc>
        <w:tc>
          <w:tcPr>
            <w:tcW w:type="dxa" w:w="5141"/>
          </w:tcPr>
          <w:p>
            <w:r>
              <w:t>Use workflows, templates, gates, evidence fields and escalation criteria as implementation aids.</w:t>
            </w:r>
          </w:p>
        </w:tc>
      </w:tr>
      <w:tr>
        <w:tc>
          <w:tcPr>
            <w:tcW w:type="dxa" w:w="5141"/>
          </w:tcPr>
          <w:p>
            <w:r>
              <w:t>Engineering or operations team</w:t>
            </w:r>
          </w:p>
        </w:tc>
        <w:tc>
          <w:tcPr>
            <w:tcW w:type="dxa" w:w="5141"/>
          </w:tcPr>
          <w:p>
            <w:r>
              <w:t>Translate guidance into system-specific procedures, configurations, runbooks and testable acceptance criteria.</w:t>
            </w:r>
          </w:p>
        </w:tc>
      </w:tr>
      <w:tr>
        <w:tc>
          <w:tcPr>
            <w:tcW w:type="dxa" w:w="5141"/>
          </w:tcPr>
          <w:p>
            <w:r>
              <w:t>Legal, privacy or compliance team</w:t>
            </w:r>
          </w:p>
        </w:tc>
        <w:tc>
          <w:tcPr>
            <w:tcW w:type="dxa" w:w="5141"/>
          </w:tcPr>
          <w:p>
            <w:r>
              <w:t>Validate jurisdiction-specific obligations, deadlines, retention, disclosure, privilege and regulator-facing requirements.</w:t>
            </w:r>
          </w:p>
        </w:tc>
      </w:tr>
      <w:tr>
        <w:tc>
          <w:tcPr>
            <w:tcW w:type="dxa" w:w="5141"/>
          </w:tcPr>
          <w:p>
            <w:r>
              <w:t>Assessor or auditor</w:t>
            </w:r>
          </w:p>
        </w:tc>
        <w:tc>
          <w:tcPr>
            <w:tcW w:type="dxa" w:w="5141"/>
          </w:tcPr>
          <w:p>
            <w:r>
              <w:t>Use the document as informative context only; test claims against the authoritative normative sources and applicable assessment criteria.</w:t>
            </w:r>
          </w:p>
        </w:tc>
      </w:tr>
    </w:tbl>
    <w:p>
      <w:pPr>
        <w:pStyle w:val="Heading1"/>
      </w:pPr>
      <w:r>
        <w:t>See Also</w:t>
      </w:r>
    </w:p>
    <w:p>
      <w:pPr>
        <w:pStyle w:val="ListBullet"/>
      </w:pPr>
      <w:r>
        <w:t>GAISSF-IMP-010 for engineering controls.</w:t>
      </w:r>
    </w:p>
    <w:p>
      <w:pPr>
        <w:pStyle w:val="ListBullet"/>
      </w:pPr>
      <w:r>
        <w:t>GAISSF-IMP-014 for run-state operations.</w:t>
      </w:r>
    </w:p>
    <w:p>
      <w:pPr>
        <w:pStyle w:val="ListBullet"/>
      </w:pPr>
      <w:r>
        <w:t>GAISSF-IMP-016 for troubleshooting and containment.</w:t>
      </w:r>
    </w:p>
    <w:p>
      <w:pPr>
        <w:pStyle w:val="Heading1"/>
      </w:pPr>
      <w:r>
        <w:t>Deployment-specific regulatory enhancements</w:t>
      </w:r>
    </w:p>
    <w:p>
      <w:pPr>
        <w:pStyle w:val="Heading2"/>
      </w:pPr>
      <w:r>
        <w:t>Parallel regulatory notification decision path</w:t>
      </w:r>
    </w:p>
    <w:p>
      <w:pPr>
        <w:pStyle w:val="ListNumber"/>
      </w:pPr>
      <w:r>
        <w:t>Contain immediate harm and preserve relevant evidence.</w:t>
      </w:r>
    </w:p>
    <w:p>
      <w:pPr>
        <w:pStyle w:val="ListNumber"/>
      </w:pPr>
      <w:r>
        <w:t>Notify legal, privacy, compliance and regulatory-response owners.</w:t>
      </w:r>
    </w:p>
    <w:p>
      <w:pPr>
        <w:pStyle w:val="ListNumber"/>
      </w:pPr>
      <w:r>
        <w:t>Determine applicable incident, breach, safety, securities, sector and contractual regimes.</w:t>
      </w:r>
    </w:p>
    <w:p>
      <w:pPr>
        <w:pStyle w:val="ListNumber"/>
      </w:pPr>
      <w:r>
        <w:t>Start and record each potentially applicable reporting clock.</w:t>
      </w:r>
    </w:p>
    <w:p>
      <w:pPr>
        <w:pStyle w:val="ListNumber"/>
      </w:pPr>
      <w:r>
        <w:t>Identify authorities, customers, data subjects and counterparties.</w:t>
      </w:r>
    </w:p>
    <w:p>
      <w:pPr>
        <w:pStyle w:val="ListNumber"/>
      </w:pPr>
      <w:r>
        <w:t>Approve initial, supplemental and final communications.</w:t>
      </w:r>
    </w:p>
    <w:p>
      <w:pPr>
        <w:pStyle w:val="ListNumber"/>
      </w:pPr>
      <w:r>
        <w:t>Document the decision to notify or not notify, supporting facts, uncertainty and approver.</w:t>
      </w:r>
    </w:p>
    <w:p>
      <w:r>
        <w:t>Illustrative deadlines are jurisdiction- and event-specific. For example, GDPR supervisory-authority notification may require action within 72 hours after awareness where Article 33 applies; NIS2 uses staged notifications for covered significant incidents; SEC Form 8-K timing generally runs from a registrant’s materiality determination, not automatically from incident occurrence; EU AI Act serious-incident timing varies by incident category and system context. Legal owners shall validate the applicable rule.</w:t>
      </w:r>
    </w:p>
    <w:p>
      <w:pPr>
        <w:pStyle w:val="Heading2"/>
      </w:pPr>
      <w:r>
        <w:t>Consumer-protection and public-claim release gate</w:t>
      </w:r>
    </w:p>
    <w:p>
      <w:pPr>
        <w:pStyle w:val="ListBullet"/>
      </w:pPr>
      <w:r>
        <w:t>Substantiate capability, performance, safety and autonomy claims.</w:t>
      </w:r>
    </w:p>
    <w:p>
      <w:pPr>
        <w:pStyle w:val="ListBullet"/>
      </w:pPr>
      <w:r>
        <w:t>Confirm that terms, privacy notices, automated-decision disclosures and limitations match actual operation.</w:t>
      </w:r>
    </w:p>
    <w:p>
      <w:pPr>
        <w:pStyle w:val="ListBullet"/>
      </w:pPr>
      <w:r>
        <w:t>Assess unfair, deceptive, dark-pattern, accessibility and vulnerable-user risks.</w:t>
      </w:r>
    </w:p>
    <w:p>
      <w:pPr>
        <w:pStyle w:val="ListBullet"/>
      </w:pPr>
      <w:r>
        <w:t>Verify required consent, authorization and customer communication.</w:t>
      </w:r>
    </w:p>
    <w:p>
      <w:pPr>
        <w:pStyle w:val="Heading2"/>
      </w:pPr>
      <w:r>
        <w:t>Material-change external impact assessment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shd w:fill="17324D"/>
            <w:vAlign w:val="center"/>
          </w:tcPr>
          <w:p>
            <w:r>
              <w:rPr>
                <w:b/>
              </w:rPr>
              <w:t>External artifact or obligation</w:t>
            </w:r>
          </w:p>
        </w:tc>
        <w:tc>
          <w:tcPr>
            <w:tcW w:type="dxa" w:w="5141"/>
            <w:shd w:fill="17324D"/>
            <w:vAlign w:val="center"/>
          </w:tcPr>
          <w:p>
            <w:r>
              <w:rPr>
                <w:b/>
              </w:rPr>
              <w:t>Assessment question</w:t>
            </w:r>
          </w:p>
        </w:tc>
      </w:tr>
      <w:tr>
        <w:tc>
          <w:tcPr>
            <w:tcW w:type="dxa" w:w="5141"/>
          </w:tcPr>
          <w:p>
            <w:r>
              <w:t>Conformity assessment or registration</w:t>
            </w:r>
          </w:p>
        </w:tc>
        <w:tc>
          <w:tcPr>
            <w:tcW w:type="dxa" w:w="5141"/>
          </w:tcPr>
          <w:p>
            <w:r>
              <w:t>Does the change alter the approved system, intended purpose or risk classification?</w:t>
            </w:r>
          </w:p>
        </w:tc>
      </w:tr>
      <w:tr>
        <w:tc>
          <w:tcPr>
            <w:tcW w:type="dxa" w:w="5141"/>
          </w:tcPr>
          <w:p>
            <w:r>
              <w:t>Regulatory filing or notification</w:t>
            </w:r>
          </w:p>
        </w:tc>
        <w:tc>
          <w:tcPr>
            <w:tcW w:type="dxa" w:w="5141"/>
          </w:tcPr>
          <w:p>
            <w:r>
              <w:t>Must an existing filing be amended or a new notice made?</w:t>
            </w:r>
          </w:p>
        </w:tc>
      </w:tr>
      <w:tr>
        <w:tc>
          <w:tcPr>
            <w:tcW w:type="dxa" w:w="5141"/>
          </w:tcPr>
          <w:p>
            <w:r>
              <w:t>Customer commitment</w:t>
            </w:r>
          </w:p>
        </w:tc>
        <w:tc>
          <w:tcPr>
            <w:tcW w:type="dxa" w:w="5141"/>
          </w:tcPr>
          <w:p>
            <w:r>
              <w:t>Does the change invalidate a representation, SLA, warranty or approved use?</w:t>
            </w:r>
          </w:p>
        </w:tc>
      </w:tr>
      <w:tr>
        <w:tc>
          <w:tcPr>
            <w:tcW w:type="dxa" w:w="5141"/>
          </w:tcPr>
          <w:p>
            <w:r>
              <w:t>Certification scope</w:t>
            </w:r>
          </w:p>
        </w:tc>
        <w:tc>
          <w:tcPr>
            <w:tcW w:type="dxa" w:w="5141"/>
          </w:tcPr>
          <w:p>
            <w:r>
              <w:t>Does the change exceed the assessed configuration or evidence period?</w:t>
            </w:r>
          </w:p>
        </w:tc>
      </w:tr>
      <w:tr>
        <w:tc>
          <w:tcPr>
            <w:tcW w:type="dxa" w:w="5141"/>
          </w:tcPr>
          <w:p>
            <w:r>
              <w:t>Insurance or safety case</w:t>
            </w:r>
          </w:p>
        </w:tc>
        <w:tc>
          <w:tcPr>
            <w:tcW w:type="dxa" w:w="5141"/>
          </w:tcPr>
          <w:p>
            <w:r>
              <w:t>Does the change affect coverage conditions, hazard analysis or approved controls?</w:t>
            </w:r>
          </w:p>
        </w:tc>
      </w:tr>
    </w:tbl>
    <w:p>
      <w:pPr>
        <w:pStyle w:val="Heading2"/>
      </w:pPr>
      <w:r>
        <w:t>Pilot, canary, supplier cutover and handover</w:t>
      </w:r>
    </w:p>
    <w:p>
      <w:pPr>
        <w:pStyle w:val="ListBullet"/>
      </w:pPr>
      <w:r>
        <w:t>Use representative, minimized and authorized pilot data; preserve comparison with the validated baseline.</w:t>
      </w:r>
    </w:p>
    <w:p>
      <w:pPr>
        <w:pStyle w:val="ListBullet"/>
      </w:pPr>
      <w:r>
        <w:t>Define canary stages and tolerances by risk; fixed percentages and dwell times are illustrative only.</w:t>
      </w:r>
    </w:p>
    <w:p>
      <w:pPr>
        <w:pStyle w:val="ListBullet"/>
      </w:pPr>
      <w:r>
        <w:t>Maintain supplier fallback while validating a new endpoint, dependency or service.</w:t>
      </w:r>
    </w:p>
    <w:p>
      <w:pPr>
        <w:pStyle w:val="ListBullet"/>
      </w:pPr>
      <w:r>
        <w:t>Require operational teams to demonstrate log retrieval, alert testing, rollback execution and escalation before acceptance.</w:t>
      </w:r>
    </w:p>
    <w:p>
      <w:pPr>
        <w:pStyle w:val="Heading2"/>
      </w:pPr>
      <w:r>
        <w:t>Notably Absent — legal and regulatory boundary</w:t>
      </w:r>
    </w:p>
    <w:p>
      <w:pPr>
        <w:pStyle w:val="ListBullet"/>
      </w:pPr>
      <w:r>
        <w:t>No automatic stop rule where continued operation is necessary for safety, critical service or evidence preservation.</w:t>
      </w:r>
    </w:p>
    <w:p>
      <w:pPr>
        <w:pStyle w:val="ListBullet"/>
      </w:pPr>
      <w:r>
        <w:t>No universal incident-reporting deadline.</w:t>
      </w:r>
    </w:p>
    <w:p>
      <w:pPr>
        <w:pStyle w:val="ListBullet"/>
      </w:pPr>
      <w:r>
        <w:t>No assumption that internal reassessment alone preserves external filings or approvals.</w:t>
      </w:r>
    </w:p>
    <w:p>
      <w:pPr>
        <w:pStyle w:val="Heading1"/>
      </w:pPr>
      <w:r>
        <w:t>Publication revision record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41"/>
        <w:gridCol w:w="5141"/>
      </w:tblGrid>
      <w:tr>
        <w:tc>
          <w:tcPr>
            <w:tcW w:type="dxa" w:w="5141"/>
            <w:shd w:fill="17324D"/>
            <w:vAlign w:val="center"/>
          </w:tcPr>
          <w:p>
            <w:r>
              <w:rPr>
                <w:b/>
              </w:rPr>
              <w:t>Revision</w:t>
            </w:r>
          </w:p>
        </w:tc>
        <w:tc>
          <w:tcPr>
            <w:tcW w:type="dxa" w:w="5141"/>
            <w:shd w:fill="17324D"/>
            <w:vAlign w:val="center"/>
          </w:tcPr>
          <w:p>
            <w:r>
              <w:rPr>
                <w:b/>
              </w:rPr>
              <w:t>Disposition</w:t>
            </w:r>
          </w:p>
        </w:tc>
      </w:tr>
      <w:tr>
        <w:tc>
          <w:tcPr>
            <w:tcW w:type="dxa" w:w="5141"/>
          </w:tcPr>
          <w:p>
            <w:r>
              <w:t>R2 — Regulatory and practitioner refinement</w:t>
            </w:r>
          </w:p>
        </w:tc>
        <w:tc>
          <w:tcPr>
            <w:tcW w:type="dxa" w:w="5141"/>
          </w:tcPr>
          <w:p>
            <w:r>
              <w:t>Added legal and regulatory integration, preservation, reporting, decision-record, public-claim and usability guidance. No normative GAISSF control was added, removed, renamed or amended.</w:t>
            </w:r>
          </w:p>
        </w:tc>
      </w:tr>
      <w:tr>
        <w:tc>
          <w:tcPr>
            <w:tcW w:type="dxa" w:w="5141"/>
          </w:tcPr>
          <w:p>
            <w:r>
              <w:t>Authority boundary</w:t>
            </w:r>
          </w:p>
        </w:tc>
        <w:tc>
          <w:tcPr>
            <w:tcW w:type="dxa" w:w="5141"/>
          </w:tcPr>
          <w:p>
            <w:r>
              <w:t>GAISSF-NOR-001, GAISSF-NOR-004 and controlled profile records remain authoritative.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93" w:right="979" w:bottom="893" w:left="9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5"/>
      </w:rPr>
      <w:t xml:space="preserve">Version 1.0 | Implementation guidance | © 2026 ODA3 Pvt Ltd | Page </w:t>
    </w:r>
    <w:r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4C6B7A"/>
        <w:sz w:val="16"/>
      </w:rPr>
      <w:t>GAISSF-IMP-011 | GAISSF® v1.0 Deployment Playbook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5" w:lineRule="auto"/>
    </w:pPr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324D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205B6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17324D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17324D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b w:val="0"/>
      <w:i/>
      <w:iCs/>
      <w:color w:val="4C6B7A"/>
      <w:spacing w:val="15"/>
      <w:sz w:val="2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ptos" w:hAnsi="Aptos"/>
      <w:color w:val="4A5560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GAISSF® v1.0 Deployment Playbook</dc:title>
  <dc:subject>Step-by-step rollout and production deployment guidance | Full final edition</dc:subject>
  <dc:creator>ODA3 Institute</dc:creator>
  <cp:keywords>GAISSF, AI security, AI safety, implementation guidance, ODA3 Institute</cp:keywords>
  <dc:description>Verified and revised publication edition aligned to GAISSF v1.0 authoritative normative sources.</dc:description>
  <cp:lastModifiedBy>ODA3 Institute</cp:lastModifiedBy>
  <cp:revision>1</cp:revision>
  <dcterms:created xsi:type="dcterms:W3CDTF">2013-12-23T23:15:00Z</dcterms:created>
  <dcterms:modified xsi:type="dcterms:W3CDTF">2013-12-23T23:15:00Z</dcterms:modified>
  <cp:category/>
</cp:coreProperties>
</file>