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160"/>
        <w:jc w:val="center"/>
      </w:pPr>
      <w:r>
        <w:rPr>
          <w:b/>
          <w:color w:val="17324D"/>
          <w:sz w:val="60"/>
        </w:rPr>
        <w:t>GAISSF® v1.0</w:t>
      </w:r>
    </w:p>
    <w:p>
      <w:pPr>
        <w:jc w:val="center"/>
      </w:pPr>
      <w:r>
        <w:rPr>
          <w:b/>
          <w:color w:val="205B65"/>
          <w:sz w:val="48"/>
        </w:rPr>
        <w:t>Migration Guide</w:t>
      </w:r>
    </w:p>
    <w:p>
      <w:pPr>
        <w:jc w:val="center"/>
      </w:pPr>
      <w:r>
        <w:rPr>
          <w:color w:val="4C6B7A"/>
          <w:sz w:val="23"/>
        </w:rPr>
        <w:t>Transition from Existing Governance, Security and Assurance Frameworks</w:t>
      </w:r>
    </w:p>
    <w:tbl>
      <w:tblPr>
        <w:tblStyle w:val="TableGrid"/>
        <w:tblW w:type="auto" w:w="0"/>
        <w:jc w:val="center"/>
        <w:tblLook w:firstColumn="1" w:firstRow="1" w:lastColumn="0" w:lastRow="0" w:noHBand="0" w:noVBand="1" w:val="04A0"/>
      </w:tblPr>
      <w:tblGrid>
        <w:gridCol w:w="5141"/>
        <w:gridCol w:w="5141"/>
      </w:tblGrid>
      <w:tr>
        <w:trPr>
          <w:tblHeader w:val="true"/>
          <w:cantSplit/>
        </w:trPr>
        <w:tc>
          <w:tcPr>
            <w:tcW w:type="dxa" w:w="2736"/>
            <w:vAlign w:val="center"/>
            <w:shd w:fill="17324D"/>
          </w:tcPr>
          <w:p>
            <w:pPr>
              <w:spacing w:after="0"/>
            </w:pPr>
            <w:r/>
            <w:r>
              <w:rPr>
                <w:rFonts w:ascii="Aptos" w:hAnsi="Aptos"/>
                <w:b/>
                <w:color w:val="FFFFFF"/>
                <w:sz w:val="15"/>
              </w:rPr>
              <w:t>Field</w:t>
            </w:r>
          </w:p>
        </w:tc>
        <w:tc>
          <w:tcPr>
            <w:tcW w:type="dxa" w:w="6912"/>
            <w:vAlign w:val="center"/>
            <w:shd w:fill="17324D"/>
          </w:tcPr>
          <w:p>
            <w:pPr>
              <w:spacing w:after="0"/>
            </w:pPr>
            <w:r/>
            <w:r>
              <w:rPr>
                <w:rFonts w:ascii="Aptos" w:hAnsi="Aptos"/>
                <w:b/>
                <w:color w:val="FFFFFF"/>
                <w:sz w:val="15"/>
              </w:rPr>
              <w:t>Value</w:t>
            </w:r>
          </w:p>
        </w:tc>
      </w:tr>
      <w:tr>
        <w:trPr>
          <w:cantSplit/>
        </w:trPr>
        <w:tc>
          <w:tcPr>
            <w:tcW w:type="dxa" w:w="2736"/>
            <w:vAlign w:val="center"/>
          </w:tcPr>
          <w:p>
            <w:pPr>
              <w:spacing w:after="0"/>
            </w:pPr>
            <w:r/>
            <w:r>
              <w:rPr>
                <w:rFonts w:ascii="Aptos" w:hAnsi="Aptos"/>
                <w:b w:val="0"/>
                <w:sz w:val="15"/>
              </w:rPr>
              <w:t>Document ID</w:t>
            </w:r>
          </w:p>
        </w:tc>
        <w:tc>
          <w:tcPr>
            <w:tcW w:type="dxa" w:w="6912"/>
            <w:vAlign w:val="center"/>
          </w:tcPr>
          <w:p>
            <w:pPr>
              <w:spacing w:after="0"/>
            </w:pPr>
            <w:r/>
            <w:r>
              <w:rPr>
                <w:rFonts w:ascii="Aptos" w:hAnsi="Aptos"/>
                <w:b w:val="0"/>
                <w:sz w:val="15"/>
              </w:rPr>
              <w:t>GAISSF-IMP-012</w:t>
            </w:r>
          </w:p>
        </w:tc>
      </w:tr>
      <w:tr>
        <w:trPr>
          <w:cantSplit/>
        </w:trPr>
        <w:tc>
          <w:tcPr>
            <w:tcW w:type="dxa" w:w="2736"/>
            <w:vAlign w:val="center"/>
            <w:shd w:fill="F3F6F7"/>
          </w:tcPr>
          <w:p>
            <w:pPr>
              <w:spacing w:after="0"/>
            </w:pPr>
            <w:r/>
            <w:r>
              <w:rPr>
                <w:rFonts w:ascii="Aptos" w:hAnsi="Aptos"/>
                <w:b w:val="0"/>
                <w:sz w:val="15"/>
              </w:rPr>
              <w:t>Version</w:t>
            </w:r>
          </w:p>
        </w:tc>
        <w:tc>
          <w:tcPr>
            <w:tcW w:type="dxa" w:w="6912"/>
            <w:vAlign w:val="center"/>
            <w:shd w:fill="F3F6F7"/>
          </w:tcPr>
          <w:p>
            <w:pPr>
              <w:spacing w:after="0"/>
            </w:pPr>
            <w:r/>
            <w:r>
              <w:rPr>
                <w:rFonts w:ascii="Aptos" w:hAnsi="Aptos"/>
                <w:b w:val="0"/>
                <w:sz w:val="15"/>
              </w:rPr>
              <w:t>1.0</w:t>
            </w:r>
          </w:p>
        </w:tc>
      </w:tr>
      <w:tr>
        <w:trPr>
          <w:cantSplit/>
        </w:trPr>
        <w:tc>
          <w:tcPr>
            <w:tcW w:type="dxa" w:w="2736"/>
            <w:vAlign w:val="center"/>
          </w:tcPr>
          <w:p>
            <w:pPr>
              <w:spacing w:after="0"/>
            </w:pPr>
            <w:r/>
            <w:r>
              <w:rPr>
                <w:rFonts w:ascii="Aptos" w:hAnsi="Aptos"/>
                <w:b w:val="0"/>
                <w:sz w:val="15"/>
              </w:rPr>
              <w:t>Status</w:t>
            </w:r>
          </w:p>
        </w:tc>
        <w:tc>
          <w:tcPr>
            <w:tcW w:type="dxa" w:w="6912"/>
            <w:vAlign w:val="center"/>
          </w:tcPr>
          <w:p>
            <w:r>
              <w:t>Final Publication Edition</w:t>
            </w:r>
          </w:p>
        </w:tc>
      </w:tr>
      <w:tr>
        <w:trPr>
          <w:cantSplit/>
        </w:trPr>
        <w:tc>
          <w:tcPr>
            <w:tcW w:type="dxa" w:w="2736"/>
            <w:vAlign w:val="center"/>
            <w:shd w:fill="F3F6F7"/>
          </w:tcPr>
          <w:p>
            <w:pPr>
              <w:spacing w:after="0"/>
            </w:pPr>
            <w:r/>
            <w:r>
              <w:rPr>
                <w:rFonts w:ascii="Aptos" w:hAnsi="Aptos"/>
                <w:b w:val="0"/>
                <w:sz w:val="15"/>
              </w:rPr>
              <w:t>Classification</w:t>
            </w:r>
          </w:p>
        </w:tc>
        <w:tc>
          <w:tcPr>
            <w:tcW w:type="dxa" w:w="6912"/>
            <w:vAlign w:val="center"/>
            <w:shd w:fill="F3F6F7"/>
          </w:tcPr>
          <w:p>
            <w:pPr>
              <w:spacing w:after="0"/>
            </w:pPr>
            <w:r/>
            <w:r>
              <w:rPr>
                <w:rFonts w:ascii="Aptos" w:hAnsi="Aptos"/>
                <w:b w:val="0"/>
                <w:sz w:val="15"/>
              </w:rPr>
              <w:t>Implementation guidance — informative</w:t>
            </w:r>
          </w:p>
        </w:tc>
      </w:tr>
      <w:tr>
        <w:trPr>
          <w:cantSplit/>
        </w:trPr>
        <w:tc>
          <w:tcPr>
            <w:tcW w:type="dxa" w:w="2736"/>
            <w:vAlign w:val="center"/>
          </w:tcPr>
          <w:p>
            <w:pPr>
              <w:spacing w:after="0"/>
            </w:pPr>
            <w:r/>
            <w:r>
              <w:rPr>
                <w:rFonts w:ascii="Aptos" w:hAnsi="Aptos"/>
                <w:b w:val="0"/>
                <w:sz w:val="15"/>
              </w:rPr>
              <w:t>Publisher</w:t>
            </w:r>
          </w:p>
        </w:tc>
        <w:tc>
          <w:tcPr>
            <w:tcW w:type="dxa" w:w="6912"/>
            <w:vAlign w:val="center"/>
          </w:tcPr>
          <w:p>
            <w:pPr>
              <w:spacing w:after="0"/>
            </w:pPr>
            <w:r/>
            <w:r>
              <w:rPr>
                <w:rFonts w:ascii="Aptos" w:hAnsi="Aptos"/>
                <w:b w:val="0"/>
                <w:sz w:val="15"/>
              </w:rPr>
              <w:t>ODA3 Institute</w:t>
            </w:r>
          </w:p>
        </w:tc>
      </w:tr>
      <w:tr>
        <w:trPr>
          <w:cantSplit/>
        </w:trPr>
        <w:tc>
          <w:tcPr>
            <w:tcW w:type="dxa" w:w="2736"/>
            <w:vAlign w:val="center"/>
            <w:shd w:fill="F3F6F7"/>
          </w:tcPr>
          <w:p>
            <w:pPr>
              <w:spacing w:after="0"/>
            </w:pPr>
            <w:r/>
            <w:r>
              <w:rPr>
                <w:rFonts w:ascii="Aptos" w:hAnsi="Aptos"/>
                <w:b w:val="0"/>
                <w:sz w:val="15"/>
              </w:rPr>
              <w:t>Legal entity</w:t>
            </w:r>
          </w:p>
        </w:tc>
        <w:tc>
          <w:tcPr>
            <w:tcW w:type="dxa" w:w="6912"/>
            <w:vAlign w:val="center"/>
            <w:shd w:fill="F3F6F7"/>
          </w:tcPr>
          <w:p>
            <w:pPr>
              <w:spacing w:after="0"/>
            </w:pPr>
            <w:r/>
            <w:r>
              <w:rPr>
                <w:rFonts w:ascii="Aptos" w:hAnsi="Aptos"/>
                <w:b w:val="0"/>
                <w:sz w:val="15"/>
              </w:rPr>
              <w:t>ODA3 Pvt Ltd</w:t>
            </w:r>
          </w:p>
        </w:tc>
      </w:tr>
      <w:tr>
        <w:trPr>
          <w:cantSplit/>
        </w:trPr>
        <w:tc>
          <w:tcPr>
            <w:tcW w:type="dxa" w:w="2736"/>
            <w:vAlign w:val="center"/>
          </w:tcPr>
          <w:p>
            <w:pPr>
              <w:spacing w:after="0"/>
            </w:pPr>
            <w:r/>
            <w:r>
              <w:rPr>
                <w:rFonts w:ascii="Aptos" w:hAnsi="Aptos"/>
                <w:b w:val="0"/>
                <w:sz w:val="15"/>
              </w:rPr>
              <w:t>Authoritative normative source</w:t>
            </w:r>
          </w:p>
        </w:tc>
        <w:tc>
          <w:tcPr>
            <w:tcW w:type="dxa" w:w="6912"/>
            <w:vAlign w:val="center"/>
          </w:tcPr>
          <w:p>
            <w:pPr>
              <w:spacing w:after="0"/>
            </w:pPr>
            <w:r/>
            <w:r>
              <w:rPr>
                <w:rFonts w:ascii="Aptos" w:hAnsi="Aptos"/>
                <w:b w:val="0"/>
                <w:sz w:val="15"/>
              </w:rPr>
              <w:t>GAISSF-NOR-001</w:t>
            </w:r>
          </w:p>
        </w:tc>
      </w:tr>
      <w:tr>
        <w:trPr>
          <w:cantSplit/>
        </w:trPr>
        <w:tc>
          <w:tcPr>
            <w:tcW w:type="dxa" w:w="2736"/>
            <w:vAlign w:val="center"/>
            <w:shd w:fill="F3F6F7"/>
          </w:tcPr>
          <w:p>
            <w:pPr>
              <w:spacing w:after="0"/>
            </w:pPr>
            <w:r/>
            <w:r>
              <w:rPr>
                <w:rFonts w:ascii="Aptos" w:hAnsi="Aptos"/>
                <w:b w:val="0"/>
                <w:sz w:val="15"/>
              </w:rPr>
              <w:t>Control baseline</w:t>
            </w:r>
          </w:p>
        </w:tc>
        <w:tc>
          <w:tcPr>
            <w:tcW w:type="dxa" w:w="6912"/>
            <w:vAlign w:val="center"/>
            <w:shd w:fill="F3F6F7"/>
          </w:tcPr>
          <w:p>
            <w:pPr>
              <w:spacing w:after="0"/>
            </w:pPr>
            <w:r/>
            <w:r>
              <w:rPr>
                <w:rFonts w:ascii="Aptos" w:hAnsi="Aptos"/>
                <w:b w:val="0"/>
                <w:sz w:val="15"/>
              </w:rPr>
              <w:t>59 controls across nine domains</w:t>
            </w:r>
          </w:p>
        </w:tc>
      </w:tr>
      <w:tr>
        <w:trPr>
          <w:cantSplit/>
        </w:trPr>
        <w:tc>
          <w:tcPr>
            <w:tcW w:type="dxa" w:w="2736"/>
            <w:vAlign w:val="center"/>
          </w:tcPr>
          <w:p>
            <w:pPr>
              <w:spacing w:after="0"/>
            </w:pPr>
            <w:r/>
            <w:r>
              <w:rPr>
                <w:rFonts w:ascii="Aptos" w:hAnsi="Aptos"/>
                <w:b w:val="0"/>
                <w:sz w:val="15"/>
              </w:rPr>
              <w:t>Publication date</w:t>
            </w:r>
          </w:p>
        </w:tc>
        <w:tc>
          <w:tcPr>
            <w:tcW w:type="dxa" w:w="6912"/>
            <w:vAlign w:val="center"/>
          </w:tcPr>
          <w:p>
            <w:pPr>
              <w:spacing w:after="0"/>
            </w:pPr>
            <w:r/>
            <w:r>
              <w:rPr>
                <w:rFonts w:ascii="Aptos" w:hAnsi="Aptos"/>
                <w:b w:val="0"/>
                <w:sz w:val="15"/>
              </w:rPr>
              <w:t>29 June 2026</w:t>
            </w:r>
          </w:p>
        </w:tc>
      </w:tr>
    </w:tbl>
    <w:p/>
    <w:p>
      <w:pPr>
        <w:pStyle w:val="SmallNote"/>
        <w:jc w:val="center"/>
      </w:pPr>
      <w:r>
        <w:t>This guide supports transition planning. It does not establish formal equivalence, mutual recognition, certification credit or regulatory compliance. GAISSF requirements and controlled crosswalks prevail.</w:t>
      </w:r>
    </w:p>
    <w:p>
      <w:r/>
    </w:p>
    <w:p>
      <w:pPr>
        <w:pStyle w:val="Heading1"/>
      </w:pPr>
      <w:r>
        <w:t>Document Control</w:t>
      </w:r>
    </w:p>
    <w:tbl>
      <w:tblPr>
        <w:tblStyle w:val="TableGrid"/>
        <w:tblW w:type="auto" w:w="0"/>
        <w:jc w:val="center"/>
        <w:tblLook w:firstColumn="1" w:firstRow="1" w:lastColumn="0" w:lastRow="0" w:noHBand="0" w:noVBand="1" w:val="04A0"/>
      </w:tblPr>
      <w:tblGrid>
        <w:gridCol w:w="5141"/>
        <w:gridCol w:w="5141"/>
      </w:tblGrid>
      <w:tr>
        <w:trPr>
          <w:tblHeader w:val="true"/>
          <w:cantSplit/>
        </w:trPr>
        <w:tc>
          <w:tcPr>
            <w:tcW w:type="dxa" w:w="2592"/>
            <w:vAlign w:val="center"/>
            <w:shd w:fill="17324D"/>
          </w:tcPr>
          <w:p>
            <w:pPr>
              <w:spacing w:after="0"/>
            </w:pPr>
            <w:r/>
            <w:r>
              <w:rPr>
                <w:rFonts w:ascii="Aptos" w:hAnsi="Aptos"/>
                <w:b/>
                <w:color w:val="FFFFFF"/>
                <w:sz w:val="15"/>
              </w:rPr>
              <w:t>Attribute</w:t>
            </w:r>
          </w:p>
        </w:tc>
        <w:tc>
          <w:tcPr>
            <w:tcW w:type="dxa" w:w="7056"/>
            <w:vAlign w:val="center"/>
            <w:shd w:fill="17324D"/>
          </w:tcPr>
          <w:p>
            <w:pPr>
              <w:spacing w:after="0"/>
            </w:pPr>
            <w:r/>
            <w:r>
              <w:rPr>
                <w:rFonts w:ascii="Aptos" w:hAnsi="Aptos"/>
                <w:b/>
                <w:color w:val="FFFFFF"/>
                <w:sz w:val="15"/>
              </w:rPr>
              <w:t>Controlled value</w:t>
            </w:r>
          </w:p>
        </w:tc>
      </w:tr>
      <w:tr>
        <w:trPr>
          <w:cantSplit/>
        </w:trPr>
        <w:tc>
          <w:tcPr>
            <w:tcW w:type="dxa" w:w="2592"/>
            <w:vAlign w:val="center"/>
          </w:tcPr>
          <w:p>
            <w:pPr>
              <w:spacing w:after="0"/>
            </w:pPr>
            <w:r/>
            <w:r>
              <w:rPr>
                <w:rFonts w:ascii="Aptos" w:hAnsi="Aptos"/>
                <w:b w:val="0"/>
                <w:sz w:val="15"/>
              </w:rPr>
              <w:t>Title</w:t>
            </w:r>
          </w:p>
        </w:tc>
        <w:tc>
          <w:tcPr>
            <w:tcW w:type="dxa" w:w="7056"/>
            <w:vAlign w:val="center"/>
          </w:tcPr>
          <w:p>
            <w:pPr>
              <w:spacing w:after="0"/>
            </w:pPr>
            <w:r/>
            <w:r>
              <w:rPr>
                <w:rFonts w:ascii="Aptos" w:hAnsi="Aptos"/>
                <w:b w:val="0"/>
                <w:sz w:val="15"/>
              </w:rPr>
              <w:t>GAISSF® v1.0 Migration Guide</w:t>
            </w:r>
          </w:p>
        </w:tc>
      </w:tr>
      <w:tr>
        <w:trPr>
          <w:cantSplit/>
        </w:trPr>
        <w:tc>
          <w:tcPr>
            <w:tcW w:type="dxa" w:w="2592"/>
            <w:vAlign w:val="center"/>
            <w:shd w:fill="F3F6F7"/>
          </w:tcPr>
          <w:p>
            <w:pPr>
              <w:spacing w:after="0"/>
            </w:pPr>
            <w:r/>
            <w:r>
              <w:rPr>
                <w:rFonts w:ascii="Aptos" w:hAnsi="Aptos"/>
                <w:b w:val="0"/>
                <w:sz w:val="15"/>
              </w:rPr>
              <w:t>Document ID</w:t>
            </w:r>
          </w:p>
        </w:tc>
        <w:tc>
          <w:tcPr>
            <w:tcW w:type="dxa" w:w="7056"/>
            <w:vAlign w:val="center"/>
            <w:shd w:fill="F3F6F7"/>
          </w:tcPr>
          <w:p>
            <w:pPr>
              <w:spacing w:after="0"/>
            </w:pPr>
            <w:r/>
            <w:r>
              <w:rPr>
                <w:rFonts w:ascii="Aptos" w:hAnsi="Aptos"/>
                <w:b w:val="0"/>
                <w:sz w:val="15"/>
              </w:rPr>
              <w:t>GAISSF-IMP-012</w:t>
            </w:r>
          </w:p>
        </w:tc>
      </w:tr>
      <w:tr>
        <w:trPr>
          <w:cantSplit/>
        </w:trPr>
        <w:tc>
          <w:tcPr>
            <w:tcW w:type="dxa" w:w="2592"/>
            <w:vAlign w:val="center"/>
          </w:tcPr>
          <w:p>
            <w:pPr>
              <w:spacing w:after="0"/>
            </w:pPr>
            <w:r/>
            <w:r>
              <w:rPr>
                <w:rFonts w:ascii="Aptos" w:hAnsi="Aptos"/>
                <w:b w:val="0"/>
                <w:sz w:val="15"/>
              </w:rPr>
              <w:t>Purpose</w:t>
            </w:r>
          </w:p>
        </w:tc>
        <w:tc>
          <w:tcPr>
            <w:tcW w:type="dxa" w:w="7056"/>
            <w:vAlign w:val="center"/>
          </w:tcPr>
          <w:p>
            <w:pPr>
              <w:spacing w:after="0"/>
            </w:pPr>
            <w:r/>
            <w:r>
              <w:rPr>
                <w:rFonts w:ascii="Aptos" w:hAnsi="Aptos"/>
                <w:b w:val="0"/>
                <w:sz w:val="15"/>
              </w:rPr>
              <w:t>Provide a structured method for migrating from existing frameworks into the GAISSF operating and evidence model</w:t>
            </w:r>
          </w:p>
        </w:tc>
      </w:tr>
      <w:tr>
        <w:trPr>
          <w:cantSplit/>
        </w:trPr>
        <w:tc>
          <w:tcPr>
            <w:tcW w:type="dxa" w:w="2592"/>
            <w:vAlign w:val="center"/>
            <w:shd w:fill="F3F6F7"/>
          </w:tcPr>
          <w:p>
            <w:pPr>
              <w:spacing w:after="0"/>
            </w:pPr>
            <w:r/>
            <w:r>
              <w:rPr>
                <w:rFonts w:ascii="Aptos" w:hAnsi="Aptos"/>
                <w:b w:val="0"/>
                <w:sz w:val="15"/>
              </w:rPr>
              <w:t>Primary audience</w:t>
            </w:r>
          </w:p>
        </w:tc>
        <w:tc>
          <w:tcPr>
            <w:tcW w:type="dxa" w:w="7056"/>
            <w:vAlign w:val="center"/>
            <w:shd w:fill="F3F6F7"/>
          </w:tcPr>
          <w:p>
            <w:pPr>
              <w:spacing w:after="0"/>
            </w:pPr>
            <w:r/>
            <w:r>
              <w:rPr>
                <w:rFonts w:ascii="Aptos" w:hAnsi="Aptos"/>
                <w:b w:val="0"/>
                <w:sz w:val="15"/>
              </w:rPr>
              <w:t>CISOs, AI governance leads, security architects, compliance officers, standards teams, internal audit, program managers and certification stakeholders</w:t>
            </w:r>
          </w:p>
        </w:tc>
      </w:tr>
      <w:tr>
        <w:trPr>
          <w:cantSplit/>
        </w:trPr>
        <w:tc>
          <w:tcPr>
            <w:tcW w:type="dxa" w:w="2592"/>
            <w:vAlign w:val="center"/>
          </w:tcPr>
          <w:p>
            <w:pPr>
              <w:spacing w:after="0"/>
            </w:pPr>
            <w:r/>
            <w:r>
              <w:rPr>
                <w:rFonts w:ascii="Aptos" w:hAnsi="Aptos"/>
                <w:b w:val="0"/>
                <w:sz w:val="15"/>
              </w:rPr>
              <w:t>Dependencies</w:t>
            </w:r>
          </w:p>
        </w:tc>
        <w:tc>
          <w:tcPr>
            <w:tcW w:type="dxa" w:w="7056"/>
            <w:vAlign w:val="center"/>
          </w:tcPr>
          <w:p>
            <w:pPr>
              <w:spacing w:after="0"/>
            </w:pPr>
            <w:r/>
            <w:r>
              <w:rPr>
                <w:rFonts w:ascii="Aptos" w:hAnsi="Aptos"/>
                <w:b w:val="0"/>
                <w:sz w:val="15"/>
              </w:rPr>
              <w:t>GAISSF-NOR-001 through GAISSF-NOR-008 and GAISSF-IMP-009 through GAISSF-IMP-011</w:t>
            </w:r>
          </w:p>
        </w:tc>
      </w:tr>
      <w:tr>
        <w:trPr>
          <w:cantSplit/>
        </w:trPr>
        <w:tc>
          <w:tcPr>
            <w:tcW w:type="dxa" w:w="2592"/>
            <w:vAlign w:val="center"/>
            <w:shd w:fill="F3F6F7"/>
          </w:tcPr>
          <w:p>
            <w:pPr>
              <w:spacing w:after="0"/>
            </w:pPr>
            <w:r/>
            <w:r>
              <w:rPr>
                <w:rFonts w:ascii="Aptos" w:hAnsi="Aptos"/>
                <w:b w:val="0"/>
                <w:sz w:val="15"/>
              </w:rPr>
              <w:t>Classification</w:t>
            </w:r>
          </w:p>
        </w:tc>
        <w:tc>
          <w:tcPr>
            <w:tcW w:type="dxa" w:w="7056"/>
            <w:vAlign w:val="center"/>
            <w:shd w:fill="F3F6F7"/>
          </w:tcPr>
          <w:p>
            <w:pPr>
              <w:spacing w:after="0"/>
            </w:pPr>
            <w:r/>
            <w:r>
              <w:rPr>
                <w:rFonts w:ascii="Aptos" w:hAnsi="Aptos"/>
                <w:b w:val="0"/>
                <w:sz w:val="15"/>
              </w:rPr>
              <w:t>Informative implementation guidance</w:t>
            </w:r>
          </w:p>
        </w:tc>
      </w:tr>
      <w:tr>
        <w:trPr>
          <w:cantSplit/>
        </w:trPr>
        <w:tc>
          <w:tcPr>
            <w:tcW w:type="dxa" w:w="2592"/>
            <w:vAlign w:val="center"/>
          </w:tcPr>
          <w:p>
            <w:pPr>
              <w:spacing w:after="0"/>
            </w:pPr>
            <w:r/>
            <w:r>
              <w:rPr>
                <w:rFonts w:ascii="Aptos" w:hAnsi="Aptos"/>
                <w:b w:val="0"/>
                <w:sz w:val="15"/>
              </w:rPr>
              <w:t>Precedence</w:t>
            </w:r>
          </w:p>
        </w:tc>
        <w:tc>
          <w:tcPr>
            <w:tcW w:type="dxa" w:w="7056"/>
            <w:vAlign w:val="center"/>
          </w:tcPr>
          <w:p>
            <w:pPr>
              <w:spacing w:after="0"/>
            </w:pPr>
            <w:r/>
            <w:r>
              <w:rPr>
                <w:rFonts w:ascii="Aptos" w:hAnsi="Aptos"/>
                <w:b w:val="0"/>
                <w:sz w:val="15"/>
              </w:rPr>
              <w:t>GAISSF-NOR-001, GAISSF-NOR-004 and approved controlled crosswalks prevail</w:t>
            </w:r>
          </w:p>
        </w:tc>
      </w:tr>
      <w:tr>
        <w:trPr>
          <w:cantSplit/>
        </w:trPr>
        <w:tc>
          <w:tcPr>
            <w:tcW w:type="dxa" w:w="2592"/>
            <w:vAlign w:val="center"/>
            <w:shd w:fill="F3F6F7"/>
          </w:tcPr>
          <w:p>
            <w:pPr>
              <w:spacing w:after="0"/>
            </w:pPr>
            <w:r/>
            <w:r>
              <w:rPr>
                <w:rFonts w:ascii="Aptos" w:hAnsi="Aptos"/>
                <w:b w:val="0"/>
                <w:sz w:val="15"/>
              </w:rPr>
              <w:t>Distribution</w:t>
            </w:r>
          </w:p>
        </w:tc>
        <w:tc>
          <w:tcPr>
            <w:tcW w:type="dxa" w:w="7056"/>
            <w:vAlign w:val="center"/>
            <w:shd w:fill="F3F6F7"/>
          </w:tcPr>
          <w:p>
            <w:pPr>
              <w:spacing w:after="0"/>
            </w:pPr>
            <w:r/>
            <w:r>
              <w:rPr>
                <w:rFonts w:ascii="Aptos" w:hAnsi="Aptos"/>
                <w:b w:val="0"/>
                <w:sz w:val="15"/>
              </w:rPr>
              <w:t>Public — Website and GitHub</w:t>
            </w:r>
          </w:p>
        </w:tc>
      </w:tr>
    </w:tbl>
    <w:p/>
    <w:p>
      <w:pPr>
        <w:pStyle w:val="Heading1"/>
      </w:pPr>
      <w:r>
        <w:t>Legal and Reliance Notice</w:t>
      </w:r>
    </w:p>
    <w:p>
      <w:r>
        <w:t>© 2026 ODA3 Pvt Ltd. Published market-facing by ODA3 Institute.</w:t>
      </w:r>
    </w:p>
    <w:p>
      <w:r>
        <w:t>GAISSF® is used as a framework mark. Third-party standards, frameworks, regulations and marks remain the property of their respective owners.</w:t>
      </w:r>
    </w:p>
    <w:p>
      <w:r>
        <w:t>References to external frameworks are for identification and transition planning only. No endorsement, affiliation, equivalence, substitution, certification credit or recognition is implied.</w:t>
      </w:r>
    </w:p>
    <w:p>
      <w:r>
        <w:t>This guide does not constitute legal, regulatory, certification or audit advice.</w:t>
      </w:r>
      <w:r>
        <w:t xml:space="preserve"> It does not create a legal safe harbour, establish a legal standard of care, or determine statutory compliance in any jurisdiction.</w:t>
      </w:r>
    </w:p>
    <w:p>
      <w:pPr>
        <w:pStyle w:val="Heading1"/>
      </w:pPr>
      <w:r>
        <w:t>Foreword</w:t>
      </w:r>
    </w:p>
    <w:p>
      <w:r>
        <w:t>Most organizations adopting GAISSF will already operate security, privacy, risk, quality, safety or AI-governance frameworks. Migration should therefore reuse verified capabilities and evidence while identifying GAISSF-specific gaps. It should not duplicate functioning controls or assume that similarly named requirements are equivalent.</w:t>
      </w:r>
    </w:p>
    <w:p>
      <w:pPr>
        <w:pStyle w:val="Heading1"/>
      </w:pPr>
      <w:r>
        <w:t>1. Purpose and Scope</w:t>
      </w:r>
    </w:p>
    <w:p>
      <w:r>
        <w:t>This guide provides a repeatable method for transitioning from existing frameworks, management systems, control libraries and assurance programs into GAISSF v1.0.</w:t>
      </w:r>
    </w:p>
    <w:p>
      <w:r>
        <w:t>It covers source-framework inventory, mapping, evidence reuse, gap analysis, control ownership, profile selection, migration waves, parallel operation, retirement of legacy artifacts and post-migration assurance.</w:t>
      </w:r>
    </w:p>
    <w:p>
      <w:r>
        <w:t>The guide applies to migration from single frameworks and hybrid estates, including ISO/IEC management systems, NIST publications, OWASP and MITRE security resources, CIS Controls, regulatory programs and internal control libraries.</w:t>
      </w:r>
    </w:p>
    <w:p>
      <w:pPr>
        <w:pStyle w:val="Heading1"/>
      </w:pPr>
      <w:r>
        <w:t>2. Migration Principles</w:t>
      </w:r>
    </w:p>
    <w:tbl>
      <w:tblPr>
        <w:tblStyle w:val="TableGrid"/>
        <w:tblW w:type="auto" w:w="0"/>
        <w:jc w:val="center"/>
        <w:tblLook w:firstColumn="1" w:firstRow="1" w:lastColumn="0" w:lastRow="0" w:noHBand="0" w:noVBand="1" w:val="04A0"/>
      </w:tblPr>
      <w:tblGrid>
        <w:gridCol w:w="5141"/>
        <w:gridCol w:w="5141"/>
      </w:tblGrid>
      <w:tr>
        <w:trPr>
          <w:tblHeader w:val="true"/>
          <w:cantSplit/>
        </w:trPr>
        <w:tc>
          <w:tcPr>
            <w:tcW w:type="dxa" w:w="2880"/>
            <w:vAlign w:val="center"/>
            <w:shd w:fill="17324D"/>
          </w:tcPr>
          <w:p>
            <w:pPr>
              <w:spacing w:after="0"/>
            </w:pPr>
            <w:r/>
            <w:r>
              <w:rPr>
                <w:rFonts w:ascii="Aptos" w:hAnsi="Aptos"/>
                <w:b/>
                <w:color w:val="FFFFFF"/>
                <w:sz w:val="15"/>
              </w:rPr>
              <w:t>Principle</w:t>
            </w:r>
          </w:p>
        </w:tc>
        <w:tc>
          <w:tcPr>
            <w:tcW w:type="dxa" w:w="6768"/>
            <w:vAlign w:val="center"/>
            <w:shd w:fill="17324D"/>
          </w:tcPr>
          <w:p>
            <w:pPr>
              <w:spacing w:after="0"/>
            </w:pPr>
            <w:r/>
            <w:r>
              <w:rPr>
                <w:rFonts w:ascii="Aptos" w:hAnsi="Aptos"/>
                <w:b/>
                <w:color w:val="FFFFFF"/>
                <w:sz w:val="15"/>
              </w:rPr>
              <w:t>Migration meaning</w:t>
            </w:r>
          </w:p>
        </w:tc>
      </w:tr>
      <w:tr>
        <w:trPr>
          <w:cantSplit/>
        </w:trPr>
        <w:tc>
          <w:tcPr>
            <w:tcW w:type="dxa" w:w="2880"/>
            <w:vAlign w:val="center"/>
          </w:tcPr>
          <w:p>
            <w:pPr>
              <w:spacing w:after="0"/>
            </w:pPr>
            <w:r/>
            <w:r>
              <w:rPr>
                <w:rFonts w:ascii="Aptos" w:hAnsi="Aptos"/>
                <w:b w:val="0"/>
                <w:sz w:val="15"/>
              </w:rPr>
              <w:t>Map intent, not labels</w:t>
            </w:r>
          </w:p>
        </w:tc>
        <w:tc>
          <w:tcPr>
            <w:tcW w:type="dxa" w:w="6768"/>
            <w:vAlign w:val="center"/>
          </w:tcPr>
          <w:p>
            <w:pPr>
              <w:spacing w:after="0"/>
            </w:pPr>
            <w:r/>
            <w:r>
              <w:rPr>
                <w:rFonts w:ascii="Aptos" w:hAnsi="Aptos"/>
                <w:b w:val="0"/>
                <w:sz w:val="15"/>
              </w:rPr>
              <w:t>Controls with similar titles may differ in scope, evidence, frequency or assurance depth.</w:t>
            </w:r>
          </w:p>
        </w:tc>
      </w:tr>
      <w:tr>
        <w:trPr>
          <w:cantSplit/>
        </w:trPr>
        <w:tc>
          <w:tcPr>
            <w:tcW w:type="dxa" w:w="2880"/>
            <w:vAlign w:val="center"/>
            <w:shd w:fill="F3F6F7"/>
          </w:tcPr>
          <w:p>
            <w:pPr>
              <w:spacing w:after="0"/>
            </w:pPr>
            <w:r/>
            <w:r>
              <w:rPr>
                <w:rFonts w:ascii="Aptos" w:hAnsi="Aptos"/>
                <w:b w:val="0"/>
                <w:sz w:val="15"/>
              </w:rPr>
              <w:t>Reuse only verified capability</w:t>
            </w:r>
          </w:p>
        </w:tc>
        <w:tc>
          <w:tcPr>
            <w:tcW w:type="dxa" w:w="6768"/>
            <w:vAlign w:val="center"/>
            <w:shd w:fill="F3F6F7"/>
          </w:tcPr>
          <w:p>
            <w:pPr>
              <w:spacing w:after="0"/>
            </w:pPr>
            <w:r/>
            <w:r>
              <w:rPr>
                <w:rFonts w:ascii="Aptos" w:hAnsi="Aptos"/>
                <w:b w:val="0"/>
                <w:sz w:val="15"/>
              </w:rPr>
              <w:t>Existing controls and evidence should be reused only after scope, currency and operating effectiveness are confirmed.</w:t>
            </w:r>
          </w:p>
        </w:tc>
      </w:tr>
      <w:tr>
        <w:trPr>
          <w:cantSplit/>
        </w:trPr>
        <w:tc>
          <w:tcPr>
            <w:tcW w:type="dxa" w:w="2880"/>
            <w:vAlign w:val="center"/>
          </w:tcPr>
          <w:p>
            <w:pPr>
              <w:spacing w:after="0"/>
            </w:pPr>
            <w:r/>
            <w:r>
              <w:rPr>
                <w:rFonts w:ascii="Aptos" w:hAnsi="Aptos"/>
                <w:b w:val="0"/>
                <w:sz w:val="15"/>
              </w:rPr>
              <w:t>Preserve source obligations</w:t>
            </w:r>
          </w:p>
        </w:tc>
        <w:tc>
          <w:tcPr>
            <w:tcW w:type="dxa" w:w="6768"/>
            <w:vAlign w:val="center"/>
          </w:tcPr>
          <w:p>
            <w:pPr>
              <w:spacing w:after="0"/>
            </w:pPr>
            <w:r/>
            <w:r>
              <w:rPr>
                <w:rFonts w:ascii="Aptos" w:hAnsi="Aptos"/>
                <w:b w:val="0"/>
                <w:sz w:val="15"/>
              </w:rPr>
              <w:t>Migration to GAISSF does not remove legal, contractual, sector or certification obligations.</w:t>
            </w:r>
          </w:p>
        </w:tc>
      </w:tr>
      <w:tr>
        <w:trPr>
          <w:cantSplit/>
        </w:trPr>
        <w:tc>
          <w:tcPr>
            <w:tcW w:type="dxa" w:w="2880"/>
            <w:vAlign w:val="center"/>
            <w:shd w:fill="F3F6F7"/>
          </w:tcPr>
          <w:p>
            <w:pPr>
              <w:spacing w:after="0"/>
            </w:pPr>
            <w:r/>
            <w:r>
              <w:rPr>
                <w:rFonts w:ascii="Aptos" w:hAnsi="Aptos"/>
                <w:b w:val="0"/>
                <w:sz w:val="15"/>
              </w:rPr>
              <w:t>Separate mapping from conformance</w:t>
            </w:r>
          </w:p>
        </w:tc>
        <w:tc>
          <w:tcPr>
            <w:tcW w:type="dxa" w:w="6768"/>
            <w:vAlign w:val="center"/>
            <w:shd w:fill="F3F6F7"/>
          </w:tcPr>
          <w:p>
            <w:pPr>
              <w:spacing w:after="0"/>
            </w:pPr>
            <w:r/>
            <w:r>
              <w:rPr>
                <w:rFonts w:ascii="Aptos" w:hAnsi="Aptos"/>
                <w:b w:val="0"/>
                <w:sz w:val="15"/>
              </w:rPr>
              <w:t>A mapping indicates relationship; it does not demonstrate implementation or GAISSF conformance.</w:t>
            </w:r>
          </w:p>
        </w:tc>
      </w:tr>
      <w:tr>
        <w:trPr>
          <w:cantSplit/>
        </w:trPr>
        <w:tc>
          <w:tcPr>
            <w:tcW w:type="dxa" w:w="2880"/>
            <w:vAlign w:val="center"/>
          </w:tcPr>
          <w:p>
            <w:pPr>
              <w:spacing w:after="0"/>
            </w:pPr>
            <w:r/>
            <w:r>
              <w:rPr>
                <w:rFonts w:ascii="Aptos" w:hAnsi="Aptos"/>
                <w:b w:val="0"/>
                <w:sz w:val="15"/>
              </w:rPr>
              <w:t>Retain provenance</w:t>
            </w:r>
          </w:p>
        </w:tc>
        <w:tc>
          <w:tcPr>
            <w:tcW w:type="dxa" w:w="6768"/>
            <w:vAlign w:val="center"/>
          </w:tcPr>
          <w:p>
            <w:pPr>
              <w:spacing w:after="0"/>
            </w:pPr>
            <w:r/>
            <w:r>
              <w:rPr>
                <w:rFonts w:ascii="Aptos" w:hAnsi="Aptos"/>
                <w:b w:val="0"/>
                <w:sz w:val="15"/>
              </w:rPr>
              <w:t>Every migrated mechanism and evidence artifact should identify its source framework and transformation history.</w:t>
            </w:r>
          </w:p>
        </w:tc>
      </w:tr>
      <w:tr>
        <w:trPr>
          <w:cantSplit/>
        </w:trPr>
        <w:tc>
          <w:tcPr>
            <w:tcW w:type="dxa" w:w="2880"/>
            <w:vAlign w:val="center"/>
            <w:shd w:fill="F3F6F7"/>
          </w:tcPr>
          <w:p>
            <w:pPr>
              <w:spacing w:after="0"/>
            </w:pPr>
            <w:r/>
            <w:r>
              <w:rPr>
                <w:rFonts w:ascii="Aptos" w:hAnsi="Aptos"/>
                <w:b w:val="0"/>
                <w:sz w:val="15"/>
              </w:rPr>
              <w:t>Resolve gaps explicitly</w:t>
            </w:r>
          </w:p>
        </w:tc>
        <w:tc>
          <w:tcPr>
            <w:tcW w:type="dxa" w:w="6768"/>
            <w:vAlign w:val="center"/>
            <w:shd w:fill="F3F6F7"/>
          </w:tcPr>
          <w:p>
            <w:pPr>
              <w:spacing w:after="0"/>
            </w:pPr>
            <w:r/>
            <w:r>
              <w:rPr>
                <w:rFonts w:ascii="Aptos" w:hAnsi="Aptos"/>
                <w:b w:val="0"/>
                <w:sz w:val="15"/>
              </w:rPr>
              <w:t>Partial, unsupported and conflicting requirements should be documented rather than forced into false equivalence.</w:t>
            </w:r>
          </w:p>
        </w:tc>
      </w:tr>
      <w:tr>
        <w:trPr>
          <w:cantSplit/>
        </w:trPr>
        <w:tc>
          <w:tcPr>
            <w:tcW w:type="dxa" w:w="2880"/>
            <w:vAlign w:val="center"/>
          </w:tcPr>
          <w:p>
            <w:pPr>
              <w:spacing w:after="0"/>
            </w:pPr>
            <w:r/>
            <w:r>
              <w:rPr>
                <w:rFonts w:ascii="Aptos" w:hAnsi="Aptos"/>
                <w:b w:val="0"/>
                <w:sz w:val="15"/>
              </w:rPr>
              <w:t>Avoid duplicate operation</w:t>
            </w:r>
          </w:p>
        </w:tc>
        <w:tc>
          <w:tcPr>
            <w:tcW w:type="dxa" w:w="6768"/>
            <w:vAlign w:val="center"/>
          </w:tcPr>
          <w:p>
            <w:pPr>
              <w:spacing w:after="0"/>
            </w:pPr>
            <w:r/>
            <w:r>
              <w:rPr>
                <w:rFonts w:ascii="Aptos" w:hAnsi="Aptos"/>
                <w:b w:val="0"/>
                <w:sz w:val="15"/>
              </w:rPr>
              <w:t>Consolidate overlapping workflows where control outcomes and evidence remain sufficient.</w:t>
            </w:r>
          </w:p>
        </w:tc>
      </w:tr>
      <w:tr>
        <w:trPr>
          <w:cantSplit/>
        </w:trPr>
        <w:tc>
          <w:tcPr>
            <w:tcW w:type="dxa" w:w="2880"/>
            <w:vAlign w:val="center"/>
            <w:shd w:fill="F3F6F7"/>
          </w:tcPr>
          <w:p>
            <w:pPr>
              <w:spacing w:after="0"/>
            </w:pPr>
            <w:r/>
            <w:r>
              <w:rPr>
                <w:rFonts w:ascii="Aptos" w:hAnsi="Aptos"/>
                <w:b w:val="0"/>
                <w:sz w:val="15"/>
              </w:rPr>
              <w:t>Maintain assurance continuity</w:t>
            </w:r>
          </w:p>
        </w:tc>
        <w:tc>
          <w:tcPr>
            <w:tcW w:type="dxa" w:w="6768"/>
            <w:vAlign w:val="center"/>
            <w:shd w:fill="F3F6F7"/>
          </w:tcPr>
          <w:p>
            <w:pPr>
              <w:spacing w:after="0"/>
            </w:pPr>
            <w:r/>
            <w:r>
              <w:rPr>
                <w:rFonts w:ascii="Aptos" w:hAnsi="Aptos"/>
                <w:b w:val="0"/>
                <w:sz w:val="15"/>
              </w:rPr>
              <w:t>Do not retire legacy controls until GAISSF replacements are implemented, evidenced and accepted.</w:t>
            </w:r>
          </w:p>
        </w:tc>
      </w:tr>
    </w:tbl>
    <w:p/>
    <w:p>
      <w:pPr>
        <w:pStyle w:val="Heading1"/>
      </w:pPr>
      <w:r>
        <w:t>3. Migration Relationship Types</w:t>
      </w:r>
    </w:p>
    <w:tbl>
      <w:tblPr>
        <w:tblStyle w:val="TableGrid"/>
        <w:tblW w:type="auto" w:w="0"/>
        <w:jc w:val="center"/>
        <w:tblLook w:firstColumn="1" w:firstRow="1" w:lastColumn="0" w:lastRow="0" w:noHBand="0" w:noVBand="1" w:val="04A0"/>
      </w:tblPr>
      <w:tblGrid>
        <w:gridCol w:w="3427"/>
        <w:gridCol w:w="3427"/>
        <w:gridCol w:w="3427"/>
      </w:tblGrid>
      <w:tr>
        <w:trPr>
          <w:tblHeader w:val="true"/>
          <w:cantSplit/>
        </w:trPr>
        <w:tc>
          <w:tcPr>
            <w:tcW w:type="dxa" w:w="2160"/>
            <w:vAlign w:val="center"/>
            <w:shd w:fill="17324D"/>
          </w:tcPr>
          <w:p>
            <w:pPr>
              <w:spacing w:after="0"/>
            </w:pPr>
            <w:r/>
            <w:r>
              <w:rPr>
                <w:rFonts w:ascii="Aptos" w:hAnsi="Aptos"/>
                <w:b/>
                <w:color w:val="FFFFFF"/>
                <w:sz w:val="15"/>
              </w:rPr>
              <w:t>Relationship</w:t>
            </w:r>
          </w:p>
        </w:tc>
        <w:tc>
          <w:tcPr>
            <w:tcW w:type="dxa" w:w="4464"/>
            <w:vAlign w:val="center"/>
            <w:shd w:fill="17324D"/>
          </w:tcPr>
          <w:p>
            <w:pPr>
              <w:spacing w:after="0"/>
            </w:pPr>
            <w:r/>
            <w:r>
              <w:rPr>
                <w:rFonts w:ascii="Aptos" w:hAnsi="Aptos"/>
                <w:b/>
                <w:color w:val="FFFFFF"/>
                <w:sz w:val="15"/>
              </w:rPr>
              <w:t>Meaning</w:t>
            </w:r>
          </w:p>
        </w:tc>
        <w:tc>
          <w:tcPr>
            <w:tcW w:type="dxa" w:w="3024"/>
            <w:vAlign w:val="center"/>
            <w:shd w:fill="17324D"/>
          </w:tcPr>
          <w:p>
            <w:pPr>
              <w:spacing w:after="0"/>
            </w:pPr>
            <w:r/>
            <w:r>
              <w:rPr>
                <w:rFonts w:ascii="Aptos" w:hAnsi="Aptos"/>
                <w:b/>
                <w:color w:val="FFFFFF"/>
                <w:sz w:val="15"/>
              </w:rPr>
              <w:t>Migration treatment</w:t>
            </w:r>
          </w:p>
        </w:tc>
      </w:tr>
      <w:tr>
        <w:trPr>
          <w:cantSplit/>
        </w:trPr>
        <w:tc>
          <w:tcPr>
            <w:tcW w:type="dxa" w:w="2160"/>
            <w:vAlign w:val="center"/>
          </w:tcPr>
          <w:p>
            <w:pPr>
              <w:spacing w:after="0"/>
            </w:pPr>
            <w:r/>
            <w:r>
              <w:rPr>
                <w:rFonts w:ascii="Aptos" w:hAnsi="Aptos"/>
                <w:b w:val="0"/>
                <w:sz w:val="15"/>
              </w:rPr>
              <w:t>Equivalent for stated scope</w:t>
            </w:r>
          </w:p>
        </w:tc>
        <w:tc>
          <w:tcPr>
            <w:tcW w:type="dxa" w:w="4464"/>
            <w:vAlign w:val="center"/>
          </w:tcPr>
          <w:p>
            <w:pPr>
              <w:spacing w:after="0"/>
            </w:pPr>
            <w:r/>
            <w:r>
              <w:rPr>
                <w:rFonts w:ascii="Aptos" w:hAnsi="Aptos"/>
                <w:b w:val="0"/>
                <w:sz w:val="15"/>
              </w:rPr>
              <w:t>Requirements and evidence expectations are materially the same within a defined boundary</w:t>
            </w:r>
          </w:p>
        </w:tc>
        <w:tc>
          <w:tcPr>
            <w:tcW w:type="dxa" w:w="3024"/>
            <w:vAlign w:val="center"/>
          </w:tcPr>
          <w:p>
            <w:pPr>
              <w:spacing w:after="0"/>
            </w:pPr>
            <w:r/>
            <w:r>
              <w:rPr>
                <w:rFonts w:ascii="Aptos" w:hAnsi="Aptos"/>
                <w:b w:val="0"/>
                <w:sz w:val="15"/>
              </w:rPr>
              <w:t>Reuse after verification; retain mapping rationale</w:t>
            </w:r>
          </w:p>
        </w:tc>
      </w:tr>
      <w:tr>
        <w:trPr>
          <w:cantSplit/>
        </w:trPr>
        <w:tc>
          <w:tcPr>
            <w:tcW w:type="dxa" w:w="2160"/>
            <w:vAlign w:val="center"/>
            <w:shd w:fill="F3F6F7"/>
          </w:tcPr>
          <w:p>
            <w:pPr>
              <w:spacing w:after="0"/>
            </w:pPr>
            <w:r/>
            <w:r>
              <w:rPr>
                <w:rFonts w:ascii="Aptos" w:hAnsi="Aptos"/>
                <w:b w:val="0"/>
                <w:sz w:val="15"/>
              </w:rPr>
              <w:t>Substantial alignment</w:t>
            </w:r>
          </w:p>
        </w:tc>
        <w:tc>
          <w:tcPr>
            <w:tcW w:type="dxa" w:w="4464"/>
            <w:vAlign w:val="center"/>
            <w:shd w:fill="F3F6F7"/>
          </w:tcPr>
          <w:p>
            <w:pPr>
              <w:spacing w:after="0"/>
            </w:pPr>
            <w:r/>
            <w:r>
              <w:rPr>
                <w:rFonts w:ascii="Aptos" w:hAnsi="Aptos"/>
                <w:b w:val="0"/>
                <w:sz w:val="15"/>
              </w:rPr>
              <w:t>Most intent is covered, but some scope, evidence or operation differs</w:t>
            </w:r>
          </w:p>
        </w:tc>
        <w:tc>
          <w:tcPr>
            <w:tcW w:type="dxa" w:w="3024"/>
            <w:vAlign w:val="center"/>
            <w:shd w:fill="F3F6F7"/>
          </w:tcPr>
          <w:p>
            <w:pPr>
              <w:spacing w:after="0"/>
            </w:pPr>
            <w:r/>
            <w:r>
              <w:rPr>
                <w:rFonts w:ascii="Aptos" w:hAnsi="Aptos"/>
                <w:b w:val="0"/>
                <w:sz w:val="15"/>
              </w:rPr>
              <w:t>Reuse mechanism; add targeted enhancement</w:t>
            </w:r>
          </w:p>
        </w:tc>
      </w:tr>
      <w:tr>
        <w:trPr>
          <w:cantSplit/>
        </w:trPr>
        <w:tc>
          <w:tcPr>
            <w:tcW w:type="dxa" w:w="2160"/>
            <w:vAlign w:val="center"/>
          </w:tcPr>
          <w:p>
            <w:pPr>
              <w:spacing w:after="0"/>
            </w:pPr>
            <w:r/>
            <w:r>
              <w:rPr>
                <w:rFonts w:ascii="Aptos" w:hAnsi="Aptos"/>
                <w:b w:val="0"/>
                <w:sz w:val="15"/>
              </w:rPr>
              <w:t>Partial alignment</w:t>
            </w:r>
          </w:p>
        </w:tc>
        <w:tc>
          <w:tcPr>
            <w:tcW w:type="dxa" w:w="4464"/>
            <w:vAlign w:val="center"/>
          </w:tcPr>
          <w:p>
            <w:pPr>
              <w:spacing w:after="0"/>
            </w:pPr>
            <w:r/>
            <w:r>
              <w:rPr>
                <w:rFonts w:ascii="Aptos" w:hAnsi="Aptos"/>
                <w:b w:val="0"/>
                <w:sz w:val="15"/>
              </w:rPr>
              <w:t>Only part of the GAISSF objective is addressed</w:t>
            </w:r>
          </w:p>
        </w:tc>
        <w:tc>
          <w:tcPr>
            <w:tcW w:type="dxa" w:w="3024"/>
            <w:vAlign w:val="center"/>
          </w:tcPr>
          <w:p>
            <w:pPr>
              <w:spacing w:after="0"/>
            </w:pPr>
            <w:r/>
            <w:r>
              <w:rPr>
                <w:rFonts w:ascii="Aptos" w:hAnsi="Aptos"/>
                <w:b w:val="0"/>
                <w:sz w:val="15"/>
              </w:rPr>
              <w:t>Retain source control and implement missing elements</w:t>
            </w:r>
          </w:p>
        </w:tc>
      </w:tr>
      <w:tr>
        <w:trPr>
          <w:cantSplit/>
        </w:trPr>
        <w:tc>
          <w:tcPr>
            <w:tcW w:type="dxa" w:w="2160"/>
            <w:vAlign w:val="center"/>
            <w:shd w:fill="F3F6F7"/>
          </w:tcPr>
          <w:p>
            <w:pPr>
              <w:spacing w:after="0"/>
            </w:pPr>
            <w:r/>
            <w:r>
              <w:rPr>
                <w:rFonts w:ascii="Aptos" w:hAnsi="Aptos"/>
                <w:b w:val="0"/>
                <w:sz w:val="15"/>
              </w:rPr>
              <w:t>Dependency</w:t>
            </w:r>
          </w:p>
        </w:tc>
        <w:tc>
          <w:tcPr>
            <w:tcW w:type="dxa" w:w="4464"/>
            <w:vAlign w:val="center"/>
            <w:shd w:fill="F3F6F7"/>
          </w:tcPr>
          <w:p>
            <w:pPr>
              <w:spacing w:after="0"/>
            </w:pPr>
            <w:r/>
            <w:r>
              <w:rPr>
                <w:rFonts w:ascii="Aptos" w:hAnsi="Aptos"/>
                <w:b w:val="0"/>
                <w:sz w:val="15"/>
              </w:rPr>
              <w:t>Source control enables GAISSF but does not satisfy it</w:t>
            </w:r>
          </w:p>
        </w:tc>
        <w:tc>
          <w:tcPr>
            <w:tcW w:type="dxa" w:w="3024"/>
            <w:vAlign w:val="center"/>
            <w:shd w:fill="F3F6F7"/>
          </w:tcPr>
          <w:p>
            <w:pPr>
              <w:spacing w:after="0"/>
            </w:pPr>
            <w:r/>
            <w:r>
              <w:rPr>
                <w:rFonts w:ascii="Aptos" w:hAnsi="Aptos"/>
                <w:b w:val="0"/>
                <w:sz w:val="15"/>
              </w:rPr>
              <w:t>Link as supporting mechanism</w:t>
            </w:r>
          </w:p>
        </w:tc>
      </w:tr>
      <w:tr>
        <w:trPr>
          <w:cantSplit/>
        </w:trPr>
        <w:tc>
          <w:tcPr>
            <w:tcW w:type="dxa" w:w="2160"/>
            <w:vAlign w:val="center"/>
          </w:tcPr>
          <w:p>
            <w:pPr>
              <w:spacing w:after="0"/>
            </w:pPr>
            <w:r/>
            <w:r>
              <w:rPr>
                <w:rFonts w:ascii="Aptos" w:hAnsi="Aptos"/>
                <w:b w:val="0"/>
                <w:sz w:val="15"/>
              </w:rPr>
              <w:t>Complementary</w:t>
            </w:r>
          </w:p>
        </w:tc>
        <w:tc>
          <w:tcPr>
            <w:tcW w:type="dxa" w:w="4464"/>
            <w:vAlign w:val="center"/>
          </w:tcPr>
          <w:p>
            <w:pPr>
              <w:spacing w:after="0"/>
            </w:pPr>
            <w:r/>
            <w:r>
              <w:rPr>
                <w:rFonts w:ascii="Aptos" w:hAnsi="Aptos"/>
                <w:b w:val="0"/>
                <w:sz w:val="15"/>
              </w:rPr>
              <w:t>Source addresses a related but distinct risk outcome</w:t>
            </w:r>
          </w:p>
        </w:tc>
        <w:tc>
          <w:tcPr>
            <w:tcW w:type="dxa" w:w="3024"/>
            <w:vAlign w:val="center"/>
          </w:tcPr>
          <w:p>
            <w:pPr>
              <w:spacing w:after="0"/>
            </w:pPr>
            <w:r/>
            <w:r>
              <w:rPr>
                <w:rFonts w:ascii="Aptos" w:hAnsi="Aptos"/>
                <w:b w:val="0"/>
                <w:sz w:val="15"/>
              </w:rPr>
              <w:t>Operate alongside GAISSF control</w:t>
            </w:r>
          </w:p>
        </w:tc>
      </w:tr>
      <w:tr>
        <w:trPr>
          <w:cantSplit/>
        </w:trPr>
        <w:tc>
          <w:tcPr>
            <w:tcW w:type="dxa" w:w="2160"/>
            <w:vAlign w:val="center"/>
            <w:shd w:fill="F3F6F7"/>
          </w:tcPr>
          <w:p>
            <w:pPr>
              <w:spacing w:after="0"/>
            </w:pPr>
            <w:r/>
            <w:r>
              <w:rPr>
                <w:rFonts w:ascii="Aptos" w:hAnsi="Aptos"/>
                <w:b w:val="0"/>
                <w:sz w:val="15"/>
              </w:rPr>
              <w:t>Conflict</w:t>
            </w:r>
          </w:p>
        </w:tc>
        <w:tc>
          <w:tcPr>
            <w:tcW w:type="dxa" w:w="4464"/>
            <w:vAlign w:val="center"/>
            <w:shd w:fill="F3F6F7"/>
          </w:tcPr>
          <w:p>
            <w:pPr>
              <w:spacing w:after="0"/>
            </w:pPr>
            <w:r/>
            <w:r>
              <w:rPr>
                <w:rFonts w:ascii="Aptos" w:hAnsi="Aptos"/>
                <w:b w:val="0"/>
                <w:sz w:val="15"/>
              </w:rPr>
              <w:t>Source requirement or implementation conflicts with GAISSF or applicable law</w:t>
            </w:r>
          </w:p>
        </w:tc>
        <w:tc>
          <w:tcPr>
            <w:tcW w:type="dxa" w:w="3024"/>
            <w:vAlign w:val="center"/>
            <w:shd w:fill="F3F6F7"/>
          </w:tcPr>
          <w:p>
            <w:pPr>
              <w:spacing w:after="0"/>
            </w:pPr>
            <w:r/>
            <w:r>
              <w:rPr>
                <w:rFonts w:ascii="Aptos" w:hAnsi="Aptos"/>
                <w:b w:val="0"/>
                <w:sz w:val="15"/>
              </w:rPr>
              <w:t>Escalate for governance and legal resolution</w:t>
            </w:r>
          </w:p>
        </w:tc>
      </w:tr>
      <w:tr>
        <w:trPr>
          <w:cantSplit/>
        </w:trPr>
        <w:tc>
          <w:tcPr>
            <w:tcW w:type="dxa" w:w="2160"/>
            <w:vAlign w:val="center"/>
          </w:tcPr>
          <w:p>
            <w:pPr>
              <w:spacing w:after="0"/>
            </w:pPr>
            <w:r/>
            <w:r>
              <w:rPr>
                <w:rFonts w:ascii="Aptos" w:hAnsi="Aptos"/>
                <w:b w:val="0"/>
                <w:sz w:val="15"/>
              </w:rPr>
              <w:t>No mapping</w:t>
            </w:r>
          </w:p>
        </w:tc>
        <w:tc>
          <w:tcPr>
            <w:tcW w:type="dxa" w:w="4464"/>
            <w:vAlign w:val="center"/>
          </w:tcPr>
          <w:p>
            <w:pPr>
              <w:spacing w:after="0"/>
            </w:pPr>
            <w:r/>
            <w:r>
              <w:rPr>
                <w:rFonts w:ascii="Aptos" w:hAnsi="Aptos"/>
                <w:b w:val="0"/>
                <w:sz w:val="15"/>
              </w:rPr>
              <w:t>No reliable relationship is identified</w:t>
            </w:r>
          </w:p>
        </w:tc>
        <w:tc>
          <w:tcPr>
            <w:tcW w:type="dxa" w:w="3024"/>
            <w:vAlign w:val="center"/>
          </w:tcPr>
          <w:p>
            <w:pPr>
              <w:spacing w:after="0"/>
            </w:pPr>
            <w:r/>
            <w:r>
              <w:rPr>
                <w:rFonts w:ascii="Aptos" w:hAnsi="Aptos"/>
                <w:b w:val="0"/>
                <w:sz w:val="15"/>
              </w:rPr>
              <w:t>Implement GAISSF requirement independently</w:t>
            </w:r>
          </w:p>
        </w:tc>
      </w:tr>
    </w:tbl>
    <w:p/>
    <w:p>
      <w:pPr>
        <w:pStyle w:val="Heading1"/>
      </w:pPr>
      <w:r>
        <w:t>4. Migration Lifecycle</w:t>
      </w:r>
    </w:p>
    <w:tbl>
      <w:tblPr>
        <w:tblStyle w:val="TableGrid"/>
        <w:tblW w:type="auto" w:w="0"/>
        <w:jc w:val="center"/>
        <w:tblLook w:firstColumn="1" w:firstRow="1" w:lastColumn="0" w:lastRow="0" w:noHBand="0" w:noVBand="1" w:val="04A0"/>
      </w:tblPr>
      <w:tblGrid>
        <w:gridCol w:w="3427"/>
        <w:gridCol w:w="3427"/>
        <w:gridCol w:w="3427"/>
      </w:tblGrid>
      <w:tr>
        <w:trPr>
          <w:tblHeader w:val="true"/>
          <w:cantSplit/>
        </w:trPr>
        <w:tc>
          <w:tcPr>
            <w:tcW w:type="dxa" w:w="2016"/>
            <w:vAlign w:val="center"/>
            <w:shd w:fill="17324D"/>
          </w:tcPr>
          <w:p>
            <w:pPr>
              <w:spacing w:after="0"/>
            </w:pPr>
            <w:r/>
            <w:r>
              <w:rPr>
                <w:rFonts w:ascii="Aptos" w:hAnsi="Aptos"/>
                <w:b/>
                <w:color w:val="FFFFFF"/>
                <w:sz w:val="15"/>
              </w:rPr>
              <w:t>Phase</w:t>
            </w:r>
          </w:p>
        </w:tc>
        <w:tc>
          <w:tcPr>
            <w:tcW w:type="dxa" w:w="4896"/>
            <w:vAlign w:val="center"/>
            <w:shd w:fill="17324D"/>
          </w:tcPr>
          <w:p>
            <w:pPr>
              <w:spacing w:after="0"/>
            </w:pPr>
            <w:r/>
            <w:r>
              <w:rPr>
                <w:rFonts w:ascii="Aptos" w:hAnsi="Aptos"/>
                <w:b/>
                <w:color w:val="FFFFFF"/>
                <w:sz w:val="15"/>
              </w:rPr>
              <w:t>Primary activity</w:t>
            </w:r>
          </w:p>
        </w:tc>
        <w:tc>
          <w:tcPr>
            <w:tcW w:type="dxa" w:w="2880"/>
            <w:vAlign w:val="center"/>
            <w:shd w:fill="17324D"/>
          </w:tcPr>
          <w:p>
            <w:pPr>
              <w:spacing w:after="0"/>
            </w:pPr>
            <w:r/>
            <w:r>
              <w:rPr>
                <w:rFonts w:ascii="Aptos" w:hAnsi="Aptos"/>
                <w:b/>
                <w:color w:val="FFFFFF"/>
                <w:sz w:val="15"/>
              </w:rPr>
              <w:t>Output</w:t>
            </w:r>
          </w:p>
        </w:tc>
      </w:tr>
      <w:tr>
        <w:trPr>
          <w:cantSplit/>
        </w:trPr>
        <w:tc>
          <w:tcPr>
            <w:tcW w:type="dxa" w:w="2016"/>
            <w:vAlign w:val="center"/>
          </w:tcPr>
          <w:p>
            <w:pPr>
              <w:spacing w:after="0"/>
            </w:pPr>
            <w:r/>
            <w:r>
              <w:rPr>
                <w:rFonts w:ascii="Aptos" w:hAnsi="Aptos"/>
                <w:b w:val="0"/>
                <w:sz w:val="15"/>
              </w:rPr>
              <w:t>0 — Mobilize</w:t>
            </w:r>
          </w:p>
        </w:tc>
        <w:tc>
          <w:tcPr>
            <w:tcW w:type="dxa" w:w="4896"/>
            <w:vAlign w:val="center"/>
          </w:tcPr>
          <w:p>
            <w:pPr>
              <w:spacing w:after="0"/>
            </w:pPr>
            <w:r/>
            <w:r>
              <w:rPr>
                <w:rFonts w:ascii="Aptos" w:hAnsi="Aptos"/>
                <w:b w:val="0"/>
                <w:sz w:val="15"/>
              </w:rPr>
              <w:t>Define objective, scope, owners and migration governance</w:t>
            </w:r>
          </w:p>
        </w:tc>
        <w:tc>
          <w:tcPr>
            <w:tcW w:type="dxa" w:w="2880"/>
            <w:vAlign w:val="center"/>
          </w:tcPr>
          <w:p>
            <w:pPr>
              <w:spacing w:after="0"/>
            </w:pPr>
            <w:r/>
            <w:r>
              <w:rPr>
                <w:rFonts w:ascii="Aptos" w:hAnsi="Aptos"/>
                <w:b w:val="0"/>
                <w:sz w:val="15"/>
              </w:rPr>
              <w:t>Migration charter</w:t>
            </w:r>
          </w:p>
        </w:tc>
      </w:tr>
      <w:tr>
        <w:trPr>
          <w:cantSplit/>
        </w:trPr>
        <w:tc>
          <w:tcPr>
            <w:tcW w:type="dxa" w:w="2016"/>
            <w:vAlign w:val="center"/>
            <w:shd w:fill="F3F6F7"/>
          </w:tcPr>
          <w:p>
            <w:pPr>
              <w:spacing w:after="0"/>
            </w:pPr>
            <w:r/>
            <w:r>
              <w:rPr>
                <w:rFonts w:ascii="Aptos" w:hAnsi="Aptos"/>
                <w:b w:val="0"/>
                <w:sz w:val="15"/>
              </w:rPr>
              <w:t>1 — Inventory</w:t>
            </w:r>
          </w:p>
        </w:tc>
        <w:tc>
          <w:tcPr>
            <w:tcW w:type="dxa" w:w="4896"/>
            <w:vAlign w:val="center"/>
            <w:shd w:fill="F3F6F7"/>
          </w:tcPr>
          <w:p>
            <w:pPr>
              <w:spacing w:after="0"/>
            </w:pPr>
            <w:r/>
            <w:r>
              <w:rPr>
                <w:rFonts w:ascii="Aptos" w:hAnsi="Aptos"/>
                <w:b w:val="0"/>
                <w:sz w:val="15"/>
              </w:rPr>
              <w:t>Catalogue source frameworks, controls, certifications and evidence</w:t>
            </w:r>
          </w:p>
        </w:tc>
        <w:tc>
          <w:tcPr>
            <w:tcW w:type="dxa" w:w="2880"/>
            <w:vAlign w:val="center"/>
            <w:shd w:fill="F3F6F7"/>
          </w:tcPr>
          <w:p>
            <w:pPr>
              <w:spacing w:after="0"/>
            </w:pPr>
            <w:r/>
            <w:r>
              <w:rPr>
                <w:rFonts w:ascii="Aptos" w:hAnsi="Aptos"/>
                <w:b w:val="0"/>
                <w:sz w:val="15"/>
              </w:rPr>
              <w:t>Source register</w:t>
            </w:r>
          </w:p>
        </w:tc>
      </w:tr>
      <w:tr>
        <w:trPr>
          <w:cantSplit/>
        </w:trPr>
        <w:tc>
          <w:tcPr>
            <w:tcW w:type="dxa" w:w="2016"/>
            <w:vAlign w:val="center"/>
          </w:tcPr>
          <w:p>
            <w:pPr>
              <w:spacing w:after="0"/>
            </w:pPr>
            <w:r/>
            <w:r>
              <w:rPr>
                <w:rFonts w:ascii="Aptos" w:hAnsi="Aptos"/>
                <w:b w:val="0"/>
                <w:sz w:val="15"/>
              </w:rPr>
              <w:t>2 — Normalize</w:t>
            </w:r>
          </w:p>
        </w:tc>
        <w:tc>
          <w:tcPr>
            <w:tcW w:type="dxa" w:w="4896"/>
            <w:vAlign w:val="center"/>
          </w:tcPr>
          <w:p>
            <w:pPr>
              <w:spacing w:after="0"/>
            </w:pPr>
            <w:r/>
            <w:r>
              <w:rPr>
                <w:rFonts w:ascii="Aptos" w:hAnsi="Aptos"/>
                <w:b w:val="0"/>
                <w:sz w:val="15"/>
              </w:rPr>
              <w:t>Standardize identifiers, terminology, scope and evidence metadata</w:t>
            </w:r>
          </w:p>
        </w:tc>
        <w:tc>
          <w:tcPr>
            <w:tcW w:type="dxa" w:w="2880"/>
            <w:vAlign w:val="center"/>
          </w:tcPr>
          <w:p>
            <w:pPr>
              <w:spacing w:after="0"/>
            </w:pPr>
            <w:r/>
            <w:r>
              <w:rPr>
                <w:rFonts w:ascii="Aptos" w:hAnsi="Aptos"/>
                <w:b w:val="0"/>
                <w:sz w:val="15"/>
              </w:rPr>
              <w:t>Normalized source library</w:t>
            </w:r>
          </w:p>
        </w:tc>
      </w:tr>
      <w:tr>
        <w:trPr>
          <w:cantSplit/>
        </w:trPr>
        <w:tc>
          <w:tcPr>
            <w:tcW w:type="dxa" w:w="2016"/>
            <w:vAlign w:val="center"/>
            <w:shd w:fill="F3F6F7"/>
          </w:tcPr>
          <w:p>
            <w:pPr>
              <w:spacing w:after="0"/>
            </w:pPr>
            <w:r/>
            <w:r>
              <w:rPr>
                <w:rFonts w:ascii="Aptos" w:hAnsi="Aptos"/>
                <w:b w:val="0"/>
                <w:sz w:val="15"/>
              </w:rPr>
              <w:t>3 — Map</w:t>
            </w:r>
          </w:p>
        </w:tc>
        <w:tc>
          <w:tcPr>
            <w:tcW w:type="dxa" w:w="4896"/>
            <w:vAlign w:val="center"/>
            <w:shd w:fill="F3F6F7"/>
          </w:tcPr>
          <w:p>
            <w:pPr>
              <w:spacing w:after="0"/>
            </w:pPr>
            <w:r/>
            <w:r>
              <w:rPr>
                <w:rFonts w:ascii="Aptos" w:hAnsi="Aptos"/>
                <w:b w:val="0"/>
                <w:sz w:val="15"/>
              </w:rPr>
              <w:t>Relate source requirements to GAISSF controls</w:t>
            </w:r>
          </w:p>
        </w:tc>
        <w:tc>
          <w:tcPr>
            <w:tcW w:type="dxa" w:w="2880"/>
            <w:vAlign w:val="center"/>
            <w:shd w:fill="F3F6F7"/>
          </w:tcPr>
          <w:p>
            <w:pPr>
              <w:spacing w:after="0"/>
            </w:pPr>
            <w:r/>
            <w:r>
              <w:rPr>
                <w:rFonts w:ascii="Aptos" w:hAnsi="Aptos"/>
                <w:b w:val="0"/>
                <w:sz w:val="15"/>
              </w:rPr>
              <w:t>Draft crosswalk</w:t>
            </w:r>
          </w:p>
        </w:tc>
      </w:tr>
      <w:tr>
        <w:trPr>
          <w:cantSplit/>
        </w:trPr>
        <w:tc>
          <w:tcPr>
            <w:tcW w:type="dxa" w:w="2016"/>
            <w:vAlign w:val="center"/>
          </w:tcPr>
          <w:p>
            <w:pPr>
              <w:spacing w:after="0"/>
            </w:pPr>
            <w:r/>
            <w:r>
              <w:rPr>
                <w:rFonts w:ascii="Aptos" w:hAnsi="Aptos"/>
                <w:b w:val="0"/>
                <w:sz w:val="15"/>
              </w:rPr>
              <w:t>4 — Validate</w:t>
            </w:r>
          </w:p>
        </w:tc>
        <w:tc>
          <w:tcPr>
            <w:tcW w:type="dxa" w:w="4896"/>
            <w:vAlign w:val="center"/>
          </w:tcPr>
          <w:p>
            <w:pPr>
              <w:spacing w:after="0"/>
            </w:pPr>
            <w:r/>
            <w:r>
              <w:rPr>
                <w:rFonts w:ascii="Aptos" w:hAnsi="Aptos"/>
                <w:b w:val="0"/>
                <w:sz w:val="15"/>
              </w:rPr>
              <w:t>Review mappings for semantic and evidentiary accuracy</w:t>
            </w:r>
          </w:p>
        </w:tc>
        <w:tc>
          <w:tcPr>
            <w:tcW w:type="dxa" w:w="2880"/>
            <w:vAlign w:val="center"/>
          </w:tcPr>
          <w:p>
            <w:pPr>
              <w:spacing w:after="0"/>
            </w:pPr>
            <w:r/>
            <w:r>
              <w:rPr>
                <w:rFonts w:ascii="Aptos" w:hAnsi="Aptos"/>
                <w:b w:val="0"/>
                <w:sz w:val="15"/>
              </w:rPr>
              <w:t>Approved mapping set</w:t>
            </w:r>
          </w:p>
        </w:tc>
      </w:tr>
      <w:tr>
        <w:trPr>
          <w:cantSplit/>
        </w:trPr>
        <w:tc>
          <w:tcPr>
            <w:tcW w:type="dxa" w:w="2016"/>
            <w:vAlign w:val="center"/>
            <w:shd w:fill="F3F6F7"/>
          </w:tcPr>
          <w:p>
            <w:pPr>
              <w:spacing w:after="0"/>
            </w:pPr>
            <w:r/>
            <w:r>
              <w:rPr>
                <w:rFonts w:ascii="Aptos" w:hAnsi="Aptos"/>
                <w:b w:val="0"/>
                <w:sz w:val="15"/>
              </w:rPr>
              <w:t>5 — Assess</w:t>
            </w:r>
          </w:p>
        </w:tc>
        <w:tc>
          <w:tcPr>
            <w:tcW w:type="dxa" w:w="4896"/>
            <w:vAlign w:val="center"/>
            <w:shd w:fill="F3F6F7"/>
          </w:tcPr>
          <w:p>
            <w:pPr>
              <w:spacing w:after="0"/>
            </w:pPr>
            <w:r/>
            <w:r>
              <w:rPr>
                <w:rFonts w:ascii="Aptos" w:hAnsi="Aptos"/>
                <w:b w:val="0"/>
                <w:sz w:val="15"/>
              </w:rPr>
              <w:t>Test migrated mechanisms and evidence against GAISSF</w:t>
            </w:r>
          </w:p>
        </w:tc>
        <w:tc>
          <w:tcPr>
            <w:tcW w:type="dxa" w:w="2880"/>
            <w:vAlign w:val="center"/>
            <w:shd w:fill="F3F6F7"/>
          </w:tcPr>
          <w:p>
            <w:pPr>
              <w:spacing w:after="0"/>
            </w:pPr>
            <w:r/>
            <w:r>
              <w:rPr>
                <w:rFonts w:ascii="Aptos" w:hAnsi="Aptos"/>
                <w:b w:val="0"/>
                <w:sz w:val="15"/>
              </w:rPr>
              <w:t>Gap assessment</w:t>
            </w:r>
          </w:p>
        </w:tc>
      </w:tr>
      <w:tr>
        <w:trPr>
          <w:cantSplit/>
        </w:trPr>
        <w:tc>
          <w:tcPr>
            <w:tcW w:type="dxa" w:w="2016"/>
            <w:vAlign w:val="center"/>
          </w:tcPr>
          <w:p>
            <w:pPr>
              <w:spacing w:after="0"/>
            </w:pPr>
            <w:r/>
            <w:r>
              <w:rPr>
                <w:rFonts w:ascii="Aptos" w:hAnsi="Aptos"/>
                <w:b w:val="0"/>
                <w:sz w:val="15"/>
              </w:rPr>
              <w:t>6 — Design</w:t>
            </w:r>
          </w:p>
        </w:tc>
        <w:tc>
          <w:tcPr>
            <w:tcW w:type="dxa" w:w="4896"/>
            <w:vAlign w:val="center"/>
          </w:tcPr>
          <w:p>
            <w:pPr>
              <w:spacing w:after="0"/>
            </w:pPr>
            <w:r/>
            <w:r>
              <w:rPr>
                <w:rFonts w:ascii="Aptos" w:hAnsi="Aptos"/>
                <w:b w:val="0"/>
                <w:sz w:val="15"/>
              </w:rPr>
              <w:t>Define target operating model and remediation</w:t>
            </w:r>
          </w:p>
        </w:tc>
        <w:tc>
          <w:tcPr>
            <w:tcW w:type="dxa" w:w="2880"/>
            <w:vAlign w:val="center"/>
          </w:tcPr>
          <w:p>
            <w:pPr>
              <w:spacing w:after="0"/>
            </w:pPr>
            <w:r/>
            <w:r>
              <w:rPr>
                <w:rFonts w:ascii="Aptos" w:hAnsi="Aptos"/>
                <w:b w:val="0"/>
                <w:sz w:val="15"/>
              </w:rPr>
              <w:t>Migration roadmap</w:t>
            </w:r>
          </w:p>
        </w:tc>
      </w:tr>
      <w:tr>
        <w:trPr>
          <w:cantSplit/>
        </w:trPr>
        <w:tc>
          <w:tcPr>
            <w:tcW w:type="dxa" w:w="2016"/>
            <w:vAlign w:val="center"/>
            <w:shd w:fill="F3F6F7"/>
          </w:tcPr>
          <w:p>
            <w:pPr>
              <w:spacing w:after="0"/>
            </w:pPr>
            <w:r/>
            <w:r>
              <w:rPr>
                <w:rFonts w:ascii="Aptos" w:hAnsi="Aptos"/>
                <w:b w:val="0"/>
                <w:sz w:val="15"/>
              </w:rPr>
              <w:t>7 — Transition</w:t>
            </w:r>
          </w:p>
        </w:tc>
        <w:tc>
          <w:tcPr>
            <w:tcW w:type="dxa" w:w="4896"/>
            <w:vAlign w:val="center"/>
            <w:shd w:fill="F3F6F7"/>
          </w:tcPr>
          <w:p>
            <w:pPr>
              <w:spacing w:after="0"/>
            </w:pPr>
            <w:r/>
            <w:r>
              <w:rPr>
                <w:rFonts w:ascii="Aptos" w:hAnsi="Aptos"/>
                <w:b w:val="0"/>
                <w:sz w:val="15"/>
              </w:rPr>
              <w:t>Implement migration waves and parallel operation</w:t>
            </w:r>
          </w:p>
        </w:tc>
        <w:tc>
          <w:tcPr>
            <w:tcW w:type="dxa" w:w="2880"/>
            <w:vAlign w:val="center"/>
            <w:shd w:fill="F3F6F7"/>
          </w:tcPr>
          <w:p>
            <w:pPr>
              <w:spacing w:after="0"/>
            </w:pPr>
            <w:r/>
            <w:r>
              <w:rPr>
                <w:rFonts w:ascii="Aptos" w:hAnsi="Aptos"/>
                <w:b w:val="0"/>
                <w:sz w:val="15"/>
              </w:rPr>
              <w:t>Migrated controls</w:t>
            </w:r>
          </w:p>
        </w:tc>
      </w:tr>
      <w:tr>
        <w:trPr>
          <w:cantSplit/>
        </w:trPr>
        <w:tc>
          <w:tcPr>
            <w:tcW w:type="dxa" w:w="2016"/>
            <w:vAlign w:val="center"/>
          </w:tcPr>
          <w:p>
            <w:pPr>
              <w:spacing w:after="0"/>
            </w:pPr>
            <w:r/>
            <w:r>
              <w:rPr>
                <w:rFonts w:ascii="Aptos" w:hAnsi="Aptos"/>
                <w:b w:val="0"/>
                <w:sz w:val="15"/>
              </w:rPr>
              <w:t>8 — Assure</w:t>
            </w:r>
          </w:p>
        </w:tc>
        <w:tc>
          <w:tcPr>
            <w:tcW w:type="dxa" w:w="4896"/>
            <w:vAlign w:val="center"/>
          </w:tcPr>
          <w:p>
            <w:pPr>
              <w:spacing w:after="0"/>
            </w:pPr>
            <w:r/>
            <w:r>
              <w:rPr>
                <w:rFonts w:ascii="Aptos" w:hAnsi="Aptos"/>
                <w:b w:val="0"/>
                <w:sz w:val="15"/>
              </w:rPr>
              <w:t>Perform independent readiness and effectiveness review</w:t>
            </w:r>
          </w:p>
        </w:tc>
        <w:tc>
          <w:tcPr>
            <w:tcW w:type="dxa" w:w="2880"/>
            <w:vAlign w:val="center"/>
          </w:tcPr>
          <w:p>
            <w:pPr>
              <w:spacing w:after="0"/>
            </w:pPr>
            <w:r/>
            <w:r>
              <w:rPr>
                <w:rFonts w:ascii="Aptos" w:hAnsi="Aptos"/>
                <w:b w:val="0"/>
                <w:sz w:val="15"/>
              </w:rPr>
              <w:t>Assurance report</w:t>
            </w:r>
          </w:p>
        </w:tc>
      </w:tr>
      <w:tr>
        <w:trPr>
          <w:cantSplit/>
        </w:trPr>
        <w:tc>
          <w:tcPr>
            <w:tcW w:type="dxa" w:w="2016"/>
            <w:vAlign w:val="center"/>
            <w:shd w:fill="F3F6F7"/>
          </w:tcPr>
          <w:p>
            <w:pPr>
              <w:spacing w:after="0"/>
            </w:pPr>
            <w:r/>
            <w:r>
              <w:rPr>
                <w:rFonts w:ascii="Aptos" w:hAnsi="Aptos"/>
                <w:b w:val="0"/>
                <w:sz w:val="15"/>
              </w:rPr>
              <w:t>9 — Retire</w:t>
            </w:r>
          </w:p>
        </w:tc>
        <w:tc>
          <w:tcPr>
            <w:tcW w:type="dxa" w:w="4896"/>
            <w:vAlign w:val="center"/>
            <w:shd w:fill="F3F6F7"/>
          </w:tcPr>
          <w:p>
            <w:pPr>
              <w:spacing w:after="0"/>
            </w:pPr>
            <w:r/>
            <w:r>
              <w:rPr>
                <w:rFonts w:ascii="Aptos" w:hAnsi="Aptos"/>
                <w:b w:val="0"/>
                <w:sz w:val="15"/>
              </w:rPr>
              <w:t>Archive or retire superseded legacy artifacts</w:t>
            </w:r>
          </w:p>
        </w:tc>
        <w:tc>
          <w:tcPr>
            <w:tcW w:type="dxa" w:w="2880"/>
            <w:vAlign w:val="center"/>
            <w:shd w:fill="F3F6F7"/>
          </w:tcPr>
          <w:p>
            <w:pPr>
              <w:spacing w:after="0"/>
            </w:pPr>
            <w:r/>
            <w:r>
              <w:rPr>
                <w:rFonts w:ascii="Aptos" w:hAnsi="Aptos"/>
                <w:b w:val="0"/>
                <w:sz w:val="15"/>
              </w:rPr>
              <w:t>Retirement record</w:t>
            </w:r>
          </w:p>
        </w:tc>
      </w:tr>
      <w:tr>
        <w:trPr>
          <w:cantSplit/>
        </w:trPr>
        <w:tc>
          <w:tcPr>
            <w:tcW w:type="dxa" w:w="2016"/>
            <w:vAlign w:val="center"/>
          </w:tcPr>
          <w:p>
            <w:pPr>
              <w:spacing w:after="0"/>
            </w:pPr>
            <w:r/>
            <w:r>
              <w:rPr>
                <w:rFonts w:ascii="Aptos" w:hAnsi="Aptos"/>
                <w:b w:val="0"/>
                <w:sz w:val="15"/>
              </w:rPr>
              <w:t>10 — Sustain</w:t>
            </w:r>
          </w:p>
        </w:tc>
        <w:tc>
          <w:tcPr>
            <w:tcW w:type="dxa" w:w="4896"/>
            <w:vAlign w:val="center"/>
          </w:tcPr>
          <w:p>
            <w:pPr>
              <w:spacing w:after="0"/>
            </w:pPr>
            <w:r/>
            <w:r>
              <w:rPr>
                <w:rFonts w:ascii="Aptos" w:hAnsi="Aptos"/>
                <w:b w:val="0"/>
                <w:sz w:val="15"/>
              </w:rPr>
              <w:t>Maintain crosswalks, evidence and release impacts</w:t>
            </w:r>
          </w:p>
        </w:tc>
        <w:tc>
          <w:tcPr>
            <w:tcW w:type="dxa" w:w="2880"/>
            <w:vAlign w:val="center"/>
          </w:tcPr>
          <w:p>
            <w:pPr>
              <w:spacing w:after="0"/>
            </w:pPr>
            <w:r/>
            <w:r>
              <w:rPr>
                <w:rFonts w:ascii="Aptos" w:hAnsi="Aptos"/>
                <w:b w:val="0"/>
                <w:sz w:val="15"/>
              </w:rPr>
              <w:t>Continuing migration governance</w:t>
            </w:r>
          </w:p>
        </w:tc>
      </w:tr>
    </w:tbl>
    <w:p/>
    <w:p>
      <w:pPr>
        <w:pStyle w:val="Heading1"/>
      </w:pPr>
      <w:r>
        <w:t>5. Phase 0 — Establish Migration Governance</w:t>
      </w:r>
    </w:p>
    <w:tbl>
      <w:tblPr>
        <w:tblStyle w:val="TableGrid"/>
        <w:tblW w:type="auto" w:w="0"/>
        <w:jc w:val="center"/>
        <w:tblLook w:firstColumn="1" w:firstRow="1" w:lastColumn="0" w:lastRow="0" w:noHBand="0" w:noVBand="1" w:val="04A0"/>
      </w:tblPr>
      <w:tblGrid>
        <w:gridCol w:w="5141"/>
        <w:gridCol w:w="5141"/>
      </w:tblGrid>
      <w:tr>
        <w:trPr>
          <w:tblHeader w:val="true"/>
          <w:cantSplit/>
        </w:trPr>
        <w:tc>
          <w:tcPr>
            <w:tcW w:type="dxa" w:w="2592"/>
            <w:vAlign w:val="center"/>
            <w:shd w:fill="17324D"/>
          </w:tcPr>
          <w:p>
            <w:pPr>
              <w:spacing w:after="0"/>
            </w:pPr>
            <w:r/>
            <w:r>
              <w:rPr>
                <w:rFonts w:ascii="Aptos" w:hAnsi="Aptos"/>
                <w:b/>
                <w:color w:val="FFFFFF"/>
                <w:sz w:val="15"/>
              </w:rPr>
              <w:t>Role</w:t>
            </w:r>
          </w:p>
        </w:tc>
        <w:tc>
          <w:tcPr>
            <w:tcW w:type="dxa" w:w="7056"/>
            <w:vAlign w:val="center"/>
            <w:shd w:fill="17324D"/>
          </w:tcPr>
          <w:p>
            <w:pPr>
              <w:spacing w:after="0"/>
            </w:pPr>
            <w:r/>
            <w:r>
              <w:rPr>
                <w:rFonts w:ascii="Aptos" w:hAnsi="Aptos"/>
                <w:b/>
                <w:color w:val="FFFFFF"/>
                <w:sz w:val="15"/>
              </w:rPr>
              <w:t>Migration accountability</w:t>
            </w:r>
          </w:p>
        </w:tc>
      </w:tr>
      <w:tr>
        <w:trPr>
          <w:cantSplit/>
        </w:trPr>
        <w:tc>
          <w:tcPr>
            <w:tcW w:type="dxa" w:w="2592"/>
            <w:vAlign w:val="center"/>
          </w:tcPr>
          <w:p>
            <w:pPr>
              <w:spacing w:after="0"/>
            </w:pPr>
            <w:r/>
            <w:r>
              <w:rPr>
                <w:rFonts w:ascii="Aptos" w:hAnsi="Aptos"/>
                <w:b w:val="0"/>
                <w:sz w:val="15"/>
              </w:rPr>
              <w:t>Executive sponsor</w:t>
            </w:r>
          </w:p>
        </w:tc>
        <w:tc>
          <w:tcPr>
            <w:tcW w:type="dxa" w:w="7056"/>
            <w:vAlign w:val="center"/>
          </w:tcPr>
          <w:p>
            <w:pPr>
              <w:spacing w:after="0"/>
            </w:pPr>
            <w:r/>
            <w:r>
              <w:rPr>
                <w:rFonts w:ascii="Aptos" w:hAnsi="Aptos"/>
                <w:b w:val="0"/>
                <w:sz w:val="15"/>
              </w:rPr>
              <w:t>Approve scope, resources and material risk decisions</w:t>
            </w:r>
          </w:p>
        </w:tc>
      </w:tr>
      <w:tr>
        <w:trPr>
          <w:cantSplit/>
        </w:trPr>
        <w:tc>
          <w:tcPr>
            <w:tcW w:type="dxa" w:w="2592"/>
            <w:vAlign w:val="center"/>
            <w:shd w:fill="F3F6F7"/>
          </w:tcPr>
          <w:p>
            <w:pPr>
              <w:spacing w:after="0"/>
            </w:pPr>
            <w:r/>
            <w:r>
              <w:rPr>
                <w:rFonts w:ascii="Aptos" w:hAnsi="Aptos"/>
                <w:b w:val="0"/>
                <w:sz w:val="15"/>
              </w:rPr>
              <w:t>Migration lead</w:t>
            </w:r>
          </w:p>
        </w:tc>
        <w:tc>
          <w:tcPr>
            <w:tcW w:type="dxa" w:w="7056"/>
            <w:vAlign w:val="center"/>
            <w:shd w:fill="F3F6F7"/>
          </w:tcPr>
          <w:p>
            <w:pPr>
              <w:spacing w:after="0"/>
            </w:pPr>
            <w:r/>
            <w:r>
              <w:rPr>
                <w:rFonts w:ascii="Aptos" w:hAnsi="Aptos"/>
                <w:b w:val="0"/>
                <w:sz w:val="15"/>
              </w:rPr>
              <w:t>Coordinate mapping, transition and reporting</w:t>
            </w:r>
          </w:p>
        </w:tc>
      </w:tr>
      <w:tr>
        <w:trPr>
          <w:cantSplit/>
        </w:trPr>
        <w:tc>
          <w:tcPr>
            <w:tcW w:type="dxa" w:w="2592"/>
            <w:vAlign w:val="center"/>
          </w:tcPr>
          <w:p>
            <w:pPr>
              <w:spacing w:after="0"/>
            </w:pPr>
            <w:r/>
            <w:r>
              <w:rPr>
                <w:rFonts w:ascii="Aptos" w:hAnsi="Aptos"/>
                <w:b w:val="0"/>
                <w:sz w:val="15"/>
              </w:rPr>
              <w:t>Source-framework owner</w:t>
            </w:r>
          </w:p>
        </w:tc>
        <w:tc>
          <w:tcPr>
            <w:tcW w:type="dxa" w:w="7056"/>
            <w:vAlign w:val="center"/>
          </w:tcPr>
          <w:p>
            <w:pPr>
              <w:spacing w:after="0"/>
            </w:pPr>
            <w:r/>
            <w:r>
              <w:rPr>
                <w:rFonts w:ascii="Aptos" w:hAnsi="Aptos"/>
                <w:b w:val="0"/>
                <w:sz w:val="15"/>
              </w:rPr>
              <w:t>Explain current implementation and obligations</w:t>
            </w:r>
          </w:p>
        </w:tc>
      </w:tr>
      <w:tr>
        <w:trPr>
          <w:cantSplit/>
        </w:trPr>
        <w:tc>
          <w:tcPr>
            <w:tcW w:type="dxa" w:w="2592"/>
            <w:vAlign w:val="center"/>
            <w:shd w:fill="F3F6F7"/>
          </w:tcPr>
          <w:p>
            <w:pPr>
              <w:spacing w:after="0"/>
            </w:pPr>
            <w:r/>
            <w:r>
              <w:rPr>
                <w:rFonts w:ascii="Aptos" w:hAnsi="Aptos"/>
                <w:b w:val="0"/>
                <w:sz w:val="15"/>
              </w:rPr>
              <w:t>GAISSF control owner</w:t>
            </w:r>
          </w:p>
        </w:tc>
        <w:tc>
          <w:tcPr>
            <w:tcW w:type="dxa" w:w="7056"/>
            <w:vAlign w:val="center"/>
            <w:shd w:fill="F3F6F7"/>
          </w:tcPr>
          <w:p>
            <w:pPr>
              <w:spacing w:after="0"/>
            </w:pPr>
            <w:r/>
            <w:r>
              <w:rPr>
                <w:rFonts w:ascii="Aptos" w:hAnsi="Aptos"/>
                <w:b w:val="0"/>
                <w:sz w:val="15"/>
              </w:rPr>
              <w:t>Accept migrated mechanisms and evidence</w:t>
            </w:r>
          </w:p>
        </w:tc>
      </w:tr>
      <w:tr>
        <w:trPr>
          <w:cantSplit/>
        </w:trPr>
        <w:tc>
          <w:tcPr>
            <w:tcW w:type="dxa" w:w="2592"/>
            <w:vAlign w:val="center"/>
          </w:tcPr>
          <w:p>
            <w:pPr>
              <w:spacing w:after="0"/>
            </w:pPr>
            <w:r/>
            <w:r>
              <w:rPr>
                <w:rFonts w:ascii="Aptos" w:hAnsi="Aptos"/>
                <w:b w:val="0"/>
                <w:sz w:val="15"/>
              </w:rPr>
              <w:t>Standards architect</w:t>
            </w:r>
          </w:p>
        </w:tc>
        <w:tc>
          <w:tcPr>
            <w:tcW w:type="dxa" w:w="7056"/>
            <w:vAlign w:val="center"/>
          </w:tcPr>
          <w:p>
            <w:pPr>
              <w:spacing w:after="0"/>
            </w:pPr>
            <w:r/>
            <w:r>
              <w:rPr>
                <w:rFonts w:ascii="Aptos" w:hAnsi="Aptos"/>
                <w:b w:val="0"/>
                <w:sz w:val="15"/>
              </w:rPr>
              <w:t>Validate semantic relationships and crosswalk quality</w:t>
            </w:r>
          </w:p>
        </w:tc>
      </w:tr>
      <w:tr>
        <w:trPr>
          <w:cantSplit/>
        </w:trPr>
        <w:tc>
          <w:tcPr>
            <w:tcW w:type="dxa" w:w="2592"/>
            <w:vAlign w:val="center"/>
            <w:shd w:fill="F3F6F7"/>
          </w:tcPr>
          <w:p>
            <w:pPr>
              <w:spacing w:after="0"/>
            </w:pPr>
            <w:r/>
            <w:r>
              <w:rPr>
                <w:rFonts w:ascii="Aptos" w:hAnsi="Aptos"/>
                <w:b w:val="0"/>
                <w:sz w:val="15"/>
              </w:rPr>
              <w:t>Legal/compliance</w:t>
            </w:r>
          </w:p>
        </w:tc>
        <w:tc>
          <w:tcPr>
            <w:tcW w:type="dxa" w:w="7056"/>
            <w:vAlign w:val="center"/>
            <w:shd w:fill="F3F6F7"/>
          </w:tcPr>
          <w:p>
            <w:pPr>
              <w:spacing w:after="0"/>
            </w:pPr>
            <w:r/>
            <w:r>
              <w:rPr>
                <w:rFonts w:ascii="Aptos" w:hAnsi="Aptos"/>
                <w:b w:val="0"/>
                <w:sz w:val="15"/>
              </w:rPr>
              <w:t>Preserve applicable obligations and resolve conflicts</w:t>
            </w:r>
          </w:p>
        </w:tc>
      </w:tr>
      <w:tr>
        <w:trPr>
          <w:cantSplit/>
        </w:trPr>
        <w:tc>
          <w:tcPr>
            <w:tcW w:type="dxa" w:w="2592"/>
            <w:vAlign w:val="center"/>
          </w:tcPr>
          <w:p>
            <w:pPr>
              <w:spacing w:after="0"/>
            </w:pPr>
            <w:r/>
            <w:r>
              <w:rPr>
                <w:rFonts w:ascii="Aptos" w:hAnsi="Aptos"/>
                <w:b w:val="0"/>
                <w:sz w:val="15"/>
              </w:rPr>
              <w:t>Internal assurance</w:t>
            </w:r>
          </w:p>
        </w:tc>
        <w:tc>
          <w:tcPr>
            <w:tcW w:type="dxa" w:w="7056"/>
            <w:vAlign w:val="center"/>
          </w:tcPr>
          <w:p>
            <w:pPr>
              <w:spacing w:after="0"/>
            </w:pPr>
            <w:r/>
            <w:r>
              <w:rPr>
                <w:rFonts w:ascii="Aptos" w:hAnsi="Aptos"/>
                <w:b w:val="0"/>
                <w:sz w:val="15"/>
              </w:rPr>
              <w:t>Challenge evidence reuse and conformance claims</w:t>
            </w:r>
          </w:p>
        </w:tc>
      </w:tr>
      <w:tr>
        <w:trPr>
          <w:cantSplit/>
        </w:trPr>
        <w:tc>
          <w:tcPr>
            <w:tcW w:type="dxa" w:w="2592"/>
            <w:vAlign w:val="center"/>
            <w:shd w:fill="F3F6F7"/>
          </w:tcPr>
          <w:p>
            <w:pPr>
              <w:spacing w:after="0"/>
            </w:pPr>
            <w:r/>
            <w:r>
              <w:rPr>
                <w:rFonts w:ascii="Aptos" w:hAnsi="Aptos"/>
                <w:b w:val="0"/>
                <w:sz w:val="15"/>
              </w:rPr>
              <w:t>Certification liaison</w:t>
            </w:r>
          </w:p>
        </w:tc>
        <w:tc>
          <w:tcPr>
            <w:tcW w:type="dxa" w:w="7056"/>
            <w:vAlign w:val="center"/>
            <w:shd w:fill="F3F6F7"/>
          </w:tcPr>
          <w:p>
            <w:pPr>
              <w:spacing w:after="0"/>
            </w:pPr>
            <w:r/>
            <w:r>
              <w:rPr>
                <w:rFonts w:ascii="Aptos" w:hAnsi="Aptos"/>
                <w:b w:val="0"/>
                <w:sz w:val="15"/>
              </w:rPr>
              <w:t>Assess effects on certification scope and representations</w:t>
            </w:r>
          </w:p>
        </w:tc>
      </w:tr>
    </w:tbl>
    <w:p/>
    <w:p>
      <w:pPr>
        <w:pStyle w:val="Heading2"/>
      </w:pPr>
      <w:r>
        <w:t>5.1 Migration charter minimum content</w:t>
      </w:r>
    </w:p>
    <w:p>
      <w:pPr>
        <w:pStyle w:val="ListBullet"/>
      </w:pPr>
      <w:r>
        <w:t>Migration objective and intended GAISSF profile</w:t>
      </w:r>
    </w:p>
    <w:p>
      <w:pPr>
        <w:pStyle w:val="ListBullet"/>
      </w:pPr>
      <w:r>
        <w:t>Source frameworks and organizational scope</w:t>
      </w:r>
    </w:p>
    <w:p>
      <w:pPr>
        <w:pStyle w:val="ListBullet"/>
      </w:pPr>
      <w:r>
        <w:t>Systems, regions, suppliers and certifications affected</w:t>
      </w:r>
    </w:p>
    <w:p>
      <w:pPr>
        <w:pStyle w:val="ListBullet"/>
      </w:pPr>
      <w:r>
        <w:t>Decision rights and mapping approval authority</w:t>
      </w:r>
    </w:p>
    <w:p>
      <w:pPr>
        <w:pStyle w:val="ListBullet"/>
      </w:pPr>
      <w:r>
        <w:t>Evidence-reuse rules</w:t>
      </w:r>
    </w:p>
    <w:p>
      <w:pPr>
        <w:pStyle w:val="ListBullet"/>
      </w:pPr>
      <w:r>
        <w:t>Parallel-operation and retirement criteria</w:t>
      </w:r>
    </w:p>
    <w:p>
      <w:pPr>
        <w:pStyle w:val="ListBullet"/>
      </w:pPr>
      <w:r>
        <w:t>Migration risks and constraints</w:t>
      </w:r>
    </w:p>
    <w:p>
      <w:pPr>
        <w:pStyle w:val="ListBullet"/>
      </w:pPr>
      <w:r>
        <w:t>Milestones and assurance gates</w:t>
      </w:r>
    </w:p>
    <w:p>
      <w:pPr>
        <w:pStyle w:val="Heading1"/>
      </w:pPr>
      <w:r>
        <w:t>6. Phase 1 — Inventory the Source Environment</w:t>
      </w:r>
    </w:p>
    <w:tbl>
      <w:tblPr>
        <w:tblStyle w:val="TableGrid"/>
        <w:tblW w:type="auto" w:w="0"/>
        <w:jc w:val="center"/>
        <w:tblLook w:firstColumn="1" w:firstRow="1" w:lastColumn="0" w:lastRow="0" w:noHBand="0" w:noVBand="1" w:val="04A0"/>
      </w:tblPr>
      <w:tblGrid>
        <w:gridCol w:w="5141"/>
        <w:gridCol w:w="5141"/>
      </w:tblGrid>
      <w:tr>
        <w:trPr>
          <w:tblHeader w:val="true"/>
          <w:cantSplit/>
        </w:trPr>
        <w:tc>
          <w:tcPr>
            <w:tcW w:type="dxa" w:w="2448"/>
            <w:vAlign w:val="center"/>
            <w:shd w:fill="17324D"/>
          </w:tcPr>
          <w:p>
            <w:pPr>
              <w:spacing w:after="0"/>
            </w:pPr>
            <w:r/>
            <w:r>
              <w:rPr>
                <w:rFonts w:ascii="Aptos" w:hAnsi="Aptos"/>
                <w:b/>
                <w:color w:val="FFFFFF"/>
                <w:sz w:val="15"/>
              </w:rPr>
              <w:t>Register field</w:t>
            </w:r>
          </w:p>
        </w:tc>
        <w:tc>
          <w:tcPr>
            <w:tcW w:type="dxa" w:w="7200"/>
            <w:vAlign w:val="center"/>
            <w:shd w:fill="17324D"/>
          </w:tcPr>
          <w:p>
            <w:pPr>
              <w:spacing w:after="0"/>
            </w:pPr>
            <w:r/>
            <w:r>
              <w:rPr>
                <w:rFonts w:ascii="Aptos" w:hAnsi="Aptos"/>
                <w:b/>
                <w:color w:val="FFFFFF"/>
                <w:sz w:val="15"/>
              </w:rPr>
              <w:t>Required content</w:t>
            </w:r>
          </w:p>
        </w:tc>
      </w:tr>
      <w:tr>
        <w:trPr>
          <w:cantSplit/>
        </w:trPr>
        <w:tc>
          <w:tcPr>
            <w:tcW w:type="dxa" w:w="2448"/>
            <w:vAlign w:val="center"/>
          </w:tcPr>
          <w:p>
            <w:pPr>
              <w:spacing w:after="0"/>
            </w:pPr>
            <w:r/>
            <w:r>
              <w:rPr>
                <w:rFonts w:ascii="Aptos" w:hAnsi="Aptos"/>
                <w:b w:val="0"/>
                <w:sz w:val="15"/>
              </w:rPr>
              <w:t>Source identifier</w:t>
            </w:r>
          </w:p>
        </w:tc>
        <w:tc>
          <w:tcPr>
            <w:tcW w:type="dxa" w:w="7200"/>
            <w:vAlign w:val="center"/>
          </w:tcPr>
          <w:p>
            <w:pPr>
              <w:spacing w:after="0"/>
            </w:pPr>
            <w:r/>
            <w:r>
              <w:rPr>
                <w:rFonts w:ascii="Aptos" w:hAnsi="Aptos"/>
                <w:b w:val="0"/>
                <w:sz w:val="15"/>
              </w:rPr>
              <w:t>Standard, framework, regulation, policy or internal control ID</w:t>
            </w:r>
          </w:p>
        </w:tc>
      </w:tr>
      <w:tr>
        <w:trPr>
          <w:cantSplit/>
        </w:trPr>
        <w:tc>
          <w:tcPr>
            <w:tcW w:type="dxa" w:w="2448"/>
            <w:vAlign w:val="center"/>
            <w:shd w:fill="F3F6F7"/>
          </w:tcPr>
          <w:p>
            <w:pPr>
              <w:spacing w:after="0"/>
            </w:pPr>
            <w:r/>
            <w:r>
              <w:rPr>
                <w:rFonts w:ascii="Aptos" w:hAnsi="Aptos"/>
                <w:b w:val="0"/>
                <w:sz w:val="15"/>
              </w:rPr>
              <w:t>Edition/version</w:t>
            </w:r>
          </w:p>
        </w:tc>
        <w:tc>
          <w:tcPr>
            <w:tcW w:type="dxa" w:w="7200"/>
            <w:vAlign w:val="center"/>
            <w:shd w:fill="F3F6F7"/>
          </w:tcPr>
          <w:p>
            <w:pPr>
              <w:spacing w:after="0"/>
            </w:pPr>
            <w:r/>
            <w:r>
              <w:rPr>
                <w:rFonts w:ascii="Aptos" w:hAnsi="Aptos"/>
                <w:b w:val="0"/>
                <w:sz w:val="15"/>
              </w:rPr>
              <w:t>Controlled version and effective date</w:t>
            </w:r>
          </w:p>
        </w:tc>
      </w:tr>
      <w:tr>
        <w:trPr>
          <w:cantSplit/>
        </w:trPr>
        <w:tc>
          <w:tcPr>
            <w:tcW w:type="dxa" w:w="2448"/>
            <w:vAlign w:val="center"/>
          </w:tcPr>
          <w:p>
            <w:pPr>
              <w:spacing w:after="0"/>
            </w:pPr>
            <w:r/>
            <w:r>
              <w:rPr>
                <w:rFonts w:ascii="Aptos" w:hAnsi="Aptos"/>
                <w:b w:val="0"/>
                <w:sz w:val="15"/>
              </w:rPr>
              <w:t>Status</w:t>
            </w:r>
          </w:p>
        </w:tc>
        <w:tc>
          <w:tcPr>
            <w:tcW w:type="dxa" w:w="7200"/>
            <w:vAlign w:val="center"/>
          </w:tcPr>
          <w:p>
            <w:pPr>
              <w:spacing w:after="0"/>
            </w:pPr>
            <w:r/>
            <w:r>
              <w:rPr>
                <w:rFonts w:ascii="Aptos" w:hAnsi="Aptos"/>
                <w:b w:val="0"/>
                <w:sz w:val="15"/>
              </w:rPr>
              <w:t>Current, superseded, withdrawn or locally modified</w:t>
            </w:r>
          </w:p>
        </w:tc>
      </w:tr>
      <w:tr>
        <w:trPr>
          <w:cantSplit/>
        </w:trPr>
        <w:tc>
          <w:tcPr>
            <w:tcW w:type="dxa" w:w="2448"/>
            <w:vAlign w:val="center"/>
            <w:shd w:fill="F3F6F7"/>
          </w:tcPr>
          <w:p>
            <w:pPr>
              <w:spacing w:after="0"/>
            </w:pPr>
            <w:r/>
            <w:r>
              <w:rPr>
                <w:rFonts w:ascii="Aptos" w:hAnsi="Aptos"/>
                <w:b w:val="0"/>
                <w:sz w:val="15"/>
              </w:rPr>
              <w:t>Owner</w:t>
            </w:r>
          </w:p>
        </w:tc>
        <w:tc>
          <w:tcPr>
            <w:tcW w:type="dxa" w:w="7200"/>
            <w:vAlign w:val="center"/>
            <w:shd w:fill="F3F6F7"/>
          </w:tcPr>
          <w:p>
            <w:pPr>
              <w:spacing w:after="0"/>
            </w:pPr>
            <w:r/>
            <w:r>
              <w:rPr>
                <w:rFonts w:ascii="Aptos" w:hAnsi="Aptos"/>
                <w:b w:val="0"/>
                <w:sz w:val="15"/>
              </w:rPr>
              <w:t>Accountable organizational function</w:t>
            </w:r>
          </w:p>
        </w:tc>
      </w:tr>
      <w:tr>
        <w:trPr>
          <w:cantSplit/>
        </w:trPr>
        <w:tc>
          <w:tcPr>
            <w:tcW w:type="dxa" w:w="2448"/>
            <w:vAlign w:val="center"/>
          </w:tcPr>
          <w:p>
            <w:pPr>
              <w:spacing w:after="0"/>
            </w:pPr>
            <w:r/>
            <w:r>
              <w:rPr>
                <w:rFonts w:ascii="Aptos" w:hAnsi="Aptos"/>
                <w:b w:val="0"/>
                <w:sz w:val="15"/>
              </w:rPr>
              <w:t>Scope</w:t>
            </w:r>
          </w:p>
        </w:tc>
        <w:tc>
          <w:tcPr>
            <w:tcW w:type="dxa" w:w="7200"/>
            <w:vAlign w:val="center"/>
          </w:tcPr>
          <w:p>
            <w:pPr>
              <w:spacing w:after="0"/>
            </w:pPr>
            <w:r/>
            <w:r>
              <w:rPr>
                <w:rFonts w:ascii="Aptos" w:hAnsi="Aptos"/>
                <w:b w:val="0"/>
                <w:sz w:val="15"/>
              </w:rPr>
              <w:t>Systems, entities, locations and processes covered</w:t>
            </w:r>
          </w:p>
        </w:tc>
      </w:tr>
      <w:tr>
        <w:trPr>
          <w:cantSplit/>
        </w:trPr>
        <w:tc>
          <w:tcPr>
            <w:tcW w:type="dxa" w:w="2448"/>
            <w:vAlign w:val="center"/>
            <w:shd w:fill="F3F6F7"/>
          </w:tcPr>
          <w:p>
            <w:pPr>
              <w:spacing w:after="0"/>
            </w:pPr>
            <w:r/>
            <w:r>
              <w:rPr>
                <w:rFonts w:ascii="Aptos" w:hAnsi="Aptos"/>
                <w:b w:val="0"/>
                <w:sz w:val="15"/>
              </w:rPr>
              <w:t>Requirement text</w:t>
            </w:r>
          </w:p>
        </w:tc>
        <w:tc>
          <w:tcPr>
            <w:tcW w:type="dxa" w:w="7200"/>
            <w:vAlign w:val="center"/>
            <w:shd w:fill="F3F6F7"/>
          </w:tcPr>
          <w:p>
            <w:pPr>
              <w:spacing w:after="0"/>
            </w:pPr>
            <w:r/>
            <w:r>
              <w:rPr>
                <w:rFonts w:ascii="Aptos" w:hAnsi="Aptos"/>
                <w:b w:val="0"/>
                <w:sz w:val="15"/>
              </w:rPr>
              <w:t>Controlled summary or licensed reference</w:t>
            </w:r>
          </w:p>
        </w:tc>
      </w:tr>
      <w:tr>
        <w:trPr>
          <w:cantSplit/>
        </w:trPr>
        <w:tc>
          <w:tcPr>
            <w:tcW w:type="dxa" w:w="2448"/>
            <w:vAlign w:val="center"/>
          </w:tcPr>
          <w:p>
            <w:pPr>
              <w:spacing w:after="0"/>
            </w:pPr>
            <w:r/>
            <w:r>
              <w:rPr>
                <w:rFonts w:ascii="Aptos" w:hAnsi="Aptos"/>
                <w:b w:val="0"/>
                <w:sz w:val="15"/>
              </w:rPr>
              <w:t>Implementation</w:t>
            </w:r>
          </w:p>
        </w:tc>
        <w:tc>
          <w:tcPr>
            <w:tcW w:type="dxa" w:w="7200"/>
            <w:vAlign w:val="center"/>
          </w:tcPr>
          <w:p>
            <w:pPr>
              <w:spacing w:after="0"/>
            </w:pPr>
            <w:r/>
            <w:r>
              <w:rPr>
                <w:rFonts w:ascii="Aptos" w:hAnsi="Aptos"/>
                <w:b w:val="0"/>
                <w:sz w:val="15"/>
              </w:rPr>
              <w:t>Policy, workflow, technical mechanism or inherited control</w:t>
            </w:r>
          </w:p>
        </w:tc>
      </w:tr>
      <w:tr>
        <w:trPr>
          <w:cantSplit/>
        </w:trPr>
        <w:tc>
          <w:tcPr>
            <w:tcW w:type="dxa" w:w="2448"/>
            <w:vAlign w:val="center"/>
            <w:shd w:fill="F3F6F7"/>
          </w:tcPr>
          <w:p>
            <w:pPr>
              <w:spacing w:after="0"/>
            </w:pPr>
            <w:r/>
            <w:r>
              <w:rPr>
                <w:rFonts w:ascii="Aptos" w:hAnsi="Aptos"/>
                <w:b w:val="0"/>
                <w:sz w:val="15"/>
              </w:rPr>
              <w:t>Evidence</w:t>
            </w:r>
          </w:p>
        </w:tc>
        <w:tc>
          <w:tcPr>
            <w:tcW w:type="dxa" w:w="7200"/>
            <w:vAlign w:val="center"/>
            <w:shd w:fill="F3F6F7"/>
          </w:tcPr>
          <w:p>
            <w:pPr>
              <w:spacing w:after="0"/>
            </w:pPr>
            <w:r/>
            <w:r>
              <w:rPr>
                <w:rFonts w:ascii="Aptos" w:hAnsi="Aptos"/>
                <w:b w:val="0"/>
                <w:sz w:val="15"/>
              </w:rPr>
              <w:t>Current evidence artifacts and period</w:t>
            </w:r>
          </w:p>
        </w:tc>
      </w:tr>
      <w:tr>
        <w:trPr>
          <w:cantSplit/>
        </w:trPr>
        <w:tc>
          <w:tcPr>
            <w:tcW w:type="dxa" w:w="2448"/>
            <w:vAlign w:val="center"/>
          </w:tcPr>
          <w:p>
            <w:pPr>
              <w:spacing w:after="0"/>
            </w:pPr>
            <w:r/>
            <w:r>
              <w:rPr>
                <w:rFonts w:ascii="Aptos" w:hAnsi="Aptos"/>
                <w:b w:val="0"/>
                <w:sz w:val="15"/>
              </w:rPr>
              <w:t>Assurance</w:t>
            </w:r>
          </w:p>
        </w:tc>
        <w:tc>
          <w:tcPr>
            <w:tcW w:type="dxa" w:w="7200"/>
            <w:vAlign w:val="center"/>
          </w:tcPr>
          <w:p>
            <w:pPr>
              <w:spacing w:after="0"/>
            </w:pPr>
            <w:r/>
            <w:r>
              <w:rPr>
                <w:rFonts w:ascii="Aptos" w:hAnsi="Aptos"/>
                <w:b w:val="0"/>
                <w:sz w:val="15"/>
              </w:rPr>
              <w:t>Audit, test, certification or review status</w:t>
            </w:r>
          </w:p>
        </w:tc>
      </w:tr>
      <w:tr>
        <w:trPr>
          <w:cantSplit/>
        </w:trPr>
        <w:tc>
          <w:tcPr>
            <w:tcW w:type="dxa" w:w="2448"/>
            <w:vAlign w:val="center"/>
            <w:shd w:fill="F3F6F7"/>
          </w:tcPr>
          <w:p>
            <w:pPr>
              <w:spacing w:after="0"/>
            </w:pPr>
            <w:r/>
            <w:r>
              <w:rPr>
                <w:rFonts w:ascii="Aptos" w:hAnsi="Aptos"/>
                <w:b w:val="0"/>
                <w:sz w:val="15"/>
              </w:rPr>
              <w:t>Dependencies</w:t>
            </w:r>
          </w:p>
        </w:tc>
        <w:tc>
          <w:tcPr>
            <w:tcW w:type="dxa" w:w="7200"/>
            <w:vAlign w:val="center"/>
            <w:shd w:fill="F3F6F7"/>
          </w:tcPr>
          <w:p>
            <w:pPr>
              <w:spacing w:after="0"/>
            </w:pPr>
            <w:r/>
            <w:r>
              <w:rPr>
                <w:rFonts w:ascii="Aptos" w:hAnsi="Aptos"/>
                <w:b w:val="0"/>
                <w:sz w:val="15"/>
              </w:rPr>
              <w:t>Suppliers, shared services and external systems</w:t>
            </w:r>
          </w:p>
        </w:tc>
      </w:tr>
      <w:tr>
        <w:trPr>
          <w:cantSplit/>
        </w:trPr>
        <w:tc>
          <w:tcPr>
            <w:tcW w:type="dxa" w:w="2448"/>
            <w:vAlign w:val="center"/>
          </w:tcPr>
          <w:p>
            <w:pPr>
              <w:spacing w:after="0"/>
            </w:pPr>
            <w:r/>
            <w:r>
              <w:rPr>
                <w:rFonts w:ascii="Aptos" w:hAnsi="Aptos"/>
                <w:b w:val="0"/>
                <w:sz w:val="15"/>
              </w:rPr>
              <w:t>Constraints</w:t>
            </w:r>
          </w:p>
        </w:tc>
        <w:tc>
          <w:tcPr>
            <w:tcW w:type="dxa" w:w="7200"/>
            <w:vAlign w:val="center"/>
          </w:tcPr>
          <w:p>
            <w:pPr>
              <w:spacing w:after="0"/>
            </w:pPr>
            <w:r/>
            <w:r>
              <w:rPr>
                <w:rFonts w:ascii="Aptos" w:hAnsi="Aptos"/>
                <w:b w:val="0"/>
                <w:sz w:val="15"/>
              </w:rPr>
              <w:t>Licence, legal, confidentiality or access limitations</w:t>
            </w:r>
          </w:p>
        </w:tc>
      </w:tr>
    </w:tbl>
    <w:p/>
    <w:p>
      <w:pPr>
        <w:pStyle w:val="Heading1"/>
      </w:pPr>
      <w:r>
        <w:t>7. Phase 2 — Normalize the Source Library</w:t>
      </w:r>
    </w:p>
    <w:p>
      <w:r>
        <w:t>Normalization creates a consistent basis for comparison. It should preserve original wording and provenance while adding common metadata.</w:t>
      </w:r>
    </w:p>
    <w:tbl>
      <w:tblPr>
        <w:tblStyle w:val="TableGrid"/>
        <w:tblW w:type="auto" w:w="0"/>
        <w:jc w:val="center"/>
        <w:tblLook w:firstColumn="1" w:firstRow="1" w:lastColumn="0" w:lastRow="0" w:noHBand="0" w:noVBand="1" w:val="04A0"/>
      </w:tblPr>
      <w:tblGrid>
        <w:gridCol w:w="5141"/>
        <w:gridCol w:w="5141"/>
      </w:tblGrid>
      <w:tr>
        <w:trPr>
          <w:tblHeader w:val="true"/>
          <w:cantSplit/>
        </w:trPr>
        <w:tc>
          <w:tcPr>
            <w:tcW w:type="dxa" w:w="2880"/>
            <w:vAlign w:val="center"/>
            <w:shd w:fill="17324D"/>
          </w:tcPr>
          <w:p>
            <w:pPr>
              <w:spacing w:after="0"/>
            </w:pPr>
            <w:r/>
            <w:r>
              <w:rPr>
                <w:rFonts w:ascii="Aptos" w:hAnsi="Aptos"/>
                <w:b/>
                <w:color w:val="FFFFFF"/>
                <w:sz w:val="15"/>
              </w:rPr>
              <w:t>Normalization action</w:t>
            </w:r>
          </w:p>
        </w:tc>
        <w:tc>
          <w:tcPr>
            <w:tcW w:type="dxa" w:w="6768"/>
            <w:vAlign w:val="center"/>
            <w:shd w:fill="17324D"/>
          </w:tcPr>
          <w:p>
            <w:pPr>
              <w:spacing w:after="0"/>
            </w:pPr>
            <w:r/>
            <w:r>
              <w:rPr>
                <w:rFonts w:ascii="Aptos" w:hAnsi="Aptos"/>
                <w:b/>
                <w:color w:val="FFFFFF"/>
                <w:sz w:val="15"/>
              </w:rPr>
              <w:t>Purpose</w:t>
            </w:r>
          </w:p>
        </w:tc>
      </w:tr>
      <w:tr>
        <w:trPr>
          <w:cantSplit/>
        </w:trPr>
        <w:tc>
          <w:tcPr>
            <w:tcW w:type="dxa" w:w="2880"/>
            <w:vAlign w:val="center"/>
          </w:tcPr>
          <w:p>
            <w:pPr>
              <w:spacing w:after="0"/>
            </w:pPr>
            <w:r/>
            <w:r>
              <w:rPr>
                <w:rFonts w:ascii="Aptos" w:hAnsi="Aptos"/>
                <w:b w:val="0"/>
                <w:sz w:val="15"/>
              </w:rPr>
              <w:t>Standardize identifiers</w:t>
            </w:r>
          </w:p>
        </w:tc>
        <w:tc>
          <w:tcPr>
            <w:tcW w:type="dxa" w:w="6768"/>
            <w:vAlign w:val="center"/>
          </w:tcPr>
          <w:p>
            <w:pPr>
              <w:spacing w:after="0"/>
            </w:pPr>
            <w:r/>
            <w:r>
              <w:rPr>
                <w:rFonts w:ascii="Aptos" w:hAnsi="Aptos"/>
                <w:b w:val="0"/>
                <w:sz w:val="15"/>
              </w:rPr>
              <w:t>Prevent duplicate or ambiguous source references</w:t>
            </w:r>
          </w:p>
        </w:tc>
      </w:tr>
      <w:tr>
        <w:trPr>
          <w:cantSplit/>
        </w:trPr>
        <w:tc>
          <w:tcPr>
            <w:tcW w:type="dxa" w:w="2880"/>
            <w:vAlign w:val="center"/>
            <w:shd w:fill="F3F6F7"/>
          </w:tcPr>
          <w:p>
            <w:pPr>
              <w:spacing w:after="0"/>
            </w:pPr>
            <w:r/>
            <w:r>
              <w:rPr>
                <w:rFonts w:ascii="Aptos" w:hAnsi="Aptos"/>
                <w:b w:val="0"/>
                <w:sz w:val="15"/>
              </w:rPr>
              <w:t>Separate requirement from guidance</w:t>
            </w:r>
          </w:p>
        </w:tc>
        <w:tc>
          <w:tcPr>
            <w:tcW w:type="dxa" w:w="6768"/>
            <w:vAlign w:val="center"/>
            <w:shd w:fill="F3F6F7"/>
          </w:tcPr>
          <w:p>
            <w:pPr>
              <w:spacing w:after="0"/>
            </w:pPr>
            <w:r/>
            <w:r>
              <w:rPr>
                <w:rFonts w:ascii="Aptos" w:hAnsi="Aptos"/>
                <w:b w:val="0"/>
                <w:sz w:val="15"/>
              </w:rPr>
              <w:t>Avoid mapping informative text as mandatory</w:t>
            </w:r>
          </w:p>
        </w:tc>
      </w:tr>
      <w:tr>
        <w:trPr>
          <w:cantSplit/>
        </w:trPr>
        <w:tc>
          <w:tcPr>
            <w:tcW w:type="dxa" w:w="2880"/>
            <w:vAlign w:val="center"/>
          </w:tcPr>
          <w:p>
            <w:pPr>
              <w:spacing w:after="0"/>
            </w:pPr>
            <w:r/>
            <w:r>
              <w:rPr>
                <w:rFonts w:ascii="Aptos" w:hAnsi="Aptos"/>
                <w:b w:val="0"/>
                <w:sz w:val="15"/>
              </w:rPr>
              <w:t>Record scope and applicability</w:t>
            </w:r>
          </w:p>
        </w:tc>
        <w:tc>
          <w:tcPr>
            <w:tcW w:type="dxa" w:w="6768"/>
            <w:vAlign w:val="center"/>
          </w:tcPr>
          <w:p>
            <w:pPr>
              <w:spacing w:after="0"/>
            </w:pPr>
            <w:r/>
            <w:r>
              <w:rPr>
                <w:rFonts w:ascii="Aptos" w:hAnsi="Aptos"/>
                <w:b w:val="0"/>
                <w:sz w:val="15"/>
              </w:rPr>
              <w:t>Identify hidden differences between similarly worded controls</w:t>
            </w:r>
          </w:p>
        </w:tc>
      </w:tr>
      <w:tr>
        <w:trPr>
          <w:cantSplit/>
        </w:trPr>
        <w:tc>
          <w:tcPr>
            <w:tcW w:type="dxa" w:w="2880"/>
            <w:vAlign w:val="center"/>
            <w:shd w:fill="F3F6F7"/>
          </w:tcPr>
          <w:p>
            <w:pPr>
              <w:spacing w:after="0"/>
            </w:pPr>
            <w:r/>
            <w:r>
              <w:rPr>
                <w:rFonts w:ascii="Aptos" w:hAnsi="Aptos"/>
                <w:b w:val="0"/>
                <w:sz w:val="15"/>
              </w:rPr>
              <w:t>Classify evidence type</w:t>
            </w:r>
          </w:p>
        </w:tc>
        <w:tc>
          <w:tcPr>
            <w:tcW w:type="dxa" w:w="6768"/>
            <w:vAlign w:val="center"/>
            <w:shd w:fill="F3F6F7"/>
          </w:tcPr>
          <w:p>
            <w:pPr>
              <w:spacing w:after="0"/>
            </w:pPr>
            <w:r/>
            <w:r>
              <w:rPr>
                <w:rFonts w:ascii="Aptos" w:hAnsi="Aptos"/>
                <w:b w:val="0"/>
                <w:sz w:val="15"/>
              </w:rPr>
              <w:t>Distinguish policy, design, operating, technical and assurance evidence</w:t>
            </w:r>
          </w:p>
        </w:tc>
      </w:tr>
      <w:tr>
        <w:trPr>
          <w:cantSplit/>
        </w:trPr>
        <w:tc>
          <w:tcPr>
            <w:tcW w:type="dxa" w:w="2880"/>
            <w:vAlign w:val="center"/>
          </w:tcPr>
          <w:p>
            <w:pPr>
              <w:spacing w:after="0"/>
            </w:pPr>
            <w:r/>
            <w:r>
              <w:rPr>
                <w:rFonts w:ascii="Aptos" w:hAnsi="Aptos"/>
                <w:b w:val="0"/>
                <w:sz w:val="15"/>
              </w:rPr>
              <w:t>Record frequency</w:t>
            </w:r>
          </w:p>
        </w:tc>
        <w:tc>
          <w:tcPr>
            <w:tcW w:type="dxa" w:w="6768"/>
            <w:vAlign w:val="center"/>
          </w:tcPr>
          <w:p>
            <w:pPr>
              <w:spacing w:after="0"/>
            </w:pPr>
            <w:r/>
            <w:r>
              <w:rPr>
                <w:rFonts w:ascii="Aptos" w:hAnsi="Aptos"/>
                <w:b w:val="0"/>
                <w:sz w:val="15"/>
              </w:rPr>
              <w:t>Identify one-time versus recurring obligations</w:t>
            </w:r>
          </w:p>
        </w:tc>
      </w:tr>
      <w:tr>
        <w:trPr>
          <w:cantSplit/>
        </w:trPr>
        <w:tc>
          <w:tcPr>
            <w:tcW w:type="dxa" w:w="2880"/>
            <w:vAlign w:val="center"/>
            <w:shd w:fill="F3F6F7"/>
          </w:tcPr>
          <w:p>
            <w:pPr>
              <w:spacing w:after="0"/>
            </w:pPr>
            <w:r/>
            <w:r>
              <w:rPr>
                <w:rFonts w:ascii="Aptos" w:hAnsi="Aptos"/>
                <w:b w:val="0"/>
                <w:sz w:val="15"/>
              </w:rPr>
              <w:t>Identify approval authority</w:t>
            </w:r>
          </w:p>
        </w:tc>
        <w:tc>
          <w:tcPr>
            <w:tcW w:type="dxa" w:w="6768"/>
            <w:vAlign w:val="center"/>
            <w:shd w:fill="F3F6F7"/>
          </w:tcPr>
          <w:p>
            <w:pPr>
              <w:spacing w:after="0"/>
            </w:pPr>
            <w:r/>
            <w:r>
              <w:rPr>
                <w:rFonts w:ascii="Aptos" w:hAnsi="Aptos"/>
                <w:b w:val="0"/>
                <w:sz w:val="15"/>
              </w:rPr>
              <w:t>Preserve governance and risk decisions</w:t>
            </w:r>
          </w:p>
        </w:tc>
      </w:tr>
      <w:tr>
        <w:trPr>
          <w:cantSplit/>
        </w:trPr>
        <w:tc>
          <w:tcPr>
            <w:tcW w:type="dxa" w:w="2880"/>
            <w:vAlign w:val="center"/>
          </w:tcPr>
          <w:p>
            <w:pPr>
              <w:spacing w:after="0"/>
            </w:pPr>
            <w:r/>
            <w:r>
              <w:rPr>
                <w:rFonts w:ascii="Aptos" w:hAnsi="Aptos"/>
                <w:b w:val="0"/>
                <w:sz w:val="15"/>
              </w:rPr>
              <w:t>Tag lifecycle stage</w:t>
            </w:r>
          </w:p>
        </w:tc>
        <w:tc>
          <w:tcPr>
            <w:tcW w:type="dxa" w:w="6768"/>
            <w:vAlign w:val="center"/>
          </w:tcPr>
          <w:p>
            <w:pPr>
              <w:spacing w:after="0"/>
            </w:pPr>
            <w:r/>
            <w:r>
              <w:rPr>
                <w:rFonts w:ascii="Aptos" w:hAnsi="Aptos"/>
                <w:b w:val="0"/>
                <w:sz w:val="15"/>
              </w:rPr>
              <w:t>Map requirements to acquisition, design, deployment, operation or retirement</w:t>
            </w:r>
          </w:p>
        </w:tc>
      </w:tr>
      <w:tr>
        <w:trPr>
          <w:cantSplit/>
        </w:trPr>
        <w:tc>
          <w:tcPr>
            <w:tcW w:type="dxa" w:w="2880"/>
            <w:vAlign w:val="center"/>
            <w:shd w:fill="F3F6F7"/>
          </w:tcPr>
          <w:p>
            <w:pPr>
              <w:spacing w:after="0"/>
            </w:pPr>
            <w:r/>
            <w:r>
              <w:rPr>
                <w:rFonts w:ascii="Aptos" w:hAnsi="Aptos"/>
                <w:b w:val="0"/>
                <w:sz w:val="15"/>
              </w:rPr>
              <w:t>Tag domain and threat</w:t>
            </w:r>
          </w:p>
        </w:tc>
        <w:tc>
          <w:tcPr>
            <w:tcW w:type="dxa" w:w="6768"/>
            <w:vAlign w:val="center"/>
            <w:shd w:fill="F3F6F7"/>
          </w:tcPr>
          <w:p>
            <w:pPr>
              <w:spacing w:after="0"/>
            </w:pPr>
            <w:r/>
            <w:r>
              <w:rPr>
                <w:rFonts w:ascii="Aptos" w:hAnsi="Aptos"/>
                <w:b w:val="0"/>
                <w:sz w:val="15"/>
              </w:rPr>
              <w:t>Support controlled crosswalk analysis</w:t>
            </w:r>
          </w:p>
        </w:tc>
      </w:tr>
    </w:tbl>
    <w:p/>
    <w:p>
      <w:pPr>
        <w:pStyle w:val="Heading1"/>
      </w:pPr>
      <w:r>
        <w:t>8. Phase 3 — Build the Crosswalk</w:t>
      </w:r>
    </w:p>
    <w:p>
      <w:pPr>
        <w:pStyle w:val="Heading2"/>
      </w:pPr>
      <w:r>
        <w:t>8.1 Mapping procedure</w:t>
      </w:r>
    </w:p>
    <w:p>
      <w:pPr>
        <w:pStyle w:val="ListNumber"/>
      </w:pPr>
      <w:r>
        <w:t>Read the complete GAISSF control objective and requirement.</w:t>
      </w:r>
    </w:p>
    <w:p>
      <w:pPr>
        <w:pStyle w:val="ListNumber"/>
      </w:pPr>
      <w:r>
        <w:t>Identify source requirements addressing the same risk outcome.</w:t>
      </w:r>
    </w:p>
    <w:p>
      <w:pPr>
        <w:pStyle w:val="ListNumber"/>
      </w:pPr>
      <w:r>
        <w:t>Compare scope, subject, trigger, frequency, evidence and assurance expectations.</w:t>
      </w:r>
    </w:p>
    <w:p>
      <w:pPr>
        <w:pStyle w:val="ListNumber"/>
      </w:pPr>
      <w:r>
        <w:t>Assign a relationship type.</w:t>
      </w:r>
    </w:p>
    <w:p>
      <w:pPr>
        <w:pStyle w:val="ListNumber"/>
      </w:pPr>
      <w:r>
        <w:t>Document the mapping rationale and limitations.</w:t>
      </w:r>
    </w:p>
    <w:p>
      <w:pPr>
        <w:pStyle w:val="ListNumber"/>
      </w:pPr>
      <w:r>
        <w:t>Identify unmapped GAISSF elements.</w:t>
      </w:r>
    </w:p>
    <w:p>
      <w:pPr>
        <w:pStyle w:val="ListNumber"/>
      </w:pPr>
      <w:r>
        <w:t>Record source evidence proposed for reuse.</w:t>
      </w:r>
    </w:p>
    <w:p>
      <w:pPr>
        <w:pStyle w:val="ListNumber"/>
      </w:pPr>
      <w:r>
        <w:t>Submit the mapping for independent review.</w:t>
      </w:r>
    </w:p>
    <w:p>
      <w:pPr>
        <w:pStyle w:val="Heading2"/>
      </w:pPr>
      <w:r>
        <w:t>8.2 Crosswalk record</w:t>
      </w:r>
    </w:p>
    <w:tbl>
      <w:tblPr>
        <w:tblStyle w:val="TableGrid"/>
        <w:tblW w:type="auto" w:w="0"/>
        <w:jc w:val="center"/>
        <w:tblLook w:firstColumn="1" w:firstRow="1" w:lastColumn="0" w:lastRow="0" w:noHBand="0" w:noVBand="1" w:val="04A0"/>
      </w:tblPr>
      <w:tblGrid>
        <w:gridCol w:w="5141"/>
        <w:gridCol w:w="5141"/>
      </w:tblGrid>
      <w:tr>
        <w:trPr>
          <w:tblHeader w:val="true"/>
          <w:cantSplit/>
        </w:trPr>
        <w:tc>
          <w:tcPr>
            <w:tcW w:type="dxa" w:w="2448"/>
            <w:vAlign w:val="center"/>
            <w:shd w:fill="17324D"/>
          </w:tcPr>
          <w:p>
            <w:pPr>
              <w:spacing w:after="0"/>
            </w:pPr>
            <w:r/>
            <w:r>
              <w:rPr>
                <w:rFonts w:ascii="Aptos" w:hAnsi="Aptos"/>
                <w:b/>
                <w:color w:val="FFFFFF"/>
                <w:sz w:val="15"/>
              </w:rPr>
              <w:t>Field</w:t>
            </w:r>
          </w:p>
        </w:tc>
        <w:tc>
          <w:tcPr>
            <w:tcW w:type="dxa" w:w="7200"/>
            <w:vAlign w:val="center"/>
            <w:shd w:fill="17324D"/>
          </w:tcPr>
          <w:p>
            <w:pPr>
              <w:spacing w:after="0"/>
            </w:pPr>
            <w:r/>
            <w:r>
              <w:rPr>
                <w:rFonts w:ascii="Aptos" w:hAnsi="Aptos"/>
                <w:b/>
                <w:color w:val="FFFFFF"/>
                <w:sz w:val="15"/>
              </w:rPr>
              <w:t>Content</w:t>
            </w:r>
          </w:p>
        </w:tc>
      </w:tr>
      <w:tr>
        <w:trPr>
          <w:cantSplit/>
        </w:trPr>
        <w:tc>
          <w:tcPr>
            <w:tcW w:type="dxa" w:w="2448"/>
            <w:vAlign w:val="center"/>
          </w:tcPr>
          <w:p>
            <w:pPr>
              <w:spacing w:after="0"/>
            </w:pPr>
            <w:r/>
            <w:r>
              <w:rPr>
                <w:rFonts w:ascii="Aptos" w:hAnsi="Aptos"/>
                <w:b w:val="0"/>
                <w:sz w:val="15"/>
              </w:rPr>
              <w:t>GAISSF control ID</w:t>
            </w:r>
          </w:p>
        </w:tc>
        <w:tc>
          <w:tcPr>
            <w:tcW w:type="dxa" w:w="7200"/>
            <w:vAlign w:val="center"/>
          </w:tcPr>
          <w:p>
            <w:pPr>
              <w:spacing w:after="0"/>
            </w:pPr>
            <w:r/>
            <w:r>
              <w:rPr>
                <w:rFonts w:ascii="Aptos" w:hAnsi="Aptos"/>
                <w:b w:val="0"/>
                <w:sz w:val="15"/>
              </w:rPr>
              <w:t>Exact identifier from GAISSF-NOR-004</w:t>
            </w:r>
          </w:p>
        </w:tc>
      </w:tr>
      <w:tr>
        <w:trPr>
          <w:cantSplit/>
        </w:trPr>
        <w:tc>
          <w:tcPr>
            <w:tcW w:type="dxa" w:w="2448"/>
            <w:vAlign w:val="center"/>
            <w:shd w:fill="F3F6F7"/>
          </w:tcPr>
          <w:p>
            <w:pPr>
              <w:spacing w:after="0"/>
            </w:pPr>
            <w:r/>
            <w:r>
              <w:rPr>
                <w:rFonts w:ascii="Aptos" w:hAnsi="Aptos"/>
                <w:b w:val="0"/>
                <w:sz w:val="15"/>
              </w:rPr>
              <w:t>Source framework</w:t>
            </w:r>
          </w:p>
        </w:tc>
        <w:tc>
          <w:tcPr>
            <w:tcW w:type="dxa" w:w="7200"/>
            <w:vAlign w:val="center"/>
            <w:shd w:fill="F3F6F7"/>
          </w:tcPr>
          <w:p>
            <w:pPr>
              <w:spacing w:after="0"/>
            </w:pPr>
            <w:r/>
            <w:r>
              <w:rPr>
                <w:rFonts w:ascii="Aptos" w:hAnsi="Aptos"/>
                <w:b w:val="0"/>
                <w:sz w:val="15"/>
              </w:rPr>
              <w:t>Controlled source identifier and edition</w:t>
            </w:r>
          </w:p>
        </w:tc>
      </w:tr>
      <w:tr>
        <w:trPr>
          <w:cantSplit/>
        </w:trPr>
        <w:tc>
          <w:tcPr>
            <w:tcW w:type="dxa" w:w="2448"/>
            <w:vAlign w:val="center"/>
          </w:tcPr>
          <w:p>
            <w:pPr>
              <w:spacing w:after="0"/>
            </w:pPr>
            <w:r/>
            <w:r>
              <w:rPr>
                <w:rFonts w:ascii="Aptos" w:hAnsi="Aptos"/>
                <w:b w:val="0"/>
                <w:sz w:val="15"/>
              </w:rPr>
              <w:t>Source requirement</w:t>
            </w:r>
          </w:p>
        </w:tc>
        <w:tc>
          <w:tcPr>
            <w:tcW w:type="dxa" w:w="7200"/>
            <w:vAlign w:val="center"/>
          </w:tcPr>
          <w:p>
            <w:pPr>
              <w:spacing w:after="0"/>
            </w:pPr>
            <w:r/>
            <w:r>
              <w:rPr>
                <w:rFonts w:ascii="Aptos" w:hAnsi="Aptos"/>
                <w:b w:val="0"/>
                <w:sz w:val="15"/>
              </w:rPr>
              <w:t>Clause, function, category, control or provision</w:t>
            </w:r>
          </w:p>
        </w:tc>
      </w:tr>
      <w:tr>
        <w:trPr>
          <w:cantSplit/>
        </w:trPr>
        <w:tc>
          <w:tcPr>
            <w:tcW w:type="dxa" w:w="2448"/>
            <w:vAlign w:val="center"/>
            <w:shd w:fill="F3F6F7"/>
          </w:tcPr>
          <w:p>
            <w:pPr>
              <w:spacing w:after="0"/>
            </w:pPr>
            <w:r/>
            <w:r>
              <w:rPr>
                <w:rFonts w:ascii="Aptos" w:hAnsi="Aptos"/>
                <w:b w:val="0"/>
                <w:sz w:val="15"/>
              </w:rPr>
              <w:t>Relationship</w:t>
            </w:r>
          </w:p>
        </w:tc>
        <w:tc>
          <w:tcPr>
            <w:tcW w:type="dxa" w:w="7200"/>
            <w:vAlign w:val="center"/>
            <w:shd w:fill="F3F6F7"/>
          </w:tcPr>
          <w:p>
            <w:pPr>
              <w:spacing w:after="0"/>
            </w:pPr>
            <w:r/>
            <w:r>
              <w:rPr>
                <w:rFonts w:ascii="Aptos" w:hAnsi="Aptos"/>
                <w:b w:val="0"/>
                <w:sz w:val="15"/>
              </w:rPr>
              <w:t>Equivalent, substantial, partial, dependency, complementary, conflict or none</w:t>
            </w:r>
          </w:p>
        </w:tc>
      </w:tr>
      <w:tr>
        <w:trPr>
          <w:cantSplit/>
        </w:trPr>
        <w:tc>
          <w:tcPr>
            <w:tcW w:type="dxa" w:w="2448"/>
            <w:vAlign w:val="center"/>
          </w:tcPr>
          <w:p>
            <w:pPr>
              <w:spacing w:after="0"/>
            </w:pPr>
            <w:r/>
            <w:r>
              <w:rPr>
                <w:rFonts w:ascii="Aptos" w:hAnsi="Aptos"/>
                <w:b w:val="0"/>
                <w:sz w:val="15"/>
              </w:rPr>
              <w:t>Scope conditions</w:t>
            </w:r>
          </w:p>
        </w:tc>
        <w:tc>
          <w:tcPr>
            <w:tcW w:type="dxa" w:w="7200"/>
            <w:vAlign w:val="center"/>
          </w:tcPr>
          <w:p>
            <w:pPr>
              <w:spacing w:after="0"/>
            </w:pPr>
            <w:r/>
            <w:r>
              <w:rPr>
                <w:rFonts w:ascii="Aptos" w:hAnsi="Aptos"/>
                <w:b w:val="0"/>
                <w:sz w:val="15"/>
              </w:rPr>
              <w:t>Systems, jurisdictions, profiles and assumptions</w:t>
            </w:r>
          </w:p>
        </w:tc>
      </w:tr>
      <w:tr>
        <w:trPr>
          <w:cantSplit/>
        </w:trPr>
        <w:tc>
          <w:tcPr>
            <w:tcW w:type="dxa" w:w="2448"/>
            <w:vAlign w:val="center"/>
            <w:shd w:fill="F3F6F7"/>
          </w:tcPr>
          <w:p>
            <w:pPr>
              <w:spacing w:after="0"/>
            </w:pPr>
            <w:r/>
            <w:r>
              <w:rPr>
                <w:rFonts w:ascii="Aptos" w:hAnsi="Aptos"/>
                <w:b w:val="0"/>
                <w:sz w:val="15"/>
              </w:rPr>
              <w:t>Evidence reuse</w:t>
            </w:r>
          </w:p>
        </w:tc>
        <w:tc>
          <w:tcPr>
            <w:tcW w:type="dxa" w:w="7200"/>
            <w:vAlign w:val="center"/>
            <w:shd w:fill="F3F6F7"/>
          </w:tcPr>
          <w:p>
            <w:pPr>
              <w:spacing w:after="0"/>
            </w:pPr>
            <w:r/>
            <w:r>
              <w:rPr>
                <w:rFonts w:ascii="Aptos" w:hAnsi="Aptos"/>
                <w:b w:val="0"/>
                <w:sz w:val="15"/>
              </w:rPr>
              <w:t>Artifacts proposed for reuse</w:t>
            </w:r>
          </w:p>
        </w:tc>
      </w:tr>
      <w:tr>
        <w:trPr>
          <w:cantSplit/>
        </w:trPr>
        <w:tc>
          <w:tcPr>
            <w:tcW w:type="dxa" w:w="2448"/>
            <w:vAlign w:val="center"/>
          </w:tcPr>
          <w:p>
            <w:pPr>
              <w:spacing w:after="0"/>
            </w:pPr>
            <w:r/>
            <w:r>
              <w:rPr>
                <w:rFonts w:ascii="Aptos" w:hAnsi="Aptos"/>
                <w:b w:val="0"/>
                <w:sz w:val="15"/>
              </w:rPr>
              <w:t>GAISSF gap</w:t>
            </w:r>
          </w:p>
        </w:tc>
        <w:tc>
          <w:tcPr>
            <w:tcW w:type="dxa" w:w="7200"/>
            <w:vAlign w:val="center"/>
          </w:tcPr>
          <w:p>
            <w:pPr>
              <w:spacing w:after="0"/>
            </w:pPr>
            <w:r/>
            <w:r>
              <w:rPr>
                <w:rFonts w:ascii="Aptos" w:hAnsi="Aptos"/>
                <w:b w:val="0"/>
                <w:sz w:val="15"/>
              </w:rPr>
              <w:t>Missing requirement or evidence element</w:t>
            </w:r>
          </w:p>
        </w:tc>
      </w:tr>
      <w:tr>
        <w:trPr>
          <w:cantSplit/>
        </w:trPr>
        <w:tc>
          <w:tcPr>
            <w:tcW w:type="dxa" w:w="2448"/>
            <w:vAlign w:val="center"/>
            <w:shd w:fill="F3F6F7"/>
          </w:tcPr>
          <w:p>
            <w:pPr>
              <w:spacing w:after="0"/>
            </w:pPr>
            <w:r/>
            <w:r>
              <w:rPr>
                <w:rFonts w:ascii="Aptos" w:hAnsi="Aptos"/>
                <w:b w:val="0"/>
                <w:sz w:val="15"/>
              </w:rPr>
              <w:t>Migration action</w:t>
            </w:r>
          </w:p>
        </w:tc>
        <w:tc>
          <w:tcPr>
            <w:tcW w:type="dxa" w:w="7200"/>
            <w:vAlign w:val="center"/>
            <w:shd w:fill="F3F6F7"/>
          </w:tcPr>
          <w:p>
            <w:pPr>
              <w:spacing w:after="0"/>
            </w:pPr>
            <w:r/>
            <w:r>
              <w:rPr>
                <w:rFonts w:ascii="Aptos" w:hAnsi="Aptos"/>
                <w:b w:val="0"/>
                <w:sz w:val="15"/>
              </w:rPr>
              <w:t>Retain, enhance, replace, add or retire</w:t>
            </w:r>
          </w:p>
        </w:tc>
      </w:tr>
      <w:tr>
        <w:trPr>
          <w:cantSplit/>
        </w:trPr>
        <w:tc>
          <w:tcPr>
            <w:tcW w:type="dxa" w:w="2448"/>
            <w:vAlign w:val="center"/>
          </w:tcPr>
          <w:p>
            <w:pPr>
              <w:spacing w:after="0"/>
            </w:pPr>
            <w:r/>
            <w:r>
              <w:rPr>
                <w:rFonts w:ascii="Aptos" w:hAnsi="Aptos"/>
                <w:b w:val="0"/>
                <w:sz w:val="15"/>
              </w:rPr>
              <w:t>Reviewer</w:t>
            </w:r>
          </w:p>
        </w:tc>
        <w:tc>
          <w:tcPr>
            <w:tcW w:type="dxa" w:w="7200"/>
            <w:vAlign w:val="center"/>
          </w:tcPr>
          <w:p>
            <w:pPr>
              <w:spacing w:after="0"/>
            </w:pPr>
            <w:r/>
            <w:r>
              <w:rPr>
                <w:rFonts w:ascii="Aptos" w:hAnsi="Aptos"/>
                <w:b w:val="0"/>
                <w:sz w:val="15"/>
              </w:rPr>
              <w:t>Independent mapping reviewer</w:t>
            </w:r>
          </w:p>
        </w:tc>
      </w:tr>
      <w:tr>
        <w:trPr>
          <w:cantSplit/>
        </w:trPr>
        <w:tc>
          <w:tcPr>
            <w:tcW w:type="dxa" w:w="2448"/>
            <w:vAlign w:val="center"/>
            <w:shd w:fill="F3F6F7"/>
          </w:tcPr>
          <w:p>
            <w:pPr>
              <w:spacing w:after="0"/>
            </w:pPr>
            <w:r/>
            <w:r>
              <w:rPr>
                <w:rFonts w:ascii="Aptos" w:hAnsi="Aptos"/>
                <w:b w:val="0"/>
                <w:sz w:val="15"/>
              </w:rPr>
              <w:t>Approval status</w:t>
            </w:r>
          </w:p>
        </w:tc>
        <w:tc>
          <w:tcPr>
            <w:tcW w:type="dxa" w:w="7200"/>
            <w:vAlign w:val="center"/>
            <w:shd w:fill="F3F6F7"/>
          </w:tcPr>
          <w:p>
            <w:pPr>
              <w:spacing w:after="0"/>
            </w:pPr>
            <w:r/>
            <w:r>
              <w:rPr>
                <w:rFonts w:ascii="Aptos" w:hAnsi="Aptos"/>
                <w:b w:val="0"/>
                <w:sz w:val="15"/>
              </w:rPr>
              <w:t>Draft, approved, rejected or superseded</w:t>
            </w:r>
          </w:p>
        </w:tc>
      </w:tr>
    </w:tbl>
    <w:p/>
    <w:p>
      <w:pPr>
        <w:pStyle w:val="Heading1"/>
      </w:pPr>
      <w:r>
        <w:t>9. Phase 4 — Validate Mapping Quality</w:t>
      </w:r>
    </w:p>
    <w:tbl>
      <w:tblPr>
        <w:tblStyle w:val="TableGrid"/>
        <w:tblW w:type="auto" w:w="0"/>
        <w:jc w:val="center"/>
        <w:tblLook w:firstColumn="1" w:firstRow="1" w:lastColumn="0" w:lastRow="0" w:noHBand="0" w:noVBand="1" w:val="04A0"/>
      </w:tblPr>
      <w:tblGrid>
        <w:gridCol w:w="5141"/>
        <w:gridCol w:w="5141"/>
      </w:tblGrid>
      <w:tr>
        <w:trPr>
          <w:tblHeader w:val="true"/>
          <w:cantSplit/>
        </w:trPr>
        <w:tc>
          <w:tcPr>
            <w:tcW w:type="dxa" w:w="4608"/>
            <w:vAlign w:val="center"/>
            <w:shd w:fill="17324D"/>
          </w:tcPr>
          <w:p>
            <w:pPr>
              <w:spacing w:after="0"/>
            </w:pPr>
            <w:r/>
            <w:r>
              <w:rPr>
                <w:rFonts w:ascii="Aptos" w:hAnsi="Aptos"/>
                <w:b/>
                <w:color w:val="FFFFFF"/>
                <w:sz w:val="15"/>
              </w:rPr>
              <w:t>Validation question</w:t>
            </w:r>
          </w:p>
        </w:tc>
        <w:tc>
          <w:tcPr>
            <w:tcW w:type="dxa" w:w="5040"/>
            <w:vAlign w:val="center"/>
            <w:shd w:fill="17324D"/>
          </w:tcPr>
          <w:p>
            <w:pPr>
              <w:spacing w:after="0"/>
            </w:pPr>
            <w:r/>
            <w:r>
              <w:rPr>
                <w:rFonts w:ascii="Aptos" w:hAnsi="Aptos"/>
                <w:b/>
                <w:color w:val="FFFFFF"/>
                <w:sz w:val="15"/>
              </w:rPr>
              <w:t>Failure indicator</w:t>
            </w:r>
          </w:p>
        </w:tc>
      </w:tr>
      <w:tr>
        <w:trPr>
          <w:cantSplit/>
        </w:trPr>
        <w:tc>
          <w:tcPr>
            <w:tcW w:type="dxa" w:w="4608"/>
            <w:vAlign w:val="center"/>
          </w:tcPr>
          <w:p>
            <w:pPr>
              <w:spacing w:after="0"/>
            </w:pPr>
            <w:r/>
            <w:r>
              <w:rPr>
                <w:rFonts w:ascii="Aptos" w:hAnsi="Aptos"/>
                <w:b w:val="0"/>
                <w:sz w:val="15"/>
              </w:rPr>
              <w:t>Does the source requirement address the same objective?</w:t>
            </w:r>
          </w:p>
        </w:tc>
        <w:tc>
          <w:tcPr>
            <w:tcW w:type="dxa" w:w="5040"/>
            <w:vAlign w:val="center"/>
          </w:tcPr>
          <w:p>
            <w:pPr>
              <w:spacing w:after="0"/>
            </w:pPr>
            <w:r/>
            <w:r>
              <w:rPr>
                <w:rFonts w:ascii="Aptos" w:hAnsi="Aptos"/>
                <w:b w:val="0"/>
                <w:sz w:val="15"/>
              </w:rPr>
              <w:t>Keyword similarity without common risk outcome</w:t>
            </w:r>
          </w:p>
        </w:tc>
      </w:tr>
      <w:tr>
        <w:trPr>
          <w:cantSplit/>
        </w:trPr>
        <w:tc>
          <w:tcPr>
            <w:tcW w:type="dxa" w:w="4608"/>
            <w:vAlign w:val="center"/>
            <w:shd w:fill="F3F6F7"/>
          </w:tcPr>
          <w:p>
            <w:pPr>
              <w:spacing w:after="0"/>
            </w:pPr>
            <w:r/>
            <w:r>
              <w:rPr>
                <w:rFonts w:ascii="Aptos" w:hAnsi="Aptos"/>
                <w:b w:val="0"/>
                <w:sz w:val="15"/>
              </w:rPr>
              <w:t>Is the scope equivalent?</w:t>
            </w:r>
          </w:p>
        </w:tc>
        <w:tc>
          <w:tcPr>
            <w:tcW w:type="dxa" w:w="5040"/>
            <w:vAlign w:val="center"/>
            <w:shd w:fill="F3F6F7"/>
          </w:tcPr>
          <w:p>
            <w:pPr>
              <w:spacing w:after="0"/>
            </w:pPr>
            <w:r/>
            <w:r>
              <w:rPr>
                <w:rFonts w:ascii="Aptos" w:hAnsi="Aptos"/>
                <w:b w:val="0"/>
                <w:sz w:val="15"/>
              </w:rPr>
              <w:t>Source applies to IT generally but not models, data, agents or physical AI</w:t>
            </w:r>
          </w:p>
        </w:tc>
      </w:tr>
      <w:tr>
        <w:trPr>
          <w:cantSplit/>
        </w:trPr>
        <w:tc>
          <w:tcPr>
            <w:tcW w:type="dxa" w:w="4608"/>
            <w:vAlign w:val="center"/>
          </w:tcPr>
          <w:p>
            <w:pPr>
              <w:spacing w:after="0"/>
            </w:pPr>
            <w:r/>
            <w:r>
              <w:rPr>
                <w:rFonts w:ascii="Aptos" w:hAnsi="Aptos"/>
                <w:b w:val="0"/>
                <w:sz w:val="15"/>
              </w:rPr>
              <w:t>Are mandatory and informative statements separated?</w:t>
            </w:r>
          </w:p>
        </w:tc>
        <w:tc>
          <w:tcPr>
            <w:tcW w:type="dxa" w:w="5040"/>
            <w:vAlign w:val="center"/>
          </w:tcPr>
          <w:p>
            <w:pPr>
              <w:spacing w:after="0"/>
            </w:pPr>
            <w:r/>
            <w:r>
              <w:rPr>
                <w:rFonts w:ascii="Aptos" w:hAnsi="Aptos"/>
                <w:b w:val="0"/>
                <w:sz w:val="15"/>
              </w:rPr>
              <w:t>Guidance treated as a requirement</w:t>
            </w:r>
          </w:p>
        </w:tc>
      </w:tr>
      <w:tr>
        <w:trPr>
          <w:cantSplit/>
        </w:trPr>
        <w:tc>
          <w:tcPr>
            <w:tcW w:type="dxa" w:w="4608"/>
            <w:vAlign w:val="center"/>
            <w:shd w:fill="F3F6F7"/>
          </w:tcPr>
          <w:p>
            <w:pPr>
              <w:spacing w:after="0"/>
            </w:pPr>
            <w:r/>
            <w:r>
              <w:rPr>
                <w:rFonts w:ascii="Aptos" w:hAnsi="Aptos"/>
                <w:b w:val="0"/>
                <w:sz w:val="15"/>
              </w:rPr>
              <w:t>Is the operating frequency adequate?</w:t>
            </w:r>
          </w:p>
        </w:tc>
        <w:tc>
          <w:tcPr>
            <w:tcW w:type="dxa" w:w="5040"/>
            <w:vAlign w:val="center"/>
            <w:shd w:fill="F3F6F7"/>
          </w:tcPr>
          <w:p>
            <w:pPr>
              <w:spacing w:after="0"/>
            </w:pPr>
            <w:r/>
            <w:r>
              <w:rPr>
                <w:rFonts w:ascii="Aptos" w:hAnsi="Aptos"/>
                <w:b w:val="0"/>
                <w:sz w:val="15"/>
              </w:rPr>
              <w:t>Annual review mapped to continuous monitoring</w:t>
            </w:r>
          </w:p>
        </w:tc>
      </w:tr>
      <w:tr>
        <w:trPr>
          <w:cantSplit/>
        </w:trPr>
        <w:tc>
          <w:tcPr>
            <w:tcW w:type="dxa" w:w="4608"/>
            <w:vAlign w:val="center"/>
          </w:tcPr>
          <w:p>
            <w:pPr>
              <w:spacing w:after="0"/>
            </w:pPr>
            <w:r/>
            <w:r>
              <w:rPr>
                <w:rFonts w:ascii="Aptos" w:hAnsi="Aptos"/>
                <w:b w:val="0"/>
                <w:sz w:val="15"/>
              </w:rPr>
              <w:t>Is evidence comparable?</w:t>
            </w:r>
          </w:p>
        </w:tc>
        <w:tc>
          <w:tcPr>
            <w:tcW w:type="dxa" w:w="5040"/>
            <w:vAlign w:val="center"/>
          </w:tcPr>
          <w:p>
            <w:pPr>
              <w:spacing w:after="0"/>
            </w:pPr>
            <w:r/>
            <w:r>
              <w:rPr>
                <w:rFonts w:ascii="Aptos" w:hAnsi="Aptos"/>
                <w:b w:val="0"/>
                <w:sz w:val="15"/>
              </w:rPr>
              <w:t>Policy mapped to technical operating evidence</w:t>
            </w:r>
          </w:p>
        </w:tc>
      </w:tr>
      <w:tr>
        <w:trPr>
          <w:cantSplit/>
        </w:trPr>
        <w:tc>
          <w:tcPr>
            <w:tcW w:type="dxa" w:w="4608"/>
            <w:vAlign w:val="center"/>
            <w:shd w:fill="F3F6F7"/>
          </w:tcPr>
          <w:p>
            <w:pPr>
              <w:spacing w:after="0"/>
            </w:pPr>
            <w:r/>
            <w:r>
              <w:rPr>
                <w:rFonts w:ascii="Aptos" w:hAnsi="Aptos"/>
                <w:b w:val="0"/>
                <w:sz w:val="15"/>
              </w:rPr>
              <w:t>Are exclusions visible?</w:t>
            </w:r>
          </w:p>
        </w:tc>
        <w:tc>
          <w:tcPr>
            <w:tcW w:type="dxa" w:w="5040"/>
            <w:vAlign w:val="center"/>
            <w:shd w:fill="F3F6F7"/>
          </w:tcPr>
          <w:p>
            <w:pPr>
              <w:spacing w:after="0"/>
            </w:pPr>
            <w:r/>
            <w:r>
              <w:rPr>
                <w:rFonts w:ascii="Aptos" w:hAnsi="Aptos"/>
                <w:b w:val="0"/>
                <w:sz w:val="15"/>
              </w:rPr>
              <w:t>Source applicability assumptions omitted</w:t>
            </w:r>
          </w:p>
        </w:tc>
      </w:tr>
      <w:tr>
        <w:trPr>
          <w:cantSplit/>
        </w:trPr>
        <w:tc>
          <w:tcPr>
            <w:tcW w:type="dxa" w:w="4608"/>
            <w:vAlign w:val="center"/>
          </w:tcPr>
          <w:p>
            <w:pPr>
              <w:spacing w:after="0"/>
            </w:pPr>
            <w:r/>
            <w:r>
              <w:rPr>
                <w:rFonts w:ascii="Aptos" w:hAnsi="Aptos"/>
                <w:b w:val="0"/>
                <w:sz w:val="15"/>
              </w:rPr>
              <w:t>Is assurance depth comparable?</w:t>
            </w:r>
          </w:p>
        </w:tc>
        <w:tc>
          <w:tcPr>
            <w:tcW w:type="dxa" w:w="5040"/>
            <w:vAlign w:val="center"/>
          </w:tcPr>
          <w:p>
            <w:pPr>
              <w:spacing w:after="0"/>
            </w:pPr>
            <w:r/>
            <w:r>
              <w:rPr>
                <w:rFonts w:ascii="Aptos" w:hAnsi="Aptos"/>
                <w:b w:val="0"/>
                <w:sz w:val="15"/>
              </w:rPr>
              <w:t>Self-attestation treated as independent testing</w:t>
            </w:r>
          </w:p>
        </w:tc>
      </w:tr>
      <w:tr>
        <w:trPr>
          <w:cantSplit/>
        </w:trPr>
        <w:tc>
          <w:tcPr>
            <w:tcW w:type="dxa" w:w="4608"/>
            <w:vAlign w:val="center"/>
            <w:shd w:fill="F3F6F7"/>
          </w:tcPr>
          <w:p>
            <w:pPr>
              <w:spacing w:after="0"/>
            </w:pPr>
            <w:r/>
            <w:r>
              <w:rPr>
                <w:rFonts w:ascii="Aptos" w:hAnsi="Aptos"/>
                <w:b w:val="0"/>
                <w:sz w:val="15"/>
              </w:rPr>
              <w:t>Are legal obligations preserved?</w:t>
            </w:r>
          </w:p>
        </w:tc>
        <w:tc>
          <w:tcPr>
            <w:tcW w:type="dxa" w:w="5040"/>
            <w:vAlign w:val="center"/>
            <w:shd w:fill="F3F6F7"/>
          </w:tcPr>
          <w:p>
            <w:pPr>
              <w:spacing w:after="0"/>
            </w:pPr>
            <w:r/>
            <w:r>
              <w:rPr>
                <w:rFonts w:ascii="Aptos" w:hAnsi="Aptos"/>
                <w:b w:val="0"/>
                <w:sz w:val="15"/>
              </w:rPr>
              <w:t>GAISSF mapping used to claim legal compliance</w:t>
            </w:r>
          </w:p>
        </w:tc>
      </w:tr>
    </w:tbl>
    <w:p/>
    <w:p>
      <w:pPr>
        <w:pStyle w:val="Heading1"/>
      </w:pPr>
      <w:r>
        <w:t>10. Phase 5 — Assess Reusable Controls and Evidence</w:t>
      </w:r>
    </w:p>
    <w:p>
      <w:r>
        <w:t>Existing implementation should be evaluated as if it were a candidate GAISSF control mechanism. Its source-framework status alone is not sufficient.</w:t>
      </w:r>
    </w:p>
    <w:tbl>
      <w:tblPr>
        <w:tblStyle w:val="TableGrid"/>
        <w:tblW w:type="auto" w:w="0"/>
        <w:jc w:val="center"/>
        <w:tblLook w:firstColumn="1" w:firstRow="1" w:lastColumn="0" w:lastRow="0" w:noHBand="0" w:noVBand="1" w:val="04A0"/>
      </w:tblPr>
      <w:tblGrid>
        <w:gridCol w:w="5141"/>
        <w:gridCol w:w="5141"/>
      </w:tblGrid>
      <w:tr>
        <w:trPr>
          <w:tblHeader w:val="true"/>
          <w:cantSplit/>
        </w:trPr>
        <w:tc>
          <w:tcPr>
            <w:tcW w:type="dxa" w:w="2448"/>
            <w:vAlign w:val="center"/>
            <w:shd w:fill="17324D"/>
          </w:tcPr>
          <w:p>
            <w:pPr>
              <w:spacing w:after="0"/>
            </w:pPr>
            <w:r/>
            <w:r>
              <w:rPr>
                <w:rFonts w:ascii="Aptos" w:hAnsi="Aptos"/>
                <w:b/>
                <w:color w:val="FFFFFF"/>
                <w:sz w:val="15"/>
              </w:rPr>
              <w:t>Assessment dimension</w:t>
            </w:r>
          </w:p>
        </w:tc>
        <w:tc>
          <w:tcPr>
            <w:tcW w:type="dxa" w:w="7200"/>
            <w:vAlign w:val="center"/>
            <w:shd w:fill="17324D"/>
          </w:tcPr>
          <w:p>
            <w:pPr>
              <w:spacing w:after="0"/>
            </w:pPr>
            <w:r/>
            <w:r>
              <w:rPr>
                <w:rFonts w:ascii="Aptos" w:hAnsi="Aptos"/>
                <w:b/>
                <w:color w:val="FFFFFF"/>
                <w:sz w:val="15"/>
              </w:rPr>
              <w:t>Migration test</w:t>
            </w:r>
          </w:p>
        </w:tc>
      </w:tr>
      <w:tr>
        <w:trPr>
          <w:cantSplit/>
        </w:trPr>
        <w:tc>
          <w:tcPr>
            <w:tcW w:type="dxa" w:w="2448"/>
            <w:vAlign w:val="center"/>
          </w:tcPr>
          <w:p>
            <w:pPr>
              <w:spacing w:after="0"/>
            </w:pPr>
            <w:r/>
            <w:r>
              <w:rPr>
                <w:rFonts w:ascii="Aptos" w:hAnsi="Aptos"/>
                <w:b w:val="0"/>
                <w:sz w:val="15"/>
              </w:rPr>
              <w:t>Design</w:t>
            </w:r>
          </w:p>
        </w:tc>
        <w:tc>
          <w:tcPr>
            <w:tcW w:type="dxa" w:w="7200"/>
            <w:vAlign w:val="center"/>
          </w:tcPr>
          <w:p>
            <w:pPr>
              <w:spacing w:after="0"/>
            </w:pPr>
            <w:r/>
            <w:r>
              <w:rPr>
                <w:rFonts w:ascii="Aptos" w:hAnsi="Aptos"/>
                <w:b w:val="0"/>
                <w:sz w:val="15"/>
              </w:rPr>
              <w:t>Does the mechanism address the complete GAISSF requirement?</w:t>
            </w:r>
          </w:p>
        </w:tc>
      </w:tr>
      <w:tr>
        <w:trPr>
          <w:cantSplit/>
        </w:trPr>
        <w:tc>
          <w:tcPr>
            <w:tcW w:type="dxa" w:w="2448"/>
            <w:vAlign w:val="center"/>
            <w:shd w:fill="F3F6F7"/>
          </w:tcPr>
          <w:p>
            <w:pPr>
              <w:spacing w:after="0"/>
            </w:pPr>
            <w:r/>
            <w:r>
              <w:rPr>
                <w:rFonts w:ascii="Aptos" w:hAnsi="Aptos"/>
                <w:b w:val="0"/>
                <w:sz w:val="15"/>
              </w:rPr>
              <w:t>Scope</w:t>
            </w:r>
          </w:p>
        </w:tc>
        <w:tc>
          <w:tcPr>
            <w:tcW w:type="dxa" w:w="7200"/>
            <w:vAlign w:val="center"/>
            <w:shd w:fill="F3F6F7"/>
          </w:tcPr>
          <w:p>
            <w:pPr>
              <w:spacing w:after="0"/>
            </w:pPr>
            <w:r/>
            <w:r>
              <w:rPr>
                <w:rFonts w:ascii="Aptos" w:hAnsi="Aptos"/>
                <w:b w:val="0"/>
                <w:sz w:val="15"/>
              </w:rPr>
              <w:t>Does it cover all in-scope systems, suppliers, users and locations?</w:t>
            </w:r>
          </w:p>
        </w:tc>
      </w:tr>
      <w:tr>
        <w:trPr>
          <w:cantSplit/>
        </w:trPr>
        <w:tc>
          <w:tcPr>
            <w:tcW w:type="dxa" w:w="2448"/>
            <w:vAlign w:val="center"/>
          </w:tcPr>
          <w:p>
            <w:pPr>
              <w:spacing w:after="0"/>
            </w:pPr>
            <w:r/>
            <w:r>
              <w:rPr>
                <w:rFonts w:ascii="Aptos" w:hAnsi="Aptos"/>
                <w:b w:val="0"/>
                <w:sz w:val="15"/>
              </w:rPr>
              <w:t>Implementation</w:t>
            </w:r>
          </w:p>
        </w:tc>
        <w:tc>
          <w:tcPr>
            <w:tcW w:type="dxa" w:w="7200"/>
            <w:vAlign w:val="center"/>
          </w:tcPr>
          <w:p>
            <w:pPr>
              <w:spacing w:after="0"/>
            </w:pPr>
            <w:r/>
            <w:r>
              <w:rPr>
                <w:rFonts w:ascii="Aptos" w:hAnsi="Aptos"/>
                <w:b w:val="0"/>
                <w:sz w:val="15"/>
              </w:rPr>
              <w:t>Is it deployed consistently?</w:t>
            </w:r>
          </w:p>
        </w:tc>
      </w:tr>
      <w:tr>
        <w:trPr>
          <w:cantSplit/>
        </w:trPr>
        <w:tc>
          <w:tcPr>
            <w:tcW w:type="dxa" w:w="2448"/>
            <w:vAlign w:val="center"/>
            <w:shd w:fill="F3F6F7"/>
          </w:tcPr>
          <w:p>
            <w:pPr>
              <w:spacing w:after="0"/>
            </w:pPr>
            <w:r/>
            <w:r>
              <w:rPr>
                <w:rFonts w:ascii="Aptos" w:hAnsi="Aptos"/>
                <w:b w:val="0"/>
                <w:sz w:val="15"/>
              </w:rPr>
              <w:t>Operation</w:t>
            </w:r>
          </w:p>
        </w:tc>
        <w:tc>
          <w:tcPr>
            <w:tcW w:type="dxa" w:w="7200"/>
            <w:vAlign w:val="center"/>
            <w:shd w:fill="F3F6F7"/>
          </w:tcPr>
          <w:p>
            <w:pPr>
              <w:spacing w:after="0"/>
            </w:pPr>
            <w:r/>
            <w:r>
              <w:rPr>
                <w:rFonts w:ascii="Aptos" w:hAnsi="Aptos"/>
                <w:b w:val="0"/>
                <w:sz w:val="15"/>
              </w:rPr>
              <w:t>Is there representative evidence across the required period?</w:t>
            </w:r>
          </w:p>
        </w:tc>
      </w:tr>
      <w:tr>
        <w:trPr>
          <w:cantSplit/>
        </w:trPr>
        <w:tc>
          <w:tcPr>
            <w:tcW w:type="dxa" w:w="2448"/>
            <w:vAlign w:val="center"/>
          </w:tcPr>
          <w:p>
            <w:pPr>
              <w:spacing w:after="0"/>
            </w:pPr>
            <w:r/>
            <w:r>
              <w:rPr>
                <w:rFonts w:ascii="Aptos" w:hAnsi="Aptos"/>
                <w:b w:val="0"/>
                <w:sz w:val="15"/>
              </w:rPr>
              <w:t>Effectiveness</w:t>
            </w:r>
          </w:p>
        </w:tc>
        <w:tc>
          <w:tcPr>
            <w:tcW w:type="dxa" w:w="7200"/>
            <w:vAlign w:val="center"/>
          </w:tcPr>
          <w:p>
            <w:pPr>
              <w:spacing w:after="0"/>
            </w:pPr>
            <w:r/>
            <w:r>
              <w:rPr>
                <w:rFonts w:ascii="Aptos" w:hAnsi="Aptos"/>
                <w:b w:val="0"/>
                <w:sz w:val="15"/>
              </w:rPr>
              <w:t>Does testing show the intended risk outcome?</w:t>
            </w:r>
          </w:p>
        </w:tc>
      </w:tr>
      <w:tr>
        <w:trPr>
          <w:cantSplit/>
        </w:trPr>
        <w:tc>
          <w:tcPr>
            <w:tcW w:type="dxa" w:w="2448"/>
            <w:vAlign w:val="center"/>
            <w:shd w:fill="F3F6F7"/>
          </w:tcPr>
          <w:p>
            <w:pPr>
              <w:spacing w:after="0"/>
            </w:pPr>
            <w:r/>
            <w:r>
              <w:rPr>
                <w:rFonts w:ascii="Aptos" w:hAnsi="Aptos"/>
                <w:b w:val="0"/>
                <w:sz w:val="15"/>
              </w:rPr>
              <w:t>Currency</w:t>
            </w:r>
          </w:p>
        </w:tc>
        <w:tc>
          <w:tcPr>
            <w:tcW w:type="dxa" w:w="7200"/>
            <w:vAlign w:val="center"/>
            <w:shd w:fill="F3F6F7"/>
          </w:tcPr>
          <w:p>
            <w:pPr>
              <w:spacing w:after="0"/>
            </w:pPr>
            <w:r/>
            <w:r>
              <w:rPr>
                <w:rFonts w:ascii="Aptos" w:hAnsi="Aptos"/>
                <w:b w:val="0"/>
                <w:sz w:val="15"/>
              </w:rPr>
              <w:t>Is the evidence current for the deployed model, data and architecture?</w:t>
            </w:r>
          </w:p>
        </w:tc>
      </w:tr>
      <w:tr>
        <w:trPr>
          <w:cantSplit/>
        </w:trPr>
        <w:tc>
          <w:tcPr>
            <w:tcW w:type="dxa" w:w="2448"/>
            <w:vAlign w:val="center"/>
          </w:tcPr>
          <w:p>
            <w:pPr>
              <w:spacing w:after="0"/>
            </w:pPr>
            <w:r/>
            <w:r>
              <w:rPr>
                <w:rFonts w:ascii="Aptos" w:hAnsi="Aptos"/>
                <w:b w:val="0"/>
                <w:sz w:val="15"/>
              </w:rPr>
              <w:t>Integrity</w:t>
            </w:r>
          </w:p>
        </w:tc>
        <w:tc>
          <w:tcPr>
            <w:tcW w:type="dxa" w:w="7200"/>
            <w:vAlign w:val="center"/>
          </w:tcPr>
          <w:p>
            <w:pPr>
              <w:spacing w:after="0"/>
            </w:pPr>
            <w:r/>
            <w:r>
              <w:rPr>
                <w:rFonts w:ascii="Aptos" w:hAnsi="Aptos"/>
                <w:b w:val="0"/>
                <w:sz w:val="15"/>
              </w:rPr>
              <w:t>Is evidence authentic, attributable and protected?</w:t>
            </w:r>
          </w:p>
        </w:tc>
      </w:tr>
      <w:tr>
        <w:trPr>
          <w:cantSplit/>
        </w:trPr>
        <w:tc>
          <w:tcPr>
            <w:tcW w:type="dxa" w:w="2448"/>
            <w:vAlign w:val="center"/>
            <w:shd w:fill="F3F6F7"/>
          </w:tcPr>
          <w:p>
            <w:pPr>
              <w:spacing w:after="0"/>
            </w:pPr>
            <w:r/>
            <w:r>
              <w:rPr>
                <w:rFonts w:ascii="Aptos" w:hAnsi="Aptos"/>
                <w:b w:val="0"/>
                <w:sz w:val="15"/>
              </w:rPr>
              <w:t>Traceability</w:t>
            </w:r>
          </w:p>
        </w:tc>
        <w:tc>
          <w:tcPr>
            <w:tcW w:type="dxa" w:w="7200"/>
            <w:vAlign w:val="center"/>
            <w:shd w:fill="F3F6F7"/>
          </w:tcPr>
          <w:p>
            <w:pPr>
              <w:spacing w:after="0"/>
            </w:pPr>
            <w:r/>
            <w:r>
              <w:rPr>
                <w:rFonts w:ascii="Aptos" w:hAnsi="Aptos"/>
                <w:b w:val="0"/>
                <w:sz w:val="15"/>
              </w:rPr>
              <w:t>Can the mechanism and evidence be linked to the GAISSF control?</w:t>
            </w:r>
          </w:p>
        </w:tc>
      </w:tr>
    </w:tbl>
    <w:p/>
    <w:p>
      <w:pPr>
        <w:pStyle w:val="Heading2"/>
      </w:pPr>
      <w:r>
        <w:t>10.1 Evidence reuse decision</w:t>
      </w:r>
    </w:p>
    <w:tbl>
      <w:tblPr>
        <w:tblStyle w:val="TableGrid"/>
        <w:tblW w:type="auto" w:w="0"/>
        <w:jc w:val="center"/>
        <w:tblLook w:firstColumn="1" w:firstRow="1" w:lastColumn="0" w:lastRow="0" w:noHBand="0" w:noVBand="1" w:val="04A0"/>
      </w:tblPr>
      <w:tblGrid>
        <w:gridCol w:w="3427"/>
        <w:gridCol w:w="3427"/>
        <w:gridCol w:w="3427"/>
      </w:tblGrid>
      <w:tr>
        <w:trPr>
          <w:tblHeader w:val="true"/>
          <w:cantSplit/>
        </w:trPr>
        <w:tc>
          <w:tcPr>
            <w:tcW w:type="dxa" w:w="2160"/>
            <w:vAlign w:val="center"/>
            <w:shd w:fill="17324D"/>
          </w:tcPr>
          <w:p>
            <w:pPr>
              <w:spacing w:after="0"/>
            </w:pPr>
            <w:r/>
            <w:r>
              <w:rPr>
                <w:rFonts w:ascii="Aptos" w:hAnsi="Aptos"/>
                <w:b/>
                <w:color w:val="FFFFFF"/>
                <w:sz w:val="15"/>
              </w:rPr>
              <w:t>Decision</w:t>
            </w:r>
          </w:p>
        </w:tc>
        <w:tc>
          <w:tcPr>
            <w:tcW w:type="dxa" w:w="4320"/>
            <w:vAlign w:val="center"/>
            <w:shd w:fill="17324D"/>
          </w:tcPr>
          <w:p>
            <w:pPr>
              <w:spacing w:after="0"/>
            </w:pPr>
            <w:r/>
            <w:r>
              <w:rPr>
                <w:rFonts w:ascii="Aptos" w:hAnsi="Aptos"/>
                <w:b/>
                <w:color w:val="FFFFFF"/>
                <w:sz w:val="15"/>
              </w:rPr>
              <w:t>Criteria</w:t>
            </w:r>
          </w:p>
        </w:tc>
        <w:tc>
          <w:tcPr>
            <w:tcW w:type="dxa" w:w="3168"/>
            <w:vAlign w:val="center"/>
            <w:shd w:fill="17324D"/>
          </w:tcPr>
          <w:p>
            <w:pPr>
              <w:spacing w:after="0"/>
            </w:pPr>
            <w:r/>
            <w:r>
              <w:rPr>
                <w:rFonts w:ascii="Aptos" w:hAnsi="Aptos"/>
                <w:b/>
                <w:color w:val="FFFFFF"/>
                <w:sz w:val="15"/>
              </w:rPr>
              <w:t>Treatment</w:t>
            </w:r>
          </w:p>
        </w:tc>
      </w:tr>
      <w:tr>
        <w:trPr>
          <w:cantSplit/>
        </w:trPr>
        <w:tc>
          <w:tcPr>
            <w:tcW w:type="dxa" w:w="2160"/>
            <w:vAlign w:val="center"/>
          </w:tcPr>
          <w:p>
            <w:pPr>
              <w:spacing w:after="0"/>
            </w:pPr>
            <w:r/>
            <w:r>
              <w:rPr>
                <w:rFonts w:ascii="Aptos" w:hAnsi="Aptos"/>
                <w:b w:val="0"/>
                <w:sz w:val="15"/>
              </w:rPr>
              <w:t>Reuse</w:t>
            </w:r>
          </w:p>
        </w:tc>
        <w:tc>
          <w:tcPr>
            <w:tcW w:type="dxa" w:w="4320"/>
            <w:vAlign w:val="center"/>
          </w:tcPr>
          <w:p>
            <w:pPr>
              <w:spacing w:after="0"/>
            </w:pPr>
            <w:r/>
            <w:r>
              <w:rPr>
                <w:rFonts w:ascii="Aptos" w:hAnsi="Aptos"/>
                <w:b w:val="0"/>
                <w:sz w:val="15"/>
              </w:rPr>
              <w:t>Current, scope-aligned and sufficient</w:t>
            </w:r>
          </w:p>
        </w:tc>
        <w:tc>
          <w:tcPr>
            <w:tcW w:type="dxa" w:w="3168"/>
            <w:vAlign w:val="center"/>
          </w:tcPr>
          <w:p>
            <w:pPr>
              <w:spacing w:after="0"/>
            </w:pPr>
            <w:r/>
            <w:r>
              <w:rPr>
                <w:rFonts w:ascii="Aptos" w:hAnsi="Aptos"/>
                <w:b w:val="0"/>
                <w:sz w:val="15"/>
              </w:rPr>
              <w:t>Link directly to GAISSF evidence index</w:t>
            </w:r>
          </w:p>
        </w:tc>
      </w:tr>
      <w:tr>
        <w:trPr>
          <w:cantSplit/>
        </w:trPr>
        <w:tc>
          <w:tcPr>
            <w:tcW w:type="dxa" w:w="2160"/>
            <w:vAlign w:val="center"/>
            <w:shd w:fill="F3F6F7"/>
          </w:tcPr>
          <w:p>
            <w:pPr>
              <w:spacing w:after="0"/>
            </w:pPr>
            <w:r/>
            <w:r>
              <w:rPr>
                <w:rFonts w:ascii="Aptos" w:hAnsi="Aptos"/>
                <w:b w:val="0"/>
                <w:sz w:val="15"/>
              </w:rPr>
              <w:t>Reuse with enhancement</w:t>
            </w:r>
          </w:p>
        </w:tc>
        <w:tc>
          <w:tcPr>
            <w:tcW w:type="dxa" w:w="4320"/>
            <w:vAlign w:val="center"/>
            <w:shd w:fill="F3F6F7"/>
          </w:tcPr>
          <w:p>
            <w:pPr>
              <w:spacing w:after="0"/>
            </w:pPr>
            <w:r/>
            <w:r>
              <w:rPr>
                <w:rFonts w:ascii="Aptos" w:hAnsi="Aptos"/>
                <w:b w:val="0"/>
                <w:sz w:val="15"/>
              </w:rPr>
              <w:t>Useful but incomplete</w:t>
            </w:r>
          </w:p>
        </w:tc>
        <w:tc>
          <w:tcPr>
            <w:tcW w:type="dxa" w:w="3168"/>
            <w:vAlign w:val="center"/>
            <w:shd w:fill="F3F6F7"/>
          </w:tcPr>
          <w:p>
            <w:pPr>
              <w:spacing w:after="0"/>
            </w:pPr>
            <w:r/>
            <w:r>
              <w:rPr>
                <w:rFonts w:ascii="Aptos" w:hAnsi="Aptos"/>
                <w:b w:val="0"/>
                <w:sz w:val="15"/>
              </w:rPr>
              <w:t>Add missing evidence or mechanism</w:t>
            </w:r>
          </w:p>
        </w:tc>
      </w:tr>
      <w:tr>
        <w:trPr>
          <w:cantSplit/>
        </w:trPr>
        <w:tc>
          <w:tcPr>
            <w:tcW w:type="dxa" w:w="2160"/>
            <w:vAlign w:val="center"/>
          </w:tcPr>
          <w:p>
            <w:pPr>
              <w:spacing w:after="0"/>
            </w:pPr>
            <w:r/>
            <w:r>
              <w:rPr>
                <w:rFonts w:ascii="Aptos" w:hAnsi="Aptos"/>
                <w:b w:val="0"/>
                <w:sz w:val="15"/>
              </w:rPr>
              <w:t>Reference only</w:t>
            </w:r>
          </w:p>
        </w:tc>
        <w:tc>
          <w:tcPr>
            <w:tcW w:type="dxa" w:w="4320"/>
            <w:vAlign w:val="center"/>
          </w:tcPr>
          <w:p>
            <w:pPr>
              <w:spacing w:after="0"/>
            </w:pPr>
            <w:r/>
            <w:r>
              <w:rPr>
                <w:rFonts w:ascii="Aptos" w:hAnsi="Aptos"/>
                <w:b w:val="0"/>
                <w:sz w:val="15"/>
              </w:rPr>
              <w:t>Contextual but insufficient for conformance</w:t>
            </w:r>
          </w:p>
        </w:tc>
        <w:tc>
          <w:tcPr>
            <w:tcW w:type="dxa" w:w="3168"/>
            <w:vAlign w:val="center"/>
          </w:tcPr>
          <w:p>
            <w:pPr>
              <w:spacing w:after="0"/>
            </w:pPr>
            <w:r/>
            <w:r>
              <w:rPr>
                <w:rFonts w:ascii="Aptos" w:hAnsi="Aptos"/>
                <w:b w:val="0"/>
                <w:sz w:val="15"/>
              </w:rPr>
              <w:t>Retain as supporting material</w:t>
            </w:r>
          </w:p>
        </w:tc>
      </w:tr>
      <w:tr>
        <w:trPr>
          <w:cantSplit/>
        </w:trPr>
        <w:tc>
          <w:tcPr>
            <w:tcW w:type="dxa" w:w="2160"/>
            <w:vAlign w:val="center"/>
            <w:shd w:fill="F3F6F7"/>
          </w:tcPr>
          <w:p>
            <w:pPr>
              <w:spacing w:after="0"/>
            </w:pPr>
            <w:r/>
            <w:r>
              <w:rPr>
                <w:rFonts w:ascii="Aptos" w:hAnsi="Aptos"/>
                <w:b w:val="0"/>
                <w:sz w:val="15"/>
              </w:rPr>
              <w:t>Reject</w:t>
            </w:r>
          </w:p>
        </w:tc>
        <w:tc>
          <w:tcPr>
            <w:tcW w:type="dxa" w:w="4320"/>
            <w:vAlign w:val="center"/>
            <w:shd w:fill="F3F6F7"/>
          </w:tcPr>
          <w:p>
            <w:pPr>
              <w:spacing w:after="0"/>
            </w:pPr>
            <w:r/>
            <w:r>
              <w:rPr>
                <w:rFonts w:ascii="Aptos" w:hAnsi="Aptos"/>
                <w:b w:val="0"/>
                <w:sz w:val="15"/>
              </w:rPr>
              <w:t>Stale, unverifiable, out of scope or misleading</w:t>
            </w:r>
          </w:p>
        </w:tc>
        <w:tc>
          <w:tcPr>
            <w:tcW w:type="dxa" w:w="3168"/>
            <w:vAlign w:val="center"/>
            <w:shd w:fill="F3F6F7"/>
          </w:tcPr>
          <w:p>
            <w:pPr>
              <w:spacing w:after="0"/>
            </w:pPr>
            <w:r/>
            <w:r>
              <w:rPr>
                <w:rFonts w:ascii="Aptos" w:hAnsi="Aptos"/>
                <w:b w:val="0"/>
                <w:sz w:val="15"/>
              </w:rPr>
              <w:t>Generate new evidence</w:t>
            </w:r>
          </w:p>
        </w:tc>
      </w:tr>
    </w:tbl>
    <w:p/>
    <w:p>
      <w:pPr>
        <w:pStyle w:val="Heading1"/>
      </w:pPr>
      <w:r>
        <w:t>11. Phase 6 — Design the Target Operating Model</w:t>
      </w:r>
    </w:p>
    <w:tbl>
      <w:tblPr>
        <w:tblStyle w:val="TableGrid"/>
        <w:tblW w:type="auto" w:w="0"/>
        <w:jc w:val="center"/>
        <w:tblLook w:firstColumn="1" w:firstRow="1" w:lastColumn="0" w:lastRow="0" w:noHBand="0" w:noVBand="1" w:val="04A0"/>
      </w:tblPr>
      <w:tblGrid>
        <w:gridCol w:w="5141"/>
        <w:gridCol w:w="5141"/>
      </w:tblGrid>
      <w:tr>
        <w:trPr>
          <w:tblHeader w:val="true"/>
          <w:cantSplit/>
        </w:trPr>
        <w:tc>
          <w:tcPr>
            <w:tcW w:type="dxa" w:w="2880"/>
            <w:vAlign w:val="center"/>
            <w:shd w:fill="17324D"/>
          </w:tcPr>
          <w:p>
            <w:pPr>
              <w:spacing w:after="0"/>
            </w:pPr>
            <w:r/>
            <w:r>
              <w:rPr>
                <w:rFonts w:ascii="Aptos" w:hAnsi="Aptos"/>
                <w:b/>
                <w:color w:val="FFFFFF"/>
                <w:sz w:val="15"/>
              </w:rPr>
              <w:t>Target element</w:t>
            </w:r>
          </w:p>
        </w:tc>
        <w:tc>
          <w:tcPr>
            <w:tcW w:type="dxa" w:w="6768"/>
            <w:vAlign w:val="center"/>
            <w:shd w:fill="17324D"/>
          </w:tcPr>
          <w:p>
            <w:pPr>
              <w:spacing w:after="0"/>
            </w:pPr>
            <w:r/>
            <w:r>
              <w:rPr>
                <w:rFonts w:ascii="Aptos" w:hAnsi="Aptos"/>
                <w:b/>
                <w:color w:val="FFFFFF"/>
                <w:sz w:val="15"/>
              </w:rPr>
              <w:t>Migration design question</w:t>
            </w:r>
          </w:p>
        </w:tc>
      </w:tr>
      <w:tr>
        <w:trPr>
          <w:cantSplit/>
        </w:trPr>
        <w:tc>
          <w:tcPr>
            <w:tcW w:type="dxa" w:w="2880"/>
            <w:vAlign w:val="center"/>
          </w:tcPr>
          <w:p>
            <w:pPr>
              <w:spacing w:after="0"/>
            </w:pPr>
            <w:r/>
            <w:r>
              <w:rPr>
                <w:rFonts w:ascii="Aptos" w:hAnsi="Aptos"/>
                <w:b w:val="0"/>
                <w:sz w:val="15"/>
              </w:rPr>
              <w:t>Control ownership</w:t>
            </w:r>
          </w:p>
        </w:tc>
        <w:tc>
          <w:tcPr>
            <w:tcW w:type="dxa" w:w="6768"/>
            <w:vAlign w:val="center"/>
          </w:tcPr>
          <w:p>
            <w:pPr>
              <w:spacing w:after="0"/>
            </w:pPr>
            <w:r/>
            <w:r>
              <w:rPr>
                <w:rFonts w:ascii="Aptos" w:hAnsi="Aptos"/>
                <w:b w:val="0"/>
                <w:sz w:val="15"/>
              </w:rPr>
              <w:t>Can existing owners accept GAISSF accountability?</w:t>
            </w:r>
          </w:p>
        </w:tc>
      </w:tr>
      <w:tr>
        <w:trPr>
          <w:cantSplit/>
        </w:trPr>
        <w:tc>
          <w:tcPr>
            <w:tcW w:type="dxa" w:w="2880"/>
            <w:vAlign w:val="center"/>
            <w:shd w:fill="F3F6F7"/>
          </w:tcPr>
          <w:p>
            <w:pPr>
              <w:spacing w:after="0"/>
            </w:pPr>
            <w:r/>
            <w:r>
              <w:rPr>
                <w:rFonts w:ascii="Aptos" w:hAnsi="Aptos"/>
                <w:b w:val="0"/>
                <w:sz w:val="15"/>
              </w:rPr>
              <w:t>Policies and standards</w:t>
            </w:r>
          </w:p>
        </w:tc>
        <w:tc>
          <w:tcPr>
            <w:tcW w:type="dxa" w:w="6768"/>
            <w:vAlign w:val="center"/>
            <w:shd w:fill="F3F6F7"/>
          </w:tcPr>
          <w:p>
            <w:pPr>
              <w:spacing w:after="0"/>
            </w:pPr>
            <w:r/>
            <w:r>
              <w:rPr>
                <w:rFonts w:ascii="Aptos" w:hAnsi="Aptos"/>
                <w:b w:val="0"/>
                <w:sz w:val="15"/>
              </w:rPr>
              <w:t>Can source documents be consolidated without losing obligations?</w:t>
            </w:r>
          </w:p>
        </w:tc>
      </w:tr>
      <w:tr>
        <w:trPr>
          <w:cantSplit/>
        </w:trPr>
        <w:tc>
          <w:tcPr>
            <w:tcW w:type="dxa" w:w="2880"/>
            <w:vAlign w:val="center"/>
          </w:tcPr>
          <w:p>
            <w:pPr>
              <w:spacing w:after="0"/>
            </w:pPr>
            <w:r/>
            <w:r>
              <w:rPr>
                <w:rFonts w:ascii="Aptos" w:hAnsi="Aptos"/>
                <w:b w:val="0"/>
                <w:sz w:val="15"/>
              </w:rPr>
              <w:t>Workflows</w:t>
            </w:r>
          </w:p>
        </w:tc>
        <w:tc>
          <w:tcPr>
            <w:tcW w:type="dxa" w:w="6768"/>
            <w:vAlign w:val="center"/>
          </w:tcPr>
          <w:p>
            <w:pPr>
              <w:spacing w:after="0"/>
            </w:pPr>
            <w:r/>
            <w:r>
              <w:rPr>
                <w:rFonts w:ascii="Aptos" w:hAnsi="Aptos"/>
                <w:b w:val="0"/>
                <w:sz w:val="15"/>
              </w:rPr>
              <w:t>Which reviews, approvals and gates can be reused?</w:t>
            </w:r>
          </w:p>
        </w:tc>
      </w:tr>
      <w:tr>
        <w:trPr>
          <w:cantSplit/>
        </w:trPr>
        <w:tc>
          <w:tcPr>
            <w:tcW w:type="dxa" w:w="2880"/>
            <w:vAlign w:val="center"/>
            <w:shd w:fill="F3F6F7"/>
          </w:tcPr>
          <w:p>
            <w:pPr>
              <w:spacing w:after="0"/>
            </w:pPr>
            <w:r/>
            <w:r>
              <w:rPr>
                <w:rFonts w:ascii="Aptos" w:hAnsi="Aptos"/>
                <w:b w:val="0"/>
                <w:sz w:val="15"/>
              </w:rPr>
              <w:t>Technical controls</w:t>
            </w:r>
          </w:p>
        </w:tc>
        <w:tc>
          <w:tcPr>
            <w:tcW w:type="dxa" w:w="6768"/>
            <w:vAlign w:val="center"/>
            <w:shd w:fill="F3F6F7"/>
          </w:tcPr>
          <w:p>
            <w:pPr>
              <w:spacing w:after="0"/>
            </w:pPr>
            <w:r/>
            <w:r>
              <w:rPr>
                <w:rFonts w:ascii="Aptos" w:hAnsi="Aptos"/>
                <w:b w:val="0"/>
                <w:sz w:val="15"/>
              </w:rPr>
              <w:t>Which mechanisms need extension for AI-specific risks?</w:t>
            </w:r>
          </w:p>
        </w:tc>
      </w:tr>
      <w:tr>
        <w:trPr>
          <w:cantSplit/>
        </w:trPr>
        <w:tc>
          <w:tcPr>
            <w:tcW w:type="dxa" w:w="2880"/>
            <w:vAlign w:val="center"/>
          </w:tcPr>
          <w:p>
            <w:pPr>
              <w:spacing w:after="0"/>
            </w:pPr>
            <w:r/>
            <w:r>
              <w:rPr>
                <w:rFonts w:ascii="Aptos" w:hAnsi="Aptos"/>
                <w:b w:val="0"/>
                <w:sz w:val="15"/>
              </w:rPr>
              <w:t>Evidence repository</w:t>
            </w:r>
          </w:p>
        </w:tc>
        <w:tc>
          <w:tcPr>
            <w:tcW w:type="dxa" w:w="6768"/>
            <w:vAlign w:val="center"/>
          </w:tcPr>
          <w:p>
            <w:pPr>
              <w:spacing w:after="0"/>
            </w:pPr>
            <w:r/>
            <w:r>
              <w:rPr>
                <w:rFonts w:ascii="Aptos" w:hAnsi="Aptos"/>
                <w:b w:val="0"/>
                <w:sz w:val="15"/>
              </w:rPr>
              <w:t>Can existing GRC or audit repositories support GAISSF metadata?</w:t>
            </w:r>
          </w:p>
        </w:tc>
      </w:tr>
      <w:tr>
        <w:trPr>
          <w:cantSplit/>
        </w:trPr>
        <w:tc>
          <w:tcPr>
            <w:tcW w:type="dxa" w:w="2880"/>
            <w:vAlign w:val="center"/>
            <w:shd w:fill="F3F6F7"/>
          </w:tcPr>
          <w:p>
            <w:pPr>
              <w:spacing w:after="0"/>
            </w:pPr>
            <w:r/>
            <w:r>
              <w:rPr>
                <w:rFonts w:ascii="Aptos" w:hAnsi="Aptos"/>
                <w:b w:val="0"/>
                <w:sz w:val="15"/>
              </w:rPr>
              <w:t>Assurance</w:t>
            </w:r>
          </w:p>
        </w:tc>
        <w:tc>
          <w:tcPr>
            <w:tcW w:type="dxa" w:w="6768"/>
            <w:vAlign w:val="center"/>
            <w:shd w:fill="F3F6F7"/>
          </w:tcPr>
          <w:p>
            <w:pPr>
              <w:spacing w:after="0"/>
            </w:pPr>
            <w:r/>
            <w:r>
              <w:rPr>
                <w:rFonts w:ascii="Aptos" w:hAnsi="Aptos"/>
                <w:b w:val="0"/>
                <w:sz w:val="15"/>
              </w:rPr>
              <w:t>Can current audit and testing methods assess GAISSF operating effectiveness?</w:t>
            </w:r>
          </w:p>
        </w:tc>
      </w:tr>
      <w:tr>
        <w:trPr>
          <w:cantSplit/>
        </w:trPr>
        <w:tc>
          <w:tcPr>
            <w:tcW w:type="dxa" w:w="2880"/>
            <w:vAlign w:val="center"/>
          </w:tcPr>
          <w:p>
            <w:pPr>
              <w:spacing w:after="0"/>
            </w:pPr>
            <w:r/>
            <w:r>
              <w:rPr>
                <w:rFonts w:ascii="Aptos" w:hAnsi="Aptos"/>
                <w:b w:val="0"/>
                <w:sz w:val="15"/>
              </w:rPr>
              <w:t>Metrics</w:t>
            </w:r>
          </w:p>
        </w:tc>
        <w:tc>
          <w:tcPr>
            <w:tcW w:type="dxa" w:w="6768"/>
            <w:vAlign w:val="center"/>
          </w:tcPr>
          <w:p>
            <w:pPr>
              <w:spacing w:after="0"/>
            </w:pPr>
            <w:r/>
            <w:r>
              <w:rPr>
                <w:rFonts w:ascii="Aptos" w:hAnsi="Aptos"/>
                <w:b w:val="0"/>
                <w:sz w:val="15"/>
              </w:rPr>
              <w:t>Which source metrics remain valid and which require AI-specific measures?</w:t>
            </w:r>
          </w:p>
        </w:tc>
      </w:tr>
      <w:tr>
        <w:trPr>
          <w:cantSplit/>
        </w:trPr>
        <w:tc>
          <w:tcPr>
            <w:tcW w:type="dxa" w:w="2880"/>
            <w:vAlign w:val="center"/>
            <w:shd w:fill="F3F6F7"/>
          </w:tcPr>
          <w:p>
            <w:pPr>
              <w:spacing w:after="0"/>
            </w:pPr>
            <w:r/>
            <w:r>
              <w:rPr>
                <w:rFonts w:ascii="Aptos" w:hAnsi="Aptos"/>
                <w:b w:val="0"/>
                <w:sz w:val="15"/>
              </w:rPr>
              <w:t>Exceptions</w:t>
            </w:r>
          </w:p>
        </w:tc>
        <w:tc>
          <w:tcPr>
            <w:tcW w:type="dxa" w:w="6768"/>
            <w:vAlign w:val="center"/>
            <w:shd w:fill="F3F6F7"/>
          </w:tcPr>
          <w:p>
            <w:pPr>
              <w:spacing w:after="0"/>
            </w:pPr>
            <w:r/>
            <w:r>
              <w:rPr>
                <w:rFonts w:ascii="Aptos" w:hAnsi="Aptos"/>
                <w:b w:val="0"/>
                <w:sz w:val="15"/>
              </w:rPr>
              <w:t>Can existing risk-acceptance workflows meet GAISSF traceability and expiry needs?</w:t>
            </w:r>
          </w:p>
        </w:tc>
      </w:tr>
    </w:tbl>
    <w:p/>
    <w:p>
      <w:pPr>
        <w:pStyle w:val="Heading1"/>
      </w:pPr>
      <w:r>
        <w:t>12. Migration from ISO/IEC Management Systems</w:t>
      </w:r>
    </w:p>
    <w:p>
      <w:r>
        <w:t>Organizations with ISO/IEC 27001, ISO/IEC 42001, ISO/IEC 27701 or related management systems can often reuse governance, document control, internal audit, management review, corrective action and risk-management capabilities.</w:t>
      </w:r>
    </w:p>
    <w:tbl>
      <w:tblPr>
        <w:tblStyle w:val="TableGrid"/>
        <w:tblW w:type="auto" w:w="0"/>
        <w:jc w:val="center"/>
        <w:tblLook w:firstColumn="1" w:firstRow="1" w:lastColumn="0" w:lastRow="0" w:noHBand="0" w:noVBand="1" w:val="04A0"/>
      </w:tblPr>
      <w:tblGrid>
        <w:gridCol w:w="3427"/>
        <w:gridCol w:w="3427"/>
        <w:gridCol w:w="3427"/>
      </w:tblGrid>
      <w:tr>
        <w:trPr>
          <w:tblHeader w:val="true"/>
          <w:cantSplit/>
        </w:trPr>
        <w:tc>
          <w:tcPr>
            <w:tcW w:type="dxa" w:w="2880"/>
            <w:vAlign w:val="center"/>
            <w:shd w:fill="17324D"/>
          </w:tcPr>
          <w:p>
            <w:pPr>
              <w:spacing w:after="0"/>
            </w:pPr>
            <w:r/>
            <w:r>
              <w:rPr>
                <w:rFonts w:ascii="Aptos" w:hAnsi="Aptos"/>
                <w:b/>
                <w:color w:val="FFFFFF"/>
                <w:sz w:val="15"/>
              </w:rPr>
              <w:t>Reusable capability</w:t>
            </w:r>
          </w:p>
        </w:tc>
        <w:tc>
          <w:tcPr>
            <w:tcW w:type="dxa" w:w="3744"/>
            <w:vAlign w:val="center"/>
            <w:shd w:fill="17324D"/>
          </w:tcPr>
          <w:p>
            <w:pPr>
              <w:spacing w:after="0"/>
            </w:pPr>
            <w:r/>
            <w:r>
              <w:rPr>
                <w:rFonts w:ascii="Aptos" w:hAnsi="Aptos"/>
                <w:b/>
                <w:color w:val="FFFFFF"/>
                <w:sz w:val="15"/>
              </w:rPr>
              <w:t>Typical GAISSF use</w:t>
            </w:r>
          </w:p>
        </w:tc>
        <w:tc>
          <w:tcPr>
            <w:tcW w:type="dxa" w:w="3024"/>
            <w:vAlign w:val="center"/>
            <w:shd w:fill="17324D"/>
          </w:tcPr>
          <w:p>
            <w:pPr>
              <w:spacing w:after="0"/>
            </w:pPr>
            <w:r/>
            <w:r>
              <w:rPr>
                <w:rFonts w:ascii="Aptos" w:hAnsi="Aptos"/>
                <w:b/>
                <w:color w:val="FFFFFF"/>
                <w:sz w:val="15"/>
              </w:rPr>
              <w:t>Likely migration gap</w:t>
            </w:r>
          </w:p>
        </w:tc>
      </w:tr>
      <w:tr>
        <w:trPr>
          <w:cantSplit/>
        </w:trPr>
        <w:tc>
          <w:tcPr>
            <w:tcW w:type="dxa" w:w="2880"/>
            <w:vAlign w:val="center"/>
          </w:tcPr>
          <w:p>
            <w:pPr>
              <w:spacing w:after="0"/>
            </w:pPr>
            <w:r/>
            <w:r>
              <w:rPr>
                <w:rFonts w:ascii="Aptos" w:hAnsi="Aptos"/>
                <w:b w:val="0"/>
                <w:sz w:val="15"/>
              </w:rPr>
              <w:t>Context and scope</w:t>
            </w:r>
          </w:p>
        </w:tc>
        <w:tc>
          <w:tcPr>
            <w:tcW w:type="dxa" w:w="3744"/>
            <w:vAlign w:val="center"/>
          </w:tcPr>
          <w:p>
            <w:pPr>
              <w:spacing w:after="0"/>
            </w:pPr>
            <w:r/>
            <w:r>
              <w:rPr>
                <w:rFonts w:ascii="Aptos" w:hAnsi="Aptos"/>
                <w:b w:val="0"/>
                <w:sz w:val="15"/>
              </w:rPr>
              <w:t>GAISSF assessment boundary</w:t>
            </w:r>
          </w:p>
        </w:tc>
        <w:tc>
          <w:tcPr>
            <w:tcW w:type="dxa" w:w="3024"/>
            <w:vAlign w:val="center"/>
          </w:tcPr>
          <w:p>
            <w:pPr>
              <w:spacing w:after="0"/>
            </w:pPr>
            <w:r/>
            <w:r>
              <w:rPr>
                <w:rFonts w:ascii="Aptos" w:hAnsi="Aptos"/>
                <w:b w:val="0"/>
                <w:sz w:val="15"/>
              </w:rPr>
              <w:t>AI-system, model, agent and supplier granularity</w:t>
            </w:r>
          </w:p>
        </w:tc>
      </w:tr>
      <w:tr>
        <w:trPr>
          <w:cantSplit/>
        </w:trPr>
        <w:tc>
          <w:tcPr>
            <w:tcW w:type="dxa" w:w="2880"/>
            <w:vAlign w:val="center"/>
            <w:shd w:fill="F3F6F7"/>
          </w:tcPr>
          <w:p>
            <w:pPr>
              <w:spacing w:after="0"/>
            </w:pPr>
            <w:r/>
            <w:r>
              <w:rPr>
                <w:rFonts w:ascii="Aptos" w:hAnsi="Aptos"/>
                <w:b w:val="0"/>
                <w:sz w:val="15"/>
              </w:rPr>
              <w:t>Leadership and policy</w:t>
            </w:r>
          </w:p>
        </w:tc>
        <w:tc>
          <w:tcPr>
            <w:tcW w:type="dxa" w:w="3744"/>
            <w:vAlign w:val="center"/>
            <w:shd w:fill="F3F6F7"/>
          </w:tcPr>
          <w:p>
            <w:pPr>
              <w:spacing w:after="0"/>
            </w:pPr>
            <w:r/>
            <w:r>
              <w:rPr>
                <w:rFonts w:ascii="Aptos" w:hAnsi="Aptos"/>
                <w:b w:val="0"/>
                <w:sz w:val="15"/>
              </w:rPr>
              <w:t>D6 governance and accountability</w:t>
            </w:r>
          </w:p>
        </w:tc>
        <w:tc>
          <w:tcPr>
            <w:tcW w:type="dxa" w:w="3024"/>
            <w:vAlign w:val="center"/>
            <w:shd w:fill="F3F6F7"/>
          </w:tcPr>
          <w:p>
            <w:pPr>
              <w:spacing w:after="0"/>
            </w:pPr>
            <w:r/>
            <w:r>
              <w:rPr>
                <w:rFonts w:ascii="Aptos" w:hAnsi="Aptos"/>
                <w:b w:val="0"/>
                <w:sz w:val="15"/>
              </w:rPr>
              <w:t>AI-specific decision rights and system ownership</w:t>
            </w:r>
          </w:p>
        </w:tc>
      </w:tr>
      <w:tr>
        <w:trPr>
          <w:cantSplit/>
        </w:trPr>
        <w:tc>
          <w:tcPr>
            <w:tcW w:type="dxa" w:w="2880"/>
            <w:vAlign w:val="center"/>
          </w:tcPr>
          <w:p>
            <w:pPr>
              <w:spacing w:after="0"/>
            </w:pPr>
            <w:r/>
            <w:r>
              <w:rPr>
                <w:rFonts w:ascii="Aptos" w:hAnsi="Aptos"/>
                <w:b w:val="0"/>
                <w:sz w:val="15"/>
              </w:rPr>
              <w:t>Risk management</w:t>
            </w:r>
          </w:p>
        </w:tc>
        <w:tc>
          <w:tcPr>
            <w:tcW w:type="dxa" w:w="3744"/>
            <w:vAlign w:val="center"/>
          </w:tcPr>
          <w:p>
            <w:pPr>
              <w:spacing w:after="0"/>
            </w:pPr>
            <w:r/>
            <w:r>
              <w:rPr>
                <w:rFonts w:ascii="Aptos" w:hAnsi="Aptos"/>
                <w:b w:val="0"/>
                <w:sz w:val="15"/>
              </w:rPr>
              <w:t>D8 risk and assurance</w:t>
            </w:r>
          </w:p>
        </w:tc>
        <w:tc>
          <w:tcPr>
            <w:tcW w:type="dxa" w:w="3024"/>
            <w:vAlign w:val="center"/>
          </w:tcPr>
          <w:p>
            <w:pPr>
              <w:spacing w:after="0"/>
            </w:pPr>
            <w:r/>
            <w:r>
              <w:rPr>
                <w:rFonts w:ascii="Aptos" w:hAnsi="Aptos"/>
                <w:b w:val="0"/>
                <w:sz w:val="15"/>
              </w:rPr>
              <w:t>Threat, safety, autonomy and harmful-output scenarios</w:t>
            </w:r>
          </w:p>
        </w:tc>
      </w:tr>
      <w:tr>
        <w:trPr>
          <w:cantSplit/>
        </w:trPr>
        <w:tc>
          <w:tcPr>
            <w:tcW w:type="dxa" w:w="2880"/>
            <w:vAlign w:val="center"/>
            <w:shd w:fill="F3F6F7"/>
          </w:tcPr>
          <w:p>
            <w:pPr>
              <w:spacing w:after="0"/>
            </w:pPr>
            <w:r/>
            <w:r>
              <w:rPr>
                <w:rFonts w:ascii="Aptos" w:hAnsi="Aptos"/>
                <w:b w:val="0"/>
                <w:sz w:val="15"/>
              </w:rPr>
              <w:t>Competence and awareness</w:t>
            </w:r>
          </w:p>
        </w:tc>
        <w:tc>
          <w:tcPr>
            <w:tcW w:type="dxa" w:w="3744"/>
            <w:vAlign w:val="center"/>
            <w:shd w:fill="F3F6F7"/>
          </w:tcPr>
          <w:p>
            <w:pPr>
              <w:spacing w:after="0"/>
            </w:pPr>
            <w:r/>
            <w:r>
              <w:rPr>
                <w:rFonts w:ascii="Aptos" w:hAnsi="Aptos"/>
                <w:b w:val="0"/>
                <w:sz w:val="15"/>
              </w:rPr>
              <w:t>Role-based GAISSF capability</w:t>
            </w:r>
          </w:p>
        </w:tc>
        <w:tc>
          <w:tcPr>
            <w:tcW w:type="dxa" w:w="3024"/>
            <w:vAlign w:val="center"/>
            <w:shd w:fill="F3F6F7"/>
          </w:tcPr>
          <w:p>
            <w:pPr>
              <w:spacing w:after="0"/>
            </w:pPr>
            <w:r/>
            <w:r>
              <w:rPr>
                <w:rFonts w:ascii="Aptos" w:hAnsi="Aptos"/>
                <w:b w:val="0"/>
                <w:sz w:val="15"/>
              </w:rPr>
              <w:t>AI engineering and assessor competence</w:t>
            </w:r>
          </w:p>
        </w:tc>
      </w:tr>
      <w:tr>
        <w:trPr>
          <w:cantSplit/>
        </w:trPr>
        <w:tc>
          <w:tcPr>
            <w:tcW w:type="dxa" w:w="2880"/>
            <w:vAlign w:val="center"/>
          </w:tcPr>
          <w:p>
            <w:pPr>
              <w:spacing w:after="0"/>
            </w:pPr>
            <w:r/>
            <w:r>
              <w:rPr>
                <w:rFonts w:ascii="Aptos" w:hAnsi="Aptos"/>
                <w:b w:val="0"/>
                <w:sz w:val="15"/>
              </w:rPr>
              <w:t>Operational control</w:t>
            </w:r>
          </w:p>
        </w:tc>
        <w:tc>
          <w:tcPr>
            <w:tcW w:type="dxa" w:w="3744"/>
            <w:vAlign w:val="center"/>
          </w:tcPr>
          <w:p>
            <w:pPr>
              <w:spacing w:after="0"/>
            </w:pPr>
            <w:r/>
            <w:r>
              <w:rPr>
                <w:rFonts w:ascii="Aptos" w:hAnsi="Aptos"/>
                <w:b w:val="0"/>
                <w:sz w:val="15"/>
              </w:rPr>
              <w:t>D1-D7 and D9 implementation</w:t>
            </w:r>
          </w:p>
        </w:tc>
        <w:tc>
          <w:tcPr>
            <w:tcW w:type="dxa" w:w="3024"/>
            <w:vAlign w:val="center"/>
          </w:tcPr>
          <w:p>
            <w:pPr>
              <w:spacing w:after="0"/>
            </w:pPr>
            <w:r/>
            <w:r>
              <w:rPr>
                <w:rFonts w:ascii="Aptos" w:hAnsi="Aptos"/>
                <w:b w:val="0"/>
                <w:sz w:val="15"/>
              </w:rPr>
              <w:t>Technical AI-specific mechanisms</w:t>
            </w:r>
          </w:p>
        </w:tc>
      </w:tr>
      <w:tr>
        <w:trPr>
          <w:cantSplit/>
        </w:trPr>
        <w:tc>
          <w:tcPr>
            <w:tcW w:type="dxa" w:w="2880"/>
            <w:vAlign w:val="center"/>
            <w:shd w:fill="F3F6F7"/>
          </w:tcPr>
          <w:p>
            <w:pPr>
              <w:spacing w:after="0"/>
            </w:pPr>
            <w:r/>
            <w:r>
              <w:rPr>
                <w:rFonts w:ascii="Aptos" w:hAnsi="Aptos"/>
                <w:b w:val="0"/>
                <w:sz w:val="15"/>
              </w:rPr>
              <w:t>Performance evaluation</w:t>
            </w:r>
          </w:p>
        </w:tc>
        <w:tc>
          <w:tcPr>
            <w:tcW w:type="dxa" w:w="3744"/>
            <w:vAlign w:val="center"/>
            <w:shd w:fill="F3F6F7"/>
          </w:tcPr>
          <w:p>
            <w:pPr>
              <w:spacing w:after="0"/>
            </w:pPr>
            <w:r/>
            <w:r>
              <w:rPr>
                <w:rFonts w:ascii="Aptos" w:hAnsi="Aptos"/>
                <w:b w:val="0"/>
                <w:sz w:val="15"/>
              </w:rPr>
              <w:t>Monitoring and internal assurance</w:t>
            </w:r>
          </w:p>
        </w:tc>
        <w:tc>
          <w:tcPr>
            <w:tcW w:type="dxa" w:w="3024"/>
            <w:vAlign w:val="center"/>
            <w:shd w:fill="F3F6F7"/>
          </w:tcPr>
          <w:p>
            <w:pPr>
              <w:spacing w:after="0"/>
            </w:pPr>
            <w:r/>
            <w:r>
              <w:rPr>
                <w:rFonts w:ascii="Aptos" w:hAnsi="Aptos"/>
                <w:b w:val="0"/>
                <w:sz w:val="15"/>
              </w:rPr>
              <w:t>Control-health and model-behavior evidence</w:t>
            </w:r>
          </w:p>
        </w:tc>
      </w:tr>
      <w:tr>
        <w:trPr>
          <w:cantSplit/>
        </w:trPr>
        <w:tc>
          <w:tcPr>
            <w:tcW w:type="dxa" w:w="2880"/>
            <w:vAlign w:val="center"/>
          </w:tcPr>
          <w:p>
            <w:pPr>
              <w:spacing w:after="0"/>
            </w:pPr>
            <w:r/>
            <w:r>
              <w:rPr>
                <w:rFonts w:ascii="Aptos" w:hAnsi="Aptos"/>
                <w:b w:val="0"/>
                <w:sz w:val="15"/>
              </w:rPr>
              <w:t>Corrective action</w:t>
            </w:r>
          </w:p>
        </w:tc>
        <w:tc>
          <w:tcPr>
            <w:tcW w:type="dxa" w:w="3744"/>
            <w:vAlign w:val="center"/>
          </w:tcPr>
          <w:p>
            <w:pPr>
              <w:spacing w:after="0"/>
            </w:pPr>
            <w:r/>
            <w:r>
              <w:rPr>
                <w:rFonts w:ascii="Aptos" w:hAnsi="Aptos"/>
                <w:b w:val="0"/>
                <w:sz w:val="15"/>
              </w:rPr>
              <w:t>Nonconformity and improvement</w:t>
            </w:r>
          </w:p>
        </w:tc>
        <w:tc>
          <w:tcPr>
            <w:tcW w:type="dxa" w:w="3024"/>
            <w:vAlign w:val="center"/>
          </w:tcPr>
          <w:p>
            <w:pPr>
              <w:spacing w:after="0"/>
            </w:pPr>
            <w:r/>
            <w:r>
              <w:rPr>
                <w:rFonts w:ascii="Aptos" w:hAnsi="Aptos"/>
                <w:b w:val="0"/>
                <w:sz w:val="15"/>
              </w:rPr>
              <w:t>Control-specific root cause and retest evidence</w:t>
            </w:r>
          </w:p>
        </w:tc>
      </w:tr>
    </w:tbl>
    <w:p/>
    <w:p>
      <w:pPr>
        <w:pStyle w:val="Heading1"/>
      </w:pPr>
      <w:r>
        <w:t>13. Migration from NIST AI RMF and NIST CSF</w:t>
      </w:r>
    </w:p>
    <w:p>
      <w:r>
        <w:t>NIST AI RMF and CSF functions can provide strong governance and risk-outcome structures. Migration requires translating outcomes and profiles into GAISSF control-level requirements, evidence and certification boundaries.</w:t>
      </w:r>
    </w:p>
    <w:tbl>
      <w:tblPr>
        <w:tblStyle w:val="TableGrid"/>
        <w:tblW w:type="auto" w:w="0"/>
        <w:jc w:val="center"/>
        <w:tblLook w:firstColumn="1" w:firstRow="1" w:lastColumn="0" w:lastRow="0" w:noHBand="0" w:noVBand="1" w:val="04A0"/>
      </w:tblPr>
      <w:tblGrid>
        <w:gridCol w:w="3427"/>
        <w:gridCol w:w="3427"/>
        <w:gridCol w:w="3427"/>
      </w:tblGrid>
      <w:tr>
        <w:trPr>
          <w:tblHeader w:val="true"/>
          <w:cantSplit/>
        </w:trPr>
        <w:tc>
          <w:tcPr>
            <w:tcW w:type="dxa" w:w="2592"/>
            <w:vAlign w:val="center"/>
            <w:shd w:fill="17324D"/>
          </w:tcPr>
          <w:p>
            <w:pPr>
              <w:spacing w:after="0"/>
            </w:pPr>
            <w:r/>
            <w:r>
              <w:rPr>
                <w:rFonts w:ascii="Aptos" w:hAnsi="Aptos"/>
                <w:b/>
                <w:color w:val="FFFFFF"/>
                <w:sz w:val="15"/>
              </w:rPr>
              <w:t>NIST capability</w:t>
            </w:r>
          </w:p>
        </w:tc>
        <w:tc>
          <w:tcPr>
            <w:tcW w:type="dxa" w:w="3888"/>
            <w:vAlign w:val="center"/>
            <w:shd w:fill="17324D"/>
          </w:tcPr>
          <w:p>
            <w:pPr>
              <w:spacing w:after="0"/>
            </w:pPr>
            <w:r/>
            <w:r>
              <w:rPr>
                <w:rFonts w:ascii="Aptos" w:hAnsi="Aptos"/>
                <w:b/>
                <w:color w:val="FFFFFF"/>
                <w:sz w:val="15"/>
              </w:rPr>
              <w:t>GAISSF transition use</w:t>
            </w:r>
          </w:p>
        </w:tc>
        <w:tc>
          <w:tcPr>
            <w:tcW w:type="dxa" w:w="3168"/>
            <w:vAlign w:val="center"/>
            <w:shd w:fill="17324D"/>
          </w:tcPr>
          <w:p>
            <w:pPr>
              <w:spacing w:after="0"/>
            </w:pPr>
            <w:r/>
            <w:r>
              <w:rPr>
                <w:rFonts w:ascii="Aptos" w:hAnsi="Aptos"/>
                <w:b/>
                <w:color w:val="FFFFFF"/>
                <w:sz w:val="15"/>
              </w:rPr>
              <w:t>Additional work</w:t>
            </w:r>
          </w:p>
        </w:tc>
      </w:tr>
      <w:tr>
        <w:trPr>
          <w:cantSplit/>
        </w:trPr>
        <w:tc>
          <w:tcPr>
            <w:tcW w:type="dxa" w:w="2592"/>
            <w:vAlign w:val="center"/>
          </w:tcPr>
          <w:p>
            <w:pPr>
              <w:spacing w:after="0"/>
            </w:pPr>
            <w:r/>
            <w:r>
              <w:rPr>
                <w:rFonts w:ascii="Aptos" w:hAnsi="Aptos"/>
                <w:b w:val="0"/>
                <w:sz w:val="15"/>
              </w:rPr>
              <w:t>Govern/GOVERN</w:t>
            </w:r>
          </w:p>
        </w:tc>
        <w:tc>
          <w:tcPr>
            <w:tcW w:type="dxa" w:w="3888"/>
            <w:vAlign w:val="center"/>
          </w:tcPr>
          <w:p>
            <w:pPr>
              <w:spacing w:after="0"/>
            </w:pPr>
            <w:r/>
            <w:r>
              <w:rPr>
                <w:rFonts w:ascii="Aptos" w:hAnsi="Aptos"/>
                <w:b w:val="0"/>
                <w:sz w:val="15"/>
              </w:rPr>
              <w:t>Governance, roles, policy and oversight</w:t>
            </w:r>
          </w:p>
        </w:tc>
        <w:tc>
          <w:tcPr>
            <w:tcW w:type="dxa" w:w="3168"/>
            <w:vAlign w:val="center"/>
          </w:tcPr>
          <w:p>
            <w:pPr>
              <w:spacing w:after="0"/>
            </w:pPr>
            <w:r/>
            <w:r>
              <w:rPr>
                <w:rFonts w:ascii="Aptos" w:hAnsi="Aptos"/>
                <w:b w:val="0"/>
                <w:sz w:val="15"/>
              </w:rPr>
              <w:t>Control ownership, certification scope and evidence records</w:t>
            </w:r>
          </w:p>
        </w:tc>
      </w:tr>
      <w:tr>
        <w:trPr>
          <w:cantSplit/>
        </w:trPr>
        <w:tc>
          <w:tcPr>
            <w:tcW w:type="dxa" w:w="2592"/>
            <w:vAlign w:val="center"/>
            <w:shd w:fill="F3F6F7"/>
          </w:tcPr>
          <w:p>
            <w:pPr>
              <w:spacing w:after="0"/>
            </w:pPr>
            <w:r/>
            <w:r>
              <w:rPr>
                <w:rFonts w:ascii="Aptos" w:hAnsi="Aptos"/>
                <w:b w:val="0"/>
                <w:sz w:val="15"/>
              </w:rPr>
              <w:t>Map/MAP</w:t>
            </w:r>
          </w:p>
        </w:tc>
        <w:tc>
          <w:tcPr>
            <w:tcW w:type="dxa" w:w="3888"/>
            <w:vAlign w:val="center"/>
            <w:shd w:fill="F3F6F7"/>
          </w:tcPr>
          <w:p>
            <w:pPr>
              <w:spacing w:after="0"/>
            </w:pPr>
            <w:r/>
            <w:r>
              <w:rPr>
                <w:rFonts w:ascii="Aptos" w:hAnsi="Aptos"/>
                <w:b w:val="0"/>
                <w:sz w:val="15"/>
              </w:rPr>
              <w:t>Context, inventory, impacts and risk scenarios</w:t>
            </w:r>
          </w:p>
        </w:tc>
        <w:tc>
          <w:tcPr>
            <w:tcW w:type="dxa" w:w="3168"/>
            <w:vAlign w:val="center"/>
            <w:shd w:fill="F3F6F7"/>
          </w:tcPr>
          <w:p>
            <w:pPr>
              <w:spacing w:after="0"/>
            </w:pPr>
            <w:r/>
            <w:r>
              <w:rPr>
                <w:rFonts w:ascii="Aptos" w:hAnsi="Aptos"/>
                <w:b w:val="0"/>
                <w:sz w:val="15"/>
              </w:rPr>
              <w:t>Formal applicability and system boundary</w:t>
            </w:r>
          </w:p>
        </w:tc>
      </w:tr>
      <w:tr>
        <w:trPr>
          <w:cantSplit/>
        </w:trPr>
        <w:tc>
          <w:tcPr>
            <w:tcW w:type="dxa" w:w="2592"/>
            <w:vAlign w:val="center"/>
          </w:tcPr>
          <w:p>
            <w:pPr>
              <w:spacing w:after="0"/>
            </w:pPr>
            <w:r/>
            <w:r>
              <w:rPr>
                <w:rFonts w:ascii="Aptos" w:hAnsi="Aptos"/>
                <w:b w:val="0"/>
                <w:sz w:val="15"/>
              </w:rPr>
              <w:t>Measure/MEASURE</w:t>
            </w:r>
          </w:p>
        </w:tc>
        <w:tc>
          <w:tcPr>
            <w:tcW w:type="dxa" w:w="3888"/>
            <w:vAlign w:val="center"/>
          </w:tcPr>
          <w:p>
            <w:pPr>
              <w:spacing w:after="0"/>
            </w:pPr>
            <w:r/>
            <w:r>
              <w:rPr>
                <w:rFonts w:ascii="Aptos" w:hAnsi="Aptos"/>
                <w:b w:val="0"/>
                <w:sz w:val="15"/>
              </w:rPr>
              <w:t>Evaluation, metrics and testing</w:t>
            </w:r>
          </w:p>
        </w:tc>
        <w:tc>
          <w:tcPr>
            <w:tcW w:type="dxa" w:w="3168"/>
            <w:vAlign w:val="center"/>
          </w:tcPr>
          <w:p>
            <w:pPr>
              <w:spacing w:after="0"/>
            </w:pPr>
            <w:r/>
            <w:r>
              <w:rPr>
                <w:rFonts w:ascii="Aptos" w:hAnsi="Aptos"/>
                <w:b w:val="0"/>
                <w:sz w:val="15"/>
              </w:rPr>
              <w:t>Control-specific evidence and operating-effectiveness criteria</w:t>
            </w:r>
          </w:p>
        </w:tc>
      </w:tr>
      <w:tr>
        <w:trPr>
          <w:cantSplit/>
        </w:trPr>
        <w:tc>
          <w:tcPr>
            <w:tcW w:type="dxa" w:w="2592"/>
            <w:vAlign w:val="center"/>
            <w:shd w:fill="F3F6F7"/>
          </w:tcPr>
          <w:p>
            <w:pPr>
              <w:spacing w:after="0"/>
            </w:pPr>
            <w:r/>
            <w:r>
              <w:rPr>
                <w:rFonts w:ascii="Aptos" w:hAnsi="Aptos"/>
                <w:b w:val="0"/>
                <w:sz w:val="15"/>
              </w:rPr>
              <w:t>Manage/MANAGE</w:t>
            </w:r>
          </w:p>
        </w:tc>
        <w:tc>
          <w:tcPr>
            <w:tcW w:type="dxa" w:w="3888"/>
            <w:vAlign w:val="center"/>
            <w:shd w:fill="F3F6F7"/>
          </w:tcPr>
          <w:p>
            <w:pPr>
              <w:spacing w:after="0"/>
            </w:pPr>
            <w:r/>
            <w:r>
              <w:rPr>
                <w:rFonts w:ascii="Aptos" w:hAnsi="Aptos"/>
                <w:b w:val="0"/>
                <w:sz w:val="15"/>
              </w:rPr>
              <w:t>Risk treatment, prioritization and response</w:t>
            </w:r>
          </w:p>
        </w:tc>
        <w:tc>
          <w:tcPr>
            <w:tcW w:type="dxa" w:w="3168"/>
            <w:vAlign w:val="center"/>
            <w:shd w:fill="F3F6F7"/>
          </w:tcPr>
          <w:p>
            <w:pPr>
              <w:spacing w:after="0"/>
            </w:pPr>
            <w:r/>
            <w:r>
              <w:rPr>
                <w:rFonts w:ascii="Aptos" w:hAnsi="Aptos"/>
                <w:b w:val="0"/>
                <w:sz w:val="15"/>
              </w:rPr>
              <w:t>Exception, nonconformity and corrective-action linkage</w:t>
            </w:r>
          </w:p>
        </w:tc>
      </w:tr>
      <w:tr>
        <w:trPr>
          <w:cantSplit/>
        </w:trPr>
        <w:tc>
          <w:tcPr>
            <w:tcW w:type="dxa" w:w="2592"/>
            <w:vAlign w:val="center"/>
          </w:tcPr>
          <w:p>
            <w:pPr>
              <w:spacing w:after="0"/>
            </w:pPr>
            <w:r/>
            <w:r>
              <w:rPr>
                <w:rFonts w:ascii="Aptos" w:hAnsi="Aptos"/>
                <w:b w:val="0"/>
                <w:sz w:val="15"/>
              </w:rPr>
              <w:t>CSF Govern/Identify</w:t>
            </w:r>
          </w:p>
        </w:tc>
        <w:tc>
          <w:tcPr>
            <w:tcW w:type="dxa" w:w="3888"/>
            <w:vAlign w:val="center"/>
          </w:tcPr>
          <w:p>
            <w:pPr>
              <w:spacing w:after="0"/>
            </w:pPr>
            <w:r/>
            <w:r>
              <w:rPr>
                <w:rFonts w:ascii="Aptos" w:hAnsi="Aptos"/>
                <w:b w:val="0"/>
                <w:sz w:val="15"/>
              </w:rPr>
              <w:t>Enterprise security governance and asset context</w:t>
            </w:r>
          </w:p>
        </w:tc>
        <w:tc>
          <w:tcPr>
            <w:tcW w:type="dxa" w:w="3168"/>
            <w:vAlign w:val="center"/>
          </w:tcPr>
          <w:p>
            <w:pPr>
              <w:spacing w:after="0"/>
            </w:pPr>
            <w:r/>
            <w:r>
              <w:rPr>
                <w:rFonts w:ascii="Aptos" w:hAnsi="Aptos"/>
                <w:b w:val="0"/>
                <w:sz w:val="15"/>
              </w:rPr>
              <w:t>AI model, data, agent and physical-AI extensions</w:t>
            </w:r>
          </w:p>
        </w:tc>
      </w:tr>
      <w:tr>
        <w:trPr>
          <w:cantSplit/>
        </w:trPr>
        <w:tc>
          <w:tcPr>
            <w:tcW w:type="dxa" w:w="2592"/>
            <w:vAlign w:val="center"/>
            <w:shd w:fill="F3F6F7"/>
          </w:tcPr>
          <w:p>
            <w:pPr>
              <w:spacing w:after="0"/>
            </w:pPr>
            <w:r/>
            <w:r>
              <w:rPr>
                <w:rFonts w:ascii="Aptos" w:hAnsi="Aptos"/>
                <w:b w:val="0"/>
                <w:sz w:val="15"/>
              </w:rPr>
              <w:t>CSF Protect/Detect/Respond/Recover</w:t>
            </w:r>
          </w:p>
        </w:tc>
        <w:tc>
          <w:tcPr>
            <w:tcW w:type="dxa" w:w="3888"/>
            <w:vAlign w:val="center"/>
            <w:shd w:fill="F3F6F7"/>
          </w:tcPr>
          <w:p>
            <w:pPr>
              <w:spacing w:after="0"/>
            </w:pPr>
            <w:r/>
            <w:r>
              <w:rPr>
                <w:rFonts w:ascii="Aptos" w:hAnsi="Aptos"/>
                <w:b w:val="0"/>
                <w:sz w:val="15"/>
              </w:rPr>
              <w:t>Security operating mechanisms</w:t>
            </w:r>
          </w:p>
        </w:tc>
        <w:tc>
          <w:tcPr>
            <w:tcW w:type="dxa" w:w="3168"/>
            <w:vAlign w:val="center"/>
            <w:shd w:fill="F3F6F7"/>
          </w:tcPr>
          <w:p>
            <w:pPr>
              <w:spacing w:after="0"/>
            </w:pPr>
            <w:r/>
            <w:r>
              <w:rPr>
                <w:rFonts w:ascii="Aptos" w:hAnsi="Aptos"/>
                <w:b w:val="0"/>
                <w:sz w:val="15"/>
              </w:rPr>
              <w:t>AI-specific threats, harmful outputs and model behavior</w:t>
            </w:r>
          </w:p>
        </w:tc>
      </w:tr>
    </w:tbl>
    <w:p/>
    <w:p>
      <w:pPr>
        <w:pStyle w:val="Heading1"/>
      </w:pPr>
      <w:r>
        <w:t>14. Migration from OWASP and MITRE Resources</w:t>
      </w:r>
    </w:p>
    <w:p>
      <w:r>
        <w:t>OWASP and MITRE resources are primarily threat, weakness, attack and verification references. They are valuable for D1-D4, D7 and related threat mappings but do not by themselves establish a complete governance, evidence or certification program.</w:t>
      </w:r>
    </w:p>
    <w:tbl>
      <w:tblPr>
        <w:tblStyle w:val="TableGrid"/>
        <w:tblW w:type="auto" w:w="0"/>
        <w:jc w:val="center"/>
        <w:tblLook w:firstColumn="1" w:firstRow="1" w:lastColumn="0" w:lastRow="0" w:noHBand="0" w:noVBand="1" w:val="04A0"/>
      </w:tblPr>
      <w:tblGrid>
        <w:gridCol w:w="3427"/>
        <w:gridCol w:w="3427"/>
        <w:gridCol w:w="3427"/>
      </w:tblGrid>
      <w:tr>
        <w:trPr>
          <w:tblHeader w:val="true"/>
          <w:cantSplit/>
        </w:trPr>
        <w:tc>
          <w:tcPr>
            <w:tcW w:type="dxa" w:w="2592"/>
            <w:vAlign w:val="center"/>
            <w:shd w:fill="17324D"/>
          </w:tcPr>
          <w:p>
            <w:pPr>
              <w:spacing w:after="0"/>
            </w:pPr>
            <w:r/>
            <w:r>
              <w:rPr>
                <w:rFonts w:ascii="Aptos" w:hAnsi="Aptos"/>
                <w:b/>
                <w:color w:val="FFFFFF"/>
                <w:sz w:val="15"/>
              </w:rPr>
              <w:t>Source use</w:t>
            </w:r>
          </w:p>
        </w:tc>
        <w:tc>
          <w:tcPr>
            <w:tcW w:type="dxa" w:w="4032"/>
            <w:vAlign w:val="center"/>
            <w:shd w:fill="17324D"/>
          </w:tcPr>
          <w:p>
            <w:pPr>
              <w:spacing w:after="0"/>
            </w:pPr>
            <w:r/>
            <w:r>
              <w:rPr>
                <w:rFonts w:ascii="Aptos" w:hAnsi="Aptos"/>
                <w:b/>
                <w:color w:val="FFFFFF"/>
                <w:sz w:val="15"/>
              </w:rPr>
              <w:t>Migration value</w:t>
            </w:r>
          </w:p>
        </w:tc>
        <w:tc>
          <w:tcPr>
            <w:tcW w:type="dxa" w:w="3024"/>
            <w:vAlign w:val="center"/>
            <w:shd w:fill="17324D"/>
          </w:tcPr>
          <w:p>
            <w:pPr>
              <w:spacing w:after="0"/>
            </w:pPr>
            <w:r/>
            <w:r>
              <w:rPr>
                <w:rFonts w:ascii="Aptos" w:hAnsi="Aptos"/>
                <w:b/>
                <w:color w:val="FFFFFF"/>
                <w:sz w:val="15"/>
              </w:rPr>
              <w:t>Gap to GAISSF</w:t>
            </w:r>
          </w:p>
        </w:tc>
      </w:tr>
      <w:tr>
        <w:trPr>
          <w:cantSplit/>
        </w:trPr>
        <w:tc>
          <w:tcPr>
            <w:tcW w:type="dxa" w:w="2592"/>
            <w:vAlign w:val="center"/>
          </w:tcPr>
          <w:p>
            <w:pPr>
              <w:spacing w:after="0"/>
            </w:pPr>
            <w:r/>
            <w:r>
              <w:rPr>
                <w:rFonts w:ascii="Aptos" w:hAnsi="Aptos"/>
                <w:b w:val="0"/>
                <w:sz w:val="15"/>
              </w:rPr>
              <w:t>OWASP LLM/Agentic risks</w:t>
            </w:r>
          </w:p>
        </w:tc>
        <w:tc>
          <w:tcPr>
            <w:tcW w:type="dxa" w:w="4032"/>
            <w:vAlign w:val="center"/>
          </w:tcPr>
          <w:p>
            <w:pPr>
              <w:spacing w:after="0"/>
            </w:pPr>
            <w:r/>
            <w:r>
              <w:rPr>
                <w:rFonts w:ascii="Aptos" w:hAnsi="Aptos"/>
                <w:b w:val="0"/>
                <w:sz w:val="15"/>
              </w:rPr>
              <w:t>Threat scenarios, test cases and engineering controls</w:t>
            </w:r>
          </w:p>
        </w:tc>
        <w:tc>
          <w:tcPr>
            <w:tcW w:type="dxa" w:w="3024"/>
            <w:vAlign w:val="center"/>
          </w:tcPr>
          <w:p>
            <w:pPr>
              <w:spacing w:after="0"/>
            </w:pPr>
            <w:r/>
            <w:r>
              <w:rPr>
                <w:rFonts w:ascii="Aptos" w:hAnsi="Aptos"/>
                <w:b w:val="0"/>
                <w:sz w:val="15"/>
              </w:rPr>
              <w:t>Governance, evidence periods, risk acceptance and certification</w:t>
            </w:r>
          </w:p>
        </w:tc>
      </w:tr>
      <w:tr>
        <w:trPr>
          <w:cantSplit/>
        </w:trPr>
        <w:tc>
          <w:tcPr>
            <w:tcW w:type="dxa" w:w="2592"/>
            <w:vAlign w:val="center"/>
            <w:shd w:fill="F3F6F7"/>
          </w:tcPr>
          <w:p>
            <w:pPr>
              <w:spacing w:after="0"/>
            </w:pPr>
            <w:r/>
            <w:r>
              <w:rPr>
                <w:rFonts w:ascii="Aptos" w:hAnsi="Aptos"/>
                <w:b w:val="0"/>
                <w:sz w:val="15"/>
              </w:rPr>
              <w:t>OWASP ASVS/SAMM</w:t>
            </w:r>
          </w:p>
        </w:tc>
        <w:tc>
          <w:tcPr>
            <w:tcW w:type="dxa" w:w="4032"/>
            <w:vAlign w:val="center"/>
            <w:shd w:fill="F3F6F7"/>
          </w:tcPr>
          <w:p>
            <w:pPr>
              <w:spacing w:after="0"/>
            </w:pPr>
            <w:r/>
            <w:r>
              <w:rPr>
                <w:rFonts w:ascii="Aptos" w:hAnsi="Aptos"/>
                <w:b w:val="0"/>
                <w:sz w:val="15"/>
              </w:rPr>
              <w:t>Application-security and maturity practices</w:t>
            </w:r>
          </w:p>
        </w:tc>
        <w:tc>
          <w:tcPr>
            <w:tcW w:type="dxa" w:w="3024"/>
            <w:vAlign w:val="center"/>
            <w:shd w:fill="F3F6F7"/>
          </w:tcPr>
          <w:p>
            <w:pPr>
              <w:spacing w:after="0"/>
            </w:pPr>
            <w:r/>
            <w:r>
              <w:rPr>
                <w:rFonts w:ascii="Aptos" w:hAnsi="Aptos"/>
                <w:b w:val="0"/>
                <w:sz w:val="15"/>
              </w:rPr>
              <w:t>Model, data, autonomy, content-safety and physical-AI scope</w:t>
            </w:r>
          </w:p>
        </w:tc>
      </w:tr>
      <w:tr>
        <w:trPr>
          <w:cantSplit/>
        </w:trPr>
        <w:tc>
          <w:tcPr>
            <w:tcW w:type="dxa" w:w="2592"/>
            <w:vAlign w:val="center"/>
          </w:tcPr>
          <w:p>
            <w:pPr>
              <w:spacing w:after="0"/>
            </w:pPr>
            <w:r/>
            <w:r>
              <w:rPr>
                <w:rFonts w:ascii="Aptos" w:hAnsi="Aptos"/>
                <w:b w:val="0"/>
                <w:sz w:val="15"/>
              </w:rPr>
              <w:t>MITRE ATLAS</w:t>
            </w:r>
          </w:p>
        </w:tc>
        <w:tc>
          <w:tcPr>
            <w:tcW w:type="dxa" w:w="4032"/>
            <w:vAlign w:val="center"/>
          </w:tcPr>
          <w:p>
            <w:pPr>
              <w:spacing w:after="0"/>
            </w:pPr>
            <w:r/>
            <w:r>
              <w:rPr>
                <w:rFonts w:ascii="Aptos" w:hAnsi="Aptos"/>
                <w:b w:val="0"/>
                <w:sz w:val="15"/>
              </w:rPr>
              <w:t>Adversary techniques and threat modelling</w:t>
            </w:r>
          </w:p>
        </w:tc>
        <w:tc>
          <w:tcPr>
            <w:tcW w:type="dxa" w:w="3024"/>
            <w:vAlign w:val="center"/>
          </w:tcPr>
          <w:p>
            <w:pPr>
              <w:spacing w:after="0"/>
            </w:pPr>
            <w:r/>
            <w:r>
              <w:rPr>
                <w:rFonts w:ascii="Aptos" w:hAnsi="Aptos"/>
                <w:b w:val="0"/>
                <w:sz w:val="15"/>
              </w:rPr>
              <w:t>Control requirements, operating evidence and governance</w:t>
            </w:r>
          </w:p>
        </w:tc>
      </w:tr>
      <w:tr>
        <w:trPr>
          <w:cantSplit/>
        </w:trPr>
        <w:tc>
          <w:tcPr>
            <w:tcW w:type="dxa" w:w="2592"/>
            <w:vAlign w:val="center"/>
            <w:shd w:fill="F3F6F7"/>
          </w:tcPr>
          <w:p>
            <w:pPr>
              <w:spacing w:after="0"/>
            </w:pPr>
            <w:r/>
            <w:r>
              <w:rPr>
                <w:rFonts w:ascii="Aptos" w:hAnsi="Aptos"/>
                <w:b w:val="0"/>
                <w:sz w:val="15"/>
              </w:rPr>
              <w:t>MITRE ATT&amp;CK</w:t>
            </w:r>
          </w:p>
        </w:tc>
        <w:tc>
          <w:tcPr>
            <w:tcW w:type="dxa" w:w="4032"/>
            <w:vAlign w:val="center"/>
            <w:shd w:fill="F3F6F7"/>
          </w:tcPr>
          <w:p>
            <w:pPr>
              <w:spacing w:after="0"/>
            </w:pPr>
            <w:r/>
            <w:r>
              <w:rPr>
                <w:rFonts w:ascii="Aptos" w:hAnsi="Aptos"/>
                <w:b w:val="0"/>
                <w:sz w:val="15"/>
              </w:rPr>
              <w:t>Enterprise attack context</w:t>
            </w:r>
          </w:p>
        </w:tc>
        <w:tc>
          <w:tcPr>
            <w:tcW w:type="dxa" w:w="3024"/>
            <w:vAlign w:val="center"/>
            <w:shd w:fill="F3F6F7"/>
          </w:tcPr>
          <w:p>
            <w:pPr>
              <w:spacing w:after="0"/>
            </w:pPr>
            <w:r/>
            <w:r>
              <w:rPr>
                <w:rFonts w:ascii="Aptos" w:hAnsi="Aptos"/>
                <w:b w:val="0"/>
                <w:sz w:val="15"/>
              </w:rPr>
              <w:t>AI-specific model, data and agent behavior</w:t>
            </w:r>
          </w:p>
        </w:tc>
      </w:tr>
    </w:tbl>
    <w:p/>
    <w:p>
      <w:pPr>
        <w:pStyle w:val="Heading1"/>
      </w:pPr>
      <w:r>
        <w:t>15. Migration from CIS Controls</w:t>
      </w:r>
    </w:p>
    <w:p>
      <w:r>
        <w:t>CIS Controls provide a prioritized cybersecurity baseline. They can support identity, inventory, vulnerability management, logging, configuration, incident response and supplier controls.</w:t>
      </w:r>
    </w:p>
    <w:tbl>
      <w:tblPr>
        <w:tblStyle w:val="TableGrid"/>
        <w:tblW w:type="auto" w:w="0"/>
        <w:jc w:val="center"/>
        <w:tblLook w:firstColumn="1" w:firstRow="1" w:lastColumn="0" w:lastRow="0" w:noHBand="0" w:noVBand="1" w:val="04A0"/>
      </w:tblPr>
      <w:tblGrid>
        <w:gridCol w:w="3427"/>
        <w:gridCol w:w="3427"/>
        <w:gridCol w:w="3427"/>
      </w:tblGrid>
      <w:tr>
        <w:trPr>
          <w:tblHeader w:val="true"/>
          <w:cantSplit/>
        </w:trPr>
        <w:tc>
          <w:tcPr>
            <w:tcW w:type="dxa" w:w="2592"/>
            <w:vAlign w:val="center"/>
            <w:shd w:fill="17324D"/>
          </w:tcPr>
          <w:p>
            <w:pPr>
              <w:spacing w:after="0"/>
            </w:pPr>
            <w:r/>
            <w:r>
              <w:rPr>
                <w:rFonts w:ascii="Aptos" w:hAnsi="Aptos"/>
                <w:b/>
                <w:color w:val="FFFFFF"/>
                <w:sz w:val="15"/>
              </w:rPr>
              <w:t>CIS capability</w:t>
            </w:r>
          </w:p>
        </w:tc>
        <w:tc>
          <w:tcPr>
            <w:tcW w:type="dxa" w:w="3744"/>
            <w:vAlign w:val="center"/>
            <w:shd w:fill="17324D"/>
          </w:tcPr>
          <w:p>
            <w:pPr>
              <w:spacing w:after="0"/>
            </w:pPr>
            <w:r/>
            <w:r>
              <w:rPr>
                <w:rFonts w:ascii="Aptos" w:hAnsi="Aptos"/>
                <w:b/>
                <w:color w:val="FFFFFF"/>
                <w:sz w:val="15"/>
              </w:rPr>
              <w:t>Likely GAISSF support</w:t>
            </w:r>
          </w:p>
        </w:tc>
        <w:tc>
          <w:tcPr>
            <w:tcW w:type="dxa" w:w="3312"/>
            <w:vAlign w:val="center"/>
            <w:shd w:fill="17324D"/>
          </w:tcPr>
          <w:p>
            <w:pPr>
              <w:spacing w:after="0"/>
            </w:pPr>
            <w:r/>
            <w:r>
              <w:rPr>
                <w:rFonts w:ascii="Aptos" w:hAnsi="Aptos"/>
                <w:b/>
                <w:color w:val="FFFFFF"/>
                <w:sz w:val="15"/>
              </w:rPr>
              <w:t>AI-specific enhancement</w:t>
            </w:r>
          </w:p>
        </w:tc>
      </w:tr>
      <w:tr>
        <w:trPr>
          <w:cantSplit/>
        </w:trPr>
        <w:tc>
          <w:tcPr>
            <w:tcW w:type="dxa" w:w="2592"/>
            <w:vAlign w:val="center"/>
          </w:tcPr>
          <w:p>
            <w:pPr>
              <w:spacing w:after="0"/>
            </w:pPr>
            <w:r/>
            <w:r>
              <w:rPr>
                <w:rFonts w:ascii="Aptos" w:hAnsi="Aptos"/>
                <w:b w:val="0"/>
                <w:sz w:val="15"/>
              </w:rPr>
              <w:t>Asset and software inventory</w:t>
            </w:r>
          </w:p>
        </w:tc>
        <w:tc>
          <w:tcPr>
            <w:tcW w:type="dxa" w:w="3744"/>
            <w:vAlign w:val="center"/>
          </w:tcPr>
          <w:p>
            <w:pPr>
              <w:spacing w:after="0"/>
            </w:pPr>
            <w:r/>
            <w:r>
              <w:rPr>
                <w:rFonts w:ascii="Aptos" w:hAnsi="Aptos"/>
                <w:b w:val="0"/>
                <w:sz w:val="15"/>
              </w:rPr>
              <w:t>System and component inventory</w:t>
            </w:r>
          </w:p>
        </w:tc>
        <w:tc>
          <w:tcPr>
            <w:tcW w:type="dxa" w:w="3312"/>
            <w:vAlign w:val="center"/>
          </w:tcPr>
          <w:p>
            <w:pPr>
              <w:spacing w:after="0"/>
            </w:pPr>
            <w:r/>
            <w:r>
              <w:rPr>
                <w:rFonts w:ascii="Aptos" w:hAnsi="Aptos"/>
                <w:b w:val="0"/>
                <w:sz w:val="15"/>
              </w:rPr>
              <w:t>Models, datasets, agents, tools and prompts</w:t>
            </w:r>
          </w:p>
        </w:tc>
      </w:tr>
      <w:tr>
        <w:trPr>
          <w:cantSplit/>
        </w:trPr>
        <w:tc>
          <w:tcPr>
            <w:tcW w:type="dxa" w:w="2592"/>
            <w:vAlign w:val="center"/>
            <w:shd w:fill="F3F6F7"/>
          </w:tcPr>
          <w:p>
            <w:pPr>
              <w:spacing w:after="0"/>
            </w:pPr>
            <w:r/>
            <w:r>
              <w:rPr>
                <w:rFonts w:ascii="Aptos" w:hAnsi="Aptos"/>
                <w:b w:val="0"/>
                <w:sz w:val="15"/>
              </w:rPr>
              <w:t>Access control</w:t>
            </w:r>
          </w:p>
        </w:tc>
        <w:tc>
          <w:tcPr>
            <w:tcW w:type="dxa" w:w="3744"/>
            <w:vAlign w:val="center"/>
            <w:shd w:fill="F3F6F7"/>
          </w:tcPr>
          <w:p>
            <w:pPr>
              <w:spacing w:after="0"/>
            </w:pPr>
            <w:r/>
            <w:r>
              <w:rPr>
                <w:rFonts w:ascii="Aptos" w:hAnsi="Aptos"/>
                <w:b w:val="0"/>
                <w:sz w:val="15"/>
              </w:rPr>
              <w:t>Identity and privilege mechanisms</w:t>
            </w:r>
          </w:p>
        </w:tc>
        <w:tc>
          <w:tcPr>
            <w:tcW w:type="dxa" w:w="3312"/>
            <w:vAlign w:val="center"/>
            <w:shd w:fill="F3F6F7"/>
          </w:tcPr>
          <w:p>
            <w:pPr>
              <w:spacing w:after="0"/>
            </w:pPr>
            <w:r/>
            <w:r>
              <w:rPr>
                <w:rFonts w:ascii="Aptos" w:hAnsi="Aptos"/>
                <w:b w:val="0"/>
                <w:sz w:val="15"/>
              </w:rPr>
              <w:t>Tool, model, agent and transaction authorization</w:t>
            </w:r>
          </w:p>
        </w:tc>
      </w:tr>
      <w:tr>
        <w:trPr>
          <w:cantSplit/>
        </w:trPr>
        <w:tc>
          <w:tcPr>
            <w:tcW w:type="dxa" w:w="2592"/>
            <w:vAlign w:val="center"/>
          </w:tcPr>
          <w:p>
            <w:pPr>
              <w:spacing w:after="0"/>
            </w:pPr>
            <w:r/>
            <w:r>
              <w:rPr>
                <w:rFonts w:ascii="Aptos" w:hAnsi="Aptos"/>
                <w:b w:val="0"/>
                <w:sz w:val="15"/>
              </w:rPr>
              <w:t>Secure configuration</w:t>
            </w:r>
          </w:p>
        </w:tc>
        <w:tc>
          <w:tcPr>
            <w:tcW w:type="dxa" w:w="3744"/>
            <w:vAlign w:val="center"/>
          </w:tcPr>
          <w:p>
            <w:pPr>
              <w:spacing w:after="0"/>
            </w:pPr>
            <w:r/>
            <w:r>
              <w:rPr>
                <w:rFonts w:ascii="Aptos" w:hAnsi="Aptos"/>
                <w:b w:val="0"/>
                <w:sz w:val="15"/>
              </w:rPr>
              <w:t>Platform hardening</w:t>
            </w:r>
          </w:p>
        </w:tc>
        <w:tc>
          <w:tcPr>
            <w:tcW w:type="dxa" w:w="3312"/>
            <w:vAlign w:val="center"/>
          </w:tcPr>
          <w:p>
            <w:pPr>
              <w:spacing w:after="0"/>
            </w:pPr>
            <w:r/>
            <w:r>
              <w:rPr>
                <w:rFonts w:ascii="Aptos" w:hAnsi="Aptos"/>
                <w:b w:val="0"/>
                <w:sz w:val="15"/>
              </w:rPr>
              <w:t>Model endpoints, orchestration and AI gateways</w:t>
            </w:r>
          </w:p>
        </w:tc>
      </w:tr>
      <w:tr>
        <w:trPr>
          <w:cantSplit/>
        </w:trPr>
        <w:tc>
          <w:tcPr>
            <w:tcW w:type="dxa" w:w="2592"/>
            <w:vAlign w:val="center"/>
            <w:shd w:fill="F3F6F7"/>
          </w:tcPr>
          <w:p>
            <w:pPr>
              <w:spacing w:after="0"/>
            </w:pPr>
            <w:r/>
            <w:r>
              <w:rPr>
                <w:rFonts w:ascii="Aptos" w:hAnsi="Aptos"/>
                <w:b w:val="0"/>
                <w:sz w:val="15"/>
              </w:rPr>
              <w:t>Audit log management</w:t>
            </w:r>
          </w:p>
        </w:tc>
        <w:tc>
          <w:tcPr>
            <w:tcW w:type="dxa" w:w="3744"/>
            <w:vAlign w:val="center"/>
            <w:shd w:fill="F3F6F7"/>
          </w:tcPr>
          <w:p>
            <w:pPr>
              <w:spacing w:after="0"/>
            </w:pPr>
            <w:r/>
            <w:r>
              <w:rPr>
                <w:rFonts w:ascii="Aptos" w:hAnsi="Aptos"/>
                <w:b w:val="0"/>
                <w:sz w:val="15"/>
              </w:rPr>
              <w:t>Security telemetry</w:t>
            </w:r>
          </w:p>
        </w:tc>
        <w:tc>
          <w:tcPr>
            <w:tcW w:type="dxa" w:w="3312"/>
            <w:vAlign w:val="center"/>
            <w:shd w:fill="F3F6F7"/>
          </w:tcPr>
          <w:p>
            <w:pPr>
              <w:spacing w:after="0"/>
            </w:pPr>
            <w:r/>
            <w:r>
              <w:rPr>
                <w:rFonts w:ascii="Aptos" w:hAnsi="Aptos"/>
                <w:b w:val="0"/>
                <w:sz w:val="15"/>
              </w:rPr>
              <w:t>Prompts, plans, tool calls, outputs and model decisions</w:t>
            </w:r>
          </w:p>
        </w:tc>
      </w:tr>
      <w:tr>
        <w:trPr>
          <w:cantSplit/>
        </w:trPr>
        <w:tc>
          <w:tcPr>
            <w:tcW w:type="dxa" w:w="2592"/>
            <w:vAlign w:val="center"/>
          </w:tcPr>
          <w:p>
            <w:pPr>
              <w:spacing w:after="0"/>
            </w:pPr>
            <w:r/>
            <w:r>
              <w:rPr>
                <w:rFonts w:ascii="Aptos" w:hAnsi="Aptos"/>
                <w:b w:val="0"/>
                <w:sz w:val="15"/>
              </w:rPr>
              <w:t>Vulnerability management</w:t>
            </w:r>
          </w:p>
        </w:tc>
        <w:tc>
          <w:tcPr>
            <w:tcW w:type="dxa" w:w="3744"/>
            <w:vAlign w:val="center"/>
          </w:tcPr>
          <w:p>
            <w:pPr>
              <w:spacing w:after="0"/>
            </w:pPr>
            <w:r/>
            <w:r>
              <w:rPr>
                <w:rFonts w:ascii="Aptos" w:hAnsi="Aptos"/>
                <w:b w:val="0"/>
                <w:sz w:val="15"/>
              </w:rPr>
              <w:t>Platform and application security</w:t>
            </w:r>
          </w:p>
        </w:tc>
        <w:tc>
          <w:tcPr>
            <w:tcW w:type="dxa" w:w="3312"/>
            <w:vAlign w:val="center"/>
          </w:tcPr>
          <w:p>
            <w:pPr>
              <w:spacing w:after="0"/>
            </w:pPr>
            <w:r/>
            <w:r>
              <w:rPr>
                <w:rFonts w:ascii="Aptos" w:hAnsi="Aptos"/>
                <w:b w:val="0"/>
                <w:sz w:val="15"/>
              </w:rPr>
              <w:t>Model and data attack surfaces</w:t>
            </w:r>
          </w:p>
        </w:tc>
      </w:tr>
      <w:tr>
        <w:trPr>
          <w:cantSplit/>
        </w:trPr>
        <w:tc>
          <w:tcPr>
            <w:tcW w:type="dxa" w:w="2592"/>
            <w:vAlign w:val="center"/>
            <w:shd w:fill="F3F6F7"/>
          </w:tcPr>
          <w:p>
            <w:pPr>
              <w:spacing w:after="0"/>
            </w:pPr>
            <w:r/>
            <w:r>
              <w:rPr>
                <w:rFonts w:ascii="Aptos" w:hAnsi="Aptos"/>
                <w:b w:val="0"/>
                <w:sz w:val="15"/>
              </w:rPr>
              <w:t>Incident response</w:t>
            </w:r>
          </w:p>
        </w:tc>
        <w:tc>
          <w:tcPr>
            <w:tcW w:type="dxa" w:w="3744"/>
            <w:vAlign w:val="center"/>
            <w:shd w:fill="F3F6F7"/>
          </w:tcPr>
          <w:p>
            <w:pPr>
              <w:spacing w:after="0"/>
            </w:pPr>
            <w:r/>
            <w:r>
              <w:rPr>
                <w:rFonts w:ascii="Aptos" w:hAnsi="Aptos"/>
                <w:b w:val="0"/>
                <w:sz w:val="15"/>
              </w:rPr>
              <w:t>Containment and recovery</w:t>
            </w:r>
          </w:p>
        </w:tc>
        <w:tc>
          <w:tcPr>
            <w:tcW w:type="dxa" w:w="3312"/>
            <w:vAlign w:val="center"/>
            <w:shd w:fill="F3F6F7"/>
          </w:tcPr>
          <w:p>
            <w:pPr>
              <w:spacing w:after="0"/>
            </w:pPr>
            <w:r/>
            <w:r>
              <w:rPr>
                <w:rFonts w:ascii="Aptos" w:hAnsi="Aptos"/>
                <w:b w:val="0"/>
                <w:sz w:val="15"/>
              </w:rPr>
              <w:t>Harmful outputs, model compromise and unsafe autonomy</w:t>
            </w:r>
          </w:p>
        </w:tc>
      </w:tr>
    </w:tbl>
    <w:p/>
    <w:p>
      <w:pPr>
        <w:pStyle w:val="Heading1"/>
      </w:pPr>
      <w:r>
        <w:t>16. Migration from Regulatory Compliance Programs</w:t>
      </w:r>
    </w:p>
    <w:p>
      <w:r>
        <w:t>Regulatory programs should be preserved as independent obligations. GAISSF may organize operational evidence and controls, but it does not determine legal compliance or replace jurisdiction-specific assessments.</w:t>
      </w:r>
    </w:p>
    <w:p>
      <w:pPr>
        <w:pStyle w:val="ListBullet"/>
      </w:pPr>
      <w:r>
        <w:t>Maintain a controlled legal and regulatory obligations register.</w:t>
      </w:r>
    </w:p>
    <w:p>
      <w:pPr>
        <w:pStyle w:val="ListBullet"/>
      </w:pPr>
      <w:r>
        <w:t>Map each obligation to GAISSF only where the relationship is documented and reviewed.</w:t>
      </w:r>
    </w:p>
    <w:p>
      <w:pPr>
        <w:pStyle w:val="ListBullet"/>
      </w:pPr>
      <w:r>
        <w:t>Identify requirements outside GAISSF scope.</w:t>
      </w:r>
    </w:p>
    <w:p>
      <w:pPr>
        <w:pStyle w:val="ListBullet"/>
      </w:pPr>
      <w:r>
        <w:t>Preserve regulator-specific records, reporting and retention.</w:t>
      </w:r>
    </w:p>
    <w:p>
      <w:pPr>
        <w:pStyle w:val="ListBullet"/>
      </w:pPr>
      <w:r>
        <w:t>Do not claim compliance solely because a GAISSF control is implemented.</w:t>
      </w:r>
    </w:p>
    <w:p>
      <w:pPr>
        <w:pStyle w:val="Heading1"/>
      </w:pPr>
      <w:r>
        <w:t>17. Migration from Internal Control Libraries</w:t>
      </w:r>
    </w:p>
    <w:tbl>
      <w:tblPr>
        <w:tblStyle w:val="TableGrid"/>
        <w:tblW w:type="auto" w:w="0"/>
        <w:jc w:val="center"/>
        <w:tblLook w:firstColumn="1" w:firstRow="1" w:lastColumn="0" w:lastRow="0" w:noHBand="0" w:noVBand="1" w:val="04A0"/>
      </w:tblPr>
      <w:tblGrid>
        <w:gridCol w:w="5141"/>
        <w:gridCol w:w="5141"/>
      </w:tblGrid>
      <w:tr>
        <w:trPr>
          <w:tblHeader w:val="true"/>
          <w:cantSplit/>
        </w:trPr>
        <w:tc>
          <w:tcPr>
            <w:tcW w:type="dxa" w:w="2880"/>
            <w:vAlign w:val="center"/>
            <w:shd w:fill="17324D"/>
          </w:tcPr>
          <w:p>
            <w:pPr>
              <w:spacing w:after="0"/>
            </w:pPr>
            <w:r/>
            <w:r>
              <w:rPr>
                <w:rFonts w:ascii="Aptos" w:hAnsi="Aptos"/>
                <w:b/>
                <w:color w:val="FFFFFF"/>
                <w:sz w:val="15"/>
              </w:rPr>
              <w:t>Internal-library issue</w:t>
            </w:r>
          </w:p>
        </w:tc>
        <w:tc>
          <w:tcPr>
            <w:tcW w:type="dxa" w:w="6768"/>
            <w:vAlign w:val="center"/>
            <w:shd w:fill="17324D"/>
          </w:tcPr>
          <w:p>
            <w:pPr>
              <w:spacing w:after="0"/>
            </w:pPr>
            <w:r/>
            <w:r>
              <w:rPr>
                <w:rFonts w:ascii="Aptos" w:hAnsi="Aptos"/>
                <w:b/>
                <w:color w:val="FFFFFF"/>
                <w:sz w:val="15"/>
              </w:rPr>
              <w:t>Migration treatment</w:t>
            </w:r>
          </w:p>
        </w:tc>
      </w:tr>
      <w:tr>
        <w:trPr>
          <w:cantSplit/>
        </w:trPr>
        <w:tc>
          <w:tcPr>
            <w:tcW w:type="dxa" w:w="2880"/>
            <w:vAlign w:val="center"/>
          </w:tcPr>
          <w:p>
            <w:pPr>
              <w:spacing w:after="0"/>
            </w:pPr>
            <w:r/>
            <w:r>
              <w:rPr>
                <w:rFonts w:ascii="Aptos" w:hAnsi="Aptos"/>
                <w:b w:val="0"/>
                <w:sz w:val="15"/>
              </w:rPr>
              <w:t>Duplicate controls</w:t>
            </w:r>
          </w:p>
        </w:tc>
        <w:tc>
          <w:tcPr>
            <w:tcW w:type="dxa" w:w="6768"/>
            <w:vAlign w:val="center"/>
          </w:tcPr>
          <w:p>
            <w:pPr>
              <w:spacing w:after="0"/>
            </w:pPr>
            <w:r/>
            <w:r>
              <w:rPr>
                <w:rFonts w:ascii="Aptos" w:hAnsi="Aptos"/>
                <w:b w:val="0"/>
                <w:sz w:val="15"/>
              </w:rPr>
              <w:t>Consolidate only after confirming scope and evidence equivalence</w:t>
            </w:r>
          </w:p>
        </w:tc>
      </w:tr>
      <w:tr>
        <w:trPr>
          <w:cantSplit/>
        </w:trPr>
        <w:tc>
          <w:tcPr>
            <w:tcW w:type="dxa" w:w="2880"/>
            <w:vAlign w:val="center"/>
            <w:shd w:fill="F3F6F7"/>
          </w:tcPr>
          <w:p>
            <w:pPr>
              <w:spacing w:after="0"/>
            </w:pPr>
            <w:r/>
            <w:r>
              <w:rPr>
                <w:rFonts w:ascii="Aptos" w:hAnsi="Aptos"/>
                <w:b w:val="0"/>
                <w:sz w:val="15"/>
              </w:rPr>
              <w:t>Local terminology</w:t>
            </w:r>
          </w:p>
        </w:tc>
        <w:tc>
          <w:tcPr>
            <w:tcW w:type="dxa" w:w="6768"/>
            <w:vAlign w:val="center"/>
            <w:shd w:fill="F3F6F7"/>
          </w:tcPr>
          <w:p>
            <w:pPr>
              <w:spacing w:after="0"/>
            </w:pPr>
            <w:r/>
            <w:r>
              <w:rPr>
                <w:rFonts w:ascii="Aptos" w:hAnsi="Aptos"/>
                <w:b w:val="0"/>
                <w:sz w:val="15"/>
              </w:rPr>
              <w:t>Map to GAISSF-NOR-005 terms and retain aliases</w:t>
            </w:r>
          </w:p>
        </w:tc>
      </w:tr>
      <w:tr>
        <w:trPr>
          <w:cantSplit/>
        </w:trPr>
        <w:tc>
          <w:tcPr>
            <w:tcW w:type="dxa" w:w="2880"/>
            <w:vAlign w:val="center"/>
          </w:tcPr>
          <w:p>
            <w:pPr>
              <w:spacing w:after="0"/>
            </w:pPr>
            <w:r/>
            <w:r>
              <w:rPr>
                <w:rFonts w:ascii="Aptos" w:hAnsi="Aptos"/>
                <w:b w:val="0"/>
                <w:sz w:val="15"/>
              </w:rPr>
              <w:t>Composite controls</w:t>
            </w:r>
          </w:p>
        </w:tc>
        <w:tc>
          <w:tcPr>
            <w:tcW w:type="dxa" w:w="6768"/>
            <w:vAlign w:val="center"/>
          </w:tcPr>
          <w:p>
            <w:pPr>
              <w:spacing w:after="0"/>
            </w:pPr>
            <w:r/>
            <w:r>
              <w:rPr>
                <w:rFonts w:ascii="Aptos" w:hAnsi="Aptos"/>
                <w:b w:val="0"/>
                <w:sz w:val="15"/>
              </w:rPr>
              <w:t>Decompose where one internal control maps to multiple GAISSF controls</w:t>
            </w:r>
          </w:p>
        </w:tc>
      </w:tr>
      <w:tr>
        <w:trPr>
          <w:cantSplit/>
        </w:trPr>
        <w:tc>
          <w:tcPr>
            <w:tcW w:type="dxa" w:w="2880"/>
            <w:vAlign w:val="center"/>
            <w:shd w:fill="F3F6F7"/>
          </w:tcPr>
          <w:p>
            <w:pPr>
              <w:spacing w:after="0"/>
            </w:pPr>
            <w:r/>
            <w:r>
              <w:rPr>
                <w:rFonts w:ascii="Aptos" w:hAnsi="Aptos"/>
                <w:b w:val="0"/>
                <w:sz w:val="15"/>
              </w:rPr>
              <w:t>Overly granular controls</w:t>
            </w:r>
          </w:p>
        </w:tc>
        <w:tc>
          <w:tcPr>
            <w:tcW w:type="dxa" w:w="6768"/>
            <w:vAlign w:val="center"/>
            <w:shd w:fill="F3F6F7"/>
          </w:tcPr>
          <w:p>
            <w:pPr>
              <w:spacing w:after="0"/>
            </w:pPr>
            <w:r/>
            <w:r>
              <w:rPr>
                <w:rFonts w:ascii="Aptos" w:hAnsi="Aptos"/>
                <w:b w:val="0"/>
                <w:sz w:val="15"/>
              </w:rPr>
              <w:t>Group for operation while retaining traceability</w:t>
            </w:r>
          </w:p>
        </w:tc>
      </w:tr>
      <w:tr>
        <w:trPr>
          <w:cantSplit/>
        </w:trPr>
        <w:tc>
          <w:tcPr>
            <w:tcW w:type="dxa" w:w="2880"/>
            <w:vAlign w:val="center"/>
          </w:tcPr>
          <w:p>
            <w:pPr>
              <w:spacing w:after="0"/>
            </w:pPr>
            <w:r/>
            <w:r>
              <w:rPr>
                <w:rFonts w:ascii="Aptos" w:hAnsi="Aptos"/>
                <w:b w:val="0"/>
                <w:sz w:val="15"/>
              </w:rPr>
              <w:t>Unowned controls</w:t>
            </w:r>
          </w:p>
        </w:tc>
        <w:tc>
          <w:tcPr>
            <w:tcW w:type="dxa" w:w="6768"/>
            <w:vAlign w:val="center"/>
          </w:tcPr>
          <w:p>
            <w:pPr>
              <w:spacing w:after="0"/>
            </w:pPr>
            <w:r/>
            <w:r>
              <w:rPr>
                <w:rFonts w:ascii="Aptos" w:hAnsi="Aptos"/>
                <w:b w:val="0"/>
                <w:sz w:val="15"/>
              </w:rPr>
              <w:t>Assign accountable and operating owners</w:t>
            </w:r>
          </w:p>
        </w:tc>
      </w:tr>
      <w:tr>
        <w:trPr>
          <w:cantSplit/>
        </w:trPr>
        <w:tc>
          <w:tcPr>
            <w:tcW w:type="dxa" w:w="2880"/>
            <w:vAlign w:val="center"/>
            <w:shd w:fill="F3F6F7"/>
          </w:tcPr>
          <w:p>
            <w:pPr>
              <w:spacing w:after="0"/>
            </w:pPr>
            <w:r/>
            <w:r>
              <w:rPr>
                <w:rFonts w:ascii="Aptos" w:hAnsi="Aptos"/>
                <w:b w:val="0"/>
                <w:sz w:val="15"/>
              </w:rPr>
              <w:t>Policy-only controls</w:t>
            </w:r>
          </w:p>
        </w:tc>
        <w:tc>
          <w:tcPr>
            <w:tcW w:type="dxa" w:w="6768"/>
            <w:vAlign w:val="center"/>
            <w:shd w:fill="F3F6F7"/>
          </w:tcPr>
          <w:p>
            <w:pPr>
              <w:spacing w:after="0"/>
            </w:pPr>
            <w:r/>
            <w:r>
              <w:rPr>
                <w:rFonts w:ascii="Aptos" w:hAnsi="Aptos"/>
                <w:b w:val="0"/>
                <w:sz w:val="15"/>
              </w:rPr>
              <w:t>Add technical and operating mechanisms</w:t>
            </w:r>
          </w:p>
        </w:tc>
      </w:tr>
      <w:tr>
        <w:trPr>
          <w:cantSplit/>
        </w:trPr>
        <w:tc>
          <w:tcPr>
            <w:tcW w:type="dxa" w:w="2880"/>
            <w:vAlign w:val="center"/>
          </w:tcPr>
          <w:p>
            <w:pPr>
              <w:spacing w:after="0"/>
            </w:pPr>
            <w:r/>
            <w:r>
              <w:rPr>
                <w:rFonts w:ascii="Aptos" w:hAnsi="Aptos"/>
                <w:b w:val="0"/>
                <w:sz w:val="15"/>
              </w:rPr>
              <w:t>Unversioned controls</w:t>
            </w:r>
          </w:p>
        </w:tc>
        <w:tc>
          <w:tcPr>
            <w:tcW w:type="dxa" w:w="6768"/>
            <w:vAlign w:val="center"/>
          </w:tcPr>
          <w:p>
            <w:pPr>
              <w:spacing w:after="0"/>
            </w:pPr>
            <w:r/>
            <w:r>
              <w:rPr>
                <w:rFonts w:ascii="Aptos" w:hAnsi="Aptos"/>
                <w:b w:val="0"/>
                <w:sz w:val="15"/>
              </w:rPr>
              <w:t>Place under document and change control</w:t>
            </w:r>
          </w:p>
        </w:tc>
      </w:tr>
      <w:tr>
        <w:trPr>
          <w:cantSplit/>
        </w:trPr>
        <w:tc>
          <w:tcPr>
            <w:tcW w:type="dxa" w:w="2880"/>
            <w:vAlign w:val="center"/>
            <w:shd w:fill="F3F6F7"/>
          </w:tcPr>
          <w:p>
            <w:pPr>
              <w:spacing w:after="0"/>
            </w:pPr>
            <w:r/>
            <w:r>
              <w:rPr>
                <w:rFonts w:ascii="Aptos" w:hAnsi="Aptos"/>
                <w:b w:val="0"/>
                <w:sz w:val="15"/>
              </w:rPr>
              <w:t>Unverified evidence</w:t>
            </w:r>
          </w:p>
        </w:tc>
        <w:tc>
          <w:tcPr>
            <w:tcW w:type="dxa" w:w="6768"/>
            <w:vAlign w:val="center"/>
            <w:shd w:fill="F3F6F7"/>
          </w:tcPr>
          <w:p>
            <w:pPr>
              <w:spacing w:after="0"/>
            </w:pPr>
            <w:r/>
            <w:r>
              <w:rPr>
                <w:rFonts w:ascii="Aptos" w:hAnsi="Aptos"/>
                <w:b w:val="0"/>
                <w:sz w:val="15"/>
              </w:rPr>
              <w:t>Validate integrity, currency and scope before reuse</w:t>
            </w:r>
          </w:p>
        </w:tc>
      </w:tr>
    </w:tbl>
    <w:p/>
    <w:p>
      <w:pPr>
        <w:pStyle w:val="Heading1"/>
      </w:pPr>
      <w:r>
        <w:t>18. Migration Waves</w:t>
      </w:r>
    </w:p>
    <w:tbl>
      <w:tblPr>
        <w:tblStyle w:val="TableGrid"/>
        <w:tblW w:type="auto" w:w="0"/>
        <w:jc w:val="center"/>
        <w:tblLook w:firstColumn="1" w:firstRow="1" w:lastColumn="0" w:lastRow="0" w:noHBand="0" w:noVBand="1" w:val="04A0"/>
      </w:tblPr>
      <w:tblGrid>
        <w:gridCol w:w="3427"/>
        <w:gridCol w:w="3427"/>
        <w:gridCol w:w="3427"/>
      </w:tblGrid>
      <w:tr>
        <w:trPr>
          <w:tblHeader w:val="true"/>
          <w:cantSplit/>
        </w:trPr>
        <w:tc>
          <w:tcPr>
            <w:tcW w:type="dxa" w:w="2304"/>
            <w:vAlign w:val="center"/>
            <w:shd w:fill="17324D"/>
          </w:tcPr>
          <w:p>
            <w:pPr>
              <w:spacing w:after="0"/>
            </w:pPr>
            <w:r/>
            <w:r>
              <w:rPr>
                <w:rFonts w:ascii="Aptos" w:hAnsi="Aptos"/>
                <w:b/>
                <w:color w:val="FFFFFF"/>
                <w:sz w:val="15"/>
              </w:rPr>
              <w:t>Wave</w:t>
            </w:r>
          </w:p>
        </w:tc>
        <w:tc>
          <w:tcPr>
            <w:tcW w:type="dxa" w:w="5040"/>
            <w:vAlign w:val="center"/>
            <w:shd w:fill="17324D"/>
          </w:tcPr>
          <w:p>
            <w:pPr>
              <w:spacing w:after="0"/>
            </w:pPr>
            <w:r/>
            <w:r>
              <w:rPr>
                <w:rFonts w:ascii="Aptos" w:hAnsi="Aptos"/>
                <w:b/>
                <w:color w:val="FFFFFF"/>
                <w:sz w:val="15"/>
              </w:rPr>
              <w:t>Scope</w:t>
            </w:r>
          </w:p>
        </w:tc>
        <w:tc>
          <w:tcPr>
            <w:tcW w:type="dxa" w:w="2736"/>
            <w:vAlign w:val="center"/>
            <w:shd w:fill="17324D"/>
          </w:tcPr>
          <w:p>
            <w:pPr>
              <w:spacing w:after="0"/>
            </w:pPr>
            <w:r/>
            <w:r>
              <w:rPr>
                <w:rFonts w:ascii="Aptos" w:hAnsi="Aptos"/>
                <w:b/>
                <w:color w:val="FFFFFF"/>
                <w:sz w:val="15"/>
              </w:rPr>
              <w:t>Exit condition</w:t>
            </w:r>
          </w:p>
        </w:tc>
      </w:tr>
      <w:tr>
        <w:trPr>
          <w:cantSplit/>
        </w:trPr>
        <w:tc>
          <w:tcPr>
            <w:tcW w:type="dxa" w:w="2304"/>
            <w:vAlign w:val="center"/>
          </w:tcPr>
          <w:p>
            <w:pPr>
              <w:spacing w:after="0"/>
            </w:pPr>
            <w:r/>
            <w:r>
              <w:rPr>
                <w:rFonts w:ascii="Aptos" w:hAnsi="Aptos"/>
                <w:b w:val="0"/>
                <w:sz w:val="15"/>
              </w:rPr>
              <w:t>Wave 1 — Governance</w:t>
            </w:r>
          </w:p>
        </w:tc>
        <w:tc>
          <w:tcPr>
            <w:tcW w:type="dxa" w:w="5040"/>
            <w:vAlign w:val="center"/>
          </w:tcPr>
          <w:p>
            <w:pPr>
              <w:spacing w:after="0"/>
            </w:pPr>
            <w:r/>
            <w:r>
              <w:rPr>
                <w:rFonts w:ascii="Aptos" w:hAnsi="Aptos"/>
                <w:b w:val="0"/>
                <w:sz w:val="15"/>
              </w:rPr>
              <w:t>Scope, inventory, ownership, risk, exceptions and evidence architecture</w:t>
            </w:r>
          </w:p>
        </w:tc>
        <w:tc>
          <w:tcPr>
            <w:tcW w:type="dxa" w:w="2736"/>
            <w:vAlign w:val="center"/>
          </w:tcPr>
          <w:p>
            <w:pPr>
              <w:spacing w:after="0"/>
            </w:pPr>
            <w:r/>
            <w:r>
              <w:rPr>
                <w:rFonts w:ascii="Aptos" w:hAnsi="Aptos"/>
                <w:b w:val="0"/>
                <w:sz w:val="15"/>
              </w:rPr>
              <w:t>Governance operating and profile approved</w:t>
            </w:r>
          </w:p>
        </w:tc>
      </w:tr>
      <w:tr>
        <w:trPr>
          <w:cantSplit/>
        </w:trPr>
        <w:tc>
          <w:tcPr>
            <w:tcW w:type="dxa" w:w="2304"/>
            <w:vAlign w:val="center"/>
            <w:shd w:fill="F3F6F7"/>
          </w:tcPr>
          <w:p>
            <w:pPr>
              <w:spacing w:after="0"/>
            </w:pPr>
            <w:r/>
            <w:r>
              <w:rPr>
                <w:rFonts w:ascii="Aptos" w:hAnsi="Aptos"/>
                <w:b w:val="0"/>
                <w:sz w:val="15"/>
              </w:rPr>
              <w:t>Wave 2 — Shared security</w:t>
            </w:r>
          </w:p>
        </w:tc>
        <w:tc>
          <w:tcPr>
            <w:tcW w:type="dxa" w:w="5040"/>
            <w:vAlign w:val="center"/>
            <w:shd w:fill="F3F6F7"/>
          </w:tcPr>
          <w:p>
            <w:pPr>
              <w:spacing w:after="0"/>
            </w:pPr>
            <w:r/>
            <w:r>
              <w:rPr>
                <w:rFonts w:ascii="Aptos" w:hAnsi="Aptos"/>
                <w:b w:val="0"/>
                <w:sz w:val="15"/>
              </w:rPr>
              <w:t>Identity, logging, secure development, incident response and suppliers</w:t>
            </w:r>
          </w:p>
        </w:tc>
        <w:tc>
          <w:tcPr>
            <w:tcW w:type="dxa" w:w="2736"/>
            <w:vAlign w:val="center"/>
            <w:shd w:fill="F3F6F7"/>
          </w:tcPr>
          <w:p>
            <w:pPr>
              <w:spacing w:after="0"/>
            </w:pPr>
            <w:r/>
            <w:r>
              <w:rPr>
                <w:rFonts w:ascii="Aptos" w:hAnsi="Aptos"/>
                <w:b w:val="0"/>
                <w:sz w:val="15"/>
              </w:rPr>
              <w:t>Shared mechanisms verified</w:t>
            </w:r>
          </w:p>
        </w:tc>
      </w:tr>
      <w:tr>
        <w:trPr>
          <w:cantSplit/>
        </w:trPr>
        <w:tc>
          <w:tcPr>
            <w:tcW w:type="dxa" w:w="2304"/>
            <w:vAlign w:val="center"/>
          </w:tcPr>
          <w:p>
            <w:pPr>
              <w:spacing w:after="0"/>
            </w:pPr>
            <w:r/>
            <w:r>
              <w:rPr>
                <w:rFonts w:ascii="Aptos" w:hAnsi="Aptos"/>
                <w:b w:val="0"/>
                <w:sz w:val="15"/>
              </w:rPr>
              <w:t>Wave 3 — AI engineering</w:t>
            </w:r>
          </w:p>
        </w:tc>
        <w:tc>
          <w:tcPr>
            <w:tcW w:type="dxa" w:w="5040"/>
            <w:vAlign w:val="center"/>
          </w:tcPr>
          <w:p>
            <w:pPr>
              <w:spacing w:after="0"/>
            </w:pPr>
            <w:r/>
            <w:r>
              <w:rPr>
                <w:rFonts w:ascii="Aptos" w:hAnsi="Aptos"/>
                <w:b w:val="0"/>
                <w:sz w:val="15"/>
              </w:rPr>
              <w:t>Model, data, adversarial robustness, agents and deployment gates</w:t>
            </w:r>
          </w:p>
        </w:tc>
        <w:tc>
          <w:tcPr>
            <w:tcW w:type="dxa" w:w="2736"/>
            <w:vAlign w:val="center"/>
          </w:tcPr>
          <w:p>
            <w:pPr>
              <w:spacing w:after="0"/>
            </w:pPr>
            <w:r/>
            <w:r>
              <w:rPr>
                <w:rFonts w:ascii="Aptos" w:hAnsi="Aptos"/>
                <w:b w:val="0"/>
                <w:sz w:val="15"/>
              </w:rPr>
              <w:t>Technical gaps remediated</w:t>
            </w:r>
          </w:p>
        </w:tc>
      </w:tr>
      <w:tr>
        <w:trPr>
          <w:cantSplit/>
        </w:trPr>
        <w:tc>
          <w:tcPr>
            <w:tcW w:type="dxa" w:w="2304"/>
            <w:vAlign w:val="center"/>
            <w:shd w:fill="F3F6F7"/>
          </w:tcPr>
          <w:p>
            <w:pPr>
              <w:spacing w:after="0"/>
            </w:pPr>
            <w:r/>
            <w:r>
              <w:rPr>
                <w:rFonts w:ascii="Aptos" w:hAnsi="Aptos"/>
                <w:b w:val="0"/>
                <w:sz w:val="15"/>
              </w:rPr>
              <w:t>Wave 4 — Human and content safety</w:t>
            </w:r>
          </w:p>
        </w:tc>
        <w:tc>
          <w:tcPr>
            <w:tcW w:type="dxa" w:w="5040"/>
            <w:vAlign w:val="center"/>
            <w:shd w:fill="F3F6F7"/>
          </w:tcPr>
          <w:p>
            <w:pPr>
              <w:spacing w:after="0"/>
            </w:pPr>
            <w:r/>
            <w:r>
              <w:rPr>
                <w:rFonts w:ascii="Aptos" w:hAnsi="Aptos"/>
                <w:b w:val="0"/>
                <w:sz w:val="15"/>
              </w:rPr>
              <w:t>Transparency, oversight, harmful-output and user recourse</w:t>
            </w:r>
          </w:p>
        </w:tc>
        <w:tc>
          <w:tcPr>
            <w:tcW w:type="dxa" w:w="2736"/>
            <w:vAlign w:val="center"/>
            <w:shd w:fill="F3F6F7"/>
          </w:tcPr>
          <w:p>
            <w:pPr>
              <w:spacing w:after="0"/>
            </w:pPr>
            <w:r/>
            <w:r>
              <w:rPr>
                <w:rFonts w:ascii="Aptos" w:hAnsi="Aptos"/>
                <w:b w:val="0"/>
                <w:sz w:val="15"/>
              </w:rPr>
              <w:t>Operational tests passed</w:t>
            </w:r>
          </w:p>
        </w:tc>
      </w:tr>
      <w:tr>
        <w:trPr>
          <w:cantSplit/>
        </w:trPr>
        <w:tc>
          <w:tcPr>
            <w:tcW w:type="dxa" w:w="2304"/>
            <w:vAlign w:val="center"/>
          </w:tcPr>
          <w:p>
            <w:pPr>
              <w:spacing w:after="0"/>
            </w:pPr>
            <w:r/>
            <w:r>
              <w:rPr>
                <w:rFonts w:ascii="Aptos" w:hAnsi="Aptos"/>
                <w:b w:val="0"/>
                <w:sz w:val="15"/>
              </w:rPr>
              <w:t>Wave 5 — Physical AI</w:t>
            </w:r>
          </w:p>
        </w:tc>
        <w:tc>
          <w:tcPr>
            <w:tcW w:type="dxa" w:w="5040"/>
            <w:vAlign w:val="center"/>
          </w:tcPr>
          <w:p>
            <w:pPr>
              <w:spacing w:after="0"/>
            </w:pPr>
            <w:r/>
            <w:r>
              <w:rPr>
                <w:rFonts w:ascii="Aptos" w:hAnsi="Aptos"/>
                <w:b w:val="0"/>
                <w:sz w:val="15"/>
              </w:rPr>
              <w:t>Safety, override, safe state, actuation and HIL/simulation</w:t>
            </w:r>
          </w:p>
        </w:tc>
        <w:tc>
          <w:tcPr>
            <w:tcW w:type="dxa" w:w="2736"/>
            <w:vAlign w:val="center"/>
          </w:tcPr>
          <w:p>
            <w:pPr>
              <w:spacing w:after="0"/>
            </w:pPr>
            <w:r/>
            <w:r>
              <w:rPr>
                <w:rFonts w:ascii="Aptos" w:hAnsi="Aptos"/>
                <w:b w:val="0"/>
                <w:sz w:val="15"/>
              </w:rPr>
              <w:t>Specialist assurance accepted</w:t>
            </w:r>
          </w:p>
        </w:tc>
      </w:tr>
      <w:tr>
        <w:trPr>
          <w:cantSplit/>
        </w:trPr>
        <w:tc>
          <w:tcPr>
            <w:tcW w:type="dxa" w:w="2304"/>
            <w:vAlign w:val="center"/>
            <w:shd w:fill="F3F6F7"/>
          </w:tcPr>
          <w:p>
            <w:pPr>
              <w:spacing w:after="0"/>
            </w:pPr>
            <w:r/>
            <w:r>
              <w:rPr>
                <w:rFonts w:ascii="Aptos" w:hAnsi="Aptos"/>
                <w:b w:val="0"/>
                <w:sz w:val="15"/>
              </w:rPr>
              <w:t>Wave 6 — Certification readiness</w:t>
            </w:r>
          </w:p>
        </w:tc>
        <w:tc>
          <w:tcPr>
            <w:tcW w:type="dxa" w:w="5040"/>
            <w:vAlign w:val="center"/>
            <w:shd w:fill="F3F6F7"/>
          </w:tcPr>
          <w:p>
            <w:pPr>
              <w:spacing w:after="0"/>
            </w:pPr>
            <w:r/>
            <w:r>
              <w:rPr>
                <w:rFonts w:ascii="Aptos" w:hAnsi="Aptos"/>
                <w:b w:val="0"/>
                <w:sz w:val="15"/>
              </w:rPr>
              <w:t>Evidence period, internal assurance and corrective action</w:t>
            </w:r>
          </w:p>
        </w:tc>
        <w:tc>
          <w:tcPr>
            <w:tcW w:type="dxa" w:w="2736"/>
            <w:vAlign w:val="center"/>
            <w:shd w:fill="F3F6F7"/>
          </w:tcPr>
          <w:p>
            <w:pPr>
              <w:spacing w:after="0"/>
            </w:pPr>
            <w:r/>
            <w:r>
              <w:rPr>
                <w:rFonts w:ascii="Aptos" w:hAnsi="Aptos"/>
                <w:b w:val="0"/>
                <w:sz w:val="15"/>
              </w:rPr>
              <w:t>Readiness decision approved</w:t>
            </w:r>
          </w:p>
        </w:tc>
      </w:tr>
    </w:tbl>
    <w:p/>
    <w:p>
      <w:pPr>
        <w:pStyle w:val="Heading1"/>
      </w:pPr>
      <w:r>
        <w:t>19. Parallel Operation and Retirement</w:t>
      </w:r>
    </w:p>
    <w:p>
      <w:r>
        <w:t>Source and GAISSF controls may need to operate in parallel until the migrated mechanism is stable and accepted.</w:t>
      </w:r>
    </w:p>
    <w:tbl>
      <w:tblPr>
        <w:tblStyle w:val="TableGrid"/>
        <w:tblW w:type="auto" w:w="0"/>
        <w:jc w:val="center"/>
        <w:tblLook w:firstColumn="1" w:firstRow="1" w:lastColumn="0" w:lastRow="0" w:noHBand="0" w:noVBand="1" w:val="04A0"/>
      </w:tblPr>
      <w:tblGrid>
        <w:gridCol w:w="5141"/>
        <w:gridCol w:w="5141"/>
      </w:tblGrid>
      <w:tr>
        <w:trPr>
          <w:tblHeader w:val="true"/>
          <w:cantSplit/>
        </w:trPr>
        <w:tc>
          <w:tcPr>
            <w:tcW w:type="dxa" w:w="3024"/>
            <w:vAlign w:val="center"/>
            <w:shd w:fill="17324D"/>
          </w:tcPr>
          <w:p>
            <w:pPr>
              <w:spacing w:after="0"/>
            </w:pPr>
            <w:r/>
            <w:r>
              <w:rPr>
                <w:rFonts w:ascii="Aptos" w:hAnsi="Aptos"/>
                <w:b/>
                <w:color w:val="FFFFFF"/>
                <w:sz w:val="15"/>
              </w:rPr>
              <w:t>Retirement criterion</w:t>
            </w:r>
          </w:p>
        </w:tc>
        <w:tc>
          <w:tcPr>
            <w:tcW w:type="dxa" w:w="6624"/>
            <w:vAlign w:val="center"/>
            <w:shd w:fill="17324D"/>
          </w:tcPr>
          <w:p>
            <w:pPr>
              <w:spacing w:after="0"/>
            </w:pPr>
            <w:r/>
            <w:r>
              <w:rPr>
                <w:rFonts w:ascii="Aptos" w:hAnsi="Aptos"/>
                <w:b/>
                <w:color w:val="FFFFFF"/>
                <w:sz w:val="15"/>
              </w:rPr>
              <w:t>Required evidence</w:t>
            </w:r>
          </w:p>
        </w:tc>
      </w:tr>
      <w:tr>
        <w:trPr>
          <w:cantSplit/>
        </w:trPr>
        <w:tc>
          <w:tcPr>
            <w:tcW w:type="dxa" w:w="3024"/>
            <w:vAlign w:val="center"/>
          </w:tcPr>
          <w:p>
            <w:pPr>
              <w:spacing w:after="0"/>
            </w:pPr>
            <w:r/>
            <w:r>
              <w:rPr>
                <w:rFonts w:ascii="Aptos" w:hAnsi="Aptos"/>
                <w:b w:val="0"/>
                <w:sz w:val="15"/>
              </w:rPr>
              <w:t>GAISSF replacement implemented</w:t>
            </w:r>
          </w:p>
        </w:tc>
        <w:tc>
          <w:tcPr>
            <w:tcW w:type="dxa" w:w="6624"/>
            <w:vAlign w:val="center"/>
          </w:tcPr>
          <w:p>
            <w:pPr>
              <w:spacing w:after="0"/>
            </w:pPr>
            <w:r/>
            <w:r>
              <w:rPr>
                <w:rFonts w:ascii="Aptos" w:hAnsi="Aptos"/>
                <w:b w:val="0"/>
                <w:sz w:val="15"/>
              </w:rPr>
              <w:t>Approved control implementation record</w:t>
            </w:r>
          </w:p>
        </w:tc>
      </w:tr>
      <w:tr>
        <w:trPr>
          <w:cantSplit/>
        </w:trPr>
        <w:tc>
          <w:tcPr>
            <w:tcW w:type="dxa" w:w="3024"/>
            <w:vAlign w:val="center"/>
            <w:shd w:fill="F3F6F7"/>
          </w:tcPr>
          <w:p>
            <w:pPr>
              <w:spacing w:after="0"/>
            </w:pPr>
            <w:r/>
            <w:r>
              <w:rPr>
                <w:rFonts w:ascii="Aptos" w:hAnsi="Aptos"/>
                <w:b w:val="0"/>
                <w:sz w:val="15"/>
              </w:rPr>
              <w:t>Operating period completed</w:t>
            </w:r>
          </w:p>
        </w:tc>
        <w:tc>
          <w:tcPr>
            <w:tcW w:type="dxa" w:w="6624"/>
            <w:vAlign w:val="center"/>
            <w:shd w:fill="F3F6F7"/>
          </w:tcPr>
          <w:p>
            <w:pPr>
              <w:spacing w:after="0"/>
            </w:pPr>
            <w:r/>
            <w:r>
              <w:rPr>
                <w:rFonts w:ascii="Aptos" w:hAnsi="Aptos"/>
                <w:b w:val="0"/>
                <w:sz w:val="15"/>
              </w:rPr>
              <w:t>Representative operating evidence</w:t>
            </w:r>
          </w:p>
        </w:tc>
      </w:tr>
      <w:tr>
        <w:trPr>
          <w:cantSplit/>
        </w:trPr>
        <w:tc>
          <w:tcPr>
            <w:tcW w:type="dxa" w:w="3024"/>
            <w:vAlign w:val="center"/>
          </w:tcPr>
          <w:p>
            <w:pPr>
              <w:spacing w:after="0"/>
            </w:pPr>
            <w:r/>
            <w:r>
              <w:rPr>
                <w:rFonts w:ascii="Aptos" w:hAnsi="Aptos"/>
                <w:b w:val="0"/>
                <w:sz w:val="15"/>
              </w:rPr>
              <w:t>Effectiveness validated</w:t>
            </w:r>
          </w:p>
        </w:tc>
        <w:tc>
          <w:tcPr>
            <w:tcW w:type="dxa" w:w="6624"/>
            <w:vAlign w:val="center"/>
          </w:tcPr>
          <w:p>
            <w:pPr>
              <w:spacing w:after="0"/>
            </w:pPr>
            <w:r/>
            <w:r>
              <w:rPr>
                <w:rFonts w:ascii="Aptos" w:hAnsi="Aptos"/>
                <w:b w:val="0"/>
                <w:sz w:val="15"/>
              </w:rPr>
              <w:t>Test or assurance result</w:t>
            </w:r>
          </w:p>
        </w:tc>
      </w:tr>
      <w:tr>
        <w:trPr>
          <w:cantSplit/>
        </w:trPr>
        <w:tc>
          <w:tcPr>
            <w:tcW w:type="dxa" w:w="3024"/>
            <w:vAlign w:val="center"/>
            <w:shd w:fill="F3F6F7"/>
          </w:tcPr>
          <w:p>
            <w:pPr>
              <w:spacing w:after="0"/>
            </w:pPr>
            <w:r/>
            <w:r>
              <w:rPr>
                <w:rFonts w:ascii="Aptos" w:hAnsi="Aptos"/>
                <w:b w:val="0"/>
                <w:sz w:val="15"/>
              </w:rPr>
              <w:t>Obligations preserved</w:t>
            </w:r>
          </w:p>
        </w:tc>
        <w:tc>
          <w:tcPr>
            <w:tcW w:type="dxa" w:w="6624"/>
            <w:vAlign w:val="center"/>
            <w:shd w:fill="F3F6F7"/>
          </w:tcPr>
          <w:p>
            <w:pPr>
              <w:spacing w:after="0"/>
            </w:pPr>
            <w:r/>
            <w:r>
              <w:rPr>
                <w:rFonts w:ascii="Aptos" w:hAnsi="Aptos"/>
                <w:b w:val="0"/>
                <w:sz w:val="15"/>
              </w:rPr>
              <w:t>Legal, contractual and certification review</w:t>
            </w:r>
          </w:p>
        </w:tc>
      </w:tr>
      <w:tr>
        <w:trPr>
          <w:cantSplit/>
        </w:trPr>
        <w:tc>
          <w:tcPr>
            <w:tcW w:type="dxa" w:w="3024"/>
            <w:vAlign w:val="center"/>
          </w:tcPr>
          <w:p>
            <w:pPr>
              <w:spacing w:after="0"/>
            </w:pPr>
            <w:r/>
            <w:r>
              <w:rPr>
                <w:rFonts w:ascii="Aptos" w:hAnsi="Aptos"/>
                <w:b w:val="0"/>
                <w:sz w:val="15"/>
              </w:rPr>
              <w:t>Dependencies migrated</w:t>
            </w:r>
          </w:p>
        </w:tc>
        <w:tc>
          <w:tcPr>
            <w:tcW w:type="dxa" w:w="6624"/>
            <w:vAlign w:val="center"/>
          </w:tcPr>
          <w:p>
            <w:pPr>
              <w:spacing w:after="0"/>
            </w:pPr>
            <w:r/>
            <w:r>
              <w:rPr>
                <w:rFonts w:ascii="Aptos" w:hAnsi="Aptos"/>
                <w:b w:val="0"/>
                <w:sz w:val="15"/>
              </w:rPr>
              <w:t>Updated workflows, tooling and ownership</w:t>
            </w:r>
          </w:p>
        </w:tc>
      </w:tr>
      <w:tr>
        <w:trPr>
          <w:cantSplit/>
        </w:trPr>
        <w:tc>
          <w:tcPr>
            <w:tcW w:type="dxa" w:w="3024"/>
            <w:vAlign w:val="center"/>
            <w:shd w:fill="F3F6F7"/>
          </w:tcPr>
          <w:p>
            <w:pPr>
              <w:spacing w:after="0"/>
            </w:pPr>
            <w:r/>
            <w:r>
              <w:rPr>
                <w:rFonts w:ascii="Aptos" w:hAnsi="Aptos"/>
                <w:b w:val="0"/>
                <w:sz w:val="15"/>
              </w:rPr>
              <w:t>Users trained</w:t>
            </w:r>
          </w:p>
        </w:tc>
        <w:tc>
          <w:tcPr>
            <w:tcW w:type="dxa" w:w="6624"/>
            <w:vAlign w:val="center"/>
            <w:shd w:fill="F3F6F7"/>
          </w:tcPr>
          <w:p>
            <w:pPr>
              <w:spacing w:after="0"/>
            </w:pPr>
            <w:r/>
            <w:r>
              <w:rPr>
                <w:rFonts w:ascii="Aptos" w:hAnsi="Aptos"/>
                <w:b w:val="0"/>
                <w:sz w:val="15"/>
              </w:rPr>
              <w:t>Training and communication record</w:t>
            </w:r>
          </w:p>
        </w:tc>
      </w:tr>
      <w:tr>
        <w:trPr>
          <w:cantSplit/>
        </w:trPr>
        <w:tc>
          <w:tcPr>
            <w:tcW w:type="dxa" w:w="3024"/>
            <w:vAlign w:val="center"/>
          </w:tcPr>
          <w:p>
            <w:pPr>
              <w:spacing w:after="0"/>
            </w:pPr>
            <w:r/>
            <w:r>
              <w:rPr>
                <w:rFonts w:ascii="Aptos" w:hAnsi="Aptos"/>
                <w:b w:val="0"/>
                <w:sz w:val="15"/>
              </w:rPr>
              <w:t>Rollback available</w:t>
            </w:r>
          </w:p>
        </w:tc>
        <w:tc>
          <w:tcPr>
            <w:tcW w:type="dxa" w:w="6624"/>
            <w:vAlign w:val="center"/>
          </w:tcPr>
          <w:p>
            <w:pPr>
              <w:spacing w:after="0"/>
            </w:pPr>
            <w:r/>
            <w:r>
              <w:rPr>
                <w:rFonts w:ascii="Aptos" w:hAnsi="Aptos"/>
                <w:b w:val="0"/>
                <w:sz w:val="15"/>
              </w:rPr>
              <w:t>Archived source control and recovery plan</w:t>
            </w:r>
          </w:p>
        </w:tc>
      </w:tr>
      <w:tr>
        <w:trPr>
          <w:cantSplit/>
        </w:trPr>
        <w:tc>
          <w:tcPr>
            <w:tcW w:type="dxa" w:w="3024"/>
            <w:vAlign w:val="center"/>
            <w:shd w:fill="F3F6F7"/>
          </w:tcPr>
          <w:p>
            <w:pPr>
              <w:spacing w:after="0"/>
            </w:pPr>
            <w:r/>
            <w:r>
              <w:rPr>
                <w:rFonts w:ascii="Aptos" w:hAnsi="Aptos"/>
                <w:b w:val="0"/>
                <w:sz w:val="15"/>
              </w:rPr>
              <w:t>Retirement approved</w:t>
            </w:r>
          </w:p>
        </w:tc>
        <w:tc>
          <w:tcPr>
            <w:tcW w:type="dxa" w:w="6624"/>
            <w:vAlign w:val="center"/>
            <w:shd w:fill="F3F6F7"/>
          </w:tcPr>
          <w:p>
            <w:pPr>
              <w:spacing w:after="0"/>
            </w:pPr>
            <w:r/>
            <w:r>
              <w:rPr>
                <w:rFonts w:ascii="Aptos" w:hAnsi="Aptos"/>
                <w:b w:val="0"/>
                <w:sz w:val="15"/>
              </w:rPr>
              <w:t>Named decision authority and date</w:t>
            </w:r>
          </w:p>
        </w:tc>
      </w:tr>
    </w:tbl>
    <w:p/>
    <w:p>
      <w:pPr>
        <w:pStyle w:val="Heading1"/>
      </w:pPr>
      <w:r>
        <w:t>20. Migration Risks and Controls</w:t>
      </w:r>
    </w:p>
    <w:tbl>
      <w:tblPr>
        <w:tblStyle w:val="TableGrid"/>
        <w:tblW w:type="auto" w:w="0"/>
        <w:jc w:val="center"/>
        <w:tblLook w:firstColumn="1" w:firstRow="1" w:lastColumn="0" w:lastRow="0" w:noHBand="0" w:noVBand="1" w:val="04A0"/>
      </w:tblPr>
      <w:tblGrid>
        <w:gridCol w:w="5141"/>
        <w:gridCol w:w="5141"/>
      </w:tblGrid>
      <w:tr>
        <w:trPr>
          <w:tblHeader w:val="true"/>
          <w:cantSplit/>
        </w:trPr>
        <w:tc>
          <w:tcPr>
            <w:tcW w:type="dxa" w:w="3456"/>
            <w:vAlign w:val="center"/>
            <w:shd w:fill="17324D"/>
          </w:tcPr>
          <w:p>
            <w:pPr>
              <w:spacing w:after="0"/>
            </w:pPr>
            <w:r/>
            <w:r>
              <w:rPr>
                <w:rFonts w:ascii="Aptos" w:hAnsi="Aptos"/>
                <w:b/>
                <w:color w:val="FFFFFF"/>
                <w:sz w:val="15"/>
              </w:rPr>
              <w:t>Migration risk</w:t>
            </w:r>
          </w:p>
        </w:tc>
        <w:tc>
          <w:tcPr>
            <w:tcW w:type="dxa" w:w="6192"/>
            <w:vAlign w:val="center"/>
            <w:shd w:fill="17324D"/>
          </w:tcPr>
          <w:p>
            <w:pPr>
              <w:spacing w:after="0"/>
            </w:pPr>
            <w:r/>
            <w:r>
              <w:rPr>
                <w:rFonts w:ascii="Aptos" w:hAnsi="Aptos"/>
                <w:b/>
                <w:color w:val="FFFFFF"/>
                <w:sz w:val="15"/>
              </w:rPr>
              <w:t>Control response</w:t>
            </w:r>
          </w:p>
        </w:tc>
      </w:tr>
      <w:tr>
        <w:trPr>
          <w:cantSplit/>
        </w:trPr>
        <w:tc>
          <w:tcPr>
            <w:tcW w:type="dxa" w:w="3456"/>
            <w:vAlign w:val="center"/>
          </w:tcPr>
          <w:p>
            <w:pPr>
              <w:spacing w:after="0"/>
            </w:pPr>
            <w:r/>
            <w:r>
              <w:rPr>
                <w:rFonts w:ascii="Aptos" w:hAnsi="Aptos"/>
                <w:b w:val="0"/>
                <w:sz w:val="15"/>
              </w:rPr>
              <w:t>False equivalence</w:t>
            </w:r>
          </w:p>
        </w:tc>
        <w:tc>
          <w:tcPr>
            <w:tcW w:type="dxa" w:w="6192"/>
            <w:vAlign w:val="center"/>
          </w:tcPr>
          <w:p>
            <w:pPr>
              <w:spacing w:after="0"/>
            </w:pPr>
            <w:r/>
            <w:r>
              <w:rPr>
                <w:rFonts w:ascii="Aptos" w:hAnsi="Aptos"/>
                <w:b w:val="0"/>
                <w:sz w:val="15"/>
              </w:rPr>
              <w:t>Independent semantic review and relationship classification</w:t>
            </w:r>
          </w:p>
        </w:tc>
      </w:tr>
      <w:tr>
        <w:trPr>
          <w:cantSplit/>
        </w:trPr>
        <w:tc>
          <w:tcPr>
            <w:tcW w:type="dxa" w:w="3456"/>
            <w:vAlign w:val="center"/>
            <w:shd w:fill="F3F6F7"/>
          </w:tcPr>
          <w:p>
            <w:pPr>
              <w:spacing w:after="0"/>
            </w:pPr>
            <w:r/>
            <w:r>
              <w:rPr>
                <w:rFonts w:ascii="Aptos" w:hAnsi="Aptos"/>
                <w:b w:val="0"/>
                <w:sz w:val="15"/>
              </w:rPr>
              <w:t>Evidence over-reuse</w:t>
            </w:r>
          </w:p>
        </w:tc>
        <w:tc>
          <w:tcPr>
            <w:tcW w:type="dxa" w:w="6192"/>
            <w:vAlign w:val="center"/>
            <w:shd w:fill="F3F6F7"/>
          </w:tcPr>
          <w:p>
            <w:pPr>
              <w:spacing w:after="0"/>
            </w:pPr>
            <w:r/>
            <w:r>
              <w:rPr>
                <w:rFonts w:ascii="Aptos" w:hAnsi="Aptos"/>
                <w:b w:val="0"/>
                <w:sz w:val="15"/>
              </w:rPr>
              <w:t>Revalidate scope, currency, integrity and effectiveness</w:t>
            </w:r>
          </w:p>
        </w:tc>
      </w:tr>
      <w:tr>
        <w:trPr>
          <w:cantSplit/>
        </w:trPr>
        <w:tc>
          <w:tcPr>
            <w:tcW w:type="dxa" w:w="3456"/>
            <w:vAlign w:val="center"/>
          </w:tcPr>
          <w:p>
            <w:pPr>
              <w:spacing w:after="0"/>
            </w:pPr>
            <w:r/>
            <w:r>
              <w:rPr>
                <w:rFonts w:ascii="Aptos" w:hAnsi="Aptos"/>
                <w:b w:val="0"/>
                <w:sz w:val="15"/>
              </w:rPr>
              <w:t>Obligation loss</w:t>
            </w:r>
          </w:p>
        </w:tc>
        <w:tc>
          <w:tcPr>
            <w:tcW w:type="dxa" w:w="6192"/>
            <w:vAlign w:val="center"/>
          </w:tcPr>
          <w:p>
            <w:pPr>
              <w:spacing w:after="0"/>
            </w:pPr>
            <w:r/>
            <w:r>
              <w:rPr>
                <w:rFonts w:ascii="Aptos" w:hAnsi="Aptos"/>
                <w:b w:val="0"/>
                <w:sz w:val="15"/>
              </w:rPr>
              <w:t>Legal and certification dependency review</w:t>
            </w:r>
          </w:p>
        </w:tc>
      </w:tr>
      <w:tr>
        <w:trPr>
          <w:cantSplit/>
        </w:trPr>
        <w:tc>
          <w:tcPr>
            <w:tcW w:type="dxa" w:w="3456"/>
            <w:vAlign w:val="center"/>
            <w:shd w:fill="F3F6F7"/>
          </w:tcPr>
          <w:p>
            <w:pPr>
              <w:spacing w:after="0"/>
            </w:pPr>
            <w:r/>
            <w:r>
              <w:rPr>
                <w:rFonts w:ascii="Aptos" w:hAnsi="Aptos"/>
                <w:b w:val="0"/>
                <w:sz w:val="15"/>
              </w:rPr>
              <w:t>Control gap during transition</w:t>
            </w:r>
          </w:p>
        </w:tc>
        <w:tc>
          <w:tcPr>
            <w:tcW w:type="dxa" w:w="6192"/>
            <w:vAlign w:val="center"/>
            <w:shd w:fill="F3F6F7"/>
          </w:tcPr>
          <w:p>
            <w:pPr>
              <w:spacing w:after="0"/>
            </w:pPr>
            <w:r/>
            <w:r>
              <w:rPr>
                <w:rFonts w:ascii="Aptos" w:hAnsi="Aptos"/>
                <w:b w:val="0"/>
                <w:sz w:val="15"/>
              </w:rPr>
              <w:t>Parallel operation and explicit cutover gates</w:t>
            </w:r>
          </w:p>
        </w:tc>
      </w:tr>
      <w:tr>
        <w:trPr>
          <w:cantSplit/>
        </w:trPr>
        <w:tc>
          <w:tcPr>
            <w:tcW w:type="dxa" w:w="3456"/>
            <w:vAlign w:val="center"/>
          </w:tcPr>
          <w:p>
            <w:pPr>
              <w:spacing w:after="0"/>
            </w:pPr>
            <w:r/>
            <w:r>
              <w:rPr>
                <w:rFonts w:ascii="Aptos" w:hAnsi="Aptos"/>
                <w:b w:val="0"/>
                <w:sz w:val="15"/>
              </w:rPr>
              <w:t>Duplicate bureaucracy</w:t>
            </w:r>
          </w:p>
        </w:tc>
        <w:tc>
          <w:tcPr>
            <w:tcW w:type="dxa" w:w="6192"/>
            <w:vAlign w:val="center"/>
          </w:tcPr>
          <w:p>
            <w:pPr>
              <w:spacing w:after="0"/>
            </w:pPr>
            <w:r/>
            <w:r>
              <w:rPr>
                <w:rFonts w:ascii="Aptos" w:hAnsi="Aptos"/>
                <w:b w:val="0"/>
                <w:sz w:val="15"/>
              </w:rPr>
              <w:t>Consolidate workflows after assurance acceptance</w:t>
            </w:r>
          </w:p>
        </w:tc>
      </w:tr>
      <w:tr>
        <w:trPr>
          <w:cantSplit/>
        </w:trPr>
        <w:tc>
          <w:tcPr>
            <w:tcW w:type="dxa" w:w="3456"/>
            <w:vAlign w:val="center"/>
            <w:shd w:fill="F3F6F7"/>
          </w:tcPr>
          <w:p>
            <w:pPr>
              <w:spacing w:after="0"/>
            </w:pPr>
            <w:r/>
            <w:r>
              <w:rPr>
                <w:rFonts w:ascii="Aptos" w:hAnsi="Aptos"/>
                <w:b w:val="0"/>
                <w:sz w:val="15"/>
              </w:rPr>
              <w:t>Mapping drift</w:t>
            </w:r>
          </w:p>
        </w:tc>
        <w:tc>
          <w:tcPr>
            <w:tcW w:type="dxa" w:w="6192"/>
            <w:vAlign w:val="center"/>
            <w:shd w:fill="F3F6F7"/>
          </w:tcPr>
          <w:p>
            <w:pPr>
              <w:spacing w:after="0"/>
            </w:pPr>
            <w:r/>
            <w:r>
              <w:rPr>
                <w:rFonts w:ascii="Aptos" w:hAnsi="Aptos"/>
                <w:b w:val="0"/>
                <w:sz w:val="15"/>
              </w:rPr>
              <w:t>Version-controlled crosswalks and release impact review</w:t>
            </w:r>
          </w:p>
        </w:tc>
      </w:tr>
      <w:tr>
        <w:trPr>
          <w:cantSplit/>
        </w:trPr>
        <w:tc>
          <w:tcPr>
            <w:tcW w:type="dxa" w:w="3456"/>
            <w:vAlign w:val="center"/>
          </w:tcPr>
          <w:p>
            <w:pPr>
              <w:spacing w:after="0"/>
            </w:pPr>
            <w:r/>
            <w:r>
              <w:rPr>
                <w:rFonts w:ascii="Aptos" w:hAnsi="Aptos"/>
                <w:b w:val="0"/>
                <w:sz w:val="15"/>
              </w:rPr>
              <w:t>Owner confusion</w:t>
            </w:r>
          </w:p>
        </w:tc>
        <w:tc>
          <w:tcPr>
            <w:tcW w:type="dxa" w:w="6192"/>
            <w:vAlign w:val="center"/>
          </w:tcPr>
          <w:p>
            <w:pPr>
              <w:spacing w:after="0"/>
            </w:pPr>
            <w:r/>
            <w:r>
              <w:rPr>
                <w:rFonts w:ascii="Aptos" w:hAnsi="Aptos"/>
                <w:b w:val="0"/>
                <w:sz w:val="15"/>
              </w:rPr>
              <w:t>Single target ownership model and RACI</w:t>
            </w:r>
          </w:p>
        </w:tc>
      </w:tr>
      <w:tr>
        <w:trPr>
          <w:cantSplit/>
        </w:trPr>
        <w:tc>
          <w:tcPr>
            <w:tcW w:type="dxa" w:w="3456"/>
            <w:vAlign w:val="center"/>
            <w:shd w:fill="F3F6F7"/>
          </w:tcPr>
          <w:p>
            <w:pPr>
              <w:spacing w:after="0"/>
            </w:pPr>
            <w:r/>
            <w:r>
              <w:rPr>
                <w:rFonts w:ascii="Aptos" w:hAnsi="Aptos"/>
                <w:b w:val="0"/>
                <w:sz w:val="15"/>
              </w:rPr>
              <w:t>Premature retirement</w:t>
            </w:r>
          </w:p>
        </w:tc>
        <w:tc>
          <w:tcPr>
            <w:tcW w:type="dxa" w:w="6192"/>
            <w:vAlign w:val="center"/>
            <w:shd w:fill="F3F6F7"/>
          </w:tcPr>
          <w:p>
            <w:pPr>
              <w:spacing w:after="0"/>
            </w:pPr>
            <w:r/>
            <w:r>
              <w:rPr>
                <w:rFonts w:ascii="Aptos" w:hAnsi="Aptos"/>
                <w:b w:val="0"/>
                <w:sz w:val="15"/>
              </w:rPr>
              <w:t>Formal retirement criteria and approval</w:t>
            </w:r>
          </w:p>
        </w:tc>
      </w:tr>
    </w:tbl>
    <w:p/>
    <w:p>
      <w:pPr>
        <w:pStyle w:val="Heading1"/>
      </w:pPr>
      <w:r>
        <w:t>21. Migration Metrics</w:t>
      </w:r>
    </w:p>
    <w:tbl>
      <w:tblPr>
        <w:tblStyle w:val="TableGrid"/>
        <w:tblW w:type="auto" w:w="0"/>
        <w:jc w:val="center"/>
        <w:tblLook w:firstColumn="1" w:firstRow="1" w:lastColumn="0" w:lastRow="0" w:noHBand="0" w:noVBand="1" w:val="04A0"/>
      </w:tblPr>
      <w:tblGrid>
        <w:gridCol w:w="3427"/>
        <w:gridCol w:w="3427"/>
        <w:gridCol w:w="3427"/>
      </w:tblGrid>
      <w:tr>
        <w:trPr>
          <w:tblHeader w:val="true"/>
          <w:cantSplit/>
        </w:trPr>
        <w:tc>
          <w:tcPr>
            <w:tcW w:type="dxa" w:w="2880"/>
            <w:vAlign w:val="center"/>
            <w:shd w:fill="17324D"/>
          </w:tcPr>
          <w:p>
            <w:pPr>
              <w:spacing w:after="0"/>
            </w:pPr>
            <w:r/>
            <w:r>
              <w:rPr>
                <w:rFonts w:ascii="Aptos" w:hAnsi="Aptos"/>
                <w:b/>
                <w:color w:val="FFFFFF"/>
                <w:sz w:val="15"/>
              </w:rPr>
              <w:t>Metric</w:t>
            </w:r>
          </w:p>
        </w:tc>
        <w:tc>
          <w:tcPr>
            <w:tcW w:type="dxa" w:w="3600"/>
            <w:vAlign w:val="center"/>
            <w:shd w:fill="17324D"/>
          </w:tcPr>
          <w:p>
            <w:pPr>
              <w:spacing w:after="0"/>
            </w:pPr>
            <w:r/>
            <w:r>
              <w:rPr>
                <w:rFonts w:ascii="Aptos" w:hAnsi="Aptos"/>
                <w:b/>
                <w:color w:val="FFFFFF"/>
                <w:sz w:val="15"/>
              </w:rPr>
              <w:t>Purpose</w:t>
            </w:r>
          </w:p>
        </w:tc>
        <w:tc>
          <w:tcPr>
            <w:tcW w:type="dxa" w:w="3168"/>
            <w:vAlign w:val="center"/>
            <w:shd w:fill="17324D"/>
          </w:tcPr>
          <w:p>
            <w:pPr>
              <w:spacing w:after="0"/>
            </w:pPr>
            <w:r/>
            <w:r>
              <w:rPr>
                <w:rFonts w:ascii="Aptos" w:hAnsi="Aptos"/>
                <w:b/>
                <w:color w:val="FFFFFF"/>
                <w:sz w:val="15"/>
              </w:rPr>
              <w:t>Caution</w:t>
            </w:r>
          </w:p>
        </w:tc>
      </w:tr>
      <w:tr>
        <w:trPr>
          <w:cantSplit/>
        </w:trPr>
        <w:tc>
          <w:tcPr>
            <w:tcW w:type="dxa" w:w="2880"/>
            <w:vAlign w:val="center"/>
          </w:tcPr>
          <w:p>
            <w:pPr>
              <w:spacing w:after="0"/>
            </w:pPr>
            <w:r/>
            <w:r>
              <w:rPr>
                <w:rFonts w:ascii="Aptos" w:hAnsi="Aptos"/>
                <w:b w:val="0"/>
                <w:sz w:val="15"/>
              </w:rPr>
              <w:t>GAISSF controls with approved mappings</w:t>
            </w:r>
          </w:p>
        </w:tc>
        <w:tc>
          <w:tcPr>
            <w:tcW w:type="dxa" w:w="3600"/>
            <w:vAlign w:val="center"/>
          </w:tcPr>
          <w:p>
            <w:pPr>
              <w:spacing w:after="0"/>
            </w:pPr>
            <w:r/>
            <w:r>
              <w:rPr>
                <w:rFonts w:ascii="Aptos" w:hAnsi="Aptos"/>
                <w:b w:val="0"/>
                <w:sz w:val="15"/>
              </w:rPr>
              <w:t>Measure crosswalk progress</w:t>
            </w:r>
          </w:p>
        </w:tc>
        <w:tc>
          <w:tcPr>
            <w:tcW w:type="dxa" w:w="3168"/>
            <w:vAlign w:val="center"/>
          </w:tcPr>
          <w:p>
            <w:pPr>
              <w:spacing w:after="0"/>
            </w:pPr>
            <w:r/>
            <w:r>
              <w:rPr>
                <w:rFonts w:ascii="Aptos" w:hAnsi="Aptos"/>
                <w:b w:val="0"/>
                <w:sz w:val="15"/>
              </w:rPr>
              <w:t>Mapping is not conformance</w:t>
            </w:r>
          </w:p>
        </w:tc>
      </w:tr>
      <w:tr>
        <w:trPr>
          <w:cantSplit/>
        </w:trPr>
        <w:tc>
          <w:tcPr>
            <w:tcW w:type="dxa" w:w="2880"/>
            <w:vAlign w:val="center"/>
            <w:shd w:fill="F3F6F7"/>
          </w:tcPr>
          <w:p>
            <w:pPr>
              <w:spacing w:after="0"/>
            </w:pPr>
            <w:r/>
            <w:r>
              <w:rPr>
                <w:rFonts w:ascii="Aptos" w:hAnsi="Aptos"/>
                <w:b w:val="0"/>
                <w:sz w:val="15"/>
              </w:rPr>
              <w:t>Controls with reusable evidence</w:t>
            </w:r>
          </w:p>
        </w:tc>
        <w:tc>
          <w:tcPr>
            <w:tcW w:type="dxa" w:w="3600"/>
            <w:vAlign w:val="center"/>
            <w:shd w:fill="F3F6F7"/>
          </w:tcPr>
          <w:p>
            <w:pPr>
              <w:spacing w:after="0"/>
            </w:pPr>
            <w:r/>
            <w:r>
              <w:rPr>
                <w:rFonts w:ascii="Aptos" w:hAnsi="Aptos"/>
                <w:b w:val="0"/>
                <w:sz w:val="15"/>
              </w:rPr>
              <w:t>Estimate migration leverage</w:t>
            </w:r>
          </w:p>
        </w:tc>
        <w:tc>
          <w:tcPr>
            <w:tcW w:type="dxa" w:w="3168"/>
            <w:vAlign w:val="center"/>
            <w:shd w:fill="F3F6F7"/>
          </w:tcPr>
          <w:p>
            <w:pPr>
              <w:spacing w:after="0"/>
            </w:pPr>
            <w:r/>
            <w:r>
              <w:rPr>
                <w:rFonts w:ascii="Aptos" w:hAnsi="Aptos"/>
                <w:b w:val="0"/>
                <w:sz w:val="15"/>
              </w:rPr>
              <w:t>Quality and scope determine usability</w:t>
            </w:r>
          </w:p>
        </w:tc>
      </w:tr>
      <w:tr>
        <w:trPr>
          <w:cantSplit/>
        </w:trPr>
        <w:tc>
          <w:tcPr>
            <w:tcW w:type="dxa" w:w="2880"/>
            <w:vAlign w:val="center"/>
          </w:tcPr>
          <w:p>
            <w:pPr>
              <w:spacing w:after="0"/>
            </w:pPr>
            <w:r/>
            <w:r>
              <w:rPr>
                <w:rFonts w:ascii="Aptos" w:hAnsi="Aptos"/>
                <w:b w:val="0"/>
                <w:sz w:val="15"/>
              </w:rPr>
              <w:t>Partial or no-map controls</w:t>
            </w:r>
          </w:p>
        </w:tc>
        <w:tc>
          <w:tcPr>
            <w:tcW w:type="dxa" w:w="3600"/>
            <w:vAlign w:val="center"/>
          </w:tcPr>
          <w:p>
            <w:pPr>
              <w:spacing w:after="0"/>
            </w:pPr>
            <w:r/>
            <w:r>
              <w:rPr>
                <w:rFonts w:ascii="Aptos" w:hAnsi="Aptos"/>
                <w:b w:val="0"/>
                <w:sz w:val="15"/>
              </w:rPr>
              <w:t>Identify remediation demand</w:t>
            </w:r>
          </w:p>
        </w:tc>
        <w:tc>
          <w:tcPr>
            <w:tcW w:type="dxa" w:w="3168"/>
            <w:vAlign w:val="center"/>
          </w:tcPr>
          <w:p>
            <w:pPr>
              <w:spacing w:after="0"/>
            </w:pPr>
            <w:r/>
            <w:r>
              <w:rPr>
                <w:rFonts w:ascii="Aptos" w:hAnsi="Aptos"/>
                <w:b w:val="0"/>
                <w:sz w:val="15"/>
              </w:rPr>
              <w:t>Do not force mappings to improve percentages</w:t>
            </w:r>
          </w:p>
        </w:tc>
      </w:tr>
      <w:tr>
        <w:trPr>
          <w:cantSplit/>
        </w:trPr>
        <w:tc>
          <w:tcPr>
            <w:tcW w:type="dxa" w:w="2880"/>
            <w:vAlign w:val="center"/>
            <w:shd w:fill="F3F6F7"/>
          </w:tcPr>
          <w:p>
            <w:pPr>
              <w:spacing w:after="0"/>
            </w:pPr>
            <w:r/>
            <w:r>
              <w:rPr>
                <w:rFonts w:ascii="Aptos" w:hAnsi="Aptos"/>
                <w:b w:val="0"/>
                <w:sz w:val="15"/>
              </w:rPr>
              <w:t>Legacy controls retired</w:t>
            </w:r>
          </w:p>
        </w:tc>
        <w:tc>
          <w:tcPr>
            <w:tcW w:type="dxa" w:w="3600"/>
            <w:vAlign w:val="center"/>
            <w:shd w:fill="F3F6F7"/>
          </w:tcPr>
          <w:p>
            <w:pPr>
              <w:spacing w:after="0"/>
            </w:pPr>
            <w:r/>
            <w:r>
              <w:rPr>
                <w:rFonts w:ascii="Aptos" w:hAnsi="Aptos"/>
                <w:b w:val="0"/>
                <w:sz w:val="15"/>
              </w:rPr>
              <w:t>Track simplification</w:t>
            </w:r>
          </w:p>
        </w:tc>
        <w:tc>
          <w:tcPr>
            <w:tcW w:type="dxa" w:w="3168"/>
            <w:vAlign w:val="center"/>
            <w:shd w:fill="F3F6F7"/>
          </w:tcPr>
          <w:p>
            <w:pPr>
              <w:spacing w:after="0"/>
            </w:pPr>
            <w:r/>
            <w:r>
              <w:rPr>
                <w:rFonts w:ascii="Aptos" w:hAnsi="Aptos"/>
                <w:b w:val="0"/>
                <w:sz w:val="15"/>
              </w:rPr>
              <w:t>Retirement must preserve obligations</w:t>
            </w:r>
          </w:p>
        </w:tc>
      </w:tr>
      <w:tr>
        <w:trPr>
          <w:cantSplit/>
        </w:trPr>
        <w:tc>
          <w:tcPr>
            <w:tcW w:type="dxa" w:w="2880"/>
            <w:vAlign w:val="center"/>
          </w:tcPr>
          <w:p>
            <w:pPr>
              <w:spacing w:after="0"/>
            </w:pPr>
            <w:r/>
            <w:r>
              <w:rPr>
                <w:rFonts w:ascii="Aptos" w:hAnsi="Aptos"/>
                <w:b w:val="0"/>
                <w:sz w:val="15"/>
              </w:rPr>
              <w:t>Migration findings overdue</w:t>
            </w:r>
          </w:p>
        </w:tc>
        <w:tc>
          <w:tcPr>
            <w:tcW w:type="dxa" w:w="3600"/>
            <w:vAlign w:val="center"/>
          </w:tcPr>
          <w:p>
            <w:pPr>
              <w:spacing w:after="0"/>
            </w:pPr>
            <w:r/>
            <w:r>
              <w:rPr>
                <w:rFonts w:ascii="Aptos" w:hAnsi="Aptos"/>
                <w:b w:val="0"/>
                <w:sz w:val="15"/>
              </w:rPr>
              <w:t>Track execution risk</w:t>
            </w:r>
          </w:p>
        </w:tc>
        <w:tc>
          <w:tcPr>
            <w:tcW w:type="dxa" w:w="3168"/>
            <w:vAlign w:val="center"/>
          </w:tcPr>
          <w:p>
            <w:pPr>
              <w:spacing w:after="0"/>
            </w:pPr>
            <w:r/>
            <w:r>
              <w:rPr>
                <w:rFonts w:ascii="Aptos" w:hAnsi="Aptos"/>
                <w:b w:val="0"/>
                <w:sz w:val="15"/>
              </w:rPr>
              <w:t>Prioritize by impact</w:t>
            </w:r>
          </w:p>
        </w:tc>
      </w:tr>
      <w:tr>
        <w:trPr>
          <w:cantSplit/>
        </w:trPr>
        <w:tc>
          <w:tcPr>
            <w:tcW w:type="dxa" w:w="2880"/>
            <w:vAlign w:val="center"/>
            <w:shd w:fill="F3F6F7"/>
          </w:tcPr>
          <w:p>
            <w:pPr>
              <w:spacing w:after="0"/>
            </w:pPr>
            <w:r/>
            <w:r>
              <w:rPr>
                <w:rFonts w:ascii="Aptos" w:hAnsi="Aptos"/>
                <w:b w:val="0"/>
                <w:sz w:val="15"/>
              </w:rPr>
              <w:t>Evidence rejected during assurance</w:t>
            </w:r>
          </w:p>
        </w:tc>
        <w:tc>
          <w:tcPr>
            <w:tcW w:type="dxa" w:w="3600"/>
            <w:vAlign w:val="center"/>
            <w:shd w:fill="F3F6F7"/>
          </w:tcPr>
          <w:p>
            <w:pPr>
              <w:spacing w:after="0"/>
            </w:pPr>
            <w:r/>
            <w:r>
              <w:rPr>
                <w:rFonts w:ascii="Aptos" w:hAnsi="Aptos"/>
                <w:b w:val="0"/>
                <w:sz w:val="15"/>
              </w:rPr>
              <w:t>Measure reuse quality</w:t>
            </w:r>
          </w:p>
        </w:tc>
        <w:tc>
          <w:tcPr>
            <w:tcW w:type="dxa" w:w="3168"/>
            <w:vAlign w:val="center"/>
            <w:shd w:fill="F3F6F7"/>
          </w:tcPr>
          <w:p>
            <w:pPr>
              <w:spacing w:after="0"/>
            </w:pPr>
            <w:r/>
            <w:r>
              <w:rPr>
                <w:rFonts w:ascii="Aptos" w:hAnsi="Aptos"/>
                <w:b w:val="0"/>
                <w:sz w:val="15"/>
              </w:rPr>
              <w:t>Investigate systemic causes</w:t>
            </w:r>
          </w:p>
        </w:tc>
      </w:tr>
      <w:tr>
        <w:trPr>
          <w:cantSplit/>
        </w:trPr>
        <w:tc>
          <w:tcPr>
            <w:tcW w:type="dxa" w:w="2880"/>
            <w:vAlign w:val="center"/>
          </w:tcPr>
          <w:p>
            <w:pPr>
              <w:spacing w:after="0"/>
            </w:pPr>
            <w:r/>
            <w:r>
              <w:rPr>
                <w:rFonts w:ascii="Aptos" w:hAnsi="Aptos"/>
                <w:b w:val="0"/>
                <w:sz w:val="15"/>
              </w:rPr>
              <w:t>Crosswalk version currency</w:t>
            </w:r>
          </w:p>
        </w:tc>
        <w:tc>
          <w:tcPr>
            <w:tcW w:type="dxa" w:w="3600"/>
            <w:vAlign w:val="center"/>
          </w:tcPr>
          <w:p>
            <w:pPr>
              <w:spacing w:after="0"/>
            </w:pPr>
            <w:r/>
            <w:r>
              <w:rPr>
                <w:rFonts w:ascii="Aptos" w:hAnsi="Aptos"/>
                <w:b w:val="0"/>
                <w:sz w:val="15"/>
              </w:rPr>
              <w:t>Detect mapping drift</w:t>
            </w:r>
          </w:p>
        </w:tc>
        <w:tc>
          <w:tcPr>
            <w:tcW w:type="dxa" w:w="3168"/>
            <w:vAlign w:val="center"/>
          </w:tcPr>
          <w:p>
            <w:pPr>
              <w:spacing w:after="0"/>
            </w:pPr>
            <w:r/>
            <w:r>
              <w:rPr>
                <w:rFonts w:ascii="Aptos" w:hAnsi="Aptos"/>
                <w:b w:val="0"/>
                <w:sz w:val="15"/>
              </w:rPr>
              <w:t>Review after external-source changes</w:t>
            </w:r>
          </w:p>
        </w:tc>
      </w:tr>
    </w:tbl>
    <w:p/>
    <w:p>
      <w:pPr>
        <w:pStyle w:val="Heading1"/>
      </w:pPr>
      <w:r>
        <w:t>22. Migration Completion Criteria</w:t>
      </w:r>
    </w:p>
    <w:p>
      <w:r>
        <w:t>☐ All 59 GAISSF controls have an approved applicability and migration disposition.</w:t>
      </w:r>
    </w:p>
    <w:p>
      <w:r>
        <w:t>☐ The selected conformance profile is fully enumerated.</w:t>
      </w:r>
    </w:p>
    <w:p>
      <w:r>
        <w:t>☐ Mappings are independently reviewed and version controlled.</w:t>
      </w:r>
    </w:p>
    <w:p>
      <w:r>
        <w:t>☐ Reusable mechanisms and evidence have passed GAISSF assessment.</w:t>
      </w:r>
    </w:p>
    <w:p>
      <w:r>
        <w:t>☐ Unmapped and partial gaps have funded corrective actions.</w:t>
      </w:r>
    </w:p>
    <w:p>
      <w:r>
        <w:t>☐ Legacy obligations remain traceable.</w:t>
      </w:r>
    </w:p>
    <w:p>
      <w:r>
        <w:t>☐ Parallel-operation and retirement decisions are documented.</w:t>
      </w:r>
    </w:p>
    <w:p>
      <w:r>
        <w:t>☐ Internal assurance has verified target-state operation.</w:t>
      </w:r>
    </w:p>
    <w:p>
      <w:r>
        <w:t>☐ Public and certification claims have been reviewed.</w:t>
      </w:r>
    </w:p>
    <w:p>
      <w:r>
        <w:t>☐ Continuing crosswalk maintenance is assigned.</w:t>
      </w:r>
    </w:p>
    <w:p>
      <w:pPr>
        <w:pStyle w:val="Heading1"/>
      </w:pPr>
      <w:r>
        <w:t>23. Limitations</w:t>
      </w:r>
    </w:p>
    <w:p>
      <w:pPr>
        <w:pStyle w:val="ListBullet"/>
      </w:pPr>
      <w:r>
        <w:t>This guide does not provide a definitive clause-by-clause crosswalk.</w:t>
      </w:r>
    </w:p>
    <w:p>
      <w:pPr>
        <w:pStyle w:val="ListBullet"/>
      </w:pPr>
      <w:r>
        <w:t>External frameworks and regulations may change after publication.</w:t>
      </w:r>
    </w:p>
    <w:p>
      <w:pPr>
        <w:pStyle w:val="ListBullet"/>
      </w:pPr>
      <w:r>
        <w:t>Mappings depend on edition, organizational implementation and assessed scope.</w:t>
      </w:r>
    </w:p>
    <w:p>
      <w:pPr>
        <w:pStyle w:val="ListBullet"/>
      </w:pPr>
      <w:r>
        <w:t>Evidence accepted under one scheme may not be sufficient under another.</w:t>
      </w:r>
    </w:p>
    <w:p>
      <w:pPr>
        <w:pStyle w:val="ListBullet"/>
      </w:pPr>
      <w:r>
        <w:t>Certification or accreditation bodies may impose additional migration requirements.</w:t>
      </w:r>
    </w:p>
    <w:p>
      <w:pPr>
        <w:pStyle w:val="Heading1"/>
      </w:pPr>
      <w:r>
        <w:t>24. Notably Absent</w:t>
      </w:r>
    </w:p>
    <w:p>
      <w:pPr>
        <w:pStyle w:val="ListBullet"/>
      </w:pPr>
      <w:r>
        <w:t>No claim of formal equivalence or mutual recognition.</w:t>
      </w:r>
    </w:p>
    <w:p>
      <w:pPr>
        <w:pStyle w:val="ListBullet"/>
      </w:pPr>
      <w:r>
        <w:t>No automatic certification credit for existing certifications.</w:t>
      </w:r>
    </w:p>
    <w:p>
      <w:pPr>
        <w:pStyle w:val="ListBullet"/>
      </w:pPr>
      <w:r>
        <w:t>No assurance that one source control maps to exactly one GAISSF control.</w:t>
      </w:r>
    </w:p>
    <w:p>
      <w:pPr>
        <w:pStyle w:val="ListBullet"/>
      </w:pPr>
      <w:r>
        <w:t>No permission to discard source obligations after migration.</w:t>
      </w:r>
    </w:p>
    <w:p>
      <w:pPr>
        <w:pStyle w:val="ListBullet"/>
      </w:pPr>
      <w:r>
        <w:t>No requirement to replace functioning controls solely to adopt GAISSF.</w:t>
      </w:r>
    </w:p>
    <w:p>
      <w:pPr>
        <w:pStyle w:val="ListBullet"/>
      </w:pPr>
      <w:r>
        <w:t>No promise that migration reduces audit effort or cost.</w:t>
      </w:r>
    </w:p>
    <w:p>
      <w:pPr>
        <w:pStyle w:val="Heading1"/>
      </w:pPr>
      <w:r>
        <w:t>Annex A — Source Framework Register Template</w:t>
      </w:r>
    </w:p>
    <w:tbl>
      <w:tblPr>
        <w:tblStyle w:val="TableGrid"/>
        <w:tblW w:type="auto" w:w="0"/>
        <w:jc w:val="center"/>
        <w:tblLook w:firstColumn="1" w:firstRow="1" w:lastColumn="0" w:lastRow="0" w:noHBand="0" w:noVBand="1" w:val="04A0"/>
      </w:tblPr>
      <w:tblGrid>
        <w:gridCol w:w="5141"/>
        <w:gridCol w:w="5141"/>
      </w:tblGrid>
      <w:tr>
        <w:trPr>
          <w:tblHeader w:val="true"/>
          <w:cantSplit/>
        </w:trPr>
        <w:tc>
          <w:tcPr>
            <w:tcW w:type="dxa" w:w="3168"/>
            <w:vAlign w:val="center"/>
            <w:shd w:fill="17324D"/>
          </w:tcPr>
          <w:p>
            <w:pPr>
              <w:spacing w:after="0"/>
            </w:pPr>
            <w:r/>
            <w:r>
              <w:rPr>
                <w:rFonts w:ascii="Aptos" w:hAnsi="Aptos"/>
                <w:b/>
                <w:color w:val="FFFFFF"/>
                <w:sz w:val="15"/>
              </w:rPr>
              <w:t>Field</w:t>
            </w:r>
          </w:p>
        </w:tc>
        <w:tc>
          <w:tcPr>
            <w:tcW w:type="dxa" w:w="6480"/>
            <w:vAlign w:val="center"/>
            <w:shd w:fill="17324D"/>
          </w:tcPr>
          <w:p>
            <w:pPr>
              <w:spacing w:after="0"/>
            </w:pPr>
            <w:r/>
            <w:r>
              <w:rPr>
                <w:rFonts w:ascii="Aptos" w:hAnsi="Aptos"/>
                <w:b/>
                <w:color w:val="FFFFFF"/>
                <w:sz w:val="15"/>
              </w:rPr>
              <w:t>Entry</w:t>
            </w:r>
          </w:p>
        </w:tc>
      </w:tr>
      <w:tr>
        <w:trPr>
          <w:cantSplit/>
        </w:trPr>
        <w:tc>
          <w:tcPr>
            <w:tcW w:type="dxa" w:w="3168"/>
            <w:vAlign w:val="center"/>
          </w:tcPr>
          <w:p>
            <w:pPr>
              <w:spacing w:after="0"/>
            </w:pPr>
            <w:r/>
            <w:r>
              <w:rPr>
                <w:rFonts w:ascii="Aptos" w:hAnsi="Aptos"/>
                <w:b w:val="0"/>
                <w:sz w:val="15"/>
              </w:rPr>
              <w:t>Source identifier</w:t>
            </w:r>
          </w:p>
        </w:tc>
        <w:tc>
          <w:tcPr>
            <w:tcW w:type="dxa" w:w="6480"/>
            <w:vAlign w:val="center"/>
          </w:tcPr>
          <w:p>
            <w:pPr>
              <w:spacing w:after="0"/>
            </w:pPr>
            <w:r/>
            <w:r>
              <w:rPr>
                <w:rFonts w:ascii="Aptos" w:hAnsi="Aptos"/>
                <w:b w:val="0"/>
                <w:sz w:val="15"/>
              </w:rPr>
            </w:r>
          </w:p>
        </w:tc>
      </w:tr>
      <w:tr>
        <w:trPr>
          <w:cantSplit/>
        </w:trPr>
        <w:tc>
          <w:tcPr>
            <w:tcW w:type="dxa" w:w="3168"/>
            <w:vAlign w:val="center"/>
            <w:shd w:fill="F3F6F7"/>
          </w:tcPr>
          <w:p>
            <w:pPr>
              <w:spacing w:after="0"/>
            </w:pPr>
            <w:r/>
            <w:r>
              <w:rPr>
                <w:rFonts w:ascii="Aptos" w:hAnsi="Aptos"/>
                <w:b w:val="0"/>
                <w:sz w:val="15"/>
              </w:rPr>
              <w:t>Title</w:t>
            </w:r>
          </w:p>
        </w:tc>
        <w:tc>
          <w:tcPr>
            <w:tcW w:type="dxa" w:w="6480"/>
            <w:vAlign w:val="center"/>
            <w:shd w:fill="F3F6F7"/>
          </w:tcPr>
          <w:p>
            <w:pPr>
              <w:spacing w:after="0"/>
            </w:pPr>
            <w:r/>
            <w:r>
              <w:rPr>
                <w:rFonts w:ascii="Aptos" w:hAnsi="Aptos"/>
                <w:b w:val="0"/>
                <w:sz w:val="15"/>
              </w:rPr>
            </w:r>
          </w:p>
        </w:tc>
      </w:tr>
      <w:tr>
        <w:trPr>
          <w:cantSplit/>
        </w:trPr>
        <w:tc>
          <w:tcPr>
            <w:tcW w:type="dxa" w:w="3168"/>
            <w:vAlign w:val="center"/>
          </w:tcPr>
          <w:p>
            <w:pPr>
              <w:spacing w:after="0"/>
            </w:pPr>
            <w:r/>
            <w:r>
              <w:rPr>
                <w:rFonts w:ascii="Aptos" w:hAnsi="Aptos"/>
                <w:b w:val="0"/>
                <w:sz w:val="15"/>
              </w:rPr>
              <w:t>Edition/version</w:t>
            </w:r>
          </w:p>
        </w:tc>
        <w:tc>
          <w:tcPr>
            <w:tcW w:type="dxa" w:w="6480"/>
            <w:vAlign w:val="center"/>
          </w:tcPr>
          <w:p>
            <w:pPr>
              <w:spacing w:after="0"/>
            </w:pPr>
            <w:r/>
            <w:r>
              <w:rPr>
                <w:rFonts w:ascii="Aptos" w:hAnsi="Aptos"/>
                <w:b w:val="0"/>
                <w:sz w:val="15"/>
              </w:rPr>
            </w:r>
          </w:p>
        </w:tc>
      </w:tr>
      <w:tr>
        <w:trPr>
          <w:cantSplit/>
        </w:trPr>
        <w:tc>
          <w:tcPr>
            <w:tcW w:type="dxa" w:w="3168"/>
            <w:vAlign w:val="center"/>
            <w:shd w:fill="F3F6F7"/>
          </w:tcPr>
          <w:p>
            <w:pPr>
              <w:spacing w:after="0"/>
            </w:pPr>
            <w:r/>
            <w:r>
              <w:rPr>
                <w:rFonts w:ascii="Aptos" w:hAnsi="Aptos"/>
                <w:b w:val="0"/>
                <w:sz w:val="15"/>
              </w:rPr>
              <w:t>Status</w:t>
            </w:r>
          </w:p>
        </w:tc>
        <w:tc>
          <w:tcPr>
            <w:tcW w:type="dxa" w:w="6480"/>
            <w:vAlign w:val="center"/>
            <w:shd w:fill="F3F6F7"/>
          </w:tcPr>
          <w:p>
            <w:pPr>
              <w:spacing w:after="0"/>
            </w:pPr>
            <w:r/>
            <w:r>
              <w:rPr>
                <w:rFonts w:ascii="Aptos" w:hAnsi="Aptos"/>
                <w:b w:val="0"/>
                <w:sz w:val="15"/>
              </w:rPr>
            </w:r>
          </w:p>
        </w:tc>
      </w:tr>
      <w:tr>
        <w:trPr>
          <w:cantSplit/>
        </w:trPr>
        <w:tc>
          <w:tcPr>
            <w:tcW w:type="dxa" w:w="3168"/>
            <w:vAlign w:val="center"/>
          </w:tcPr>
          <w:p>
            <w:pPr>
              <w:spacing w:after="0"/>
            </w:pPr>
            <w:r/>
            <w:r>
              <w:rPr>
                <w:rFonts w:ascii="Aptos" w:hAnsi="Aptos"/>
                <w:b w:val="0"/>
                <w:sz w:val="15"/>
              </w:rPr>
              <w:t>Owner</w:t>
            </w:r>
          </w:p>
        </w:tc>
        <w:tc>
          <w:tcPr>
            <w:tcW w:type="dxa" w:w="6480"/>
            <w:vAlign w:val="center"/>
          </w:tcPr>
          <w:p>
            <w:pPr>
              <w:spacing w:after="0"/>
            </w:pPr>
            <w:r/>
            <w:r>
              <w:rPr>
                <w:rFonts w:ascii="Aptos" w:hAnsi="Aptos"/>
                <w:b w:val="0"/>
                <w:sz w:val="15"/>
              </w:rPr>
            </w:r>
          </w:p>
        </w:tc>
      </w:tr>
      <w:tr>
        <w:trPr>
          <w:cantSplit/>
        </w:trPr>
        <w:tc>
          <w:tcPr>
            <w:tcW w:type="dxa" w:w="3168"/>
            <w:vAlign w:val="center"/>
            <w:shd w:fill="F3F6F7"/>
          </w:tcPr>
          <w:p>
            <w:pPr>
              <w:spacing w:after="0"/>
            </w:pPr>
            <w:r/>
            <w:r>
              <w:rPr>
                <w:rFonts w:ascii="Aptos" w:hAnsi="Aptos"/>
                <w:b w:val="0"/>
                <w:sz w:val="15"/>
              </w:rPr>
              <w:t>Scope</w:t>
            </w:r>
          </w:p>
        </w:tc>
        <w:tc>
          <w:tcPr>
            <w:tcW w:type="dxa" w:w="6480"/>
            <w:vAlign w:val="center"/>
            <w:shd w:fill="F3F6F7"/>
          </w:tcPr>
          <w:p>
            <w:pPr>
              <w:spacing w:after="0"/>
            </w:pPr>
            <w:r/>
            <w:r>
              <w:rPr>
                <w:rFonts w:ascii="Aptos" w:hAnsi="Aptos"/>
                <w:b w:val="0"/>
                <w:sz w:val="15"/>
              </w:rPr>
            </w:r>
          </w:p>
        </w:tc>
      </w:tr>
      <w:tr>
        <w:trPr>
          <w:cantSplit/>
        </w:trPr>
        <w:tc>
          <w:tcPr>
            <w:tcW w:type="dxa" w:w="3168"/>
            <w:vAlign w:val="center"/>
          </w:tcPr>
          <w:p>
            <w:pPr>
              <w:spacing w:after="0"/>
            </w:pPr>
            <w:r/>
            <w:r>
              <w:rPr>
                <w:rFonts w:ascii="Aptos" w:hAnsi="Aptos"/>
                <w:b w:val="0"/>
                <w:sz w:val="15"/>
              </w:rPr>
              <w:t>Certification/assurance status</w:t>
            </w:r>
          </w:p>
        </w:tc>
        <w:tc>
          <w:tcPr>
            <w:tcW w:type="dxa" w:w="6480"/>
            <w:vAlign w:val="center"/>
          </w:tcPr>
          <w:p>
            <w:pPr>
              <w:spacing w:after="0"/>
            </w:pPr>
            <w:r/>
            <w:r>
              <w:rPr>
                <w:rFonts w:ascii="Aptos" w:hAnsi="Aptos"/>
                <w:b w:val="0"/>
                <w:sz w:val="15"/>
              </w:rPr>
            </w:r>
          </w:p>
        </w:tc>
      </w:tr>
      <w:tr>
        <w:trPr>
          <w:cantSplit/>
        </w:trPr>
        <w:tc>
          <w:tcPr>
            <w:tcW w:type="dxa" w:w="3168"/>
            <w:vAlign w:val="center"/>
            <w:shd w:fill="F3F6F7"/>
          </w:tcPr>
          <w:p>
            <w:pPr>
              <w:spacing w:after="0"/>
            </w:pPr>
            <w:r/>
            <w:r>
              <w:rPr>
                <w:rFonts w:ascii="Aptos" w:hAnsi="Aptos"/>
                <w:b w:val="0"/>
                <w:sz w:val="15"/>
              </w:rPr>
              <w:t>Evidence repository</w:t>
            </w:r>
          </w:p>
        </w:tc>
        <w:tc>
          <w:tcPr>
            <w:tcW w:type="dxa" w:w="6480"/>
            <w:vAlign w:val="center"/>
            <w:shd w:fill="F3F6F7"/>
          </w:tcPr>
          <w:p>
            <w:pPr>
              <w:spacing w:after="0"/>
            </w:pPr>
            <w:r/>
            <w:r>
              <w:rPr>
                <w:rFonts w:ascii="Aptos" w:hAnsi="Aptos"/>
                <w:b w:val="0"/>
                <w:sz w:val="15"/>
              </w:rPr>
            </w:r>
          </w:p>
        </w:tc>
      </w:tr>
      <w:tr>
        <w:trPr>
          <w:cantSplit/>
        </w:trPr>
        <w:tc>
          <w:tcPr>
            <w:tcW w:type="dxa" w:w="3168"/>
            <w:vAlign w:val="center"/>
          </w:tcPr>
          <w:p>
            <w:pPr>
              <w:spacing w:after="0"/>
            </w:pPr>
            <w:r/>
            <w:r>
              <w:rPr>
                <w:rFonts w:ascii="Aptos" w:hAnsi="Aptos"/>
                <w:b w:val="0"/>
                <w:sz w:val="15"/>
              </w:rPr>
              <w:t>Dependencies</w:t>
            </w:r>
          </w:p>
        </w:tc>
        <w:tc>
          <w:tcPr>
            <w:tcW w:type="dxa" w:w="6480"/>
            <w:vAlign w:val="center"/>
          </w:tcPr>
          <w:p>
            <w:pPr>
              <w:spacing w:after="0"/>
            </w:pPr>
            <w:r/>
            <w:r>
              <w:rPr>
                <w:rFonts w:ascii="Aptos" w:hAnsi="Aptos"/>
                <w:b w:val="0"/>
                <w:sz w:val="15"/>
              </w:rPr>
            </w:r>
          </w:p>
        </w:tc>
      </w:tr>
      <w:tr>
        <w:trPr>
          <w:cantSplit/>
        </w:trPr>
        <w:tc>
          <w:tcPr>
            <w:tcW w:type="dxa" w:w="3168"/>
            <w:vAlign w:val="center"/>
            <w:shd w:fill="F3F6F7"/>
          </w:tcPr>
          <w:p>
            <w:pPr>
              <w:spacing w:after="0"/>
            </w:pPr>
            <w:r/>
            <w:r>
              <w:rPr>
                <w:rFonts w:ascii="Aptos" w:hAnsi="Aptos"/>
                <w:b w:val="0"/>
                <w:sz w:val="15"/>
              </w:rPr>
              <w:t>Constraints</w:t>
            </w:r>
          </w:p>
        </w:tc>
        <w:tc>
          <w:tcPr>
            <w:tcW w:type="dxa" w:w="6480"/>
            <w:vAlign w:val="center"/>
            <w:shd w:fill="F3F6F7"/>
          </w:tcPr>
          <w:p>
            <w:pPr>
              <w:spacing w:after="0"/>
            </w:pPr>
            <w:r/>
            <w:r>
              <w:rPr>
                <w:rFonts w:ascii="Aptos" w:hAnsi="Aptos"/>
                <w:b w:val="0"/>
                <w:sz w:val="15"/>
              </w:rPr>
            </w:r>
          </w:p>
        </w:tc>
      </w:tr>
    </w:tbl>
    <w:p/>
    <w:p>
      <w:pPr>
        <w:pStyle w:val="Heading1"/>
      </w:pPr>
      <w:r>
        <w:t>Annex B — Crosswalk Record Template</w:t>
      </w:r>
    </w:p>
    <w:tbl>
      <w:tblPr>
        <w:tblStyle w:val="TableGrid"/>
        <w:tblW w:type="auto" w:w="0"/>
        <w:jc w:val="center"/>
        <w:tblLook w:firstColumn="1" w:firstRow="1" w:lastColumn="0" w:lastRow="0" w:noHBand="0" w:noVBand="1" w:val="04A0"/>
      </w:tblPr>
      <w:tblGrid>
        <w:gridCol w:w="1285"/>
        <w:gridCol w:w="1285"/>
        <w:gridCol w:w="1285"/>
        <w:gridCol w:w="1285"/>
        <w:gridCol w:w="1285"/>
        <w:gridCol w:w="1285"/>
        <w:gridCol w:w="1285"/>
        <w:gridCol w:w="1285"/>
      </w:tblGrid>
      <w:tr>
        <w:trPr>
          <w:tblHeader w:val="true"/>
          <w:cantSplit/>
        </w:trPr>
        <w:tc>
          <w:tcPr>
            <w:tcW w:type="dxa" w:w="1296"/>
            <w:vAlign w:val="center"/>
            <w:shd w:fill="17324D"/>
          </w:tcPr>
          <w:p>
            <w:pPr>
              <w:spacing w:after="0"/>
            </w:pPr>
            <w:r/>
            <w:r>
              <w:rPr>
                <w:rFonts w:ascii="Aptos" w:hAnsi="Aptos"/>
                <w:b/>
                <w:color w:val="FFFFFF"/>
                <w:sz w:val="15"/>
              </w:rPr>
              <w:t>GAISSF ID</w:t>
            </w:r>
          </w:p>
        </w:tc>
        <w:tc>
          <w:tcPr>
            <w:tcW w:type="dxa" w:w="1440"/>
            <w:vAlign w:val="center"/>
            <w:shd w:fill="17324D"/>
          </w:tcPr>
          <w:p>
            <w:pPr>
              <w:spacing w:after="0"/>
            </w:pPr>
            <w:r/>
            <w:r>
              <w:rPr>
                <w:rFonts w:ascii="Aptos" w:hAnsi="Aptos"/>
                <w:b/>
                <w:color w:val="FFFFFF"/>
                <w:sz w:val="15"/>
              </w:rPr>
              <w:t>Source ref.</w:t>
            </w:r>
          </w:p>
        </w:tc>
        <w:tc>
          <w:tcPr>
            <w:tcW w:type="dxa" w:w="1440"/>
            <w:vAlign w:val="center"/>
            <w:shd w:fill="17324D"/>
          </w:tcPr>
          <w:p>
            <w:pPr>
              <w:spacing w:after="0"/>
            </w:pPr>
            <w:r/>
            <w:r>
              <w:rPr>
                <w:rFonts w:ascii="Aptos" w:hAnsi="Aptos"/>
                <w:b/>
                <w:color w:val="FFFFFF"/>
                <w:sz w:val="15"/>
              </w:rPr>
              <w:t>Relationship</w:t>
            </w:r>
          </w:p>
        </w:tc>
        <w:tc>
          <w:tcPr>
            <w:tcW w:type="dxa" w:w="1440"/>
            <w:vAlign w:val="center"/>
            <w:shd w:fill="17324D"/>
          </w:tcPr>
          <w:p>
            <w:pPr>
              <w:spacing w:after="0"/>
            </w:pPr>
            <w:r/>
            <w:r>
              <w:rPr>
                <w:rFonts w:ascii="Aptos" w:hAnsi="Aptos"/>
                <w:b/>
                <w:color w:val="FFFFFF"/>
                <w:sz w:val="15"/>
              </w:rPr>
              <w:t>Scope</w:t>
            </w:r>
          </w:p>
        </w:tc>
        <w:tc>
          <w:tcPr>
            <w:tcW w:type="dxa" w:w="1584"/>
            <w:vAlign w:val="center"/>
            <w:shd w:fill="17324D"/>
          </w:tcPr>
          <w:p>
            <w:pPr>
              <w:spacing w:after="0"/>
            </w:pPr>
            <w:r/>
            <w:r>
              <w:rPr>
                <w:rFonts w:ascii="Aptos" w:hAnsi="Aptos"/>
                <w:b/>
                <w:color w:val="FFFFFF"/>
                <w:sz w:val="15"/>
              </w:rPr>
              <w:t>Evidence</w:t>
            </w:r>
          </w:p>
        </w:tc>
        <w:tc>
          <w:tcPr>
            <w:tcW w:type="dxa" w:w="1440"/>
            <w:vAlign w:val="center"/>
            <w:shd w:fill="17324D"/>
          </w:tcPr>
          <w:p>
            <w:pPr>
              <w:spacing w:after="0"/>
            </w:pPr>
            <w:r/>
            <w:r>
              <w:rPr>
                <w:rFonts w:ascii="Aptos" w:hAnsi="Aptos"/>
                <w:b/>
                <w:color w:val="FFFFFF"/>
                <w:sz w:val="15"/>
              </w:rPr>
              <w:t>Gap</w:t>
            </w:r>
          </w:p>
        </w:tc>
        <w:tc>
          <w:tcPr>
            <w:tcW w:type="dxa" w:w="1440"/>
            <w:vAlign w:val="center"/>
            <w:shd w:fill="17324D"/>
          </w:tcPr>
          <w:p>
            <w:pPr>
              <w:spacing w:after="0"/>
            </w:pPr>
            <w:r/>
            <w:r>
              <w:rPr>
                <w:rFonts w:ascii="Aptos" w:hAnsi="Aptos"/>
                <w:b/>
                <w:color w:val="FFFFFF"/>
                <w:sz w:val="15"/>
              </w:rPr>
              <w:t>Action</w:t>
            </w:r>
          </w:p>
        </w:tc>
        <w:tc>
          <w:tcPr>
            <w:tcW w:type="dxa" w:w="1152"/>
            <w:vAlign w:val="center"/>
            <w:shd w:fill="17324D"/>
          </w:tcPr>
          <w:p>
            <w:pPr>
              <w:spacing w:after="0"/>
            </w:pPr>
            <w:r/>
            <w:r>
              <w:rPr>
                <w:rFonts w:ascii="Aptos" w:hAnsi="Aptos"/>
                <w:b/>
                <w:color w:val="FFFFFF"/>
                <w:sz w:val="15"/>
              </w:rPr>
              <w:t>Status</w:t>
            </w:r>
          </w:p>
        </w:tc>
      </w:tr>
      <w:tr>
        <w:trPr>
          <w:cantSplit/>
        </w:trPr>
        <w:tc>
          <w:tcPr>
            <w:tcW w:type="dxa" w:w="1296"/>
            <w:vAlign w:val="center"/>
          </w:tcPr>
          <w:p>
            <w:pPr>
              <w:spacing w:after="0"/>
            </w:pPr>
            <w:r/>
            <w:r>
              <w:rPr>
                <w:rFonts w:ascii="Aptos" w:hAnsi="Aptos"/>
                <w:b w:val="0"/>
                <w:sz w:val="15"/>
              </w:rPr>
            </w:r>
          </w:p>
        </w:tc>
        <w:tc>
          <w:tcPr>
            <w:tcW w:type="dxa" w:w="1440"/>
            <w:vAlign w:val="center"/>
          </w:tcPr>
          <w:p>
            <w:pPr>
              <w:spacing w:after="0"/>
            </w:pPr>
            <w:r/>
            <w:r>
              <w:rPr>
                <w:rFonts w:ascii="Aptos" w:hAnsi="Aptos"/>
                <w:b w:val="0"/>
                <w:sz w:val="15"/>
              </w:rPr>
            </w:r>
          </w:p>
        </w:tc>
        <w:tc>
          <w:tcPr>
            <w:tcW w:type="dxa" w:w="1440"/>
            <w:vAlign w:val="center"/>
          </w:tcPr>
          <w:p>
            <w:pPr>
              <w:spacing w:after="0"/>
            </w:pPr>
            <w:r/>
            <w:r>
              <w:rPr>
                <w:rFonts w:ascii="Aptos" w:hAnsi="Aptos"/>
                <w:b w:val="0"/>
                <w:sz w:val="15"/>
              </w:rPr>
            </w:r>
          </w:p>
        </w:tc>
        <w:tc>
          <w:tcPr>
            <w:tcW w:type="dxa" w:w="1440"/>
            <w:vAlign w:val="center"/>
          </w:tcPr>
          <w:p>
            <w:pPr>
              <w:spacing w:after="0"/>
            </w:pPr>
            <w:r/>
            <w:r>
              <w:rPr>
                <w:rFonts w:ascii="Aptos" w:hAnsi="Aptos"/>
                <w:b w:val="0"/>
                <w:sz w:val="15"/>
              </w:rPr>
            </w:r>
          </w:p>
        </w:tc>
        <w:tc>
          <w:tcPr>
            <w:tcW w:type="dxa" w:w="1584"/>
            <w:vAlign w:val="center"/>
          </w:tcPr>
          <w:p>
            <w:pPr>
              <w:spacing w:after="0"/>
            </w:pPr>
            <w:r/>
            <w:r>
              <w:rPr>
                <w:rFonts w:ascii="Aptos" w:hAnsi="Aptos"/>
                <w:b w:val="0"/>
                <w:sz w:val="15"/>
              </w:rPr>
            </w:r>
          </w:p>
        </w:tc>
        <w:tc>
          <w:tcPr>
            <w:tcW w:type="dxa" w:w="1440"/>
            <w:vAlign w:val="center"/>
          </w:tcPr>
          <w:p>
            <w:pPr>
              <w:spacing w:after="0"/>
            </w:pPr>
            <w:r/>
            <w:r>
              <w:rPr>
                <w:rFonts w:ascii="Aptos" w:hAnsi="Aptos"/>
                <w:b w:val="0"/>
                <w:sz w:val="15"/>
              </w:rPr>
            </w:r>
          </w:p>
        </w:tc>
        <w:tc>
          <w:tcPr>
            <w:tcW w:type="dxa" w:w="1440"/>
            <w:vAlign w:val="center"/>
          </w:tcPr>
          <w:p>
            <w:pPr>
              <w:spacing w:after="0"/>
            </w:pPr>
            <w:r/>
            <w:r>
              <w:rPr>
                <w:rFonts w:ascii="Aptos" w:hAnsi="Aptos"/>
                <w:b w:val="0"/>
                <w:sz w:val="15"/>
              </w:rPr>
            </w:r>
          </w:p>
        </w:tc>
        <w:tc>
          <w:tcPr>
            <w:tcW w:type="dxa" w:w="1152"/>
            <w:vAlign w:val="center"/>
          </w:tcPr>
          <w:p>
            <w:pPr>
              <w:spacing w:after="0"/>
            </w:pPr>
            <w:r/>
            <w:r>
              <w:rPr>
                <w:rFonts w:ascii="Aptos" w:hAnsi="Aptos"/>
                <w:b w:val="0"/>
                <w:sz w:val="15"/>
              </w:rPr>
            </w:r>
          </w:p>
        </w:tc>
      </w:tr>
      <w:tr>
        <w:trPr>
          <w:cantSplit/>
        </w:trPr>
        <w:tc>
          <w:tcPr>
            <w:tcW w:type="dxa" w:w="1296"/>
            <w:vAlign w:val="center"/>
            <w:shd w:fill="F3F6F7"/>
          </w:tcPr>
          <w:p>
            <w:pPr>
              <w:spacing w:after="0"/>
            </w:pPr>
            <w:r/>
            <w:r>
              <w:rPr>
                <w:rFonts w:ascii="Aptos" w:hAnsi="Aptos"/>
                <w:b w:val="0"/>
                <w:sz w:val="15"/>
              </w:rPr>
            </w:r>
          </w:p>
        </w:tc>
        <w:tc>
          <w:tcPr>
            <w:tcW w:type="dxa" w:w="1440"/>
            <w:vAlign w:val="center"/>
            <w:shd w:fill="F3F6F7"/>
          </w:tcPr>
          <w:p>
            <w:pPr>
              <w:spacing w:after="0"/>
            </w:pPr>
            <w:r/>
            <w:r>
              <w:rPr>
                <w:rFonts w:ascii="Aptos" w:hAnsi="Aptos"/>
                <w:b w:val="0"/>
                <w:sz w:val="15"/>
              </w:rPr>
            </w:r>
          </w:p>
        </w:tc>
        <w:tc>
          <w:tcPr>
            <w:tcW w:type="dxa" w:w="1440"/>
            <w:vAlign w:val="center"/>
            <w:shd w:fill="F3F6F7"/>
          </w:tcPr>
          <w:p>
            <w:pPr>
              <w:spacing w:after="0"/>
            </w:pPr>
            <w:r/>
            <w:r>
              <w:rPr>
                <w:rFonts w:ascii="Aptos" w:hAnsi="Aptos"/>
                <w:b w:val="0"/>
                <w:sz w:val="15"/>
              </w:rPr>
            </w:r>
          </w:p>
        </w:tc>
        <w:tc>
          <w:tcPr>
            <w:tcW w:type="dxa" w:w="1440"/>
            <w:vAlign w:val="center"/>
            <w:shd w:fill="F3F6F7"/>
          </w:tcPr>
          <w:p>
            <w:pPr>
              <w:spacing w:after="0"/>
            </w:pPr>
            <w:r/>
            <w:r>
              <w:rPr>
                <w:rFonts w:ascii="Aptos" w:hAnsi="Aptos"/>
                <w:b w:val="0"/>
                <w:sz w:val="15"/>
              </w:rPr>
            </w:r>
          </w:p>
        </w:tc>
        <w:tc>
          <w:tcPr>
            <w:tcW w:type="dxa" w:w="1584"/>
            <w:vAlign w:val="center"/>
            <w:shd w:fill="F3F6F7"/>
          </w:tcPr>
          <w:p>
            <w:pPr>
              <w:spacing w:after="0"/>
            </w:pPr>
            <w:r/>
            <w:r>
              <w:rPr>
                <w:rFonts w:ascii="Aptos" w:hAnsi="Aptos"/>
                <w:b w:val="0"/>
                <w:sz w:val="15"/>
              </w:rPr>
            </w:r>
          </w:p>
        </w:tc>
        <w:tc>
          <w:tcPr>
            <w:tcW w:type="dxa" w:w="1440"/>
            <w:vAlign w:val="center"/>
            <w:shd w:fill="F3F6F7"/>
          </w:tcPr>
          <w:p>
            <w:pPr>
              <w:spacing w:after="0"/>
            </w:pPr>
            <w:r/>
            <w:r>
              <w:rPr>
                <w:rFonts w:ascii="Aptos" w:hAnsi="Aptos"/>
                <w:b w:val="0"/>
                <w:sz w:val="15"/>
              </w:rPr>
            </w:r>
          </w:p>
        </w:tc>
        <w:tc>
          <w:tcPr>
            <w:tcW w:type="dxa" w:w="1440"/>
            <w:vAlign w:val="center"/>
            <w:shd w:fill="F3F6F7"/>
          </w:tcPr>
          <w:p>
            <w:pPr>
              <w:spacing w:after="0"/>
            </w:pPr>
            <w:r/>
            <w:r>
              <w:rPr>
                <w:rFonts w:ascii="Aptos" w:hAnsi="Aptos"/>
                <w:b w:val="0"/>
                <w:sz w:val="15"/>
              </w:rPr>
            </w:r>
          </w:p>
        </w:tc>
        <w:tc>
          <w:tcPr>
            <w:tcW w:type="dxa" w:w="1152"/>
            <w:vAlign w:val="center"/>
            <w:shd w:fill="F3F6F7"/>
          </w:tcPr>
          <w:p>
            <w:pPr>
              <w:spacing w:after="0"/>
            </w:pPr>
            <w:r/>
            <w:r>
              <w:rPr>
                <w:rFonts w:ascii="Aptos" w:hAnsi="Aptos"/>
                <w:b w:val="0"/>
                <w:sz w:val="15"/>
              </w:rPr>
            </w:r>
          </w:p>
        </w:tc>
      </w:tr>
      <w:tr>
        <w:trPr>
          <w:cantSplit/>
        </w:trPr>
        <w:tc>
          <w:tcPr>
            <w:tcW w:type="dxa" w:w="1296"/>
            <w:vAlign w:val="center"/>
          </w:tcPr>
          <w:p>
            <w:pPr>
              <w:spacing w:after="0"/>
            </w:pPr>
            <w:r/>
            <w:r>
              <w:rPr>
                <w:rFonts w:ascii="Aptos" w:hAnsi="Aptos"/>
                <w:b w:val="0"/>
                <w:sz w:val="15"/>
              </w:rPr>
            </w:r>
          </w:p>
        </w:tc>
        <w:tc>
          <w:tcPr>
            <w:tcW w:type="dxa" w:w="1440"/>
            <w:vAlign w:val="center"/>
          </w:tcPr>
          <w:p>
            <w:pPr>
              <w:spacing w:after="0"/>
            </w:pPr>
            <w:r/>
            <w:r>
              <w:rPr>
                <w:rFonts w:ascii="Aptos" w:hAnsi="Aptos"/>
                <w:b w:val="0"/>
                <w:sz w:val="15"/>
              </w:rPr>
            </w:r>
          </w:p>
        </w:tc>
        <w:tc>
          <w:tcPr>
            <w:tcW w:type="dxa" w:w="1440"/>
            <w:vAlign w:val="center"/>
          </w:tcPr>
          <w:p>
            <w:pPr>
              <w:spacing w:after="0"/>
            </w:pPr>
            <w:r/>
            <w:r>
              <w:rPr>
                <w:rFonts w:ascii="Aptos" w:hAnsi="Aptos"/>
                <w:b w:val="0"/>
                <w:sz w:val="15"/>
              </w:rPr>
            </w:r>
          </w:p>
        </w:tc>
        <w:tc>
          <w:tcPr>
            <w:tcW w:type="dxa" w:w="1440"/>
            <w:vAlign w:val="center"/>
          </w:tcPr>
          <w:p>
            <w:pPr>
              <w:spacing w:after="0"/>
            </w:pPr>
            <w:r/>
            <w:r>
              <w:rPr>
                <w:rFonts w:ascii="Aptos" w:hAnsi="Aptos"/>
                <w:b w:val="0"/>
                <w:sz w:val="15"/>
              </w:rPr>
            </w:r>
          </w:p>
        </w:tc>
        <w:tc>
          <w:tcPr>
            <w:tcW w:type="dxa" w:w="1584"/>
            <w:vAlign w:val="center"/>
          </w:tcPr>
          <w:p>
            <w:pPr>
              <w:spacing w:after="0"/>
            </w:pPr>
            <w:r/>
            <w:r>
              <w:rPr>
                <w:rFonts w:ascii="Aptos" w:hAnsi="Aptos"/>
                <w:b w:val="0"/>
                <w:sz w:val="15"/>
              </w:rPr>
            </w:r>
          </w:p>
        </w:tc>
        <w:tc>
          <w:tcPr>
            <w:tcW w:type="dxa" w:w="1440"/>
            <w:vAlign w:val="center"/>
          </w:tcPr>
          <w:p>
            <w:pPr>
              <w:spacing w:after="0"/>
            </w:pPr>
            <w:r/>
            <w:r>
              <w:rPr>
                <w:rFonts w:ascii="Aptos" w:hAnsi="Aptos"/>
                <w:b w:val="0"/>
                <w:sz w:val="15"/>
              </w:rPr>
            </w:r>
          </w:p>
        </w:tc>
        <w:tc>
          <w:tcPr>
            <w:tcW w:type="dxa" w:w="1440"/>
            <w:vAlign w:val="center"/>
          </w:tcPr>
          <w:p>
            <w:pPr>
              <w:spacing w:after="0"/>
            </w:pPr>
            <w:r/>
            <w:r>
              <w:rPr>
                <w:rFonts w:ascii="Aptos" w:hAnsi="Aptos"/>
                <w:b w:val="0"/>
                <w:sz w:val="15"/>
              </w:rPr>
            </w:r>
          </w:p>
        </w:tc>
        <w:tc>
          <w:tcPr>
            <w:tcW w:type="dxa" w:w="1152"/>
            <w:vAlign w:val="center"/>
          </w:tcPr>
          <w:p>
            <w:pPr>
              <w:spacing w:after="0"/>
            </w:pPr>
            <w:r/>
            <w:r>
              <w:rPr>
                <w:rFonts w:ascii="Aptos" w:hAnsi="Aptos"/>
                <w:b w:val="0"/>
                <w:sz w:val="15"/>
              </w:rPr>
            </w:r>
          </w:p>
        </w:tc>
      </w:tr>
    </w:tbl>
    <w:p/>
    <w:p>
      <w:pPr>
        <w:pStyle w:val="Heading1"/>
      </w:pPr>
      <w:r>
        <w:t>Annex C — Evidence Reuse Assessment Template</w:t>
      </w:r>
    </w:p>
    <w:tbl>
      <w:tblPr>
        <w:tblStyle w:val="TableGrid"/>
        <w:tblW w:type="auto" w:w="0"/>
        <w:jc w:val="center"/>
        <w:tblLook w:firstColumn="1" w:firstRow="1" w:lastColumn="0" w:lastRow="0" w:noHBand="0" w:noVBand="1" w:val="04A0"/>
      </w:tblPr>
      <w:tblGrid>
        <w:gridCol w:w="1285"/>
        <w:gridCol w:w="1285"/>
        <w:gridCol w:w="1285"/>
        <w:gridCol w:w="1285"/>
        <w:gridCol w:w="1285"/>
        <w:gridCol w:w="1285"/>
        <w:gridCol w:w="1285"/>
        <w:gridCol w:w="1285"/>
      </w:tblGrid>
      <w:tr>
        <w:trPr>
          <w:tblHeader w:val="true"/>
          <w:cantSplit/>
        </w:trPr>
        <w:tc>
          <w:tcPr>
            <w:tcW w:type="dxa" w:w="1440"/>
            <w:vAlign w:val="center"/>
            <w:shd w:fill="17324D"/>
          </w:tcPr>
          <w:p>
            <w:pPr>
              <w:spacing w:after="0"/>
            </w:pPr>
            <w:r/>
            <w:r>
              <w:rPr>
                <w:rFonts w:ascii="Aptos" w:hAnsi="Aptos"/>
                <w:b/>
                <w:color w:val="FFFFFF"/>
                <w:sz w:val="15"/>
              </w:rPr>
              <w:t>Evidence ID</w:t>
            </w:r>
          </w:p>
        </w:tc>
        <w:tc>
          <w:tcPr>
            <w:tcW w:type="dxa" w:w="1728"/>
            <w:vAlign w:val="center"/>
            <w:shd w:fill="17324D"/>
          </w:tcPr>
          <w:p>
            <w:pPr>
              <w:spacing w:after="0"/>
            </w:pPr>
            <w:r/>
            <w:r>
              <w:rPr>
                <w:rFonts w:ascii="Aptos" w:hAnsi="Aptos"/>
                <w:b/>
                <w:color w:val="FFFFFF"/>
                <w:sz w:val="15"/>
              </w:rPr>
              <w:t>Source framework</w:t>
            </w:r>
          </w:p>
        </w:tc>
        <w:tc>
          <w:tcPr>
            <w:tcW w:type="dxa" w:w="1440"/>
            <w:vAlign w:val="center"/>
            <w:shd w:fill="17324D"/>
          </w:tcPr>
          <w:p>
            <w:pPr>
              <w:spacing w:after="0"/>
            </w:pPr>
            <w:r/>
            <w:r>
              <w:rPr>
                <w:rFonts w:ascii="Aptos" w:hAnsi="Aptos"/>
                <w:b/>
                <w:color w:val="FFFFFF"/>
                <w:sz w:val="15"/>
              </w:rPr>
              <w:t>GAISSF control</w:t>
            </w:r>
          </w:p>
        </w:tc>
        <w:tc>
          <w:tcPr>
            <w:tcW w:type="dxa" w:w="1440"/>
            <w:vAlign w:val="center"/>
            <w:shd w:fill="17324D"/>
          </w:tcPr>
          <w:p>
            <w:pPr>
              <w:spacing w:after="0"/>
            </w:pPr>
            <w:r/>
            <w:r>
              <w:rPr>
                <w:rFonts w:ascii="Aptos" w:hAnsi="Aptos"/>
                <w:b/>
                <w:color w:val="FFFFFF"/>
                <w:sz w:val="15"/>
              </w:rPr>
              <w:t>Scope match</w:t>
            </w:r>
          </w:p>
        </w:tc>
        <w:tc>
          <w:tcPr>
            <w:tcW w:type="dxa" w:w="1152"/>
            <w:vAlign w:val="center"/>
            <w:shd w:fill="17324D"/>
          </w:tcPr>
          <w:p>
            <w:pPr>
              <w:spacing w:after="0"/>
            </w:pPr>
            <w:r/>
            <w:r>
              <w:rPr>
                <w:rFonts w:ascii="Aptos" w:hAnsi="Aptos"/>
                <w:b/>
                <w:color w:val="FFFFFF"/>
                <w:sz w:val="15"/>
              </w:rPr>
              <w:t>Currency</w:t>
            </w:r>
          </w:p>
        </w:tc>
        <w:tc>
          <w:tcPr>
            <w:tcW w:type="dxa" w:w="1152"/>
            <w:vAlign w:val="center"/>
            <w:shd w:fill="17324D"/>
          </w:tcPr>
          <w:p>
            <w:pPr>
              <w:spacing w:after="0"/>
            </w:pPr>
            <w:r/>
            <w:r>
              <w:rPr>
                <w:rFonts w:ascii="Aptos" w:hAnsi="Aptos"/>
                <w:b/>
                <w:color w:val="FFFFFF"/>
                <w:sz w:val="15"/>
              </w:rPr>
              <w:t>Integrity</w:t>
            </w:r>
          </w:p>
        </w:tc>
        <w:tc>
          <w:tcPr>
            <w:tcW w:type="dxa" w:w="1440"/>
            <w:vAlign w:val="center"/>
            <w:shd w:fill="17324D"/>
          </w:tcPr>
          <w:p>
            <w:pPr>
              <w:spacing w:after="0"/>
            </w:pPr>
            <w:r/>
            <w:r>
              <w:rPr>
                <w:rFonts w:ascii="Aptos" w:hAnsi="Aptos"/>
                <w:b/>
                <w:color w:val="FFFFFF"/>
                <w:sz w:val="15"/>
              </w:rPr>
              <w:t>Decision</w:t>
            </w:r>
          </w:p>
        </w:tc>
        <w:tc>
          <w:tcPr>
            <w:tcW w:type="dxa" w:w="1440"/>
            <w:vAlign w:val="center"/>
            <w:shd w:fill="17324D"/>
          </w:tcPr>
          <w:p>
            <w:pPr>
              <w:spacing w:after="0"/>
            </w:pPr>
            <w:r/>
            <w:r>
              <w:rPr>
                <w:rFonts w:ascii="Aptos" w:hAnsi="Aptos"/>
                <w:b/>
                <w:color w:val="FFFFFF"/>
                <w:sz w:val="15"/>
              </w:rPr>
              <w:t>Reviewer</w:t>
            </w:r>
          </w:p>
        </w:tc>
      </w:tr>
      <w:tr>
        <w:trPr>
          <w:cantSplit/>
        </w:trPr>
        <w:tc>
          <w:tcPr>
            <w:tcW w:type="dxa" w:w="1440"/>
            <w:vAlign w:val="center"/>
          </w:tcPr>
          <w:p>
            <w:pPr>
              <w:spacing w:after="0"/>
            </w:pPr>
            <w:r/>
            <w:r>
              <w:rPr>
                <w:rFonts w:ascii="Aptos" w:hAnsi="Aptos"/>
                <w:b w:val="0"/>
                <w:sz w:val="15"/>
              </w:rPr>
            </w:r>
          </w:p>
        </w:tc>
        <w:tc>
          <w:tcPr>
            <w:tcW w:type="dxa" w:w="1728"/>
            <w:vAlign w:val="center"/>
          </w:tcPr>
          <w:p>
            <w:pPr>
              <w:spacing w:after="0"/>
            </w:pPr>
            <w:r/>
            <w:r>
              <w:rPr>
                <w:rFonts w:ascii="Aptos" w:hAnsi="Aptos"/>
                <w:b w:val="0"/>
                <w:sz w:val="15"/>
              </w:rPr>
            </w:r>
          </w:p>
        </w:tc>
        <w:tc>
          <w:tcPr>
            <w:tcW w:type="dxa" w:w="1440"/>
            <w:vAlign w:val="center"/>
          </w:tcPr>
          <w:p>
            <w:pPr>
              <w:spacing w:after="0"/>
            </w:pPr>
            <w:r/>
            <w:r>
              <w:rPr>
                <w:rFonts w:ascii="Aptos" w:hAnsi="Aptos"/>
                <w:b w:val="0"/>
                <w:sz w:val="15"/>
              </w:rPr>
            </w:r>
          </w:p>
        </w:tc>
        <w:tc>
          <w:tcPr>
            <w:tcW w:type="dxa" w:w="1440"/>
            <w:vAlign w:val="center"/>
          </w:tcPr>
          <w:p>
            <w:pPr>
              <w:spacing w:after="0"/>
            </w:pPr>
            <w:r/>
            <w:r>
              <w:rPr>
                <w:rFonts w:ascii="Aptos" w:hAnsi="Aptos"/>
                <w:b w:val="0"/>
                <w:sz w:val="15"/>
              </w:rPr>
            </w:r>
          </w:p>
        </w:tc>
        <w:tc>
          <w:tcPr>
            <w:tcW w:type="dxa" w:w="1152"/>
            <w:vAlign w:val="center"/>
          </w:tcPr>
          <w:p>
            <w:pPr>
              <w:spacing w:after="0"/>
            </w:pPr>
            <w:r/>
            <w:r>
              <w:rPr>
                <w:rFonts w:ascii="Aptos" w:hAnsi="Aptos"/>
                <w:b w:val="0"/>
                <w:sz w:val="15"/>
              </w:rPr>
            </w:r>
          </w:p>
        </w:tc>
        <w:tc>
          <w:tcPr>
            <w:tcW w:type="dxa" w:w="1152"/>
            <w:vAlign w:val="center"/>
          </w:tcPr>
          <w:p>
            <w:pPr>
              <w:spacing w:after="0"/>
            </w:pPr>
            <w:r/>
            <w:r>
              <w:rPr>
                <w:rFonts w:ascii="Aptos" w:hAnsi="Aptos"/>
                <w:b w:val="0"/>
                <w:sz w:val="15"/>
              </w:rPr>
            </w:r>
          </w:p>
        </w:tc>
        <w:tc>
          <w:tcPr>
            <w:tcW w:type="dxa" w:w="1440"/>
            <w:vAlign w:val="center"/>
          </w:tcPr>
          <w:p>
            <w:pPr>
              <w:spacing w:after="0"/>
            </w:pPr>
            <w:r/>
            <w:r>
              <w:rPr>
                <w:rFonts w:ascii="Aptos" w:hAnsi="Aptos"/>
                <w:b w:val="0"/>
                <w:sz w:val="15"/>
              </w:rPr>
            </w:r>
          </w:p>
        </w:tc>
        <w:tc>
          <w:tcPr>
            <w:tcW w:type="dxa" w:w="1440"/>
            <w:vAlign w:val="center"/>
          </w:tcPr>
          <w:p>
            <w:pPr>
              <w:spacing w:after="0"/>
            </w:pPr>
            <w:r/>
            <w:r>
              <w:rPr>
                <w:rFonts w:ascii="Aptos" w:hAnsi="Aptos"/>
                <w:b w:val="0"/>
                <w:sz w:val="15"/>
              </w:rPr>
            </w:r>
          </w:p>
        </w:tc>
      </w:tr>
      <w:tr>
        <w:trPr>
          <w:cantSplit/>
        </w:trPr>
        <w:tc>
          <w:tcPr>
            <w:tcW w:type="dxa" w:w="1440"/>
            <w:vAlign w:val="center"/>
            <w:shd w:fill="F3F6F7"/>
          </w:tcPr>
          <w:p>
            <w:pPr>
              <w:spacing w:after="0"/>
            </w:pPr>
            <w:r/>
            <w:r>
              <w:rPr>
                <w:rFonts w:ascii="Aptos" w:hAnsi="Aptos"/>
                <w:b w:val="0"/>
                <w:sz w:val="15"/>
              </w:rPr>
            </w:r>
          </w:p>
        </w:tc>
        <w:tc>
          <w:tcPr>
            <w:tcW w:type="dxa" w:w="1728"/>
            <w:vAlign w:val="center"/>
            <w:shd w:fill="F3F6F7"/>
          </w:tcPr>
          <w:p>
            <w:pPr>
              <w:spacing w:after="0"/>
            </w:pPr>
            <w:r/>
            <w:r>
              <w:rPr>
                <w:rFonts w:ascii="Aptos" w:hAnsi="Aptos"/>
                <w:b w:val="0"/>
                <w:sz w:val="15"/>
              </w:rPr>
            </w:r>
          </w:p>
        </w:tc>
        <w:tc>
          <w:tcPr>
            <w:tcW w:type="dxa" w:w="1440"/>
            <w:vAlign w:val="center"/>
            <w:shd w:fill="F3F6F7"/>
          </w:tcPr>
          <w:p>
            <w:pPr>
              <w:spacing w:after="0"/>
            </w:pPr>
            <w:r/>
            <w:r>
              <w:rPr>
                <w:rFonts w:ascii="Aptos" w:hAnsi="Aptos"/>
                <w:b w:val="0"/>
                <w:sz w:val="15"/>
              </w:rPr>
            </w:r>
          </w:p>
        </w:tc>
        <w:tc>
          <w:tcPr>
            <w:tcW w:type="dxa" w:w="1440"/>
            <w:vAlign w:val="center"/>
            <w:shd w:fill="F3F6F7"/>
          </w:tcPr>
          <w:p>
            <w:pPr>
              <w:spacing w:after="0"/>
            </w:pPr>
            <w:r/>
            <w:r>
              <w:rPr>
                <w:rFonts w:ascii="Aptos" w:hAnsi="Aptos"/>
                <w:b w:val="0"/>
                <w:sz w:val="15"/>
              </w:rPr>
            </w:r>
          </w:p>
        </w:tc>
        <w:tc>
          <w:tcPr>
            <w:tcW w:type="dxa" w:w="1152"/>
            <w:vAlign w:val="center"/>
            <w:shd w:fill="F3F6F7"/>
          </w:tcPr>
          <w:p>
            <w:pPr>
              <w:spacing w:after="0"/>
            </w:pPr>
            <w:r/>
            <w:r>
              <w:rPr>
                <w:rFonts w:ascii="Aptos" w:hAnsi="Aptos"/>
                <w:b w:val="0"/>
                <w:sz w:val="15"/>
              </w:rPr>
            </w:r>
          </w:p>
        </w:tc>
        <w:tc>
          <w:tcPr>
            <w:tcW w:type="dxa" w:w="1152"/>
            <w:vAlign w:val="center"/>
            <w:shd w:fill="F3F6F7"/>
          </w:tcPr>
          <w:p>
            <w:pPr>
              <w:spacing w:after="0"/>
            </w:pPr>
            <w:r/>
            <w:r>
              <w:rPr>
                <w:rFonts w:ascii="Aptos" w:hAnsi="Aptos"/>
                <w:b w:val="0"/>
                <w:sz w:val="15"/>
              </w:rPr>
            </w:r>
          </w:p>
        </w:tc>
        <w:tc>
          <w:tcPr>
            <w:tcW w:type="dxa" w:w="1440"/>
            <w:vAlign w:val="center"/>
            <w:shd w:fill="F3F6F7"/>
          </w:tcPr>
          <w:p>
            <w:pPr>
              <w:spacing w:after="0"/>
            </w:pPr>
            <w:r/>
            <w:r>
              <w:rPr>
                <w:rFonts w:ascii="Aptos" w:hAnsi="Aptos"/>
                <w:b w:val="0"/>
                <w:sz w:val="15"/>
              </w:rPr>
            </w:r>
          </w:p>
        </w:tc>
        <w:tc>
          <w:tcPr>
            <w:tcW w:type="dxa" w:w="1440"/>
            <w:vAlign w:val="center"/>
            <w:shd w:fill="F3F6F7"/>
          </w:tcPr>
          <w:p>
            <w:pPr>
              <w:spacing w:after="0"/>
            </w:pPr>
            <w:r/>
            <w:r>
              <w:rPr>
                <w:rFonts w:ascii="Aptos" w:hAnsi="Aptos"/>
                <w:b w:val="0"/>
                <w:sz w:val="15"/>
              </w:rPr>
            </w:r>
          </w:p>
        </w:tc>
      </w:tr>
      <w:tr>
        <w:trPr>
          <w:cantSplit/>
        </w:trPr>
        <w:tc>
          <w:tcPr>
            <w:tcW w:type="dxa" w:w="1440"/>
            <w:vAlign w:val="center"/>
          </w:tcPr>
          <w:p>
            <w:pPr>
              <w:spacing w:after="0"/>
            </w:pPr>
            <w:r/>
            <w:r>
              <w:rPr>
                <w:rFonts w:ascii="Aptos" w:hAnsi="Aptos"/>
                <w:b w:val="0"/>
                <w:sz w:val="15"/>
              </w:rPr>
            </w:r>
          </w:p>
        </w:tc>
        <w:tc>
          <w:tcPr>
            <w:tcW w:type="dxa" w:w="1728"/>
            <w:vAlign w:val="center"/>
          </w:tcPr>
          <w:p>
            <w:pPr>
              <w:spacing w:after="0"/>
            </w:pPr>
            <w:r/>
            <w:r>
              <w:rPr>
                <w:rFonts w:ascii="Aptos" w:hAnsi="Aptos"/>
                <w:b w:val="0"/>
                <w:sz w:val="15"/>
              </w:rPr>
            </w:r>
          </w:p>
        </w:tc>
        <w:tc>
          <w:tcPr>
            <w:tcW w:type="dxa" w:w="1440"/>
            <w:vAlign w:val="center"/>
          </w:tcPr>
          <w:p>
            <w:pPr>
              <w:spacing w:after="0"/>
            </w:pPr>
            <w:r/>
            <w:r>
              <w:rPr>
                <w:rFonts w:ascii="Aptos" w:hAnsi="Aptos"/>
                <w:b w:val="0"/>
                <w:sz w:val="15"/>
              </w:rPr>
            </w:r>
          </w:p>
        </w:tc>
        <w:tc>
          <w:tcPr>
            <w:tcW w:type="dxa" w:w="1440"/>
            <w:vAlign w:val="center"/>
          </w:tcPr>
          <w:p>
            <w:pPr>
              <w:spacing w:after="0"/>
            </w:pPr>
            <w:r/>
            <w:r>
              <w:rPr>
                <w:rFonts w:ascii="Aptos" w:hAnsi="Aptos"/>
                <w:b w:val="0"/>
                <w:sz w:val="15"/>
              </w:rPr>
            </w:r>
          </w:p>
        </w:tc>
        <w:tc>
          <w:tcPr>
            <w:tcW w:type="dxa" w:w="1152"/>
            <w:vAlign w:val="center"/>
          </w:tcPr>
          <w:p>
            <w:pPr>
              <w:spacing w:after="0"/>
            </w:pPr>
            <w:r/>
            <w:r>
              <w:rPr>
                <w:rFonts w:ascii="Aptos" w:hAnsi="Aptos"/>
                <w:b w:val="0"/>
                <w:sz w:val="15"/>
              </w:rPr>
            </w:r>
          </w:p>
        </w:tc>
        <w:tc>
          <w:tcPr>
            <w:tcW w:type="dxa" w:w="1152"/>
            <w:vAlign w:val="center"/>
          </w:tcPr>
          <w:p>
            <w:pPr>
              <w:spacing w:after="0"/>
            </w:pPr>
            <w:r/>
            <w:r>
              <w:rPr>
                <w:rFonts w:ascii="Aptos" w:hAnsi="Aptos"/>
                <w:b w:val="0"/>
                <w:sz w:val="15"/>
              </w:rPr>
            </w:r>
          </w:p>
        </w:tc>
        <w:tc>
          <w:tcPr>
            <w:tcW w:type="dxa" w:w="1440"/>
            <w:vAlign w:val="center"/>
          </w:tcPr>
          <w:p>
            <w:pPr>
              <w:spacing w:after="0"/>
            </w:pPr>
            <w:r/>
            <w:r>
              <w:rPr>
                <w:rFonts w:ascii="Aptos" w:hAnsi="Aptos"/>
                <w:b w:val="0"/>
                <w:sz w:val="15"/>
              </w:rPr>
            </w:r>
          </w:p>
        </w:tc>
        <w:tc>
          <w:tcPr>
            <w:tcW w:type="dxa" w:w="1440"/>
            <w:vAlign w:val="center"/>
          </w:tcPr>
          <w:p>
            <w:pPr>
              <w:spacing w:after="0"/>
            </w:pPr>
            <w:r/>
            <w:r>
              <w:rPr>
                <w:rFonts w:ascii="Aptos" w:hAnsi="Aptos"/>
                <w:b w:val="0"/>
                <w:sz w:val="15"/>
              </w:rPr>
            </w:r>
          </w:p>
        </w:tc>
      </w:tr>
    </w:tbl>
    <w:p/>
    <w:p>
      <w:pPr>
        <w:pStyle w:val="Heading1"/>
      </w:pPr>
      <w:r>
        <w:t>Annex D — Legacy Control Retirement Record</w:t>
      </w:r>
    </w:p>
    <w:tbl>
      <w:tblPr>
        <w:tblStyle w:val="TableGrid"/>
        <w:tblW w:type="auto" w:w="0"/>
        <w:jc w:val="center"/>
        <w:tblLook w:firstColumn="1" w:firstRow="1" w:lastColumn="0" w:lastRow="0" w:noHBand="0" w:noVBand="1" w:val="04A0"/>
      </w:tblPr>
      <w:tblGrid>
        <w:gridCol w:w="5141"/>
        <w:gridCol w:w="5141"/>
      </w:tblGrid>
      <w:tr>
        <w:trPr>
          <w:tblHeader w:val="true"/>
          <w:cantSplit/>
        </w:trPr>
        <w:tc>
          <w:tcPr>
            <w:tcW w:type="dxa" w:w="3168"/>
            <w:vAlign w:val="center"/>
            <w:shd w:fill="17324D"/>
          </w:tcPr>
          <w:p>
            <w:pPr>
              <w:spacing w:after="0"/>
            </w:pPr>
            <w:r/>
            <w:r>
              <w:rPr>
                <w:rFonts w:ascii="Aptos" w:hAnsi="Aptos"/>
                <w:b/>
                <w:color w:val="FFFFFF"/>
                <w:sz w:val="15"/>
              </w:rPr>
              <w:t>Field</w:t>
            </w:r>
          </w:p>
        </w:tc>
        <w:tc>
          <w:tcPr>
            <w:tcW w:type="dxa" w:w="6480"/>
            <w:vAlign w:val="center"/>
            <w:shd w:fill="17324D"/>
          </w:tcPr>
          <w:p>
            <w:pPr>
              <w:spacing w:after="0"/>
            </w:pPr>
            <w:r/>
            <w:r>
              <w:rPr>
                <w:rFonts w:ascii="Aptos" w:hAnsi="Aptos"/>
                <w:b/>
                <w:color w:val="FFFFFF"/>
                <w:sz w:val="15"/>
              </w:rPr>
              <w:t>Entry</w:t>
            </w:r>
          </w:p>
        </w:tc>
      </w:tr>
      <w:tr>
        <w:trPr>
          <w:cantSplit/>
        </w:trPr>
        <w:tc>
          <w:tcPr>
            <w:tcW w:type="dxa" w:w="3168"/>
            <w:vAlign w:val="center"/>
          </w:tcPr>
          <w:p>
            <w:pPr>
              <w:spacing w:after="0"/>
            </w:pPr>
            <w:r/>
            <w:r>
              <w:rPr>
                <w:rFonts w:ascii="Aptos" w:hAnsi="Aptos"/>
                <w:b w:val="0"/>
                <w:sz w:val="15"/>
              </w:rPr>
              <w:t>Legacy control ID</w:t>
            </w:r>
          </w:p>
        </w:tc>
        <w:tc>
          <w:tcPr>
            <w:tcW w:type="dxa" w:w="6480"/>
            <w:vAlign w:val="center"/>
          </w:tcPr>
          <w:p>
            <w:pPr>
              <w:spacing w:after="0"/>
            </w:pPr>
            <w:r/>
            <w:r>
              <w:rPr>
                <w:rFonts w:ascii="Aptos" w:hAnsi="Aptos"/>
                <w:b w:val="0"/>
                <w:sz w:val="15"/>
              </w:rPr>
            </w:r>
          </w:p>
        </w:tc>
      </w:tr>
      <w:tr>
        <w:trPr>
          <w:cantSplit/>
        </w:trPr>
        <w:tc>
          <w:tcPr>
            <w:tcW w:type="dxa" w:w="3168"/>
            <w:vAlign w:val="center"/>
            <w:shd w:fill="F3F6F7"/>
          </w:tcPr>
          <w:p>
            <w:pPr>
              <w:spacing w:after="0"/>
            </w:pPr>
            <w:r/>
            <w:r>
              <w:rPr>
                <w:rFonts w:ascii="Aptos" w:hAnsi="Aptos"/>
                <w:b w:val="0"/>
                <w:sz w:val="15"/>
              </w:rPr>
              <w:t>Source framework</w:t>
            </w:r>
          </w:p>
        </w:tc>
        <w:tc>
          <w:tcPr>
            <w:tcW w:type="dxa" w:w="6480"/>
            <w:vAlign w:val="center"/>
            <w:shd w:fill="F3F6F7"/>
          </w:tcPr>
          <w:p>
            <w:pPr>
              <w:spacing w:after="0"/>
            </w:pPr>
            <w:r/>
            <w:r>
              <w:rPr>
                <w:rFonts w:ascii="Aptos" w:hAnsi="Aptos"/>
                <w:b w:val="0"/>
                <w:sz w:val="15"/>
              </w:rPr>
            </w:r>
          </w:p>
        </w:tc>
      </w:tr>
      <w:tr>
        <w:trPr>
          <w:cantSplit/>
        </w:trPr>
        <w:tc>
          <w:tcPr>
            <w:tcW w:type="dxa" w:w="3168"/>
            <w:vAlign w:val="center"/>
          </w:tcPr>
          <w:p>
            <w:pPr>
              <w:spacing w:after="0"/>
            </w:pPr>
            <w:r/>
            <w:r>
              <w:rPr>
                <w:rFonts w:ascii="Aptos" w:hAnsi="Aptos"/>
                <w:b w:val="0"/>
                <w:sz w:val="15"/>
              </w:rPr>
              <w:t>GAISSF replacement</w:t>
            </w:r>
          </w:p>
        </w:tc>
        <w:tc>
          <w:tcPr>
            <w:tcW w:type="dxa" w:w="6480"/>
            <w:vAlign w:val="center"/>
          </w:tcPr>
          <w:p>
            <w:pPr>
              <w:spacing w:after="0"/>
            </w:pPr>
            <w:r/>
            <w:r>
              <w:rPr>
                <w:rFonts w:ascii="Aptos" w:hAnsi="Aptos"/>
                <w:b w:val="0"/>
                <w:sz w:val="15"/>
              </w:rPr>
            </w:r>
          </w:p>
        </w:tc>
      </w:tr>
      <w:tr>
        <w:trPr>
          <w:cantSplit/>
        </w:trPr>
        <w:tc>
          <w:tcPr>
            <w:tcW w:type="dxa" w:w="3168"/>
            <w:vAlign w:val="center"/>
            <w:shd w:fill="F3F6F7"/>
          </w:tcPr>
          <w:p>
            <w:pPr>
              <w:spacing w:after="0"/>
            </w:pPr>
            <w:r/>
            <w:r>
              <w:rPr>
                <w:rFonts w:ascii="Aptos" w:hAnsi="Aptos"/>
                <w:b w:val="0"/>
                <w:sz w:val="15"/>
              </w:rPr>
              <w:t>Obligations preserved</w:t>
            </w:r>
          </w:p>
        </w:tc>
        <w:tc>
          <w:tcPr>
            <w:tcW w:type="dxa" w:w="6480"/>
            <w:vAlign w:val="center"/>
            <w:shd w:fill="F3F6F7"/>
          </w:tcPr>
          <w:p>
            <w:pPr>
              <w:spacing w:after="0"/>
            </w:pPr>
            <w:r/>
            <w:r>
              <w:rPr>
                <w:rFonts w:ascii="Aptos" w:hAnsi="Aptos"/>
                <w:b w:val="0"/>
                <w:sz w:val="15"/>
              </w:rPr>
            </w:r>
          </w:p>
        </w:tc>
      </w:tr>
      <w:tr>
        <w:trPr>
          <w:cantSplit/>
        </w:trPr>
        <w:tc>
          <w:tcPr>
            <w:tcW w:type="dxa" w:w="3168"/>
            <w:vAlign w:val="center"/>
          </w:tcPr>
          <w:p>
            <w:pPr>
              <w:spacing w:after="0"/>
            </w:pPr>
            <w:r/>
            <w:r>
              <w:rPr>
                <w:rFonts w:ascii="Aptos" w:hAnsi="Aptos"/>
                <w:b w:val="0"/>
                <w:sz w:val="15"/>
              </w:rPr>
              <w:t>Operating evidence</w:t>
            </w:r>
          </w:p>
        </w:tc>
        <w:tc>
          <w:tcPr>
            <w:tcW w:type="dxa" w:w="6480"/>
            <w:vAlign w:val="center"/>
          </w:tcPr>
          <w:p>
            <w:pPr>
              <w:spacing w:after="0"/>
            </w:pPr>
            <w:r/>
            <w:r>
              <w:rPr>
                <w:rFonts w:ascii="Aptos" w:hAnsi="Aptos"/>
                <w:b w:val="0"/>
                <w:sz w:val="15"/>
              </w:rPr>
            </w:r>
          </w:p>
        </w:tc>
      </w:tr>
      <w:tr>
        <w:trPr>
          <w:cantSplit/>
        </w:trPr>
        <w:tc>
          <w:tcPr>
            <w:tcW w:type="dxa" w:w="3168"/>
            <w:vAlign w:val="center"/>
            <w:shd w:fill="F3F6F7"/>
          </w:tcPr>
          <w:p>
            <w:pPr>
              <w:spacing w:after="0"/>
            </w:pPr>
            <w:r/>
            <w:r>
              <w:rPr>
                <w:rFonts w:ascii="Aptos" w:hAnsi="Aptos"/>
                <w:b w:val="0"/>
                <w:sz w:val="15"/>
              </w:rPr>
              <w:t>Assurance result</w:t>
            </w:r>
          </w:p>
        </w:tc>
        <w:tc>
          <w:tcPr>
            <w:tcW w:type="dxa" w:w="6480"/>
            <w:vAlign w:val="center"/>
            <w:shd w:fill="F3F6F7"/>
          </w:tcPr>
          <w:p>
            <w:pPr>
              <w:spacing w:after="0"/>
            </w:pPr>
            <w:r/>
            <w:r>
              <w:rPr>
                <w:rFonts w:ascii="Aptos" w:hAnsi="Aptos"/>
                <w:b w:val="0"/>
                <w:sz w:val="15"/>
              </w:rPr>
            </w:r>
          </w:p>
        </w:tc>
      </w:tr>
      <w:tr>
        <w:trPr>
          <w:cantSplit/>
        </w:trPr>
        <w:tc>
          <w:tcPr>
            <w:tcW w:type="dxa" w:w="3168"/>
            <w:vAlign w:val="center"/>
          </w:tcPr>
          <w:p>
            <w:pPr>
              <w:spacing w:after="0"/>
            </w:pPr>
            <w:r/>
            <w:r>
              <w:rPr>
                <w:rFonts w:ascii="Aptos" w:hAnsi="Aptos"/>
                <w:b w:val="0"/>
                <w:sz w:val="15"/>
              </w:rPr>
              <w:t>Dependencies updated</w:t>
            </w:r>
          </w:p>
        </w:tc>
        <w:tc>
          <w:tcPr>
            <w:tcW w:type="dxa" w:w="6480"/>
            <w:vAlign w:val="center"/>
          </w:tcPr>
          <w:p>
            <w:pPr>
              <w:spacing w:after="0"/>
            </w:pPr>
            <w:r/>
            <w:r>
              <w:rPr>
                <w:rFonts w:ascii="Aptos" w:hAnsi="Aptos"/>
                <w:b w:val="0"/>
                <w:sz w:val="15"/>
              </w:rPr>
            </w:r>
          </w:p>
        </w:tc>
      </w:tr>
      <w:tr>
        <w:trPr>
          <w:cantSplit/>
        </w:trPr>
        <w:tc>
          <w:tcPr>
            <w:tcW w:type="dxa" w:w="3168"/>
            <w:vAlign w:val="center"/>
            <w:shd w:fill="F3F6F7"/>
          </w:tcPr>
          <w:p>
            <w:pPr>
              <w:spacing w:after="0"/>
            </w:pPr>
            <w:r/>
            <w:r>
              <w:rPr>
                <w:rFonts w:ascii="Aptos" w:hAnsi="Aptos"/>
                <w:b w:val="0"/>
                <w:sz w:val="15"/>
              </w:rPr>
              <w:t>Approval</w:t>
            </w:r>
          </w:p>
        </w:tc>
        <w:tc>
          <w:tcPr>
            <w:tcW w:type="dxa" w:w="6480"/>
            <w:vAlign w:val="center"/>
            <w:shd w:fill="F3F6F7"/>
          </w:tcPr>
          <w:p>
            <w:pPr>
              <w:spacing w:after="0"/>
            </w:pPr>
            <w:r/>
            <w:r>
              <w:rPr>
                <w:rFonts w:ascii="Aptos" w:hAnsi="Aptos"/>
                <w:b w:val="0"/>
                <w:sz w:val="15"/>
              </w:rPr>
            </w:r>
          </w:p>
        </w:tc>
      </w:tr>
      <w:tr>
        <w:trPr>
          <w:cantSplit/>
        </w:trPr>
        <w:tc>
          <w:tcPr>
            <w:tcW w:type="dxa" w:w="3168"/>
            <w:vAlign w:val="center"/>
          </w:tcPr>
          <w:p>
            <w:pPr>
              <w:spacing w:after="0"/>
            </w:pPr>
            <w:r/>
            <w:r>
              <w:rPr>
                <w:rFonts w:ascii="Aptos" w:hAnsi="Aptos"/>
                <w:b w:val="0"/>
                <w:sz w:val="15"/>
              </w:rPr>
              <w:t>Retirement date</w:t>
            </w:r>
          </w:p>
        </w:tc>
        <w:tc>
          <w:tcPr>
            <w:tcW w:type="dxa" w:w="6480"/>
            <w:vAlign w:val="center"/>
          </w:tcPr>
          <w:p>
            <w:pPr>
              <w:spacing w:after="0"/>
            </w:pPr>
            <w:r/>
            <w:r>
              <w:rPr>
                <w:rFonts w:ascii="Aptos" w:hAnsi="Aptos"/>
                <w:b w:val="0"/>
                <w:sz w:val="15"/>
              </w:rPr>
            </w:r>
          </w:p>
        </w:tc>
      </w:tr>
    </w:tbl>
    <w:p/>
    <w:p>
      <w:pPr>
        <w:pStyle w:val="Heading1"/>
      </w:pPr>
      <w:r>
        <w:t>Annex E — Source Traceability</w:t>
      </w:r>
    </w:p>
    <w:tbl>
      <w:tblPr>
        <w:tblStyle w:val="TableGrid"/>
        <w:tblW w:type="auto" w:w="0"/>
        <w:jc w:val="center"/>
        <w:tblLook w:firstColumn="1" w:firstRow="1" w:lastColumn="0" w:lastRow="0" w:noHBand="0" w:noVBand="1" w:val="04A0"/>
      </w:tblPr>
      <w:tblGrid>
        <w:gridCol w:w="5141"/>
        <w:gridCol w:w="5141"/>
      </w:tblGrid>
      <w:tr>
        <w:trPr>
          <w:tblHeader w:val="true"/>
          <w:cantSplit/>
        </w:trPr>
        <w:tc>
          <w:tcPr>
            <w:tcW w:type="dxa" w:w="4320"/>
            <w:vAlign w:val="center"/>
            <w:shd w:fill="17324D"/>
          </w:tcPr>
          <w:p>
            <w:pPr>
              <w:spacing w:after="0"/>
            </w:pPr>
            <w:r/>
            <w:r>
              <w:rPr>
                <w:rFonts w:ascii="Aptos" w:hAnsi="Aptos"/>
                <w:b/>
                <w:color w:val="FFFFFF"/>
                <w:sz w:val="15"/>
              </w:rPr>
              <w:t>Migration-guide subject</w:t>
            </w:r>
          </w:p>
        </w:tc>
        <w:tc>
          <w:tcPr>
            <w:tcW w:type="dxa" w:w="5040"/>
            <w:vAlign w:val="center"/>
            <w:shd w:fill="17324D"/>
          </w:tcPr>
          <w:p>
            <w:pPr>
              <w:spacing w:after="0"/>
            </w:pPr>
            <w:r/>
            <w:r>
              <w:rPr>
                <w:rFonts w:ascii="Aptos" w:hAnsi="Aptos"/>
                <w:b/>
                <w:color w:val="FFFFFF"/>
                <w:sz w:val="15"/>
              </w:rPr>
              <w:t>Controlled source</w:t>
            </w:r>
          </w:p>
        </w:tc>
      </w:tr>
      <w:tr>
        <w:trPr>
          <w:cantSplit/>
        </w:trPr>
        <w:tc>
          <w:tcPr>
            <w:tcW w:type="dxa" w:w="4320"/>
            <w:vAlign w:val="center"/>
          </w:tcPr>
          <w:p>
            <w:pPr>
              <w:spacing w:after="0"/>
            </w:pPr>
            <w:r/>
            <w:r>
              <w:rPr>
                <w:rFonts w:ascii="Aptos" w:hAnsi="Aptos"/>
                <w:b w:val="0"/>
                <w:sz w:val="15"/>
              </w:rPr>
              <w:t>Normative framework</w:t>
            </w:r>
          </w:p>
        </w:tc>
        <w:tc>
          <w:tcPr>
            <w:tcW w:type="dxa" w:w="5040"/>
            <w:vAlign w:val="center"/>
          </w:tcPr>
          <w:p>
            <w:pPr>
              <w:spacing w:after="0"/>
            </w:pPr>
            <w:r/>
            <w:r>
              <w:rPr>
                <w:rFonts w:ascii="Aptos" w:hAnsi="Aptos"/>
                <w:b w:val="0"/>
                <w:sz w:val="15"/>
              </w:rPr>
              <w:t>GAISSF-NOR-001</w:t>
            </w:r>
          </w:p>
        </w:tc>
      </w:tr>
      <w:tr>
        <w:trPr>
          <w:cantSplit/>
        </w:trPr>
        <w:tc>
          <w:tcPr>
            <w:tcW w:type="dxa" w:w="4320"/>
            <w:vAlign w:val="center"/>
            <w:shd w:fill="F3F6F7"/>
          </w:tcPr>
          <w:p>
            <w:pPr>
              <w:spacing w:after="0"/>
            </w:pPr>
            <w:r/>
            <w:r>
              <w:rPr>
                <w:rFonts w:ascii="Aptos" w:hAnsi="Aptos"/>
                <w:b w:val="0"/>
                <w:sz w:val="15"/>
              </w:rPr>
              <w:t>Control records</w:t>
            </w:r>
          </w:p>
        </w:tc>
        <w:tc>
          <w:tcPr>
            <w:tcW w:type="dxa" w:w="5040"/>
            <w:vAlign w:val="center"/>
            <w:shd w:fill="F3F6F7"/>
          </w:tcPr>
          <w:p>
            <w:pPr>
              <w:spacing w:after="0"/>
            </w:pPr>
            <w:r/>
            <w:r>
              <w:rPr>
                <w:rFonts w:ascii="Aptos" w:hAnsi="Aptos"/>
                <w:b w:val="0"/>
                <w:sz w:val="15"/>
              </w:rPr>
              <w:t>GAISSF-NOR-004</w:t>
            </w:r>
          </w:p>
        </w:tc>
      </w:tr>
      <w:tr>
        <w:trPr>
          <w:cantSplit/>
        </w:trPr>
        <w:tc>
          <w:tcPr>
            <w:tcW w:type="dxa" w:w="4320"/>
            <w:vAlign w:val="center"/>
          </w:tcPr>
          <w:p>
            <w:pPr>
              <w:spacing w:after="0"/>
            </w:pPr>
            <w:r/>
            <w:r>
              <w:rPr>
                <w:rFonts w:ascii="Aptos" w:hAnsi="Aptos"/>
                <w:b w:val="0"/>
                <w:sz w:val="15"/>
              </w:rPr>
              <w:t>Terminology</w:t>
            </w:r>
          </w:p>
        </w:tc>
        <w:tc>
          <w:tcPr>
            <w:tcW w:type="dxa" w:w="5040"/>
            <w:vAlign w:val="center"/>
          </w:tcPr>
          <w:p>
            <w:pPr>
              <w:spacing w:after="0"/>
            </w:pPr>
            <w:r/>
            <w:r>
              <w:rPr>
                <w:rFonts w:ascii="Aptos" w:hAnsi="Aptos"/>
                <w:b w:val="0"/>
                <w:sz w:val="15"/>
              </w:rPr>
              <w:t>GAISSF-NOR-005</w:t>
            </w:r>
          </w:p>
        </w:tc>
      </w:tr>
      <w:tr>
        <w:trPr>
          <w:cantSplit/>
        </w:trPr>
        <w:tc>
          <w:tcPr>
            <w:tcW w:type="dxa" w:w="4320"/>
            <w:vAlign w:val="center"/>
            <w:shd w:fill="F3F6F7"/>
          </w:tcPr>
          <w:p>
            <w:pPr>
              <w:spacing w:after="0"/>
            </w:pPr>
            <w:r/>
            <w:r>
              <w:rPr>
                <w:rFonts w:ascii="Aptos" w:hAnsi="Aptos"/>
                <w:b w:val="0"/>
                <w:sz w:val="15"/>
              </w:rPr>
              <w:t>External references</w:t>
            </w:r>
          </w:p>
        </w:tc>
        <w:tc>
          <w:tcPr>
            <w:tcW w:type="dxa" w:w="5040"/>
            <w:vAlign w:val="center"/>
            <w:shd w:fill="F3F6F7"/>
          </w:tcPr>
          <w:p>
            <w:pPr>
              <w:spacing w:after="0"/>
            </w:pPr>
            <w:r/>
            <w:r>
              <w:rPr>
                <w:rFonts w:ascii="Aptos" w:hAnsi="Aptos"/>
                <w:b w:val="0"/>
                <w:sz w:val="15"/>
              </w:rPr>
              <w:t>GAISSF-NOR-006</w:t>
            </w:r>
          </w:p>
        </w:tc>
      </w:tr>
      <w:tr>
        <w:trPr>
          <w:cantSplit/>
        </w:trPr>
        <w:tc>
          <w:tcPr>
            <w:tcW w:type="dxa" w:w="4320"/>
            <w:vAlign w:val="center"/>
          </w:tcPr>
          <w:p>
            <w:pPr>
              <w:spacing w:after="0"/>
            </w:pPr>
            <w:r/>
            <w:r>
              <w:rPr>
                <w:rFonts w:ascii="Aptos" w:hAnsi="Aptos"/>
                <w:b w:val="0"/>
                <w:sz w:val="15"/>
              </w:rPr>
              <w:t>Release status</w:t>
            </w:r>
          </w:p>
        </w:tc>
        <w:tc>
          <w:tcPr>
            <w:tcW w:type="dxa" w:w="5040"/>
            <w:vAlign w:val="center"/>
          </w:tcPr>
          <w:p>
            <w:pPr>
              <w:spacing w:after="0"/>
            </w:pPr>
            <w:r/>
            <w:r>
              <w:rPr>
                <w:rFonts w:ascii="Aptos" w:hAnsi="Aptos"/>
                <w:b w:val="0"/>
                <w:sz w:val="15"/>
              </w:rPr>
              <w:t>GAISSF-NOR-007</w:t>
            </w:r>
          </w:p>
        </w:tc>
      </w:tr>
      <w:tr>
        <w:trPr>
          <w:cantSplit/>
        </w:trPr>
        <w:tc>
          <w:tcPr>
            <w:tcW w:type="dxa" w:w="4320"/>
            <w:vAlign w:val="center"/>
            <w:shd w:fill="F3F6F7"/>
          </w:tcPr>
          <w:p>
            <w:pPr>
              <w:spacing w:after="0"/>
            </w:pPr>
            <w:r/>
            <w:r>
              <w:rPr>
                <w:rFonts w:ascii="Aptos" w:hAnsi="Aptos"/>
                <w:b w:val="0"/>
                <w:sz w:val="15"/>
              </w:rPr>
              <w:t>Historical decisions</w:t>
            </w:r>
          </w:p>
        </w:tc>
        <w:tc>
          <w:tcPr>
            <w:tcW w:type="dxa" w:w="5040"/>
            <w:vAlign w:val="center"/>
            <w:shd w:fill="F3F6F7"/>
          </w:tcPr>
          <w:p>
            <w:pPr>
              <w:spacing w:after="0"/>
            </w:pPr>
            <w:r/>
            <w:r>
              <w:rPr>
                <w:rFonts w:ascii="Aptos" w:hAnsi="Aptos"/>
                <w:b w:val="0"/>
                <w:sz w:val="15"/>
              </w:rPr>
              <w:t>GAISSF-NOR-008</w:t>
            </w:r>
          </w:p>
        </w:tc>
      </w:tr>
      <w:tr>
        <w:trPr>
          <w:cantSplit/>
        </w:trPr>
        <w:tc>
          <w:tcPr>
            <w:tcW w:type="dxa" w:w="4320"/>
            <w:vAlign w:val="center"/>
          </w:tcPr>
          <w:p>
            <w:pPr>
              <w:spacing w:after="0"/>
            </w:pPr>
            <w:r/>
            <w:r>
              <w:rPr>
                <w:rFonts w:ascii="Aptos" w:hAnsi="Aptos"/>
                <w:b w:val="0"/>
                <w:sz w:val="15"/>
              </w:rPr>
              <w:t>Adoption program</w:t>
            </w:r>
          </w:p>
        </w:tc>
        <w:tc>
          <w:tcPr>
            <w:tcW w:type="dxa" w:w="5040"/>
            <w:vAlign w:val="center"/>
          </w:tcPr>
          <w:p>
            <w:pPr>
              <w:spacing w:after="0"/>
            </w:pPr>
            <w:r/>
            <w:r>
              <w:rPr>
                <w:rFonts w:ascii="Aptos" w:hAnsi="Aptos"/>
                <w:b w:val="0"/>
                <w:sz w:val="15"/>
              </w:rPr>
              <w:t>GAISSF-IMP-009</w:t>
            </w:r>
          </w:p>
        </w:tc>
      </w:tr>
      <w:tr>
        <w:trPr>
          <w:cantSplit/>
        </w:trPr>
        <w:tc>
          <w:tcPr>
            <w:tcW w:type="dxa" w:w="4320"/>
            <w:vAlign w:val="center"/>
            <w:shd w:fill="F3F6F7"/>
          </w:tcPr>
          <w:p>
            <w:pPr>
              <w:spacing w:after="0"/>
            </w:pPr>
            <w:r/>
            <w:r>
              <w:rPr>
                <w:rFonts w:ascii="Aptos" w:hAnsi="Aptos"/>
                <w:b w:val="0"/>
                <w:sz w:val="15"/>
              </w:rPr>
              <w:t>Operational implementation</w:t>
            </w:r>
          </w:p>
        </w:tc>
        <w:tc>
          <w:tcPr>
            <w:tcW w:type="dxa" w:w="5040"/>
            <w:vAlign w:val="center"/>
            <w:shd w:fill="F3F6F7"/>
          </w:tcPr>
          <w:p>
            <w:pPr>
              <w:spacing w:after="0"/>
            </w:pPr>
            <w:r/>
            <w:r>
              <w:rPr>
                <w:rFonts w:ascii="Aptos" w:hAnsi="Aptos"/>
                <w:b w:val="0"/>
                <w:sz w:val="15"/>
              </w:rPr>
              <w:t>GAISSF-IMP-010</w:t>
            </w:r>
          </w:p>
        </w:tc>
      </w:tr>
      <w:tr>
        <w:trPr>
          <w:cantSplit/>
        </w:trPr>
        <w:tc>
          <w:tcPr>
            <w:tcW w:type="dxa" w:w="4320"/>
            <w:vAlign w:val="center"/>
          </w:tcPr>
          <w:p>
            <w:pPr>
              <w:spacing w:after="0"/>
            </w:pPr>
            <w:r/>
            <w:r>
              <w:rPr>
                <w:rFonts w:ascii="Aptos" w:hAnsi="Aptos"/>
                <w:b w:val="0"/>
                <w:sz w:val="15"/>
              </w:rPr>
              <w:t>Deployment and cutover</w:t>
            </w:r>
          </w:p>
        </w:tc>
        <w:tc>
          <w:tcPr>
            <w:tcW w:type="dxa" w:w="5040"/>
            <w:vAlign w:val="center"/>
          </w:tcPr>
          <w:p>
            <w:pPr>
              <w:spacing w:after="0"/>
            </w:pPr>
            <w:r/>
            <w:r>
              <w:rPr>
                <w:rFonts w:ascii="Aptos" w:hAnsi="Aptos"/>
                <w:b w:val="0"/>
                <w:sz w:val="15"/>
              </w:rPr>
              <w:t>GAISSF-IMP-011</w:t>
            </w:r>
          </w:p>
        </w:tc>
      </w:tr>
    </w:tbl>
    <w:p/>
    <w:p>
      <w:pPr>
        <w:pStyle w:val="Heading1"/>
      </w:pPr>
      <w:r>
        <w:t>Annex F — Publication Record</w:t>
      </w:r>
    </w:p>
    <w:tbl>
      <w:tblPr>
        <w:tblStyle w:val="TableGrid"/>
        <w:tblW w:type="auto" w:w="0"/>
        <w:jc w:val="center"/>
        <w:tblLook w:firstColumn="1" w:firstRow="1" w:lastColumn="0" w:lastRow="0" w:noHBand="0" w:noVBand="1" w:val="04A0"/>
      </w:tblPr>
      <w:tblGrid>
        <w:gridCol w:w="2570"/>
        <w:gridCol w:w="2570"/>
        <w:gridCol w:w="2570"/>
        <w:gridCol w:w="2570"/>
      </w:tblGrid>
      <w:tr>
        <w:trPr>
          <w:tblHeader w:val="true"/>
          <w:cantSplit/>
        </w:trPr>
        <w:tc>
          <w:tcPr>
            <w:tcW w:type="dxa" w:w="1152"/>
            <w:vAlign w:val="center"/>
            <w:shd w:fill="17324D"/>
          </w:tcPr>
          <w:p>
            <w:pPr>
              <w:spacing w:after="0"/>
            </w:pPr>
            <w:r/>
            <w:r>
              <w:rPr>
                <w:rFonts w:ascii="Aptos" w:hAnsi="Aptos"/>
                <w:b/>
                <w:color w:val="FFFFFF"/>
                <w:sz w:val="15"/>
              </w:rPr>
              <w:t>Version</w:t>
            </w:r>
          </w:p>
        </w:tc>
        <w:tc>
          <w:tcPr>
            <w:tcW w:type="dxa" w:w="1728"/>
            <w:vAlign w:val="center"/>
            <w:shd w:fill="17324D"/>
          </w:tcPr>
          <w:p>
            <w:pPr>
              <w:spacing w:after="0"/>
            </w:pPr>
            <w:r/>
            <w:r>
              <w:rPr>
                <w:rFonts w:ascii="Aptos" w:hAnsi="Aptos"/>
                <w:b/>
                <w:color w:val="FFFFFF"/>
                <w:sz w:val="15"/>
              </w:rPr>
              <w:t>Date</w:t>
            </w:r>
          </w:p>
        </w:tc>
        <w:tc>
          <w:tcPr>
            <w:tcW w:type="dxa" w:w="5184"/>
            <w:vAlign w:val="center"/>
            <w:shd w:fill="17324D"/>
          </w:tcPr>
          <w:p>
            <w:pPr>
              <w:spacing w:after="0"/>
            </w:pPr>
            <w:r/>
            <w:r>
              <w:rPr>
                <w:rFonts w:ascii="Aptos" w:hAnsi="Aptos"/>
                <w:b/>
                <w:color w:val="FFFFFF"/>
                <w:sz w:val="15"/>
              </w:rPr>
              <w:t>Change</w:t>
            </w:r>
          </w:p>
        </w:tc>
        <w:tc>
          <w:tcPr>
            <w:tcW w:type="dxa" w:w="1584"/>
            <w:vAlign w:val="center"/>
            <w:shd w:fill="17324D"/>
          </w:tcPr>
          <w:p>
            <w:pPr>
              <w:spacing w:after="0"/>
            </w:pPr>
            <w:r/>
            <w:r>
              <w:rPr>
                <w:rFonts w:ascii="Aptos" w:hAnsi="Aptos"/>
                <w:b/>
                <w:color w:val="FFFFFF"/>
                <w:sz w:val="15"/>
              </w:rPr>
              <w:t>Status</w:t>
            </w:r>
          </w:p>
        </w:tc>
      </w:tr>
      <w:tr>
        <w:trPr>
          <w:cantSplit/>
        </w:trPr>
        <w:tc>
          <w:tcPr>
            <w:tcW w:type="dxa" w:w="1152"/>
            <w:vAlign w:val="center"/>
          </w:tcPr>
          <w:p>
            <w:pPr>
              <w:spacing w:after="0"/>
            </w:pPr>
            <w:r/>
            <w:r>
              <w:rPr>
                <w:rFonts w:ascii="Aptos" w:hAnsi="Aptos"/>
                <w:b w:val="0"/>
                <w:sz w:val="15"/>
              </w:rPr>
              <w:t>1.0</w:t>
            </w:r>
          </w:p>
        </w:tc>
        <w:tc>
          <w:tcPr>
            <w:tcW w:type="dxa" w:w="1728"/>
            <w:vAlign w:val="center"/>
          </w:tcPr>
          <w:p>
            <w:pPr>
              <w:spacing w:after="0"/>
            </w:pPr>
            <w:r/>
            <w:r>
              <w:rPr>
                <w:rFonts w:ascii="Aptos" w:hAnsi="Aptos"/>
                <w:b w:val="0"/>
                <w:sz w:val="15"/>
              </w:rPr>
              <w:t>29 June 2026</w:t>
            </w:r>
          </w:p>
        </w:tc>
        <w:tc>
          <w:tcPr>
            <w:tcW w:type="dxa" w:w="5184"/>
            <w:vAlign w:val="center"/>
          </w:tcPr>
          <w:p>
            <w:pPr>
              <w:spacing w:after="0"/>
            </w:pPr>
            <w:r/>
            <w:r>
              <w:rPr>
                <w:rFonts w:ascii="Aptos" w:hAnsi="Aptos"/>
                <w:b w:val="0"/>
                <w:sz w:val="15"/>
              </w:rPr>
              <w:t>Initial migration guide for GAISSF v1.0</w:t>
            </w:r>
          </w:p>
        </w:tc>
        <w:tc>
          <w:tcPr>
            <w:tcW w:type="dxa" w:w="1584"/>
            <w:vAlign w:val="center"/>
          </w:tcPr>
          <w:p>
            <w:r>
              <w:t>Final Publication Edition</w:t>
            </w:r>
          </w:p>
        </w:tc>
      </w:tr>
    </w:tbl>
    <w:p/>
    <w:p>
      <w:pPr>
        <w:pStyle w:val="Heading1"/>
      </w:pPr>
      <w:r>
        <w:t>Controlled Profile Reconciliation Notice</w:t>
      </w:r>
    </w:p>
    <w:p>
      <w:r>
        <w:t>The Foundational profile comprises 52 controls across all nine domains, as enumerated in the controlled conformance profile. Seven controls are excluded from that profile; the exclusions are not equivalent to excluding the D9 domain.</w:t>
      </w:r>
    </w:p>
    <w:p>
      <w:r>
        <w:t>Any earlier wording that described the Foundational profile as D1-D8 only or treated the entire D9 domain as excluded is superseded by this statement and the controlled conformance profile.</w:t>
      </w:r>
    </w:p>
    <w:p>
      <w:pPr>
        <w:pStyle w:val="Heading1"/>
      </w:pPr>
      <w:r>
        <w:t>Migration Work Packages</w:t>
      </w:r>
    </w:p>
    <w:tbl>
      <w:tblPr>
        <w:tblStyle w:val="TableGrid"/>
        <w:tblW w:type="auto" w:w="0"/>
        <w:jc w:val="center"/>
        <w:tblLook w:firstColumn="1" w:firstRow="1" w:lastColumn="0" w:lastRow="0" w:noHBand="0" w:noVBand="1" w:val="04A0"/>
      </w:tblPr>
      <w:tblGrid>
        <w:gridCol w:w="3427"/>
        <w:gridCol w:w="3427"/>
        <w:gridCol w:w="3427"/>
      </w:tblGrid>
      <w:tr>
        <w:trPr>
          <w:tblHeader w:val="true"/>
          <w:cantSplit/>
        </w:trPr>
        <w:tc>
          <w:tcPr>
            <w:tcW w:type="dxa" w:w="3427"/>
            <w:vAlign w:val="center"/>
            <w:shd w:fill="17324D"/>
          </w:tcPr>
          <w:p>
            <w:pPr>
              <w:spacing w:after="0"/>
            </w:pPr>
            <w:r/>
            <w:r>
              <w:rPr>
                <w:rFonts w:ascii="Aptos" w:hAnsi="Aptos"/>
                <w:b/>
                <w:color w:val="FFFFFF"/>
                <w:sz w:val="15"/>
              </w:rPr>
              <w:t>Work package</w:t>
            </w:r>
          </w:p>
        </w:tc>
        <w:tc>
          <w:tcPr>
            <w:tcW w:type="dxa" w:w="3427"/>
            <w:vAlign w:val="center"/>
            <w:shd w:fill="17324D"/>
          </w:tcPr>
          <w:p>
            <w:pPr>
              <w:spacing w:after="0"/>
            </w:pPr>
            <w:r/>
            <w:r>
              <w:rPr>
                <w:rFonts w:ascii="Aptos" w:hAnsi="Aptos"/>
                <w:b/>
                <w:color w:val="FFFFFF"/>
                <w:sz w:val="15"/>
              </w:rPr>
              <w:t>Activities</w:t>
            </w:r>
          </w:p>
        </w:tc>
        <w:tc>
          <w:tcPr>
            <w:tcW w:type="dxa" w:w="3427"/>
            <w:vAlign w:val="center"/>
            <w:shd w:fill="17324D"/>
          </w:tcPr>
          <w:p>
            <w:pPr>
              <w:spacing w:after="0"/>
            </w:pPr>
            <w:r/>
            <w:r>
              <w:rPr>
                <w:rFonts w:ascii="Aptos" w:hAnsi="Aptos"/>
                <w:b/>
                <w:color w:val="FFFFFF"/>
                <w:sz w:val="15"/>
              </w:rPr>
              <w:t>Deliverable</w:t>
            </w:r>
          </w:p>
        </w:tc>
      </w:tr>
      <w:tr>
        <w:trPr>
          <w:cantSplit/>
        </w:trPr>
        <w:tc>
          <w:tcPr>
            <w:tcW w:type="dxa" w:w="3427"/>
            <w:vAlign w:val="center"/>
            <w:shd w:fill="FFFFFF"/>
          </w:tcPr>
          <w:p>
            <w:pPr>
              <w:spacing w:after="0"/>
            </w:pPr>
            <w:r/>
            <w:r>
              <w:rPr>
                <w:rFonts w:ascii="Aptos" w:hAnsi="Aptos"/>
                <w:b w:val="0"/>
                <w:sz w:val="15"/>
              </w:rPr>
              <w:t>Source governance</w:t>
            </w:r>
          </w:p>
        </w:tc>
        <w:tc>
          <w:tcPr>
            <w:tcW w:type="dxa" w:w="3427"/>
            <w:vAlign w:val="center"/>
            <w:shd w:fill="FFFFFF"/>
          </w:tcPr>
          <w:p>
            <w:pPr>
              <w:spacing w:after="0"/>
            </w:pPr>
            <w:r/>
            <w:r>
              <w:rPr>
                <w:rFonts w:ascii="Aptos" w:hAnsi="Aptos"/>
                <w:b w:val="0"/>
                <w:sz w:val="15"/>
              </w:rPr>
              <w:t>Confirm edition, ownership, status and obligations</w:t>
            </w:r>
          </w:p>
        </w:tc>
        <w:tc>
          <w:tcPr>
            <w:tcW w:type="dxa" w:w="3427"/>
            <w:vAlign w:val="center"/>
            <w:shd w:fill="FFFFFF"/>
          </w:tcPr>
          <w:p>
            <w:pPr>
              <w:spacing w:after="0"/>
            </w:pPr>
            <w:r/>
            <w:r>
              <w:rPr>
                <w:rFonts w:ascii="Aptos" w:hAnsi="Aptos"/>
                <w:b w:val="0"/>
                <w:sz w:val="15"/>
              </w:rPr>
              <w:t>Approved source register</w:t>
            </w:r>
          </w:p>
        </w:tc>
      </w:tr>
      <w:tr>
        <w:trPr>
          <w:cantSplit/>
        </w:trPr>
        <w:tc>
          <w:tcPr>
            <w:tcW w:type="dxa" w:w="3427"/>
            <w:vAlign w:val="center"/>
            <w:shd w:fill="F3F6F7"/>
          </w:tcPr>
          <w:p>
            <w:pPr>
              <w:spacing w:after="0"/>
            </w:pPr>
            <w:r/>
            <w:r>
              <w:rPr>
                <w:rFonts w:ascii="Aptos" w:hAnsi="Aptos"/>
                <w:b w:val="0"/>
                <w:sz w:val="15"/>
              </w:rPr>
              <w:t>Semantic mapping</w:t>
            </w:r>
          </w:p>
        </w:tc>
        <w:tc>
          <w:tcPr>
            <w:tcW w:type="dxa" w:w="3427"/>
            <w:vAlign w:val="center"/>
            <w:shd w:fill="F3F6F7"/>
          </w:tcPr>
          <w:p>
            <w:pPr>
              <w:spacing w:after="0"/>
            </w:pPr>
            <w:r/>
            <w:r>
              <w:rPr>
                <w:rFonts w:ascii="Aptos" w:hAnsi="Aptos"/>
                <w:b w:val="0"/>
                <w:sz w:val="15"/>
              </w:rPr>
              <w:t>Compare objective, scope, trigger, evidence and assurance</w:t>
            </w:r>
          </w:p>
        </w:tc>
        <w:tc>
          <w:tcPr>
            <w:tcW w:type="dxa" w:w="3427"/>
            <w:vAlign w:val="center"/>
            <w:shd w:fill="F3F6F7"/>
          </w:tcPr>
          <w:p>
            <w:pPr>
              <w:spacing w:after="0"/>
            </w:pPr>
            <w:r/>
            <w:r>
              <w:rPr>
                <w:rFonts w:ascii="Aptos" w:hAnsi="Aptos"/>
                <w:b w:val="0"/>
                <w:sz w:val="15"/>
              </w:rPr>
              <w:t>Controlled crosswalk</w:t>
            </w:r>
          </w:p>
        </w:tc>
      </w:tr>
      <w:tr>
        <w:trPr>
          <w:cantSplit/>
        </w:trPr>
        <w:tc>
          <w:tcPr>
            <w:tcW w:type="dxa" w:w="3427"/>
            <w:vAlign w:val="center"/>
            <w:shd w:fill="FFFFFF"/>
          </w:tcPr>
          <w:p>
            <w:pPr>
              <w:spacing w:after="0"/>
            </w:pPr>
            <w:r/>
            <w:r>
              <w:rPr>
                <w:rFonts w:ascii="Aptos" w:hAnsi="Aptos"/>
                <w:b w:val="0"/>
                <w:sz w:val="15"/>
              </w:rPr>
              <w:t>Evidence qualification</w:t>
            </w:r>
          </w:p>
        </w:tc>
        <w:tc>
          <w:tcPr>
            <w:tcW w:type="dxa" w:w="3427"/>
            <w:vAlign w:val="center"/>
            <w:shd w:fill="FFFFFF"/>
          </w:tcPr>
          <w:p>
            <w:pPr>
              <w:spacing w:after="0"/>
            </w:pPr>
            <w:r/>
            <w:r>
              <w:rPr>
                <w:rFonts w:ascii="Aptos" w:hAnsi="Aptos"/>
                <w:b w:val="0"/>
                <w:sz w:val="15"/>
              </w:rPr>
              <w:t>Test currency, integrity, scope and effectiveness</w:t>
            </w:r>
          </w:p>
        </w:tc>
        <w:tc>
          <w:tcPr>
            <w:tcW w:type="dxa" w:w="3427"/>
            <w:vAlign w:val="center"/>
            <w:shd w:fill="FFFFFF"/>
          </w:tcPr>
          <w:p>
            <w:pPr>
              <w:spacing w:after="0"/>
            </w:pPr>
            <w:r/>
            <w:r>
              <w:rPr>
                <w:rFonts w:ascii="Aptos" w:hAnsi="Aptos"/>
                <w:b w:val="0"/>
                <w:sz w:val="15"/>
              </w:rPr>
              <w:t>Reuse decision register</w:t>
            </w:r>
          </w:p>
        </w:tc>
      </w:tr>
      <w:tr>
        <w:trPr>
          <w:cantSplit/>
        </w:trPr>
        <w:tc>
          <w:tcPr>
            <w:tcW w:type="dxa" w:w="3427"/>
            <w:vAlign w:val="center"/>
            <w:shd w:fill="F3F6F7"/>
          </w:tcPr>
          <w:p>
            <w:pPr>
              <w:spacing w:after="0"/>
            </w:pPr>
            <w:r/>
            <w:r>
              <w:rPr>
                <w:rFonts w:ascii="Aptos" w:hAnsi="Aptos"/>
                <w:b w:val="0"/>
                <w:sz w:val="15"/>
              </w:rPr>
              <w:t>Gap remediation</w:t>
            </w:r>
          </w:p>
        </w:tc>
        <w:tc>
          <w:tcPr>
            <w:tcW w:type="dxa" w:w="3427"/>
            <w:vAlign w:val="center"/>
            <w:shd w:fill="F3F6F7"/>
          </w:tcPr>
          <w:p>
            <w:pPr>
              <w:spacing w:after="0"/>
            </w:pPr>
            <w:r/>
            <w:r>
              <w:rPr>
                <w:rFonts w:ascii="Aptos" w:hAnsi="Aptos"/>
                <w:b w:val="0"/>
                <w:sz w:val="15"/>
              </w:rPr>
              <w:t>Implement missing GAISSF-specific mechanisms</w:t>
            </w:r>
          </w:p>
        </w:tc>
        <w:tc>
          <w:tcPr>
            <w:tcW w:type="dxa" w:w="3427"/>
            <w:vAlign w:val="center"/>
            <w:shd w:fill="F3F6F7"/>
          </w:tcPr>
          <w:p>
            <w:pPr>
              <w:spacing w:after="0"/>
            </w:pPr>
            <w:r/>
            <w:r>
              <w:rPr>
                <w:rFonts w:ascii="Aptos" w:hAnsi="Aptos"/>
                <w:b w:val="0"/>
                <w:sz w:val="15"/>
              </w:rPr>
              <w:t>Migration roadmap and closure</w:t>
            </w:r>
          </w:p>
        </w:tc>
      </w:tr>
      <w:tr>
        <w:trPr>
          <w:cantSplit/>
        </w:trPr>
        <w:tc>
          <w:tcPr>
            <w:tcW w:type="dxa" w:w="3427"/>
            <w:vAlign w:val="center"/>
            <w:shd w:fill="FFFFFF"/>
          </w:tcPr>
          <w:p>
            <w:pPr>
              <w:spacing w:after="0"/>
            </w:pPr>
            <w:r/>
            <w:r>
              <w:rPr>
                <w:rFonts w:ascii="Aptos" w:hAnsi="Aptos"/>
                <w:b w:val="0"/>
                <w:sz w:val="15"/>
              </w:rPr>
              <w:t>Parallel operation</w:t>
            </w:r>
          </w:p>
        </w:tc>
        <w:tc>
          <w:tcPr>
            <w:tcW w:type="dxa" w:w="3427"/>
            <w:vAlign w:val="center"/>
            <w:shd w:fill="FFFFFF"/>
          </w:tcPr>
          <w:p>
            <w:pPr>
              <w:spacing w:after="0"/>
            </w:pPr>
            <w:r/>
            <w:r>
              <w:rPr>
                <w:rFonts w:ascii="Aptos" w:hAnsi="Aptos"/>
                <w:b w:val="0"/>
                <w:sz w:val="15"/>
              </w:rPr>
              <w:t>Run source and target controls until acceptance</w:t>
            </w:r>
          </w:p>
        </w:tc>
        <w:tc>
          <w:tcPr>
            <w:tcW w:type="dxa" w:w="3427"/>
            <w:vAlign w:val="center"/>
            <w:shd w:fill="FFFFFF"/>
          </w:tcPr>
          <w:p>
            <w:pPr>
              <w:spacing w:after="0"/>
            </w:pPr>
            <w:r/>
            <w:r>
              <w:rPr>
                <w:rFonts w:ascii="Aptos" w:hAnsi="Aptos"/>
                <w:b w:val="0"/>
                <w:sz w:val="15"/>
              </w:rPr>
              <w:t>Cutover evidence</w:t>
            </w:r>
          </w:p>
        </w:tc>
      </w:tr>
      <w:tr>
        <w:trPr>
          <w:cantSplit/>
        </w:trPr>
        <w:tc>
          <w:tcPr>
            <w:tcW w:type="dxa" w:w="3427"/>
            <w:vAlign w:val="center"/>
            <w:shd w:fill="F3F6F7"/>
          </w:tcPr>
          <w:p>
            <w:pPr>
              <w:spacing w:after="0"/>
            </w:pPr>
            <w:r/>
            <w:r>
              <w:rPr>
                <w:rFonts w:ascii="Aptos" w:hAnsi="Aptos"/>
                <w:b w:val="0"/>
                <w:sz w:val="15"/>
              </w:rPr>
              <w:t>Retirement</w:t>
            </w:r>
          </w:p>
        </w:tc>
        <w:tc>
          <w:tcPr>
            <w:tcW w:type="dxa" w:w="3427"/>
            <w:vAlign w:val="center"/>
            <w:shd w:fill="F3F6F7"/>
          </w:tcPr>
          <w:p>
            <w:pPr>
              <w:spacing w:after="0"/>
            </w:pPr>
            <w:r/>
            <w:r>
              <w:rPr>
                <w:rFonts w:ascii="Aptos" w:hAnsi="Aptos"/>
                <w:b w:val="0"/>
                <w:sz w:val="15"/>
              </w:rPr>
              <w:t>Preserve obligations, archive and remove duplication</w:t>
            </w:r>
          </w:p>
        </w:tc>
        <w:tc>
          <w:tcPr>
            <w:tcW w:type="dxa" w:w="3427"/>
            <w:vAlign w:val="center"/>
            <w:shd w:fill="F3F6F7"/>
          </w:tcPr>
          <w:p>
            <w:pPr>
              <w:spacing w:after="0"/>
            </w:pPr>
            <w:r/>
            <w:r>
              <w:rPr>
                <w:rFonts w:ascii="Aptos" w:hAnsi="Aptos"/>
                <w:b w:val="0"/>
                <w:sz w:val="15"/>
              </w:rPr>
              <w:t>Retirement record</w:t>
            </w:r>
          </w:p>
        </w:tc>
      </w:tr>
    </w:tbl>
    <w:p/>
    <w:p>
      <w:pPr>
        <w:pStyle w:val="Heading1"/>
      </w:pPr>
      <w:r>
        <w:t>Mapping Confidence and Review</w:t>
      </w:r>
    </w:p>
    <w:tbl>
      <w:tblPr>
        <w:tblStyle w:val="TableGrid"/>
        <w:tblW w:type="auto" w:w="0"/>
        <w:jc w:val="center"/>
        <w:tblLook w:firstColumn="1" w:firstRow="1" w:lastColumn="0" w:lastRow="0" w:noHBand="0" w:noVBand="1" w:val="04A0"/>
      </w:tblPr>
      <w:tblGrid>
        <w:gridCol w:w="3427"/>
        <w:gridCol w:w="3427"/>
        <w:gridCol w:w="3427"/>
      </w:tblGrid>
      <w:tr>
        <w:trPr>
          <w:tblHeader w:val="true"/>
          <w:cantSplit/>
        </w:trPr>
        <w:tc>
          <w:tcPr>
            <w:tcW w:type="dxa" w:w="3427"/>
            <w:vAlign w:val="center"/>
            <w:shd w:fill="17324D"/>
          </w:tcPr>
          <w:p>
            <w:pPr>
              <w:spacing w:after="0"/>
            </w:pPr>
            <w:r/>
            <w:r>
              <w:rPr>
                <w:rFonts w:ascii="Aptos" w:hAnsi="Aptos"/>
                <w:b/>
                <w:color w:val="FFFFFF"/>
                <w:sz w:val="15"/>
              </w:rPr>
              <w:t>Confidence</w:t>
            </w:r>
          </w:p>
        </w:tc>
        <w:tc>
          <w:tcPr>
            <w:tcW w:type="dxa" w:w="3427"/>
            <w:vAlign w:val="center"/>
            <w:shd w:fill="17324D"/>
          </w:tcPr>
          <w:p>
            <w:pPr>
              <w:spacing w:after="0"/>
            </w:pPr>
            <w:r/>
            <w:r>
              <w:rPr>
                <w:rFonts w:ascii="Aptos" w:hAnsi="Aptos"/>
                <w:b/>
                <w:color w:val="FFFFFF"/>
                <w:sz w:val="15"/>
              </w:rPr>
              <w:t>Criteria</w:t>
            </w:r>
          </w:p>
        </w:tc>
        <w:tc>
          <w:tcPr>
            <w:tcW w:type="dxa" w:w="3427"/>
            <w:vAlign w:val="center"/>
            <w:shd w:fill="17324D"/>
          </w:tcPr>
          <w:p>
            <w:pPr>
              <w:spacing w:after="0"/>
            </w:pPr>
            <w:r/>
            <w:r>
              <w:rPr>
                <w:rFonts w:ascii="Aptos" w:hAnsi="Aptos"/>
                <w:b/>
                <w:color w:val="FFFFFF"/>
                <w:sz w:val="15"/>
              </w:rPr>
              <w:t>Treatment</w:t>
            </w:r>
          </w:p>
        </w:tc>
      </w:tr>
      <w:tr>
        <w:trPr>
          <w:cantSplit/>
        </w:trPr>
        <w:tc>
          <w:tcPr>
            <w:tcW w:type="dxa" w:w="3427"/>
            <w:vAlign w:val="center"/>
            <w:shd w:fill="FFFFFF"/>
          </w:tcPr>
          <w:p>
            <w:pPr>
              <w:spacing w:after="0"/>
            </w:pPr>
            <w:r/>
            <w:r>
              <w:rPr>
                <w:rFonts w:ascii="Aptos" w:hAnsi="Aptos"/>
                <w:b w:val="0"/>
                <w:sz w:val="15"/>
              </w:rPr>
              <w:t>High</w:t>
            </w:r>
          </w:p>
        </w:tc>
        <w:tc>
          <w:tcPr>
            <w:tcW w:type="dxa" w:w="3427"/>
            <w:vAlign w:val="center"/>
            <w:shd w:fill="FFFFFF"/>
          </w:tcPr>
          <w:p>
            <w:pPr>
              <w:spacing w:after="0"/>
            </w:pPr>
            <w:r/>
            <w:r>
              <w:rPr>
                <w:rFonts w:ascii="Aptos" w:hAnsi="Aptos"/>
                <w:b w:val="0"/>
                <w:sz w:val="15"/>
              </w:rPr>
              <w:t>Same objective, scope, frequency and evidence; independently reviewed</w:t>
            </w:r>
          </w:p>
        </w:tc>
        <w:tc>
          <w:tcPr>
            <w:tcW w:type="dxa" w:w="3427"/>
            <w:vAlign w:val="center"/>
            <w:shd w:fill="FFFFFF"/>
          </w:tcPr>
          <w:p>
            <w:pPr>
              <w:spacing w:after="0"/>
            </w:pPr>
            <w:r/>
            <w:r>
              <w:rPr>
                <w:rFonts w:ascii="Aptos" w:hAnsi="Aptos"/>
                <w:b w:val="0"/>
                <w:sz w:val="15"/>
              </w:rPr>
              <w:t>May support reuse subject to operating test</w:t>
            </w:r>
          </w:p>
        </w:tc>
      </w:tr>
      <w:tr>
        <w:trPr>
          <w:cantSplit/>
        </w:trPr>
        <w:tc>
          <w:tcPr>
            <w:tcW w:type="dxa" w:w="3427"/>
            <w:vAlign w:val="center"/>
            <w:shd w:fill="F3F6F7"/>
          </w:tcPr>
          <w:p>
            <w:pPr>
              <w:spacing w:after="0"/>
            </w:pPr>
            <w:r/>
            <w:r>
              <w:rPr>
                <w:rFonts w:ascii="Aptos" w:hAnsi="Aptos"/>
                <w:b w:val="0"/>
                <w:sz w:val="15"/>
              </w:rPr>
              <w:t>Medium</w:t>
            </w:r>
          </w:p>
        </w:tc>
        <w:tc>
          <w:tcPr>
            <w:tcW w:type="dxa" w:w="3427"/>
            <w:vAlign w:val="center"/>
            <w:shd w:fill="F3F6F7"/>
          </w:tcPr>
          <w:p>
            <w:pPr>
              <w:spacing w:after="0"/>
            </w:pPr>
            <w:r/>
            <w:r>
              <w:rPr>
                <w:rFonts w:ascii="Aptos" w:hAnsi="Aptos"/>
                <w:b w:val="0"/>
                <w:sz w:val="15"/>
              </w:rPr>
              <w:t>Substantial overlap with documented differences</w:t>
            </w:r>
          </w:p>
        </w:tc>
        <w:tc>
          <w:tcPr>
            <w:tcW w:type="dxa" w:w="3427"/>
            <w:vAlign w:val="center"/>
            <w:shd w:fill="F3F6F7"/>
          </w:tcPr>
          <w:p>
            <w:pPr>
              <w:spacing w:after="0"/>
            </w:pPr>
            <w:r/>
            <w:r>
              <w:rPr>
                <w:rFonts w:ascii="Aptos" w:hAnsi="Aptos"/>
                <w:b w:val="0"/>
                <w:sz w:val="15"/>
              </w:rPr>
              <w:t>Enhance and retest</w:t>
            </w:r>
          </w:p>
        </w:tc>
      </w:tr>
      <w:tr>
        <w:trPr>
          <w:cantSplit/>
        </w:trPr>
        <w:tc>
          <w:tcPr>
            <w:tcW w:type="dxa" w:w="3427"/>
            <w:vAlign w:val="center"/>
            <w:shd w:fill="FFFFFF"/>
          </w:tcPr>
          <w:p>
            <w:pPr>
              <w:spacing w:after="0"/>
            </w:pPr>
            <w:r/>
            <w:r>
              <w:rPr>
                <w:rFonts w:ascii="Aptos" w:hAnsi="Aptos"/>
                <w:b w:val="0"/>
                <w:sz w:val="15"/>
              </w:rPr>
              <w:t>Low</w:t>
            </w:r>
          </w:p>
        </w:tc>
        <w:tc>
          <w:tcPr>
            <w:tcW w:type="dxa" w:w="3427"/>
            <w:vAlign w:val="center"/>
            <w:shd w:fill="FFFFFF"/>
          </w:tcPr>
          <w:p>
            <w:pPr>
              <w:spacing w:after="0"/>
            </w:pPr>
            <w:r/>
            <w:r>
              <w:rPr>
                <w:rFonts w:ascii="Aptos" w:hAnsi="Aptos"/>
                <w:b w:val="0"/>
                <w:sz w:val="15"/>
              </w:rPr>
              <w:t>Keyword or contextual relationship only</w:t>
            </w:r>
          </w:p>
        </w:tc>
        <w:tc>
          <w:tcPr>
            <w:tcW w:type="dxa" w:w="3427"/>
            <w:vAlign w:val="center"/>
            <w:shd w:fill="FFFFFF"/>
          </w:tcPr>
          <w:p>
            <w:pPr>
              <w:spacing w:after="0"/>
            </w:pPr>
            <w:r/>
            <w:r>
              <w:rPr>
                <w:rFonts w:ascii="Aptos" w:hAnsi="Aptos"/>
                <w:b w:val="0"/>
                <w:sz w:val="15"/>
              </w:rPr>
              <w:t>Reference, not conformance mapping</w:t>
            </w:r>
          </w:p>
        </w:tc>
      </w:tr>
      <w:tr>
        <w:trPr>
          <w:cantSplit/>
        </w:trPr>
        <w:tc>
          <w:tcPr>
            <w:tcW w:type="dxa" w:w="3427"/>
            <w:vAlign w:val="center"/>
            <w:shd w:fill="F3F6F7"/>
          </w:tcPr>
          <w:p>
            <w:pPr>
              <w:spacing w:after="0"/>
            </w:pPr>
            <w:r/>
            <w:r>
              <w:rPr>
                <w:rFonts w:ascii="Aptos" w:hAnsi="Aptos"/>
                <w:b w:val="0"/>
                <w:sz w:val="15"/>
              </w:rPr>
              <w:t>Rejected</w:t>
            </w:r>
          </w:p>
        </w:tc>
        <w:tc>
          <w:tcPr>
            <w:tcW w:type="dxa" w:w="3427"/>
            <w:vAlign w:val="center"/>
            <w:shd w:fill="F3F6F7"/>
          </w:tcPr>
          <w:p>
            <w:pPr>
              <w:spacing w:after="0"/>
            </w:pPr>
            <w:r/>
            <w:r>
              <w:rPr>
                <w:rFonts w:ascii="Aptos" w:hAnsi="Aptos"/>
                <w:b w:val="0"/>
                <w:sz w:val="15"/>
              </w:rPr>
              <w:t>Misleading, obsolete or incompatible</w:t>
            </w:r>
          </w:p>
        </w:tc>
        <w:tc>
          <w:tcPr>
            <w:tcW w:type="dxa" w:w="3427"/>
            <w:vAlign w:val="center"/>
            <w:shd w:fill="F3F6F7"/>
          </w:tcPr>
          <w:p>
            <w:pPr>
              <w:spacing w:after="0"/>
            </w:pPr>
            <w:r/>
            <w:r>
              <w:rPr>
                <w:rFonts w:ascii="Aptos" w:hAnsi="Aptos"/>
                <w:b w:val="0"/>
                <w:sz w:val="15"/>
              </w:rPr>
              <w:t>Do not use</w:t>
            </w:r>
          </w:p>
        </w:tc>
      </w:tr>
    </w:tbl>
    <w:p/>
    <w:p>
      <w:pPr>
        <w:pStyle w:val="Heading1"/>
      </w:pPr>
      <w:r>
        <w:t>Hybrid Framework Example</w:t>
      </w:r>
    </w:p>
    <w:p>
      <w:r>
        <w:t>An organization operating ISO/IEC 27001, NIST AI RMF and OWASP LLM guidance may reuse management-system governance, enterprise risk workflows and security test cases. It must still build a single GAISSF Statement of Applicability, control ownership model, system-specific evidence index, agentic and physical-AI treatment where applicable, and GAISSF-specific assurance records.</w:t>
      </w:r>
    </w:p>
    <w:p>
      <w:pPr>
        <w:pStyle w:val="Heading1"/>
      </w:pPr>
      <w:r>
        <w:t>Certification Transition Controls</w:t>
      </w:r>
    </w:p>
    <w:p>
      <w:pPr>
        <w:pStyle w:val="ListBullet"/>
      </w:pPr>
      <w:r>
        <w:t>Do not represent existing certification as GAISSF certification.</w:t>
      </w:r>
    </w:p>
    <w:p>
      <w:pPr>
        <w:pStyle w:val="ListBullet"/>
      </w:pPr>
      <w:r>
        <w:t>Confirm whether the source certification scope matches the GAISSF boundary.</w:t>
      </w:r>
    </w:p>
    <w:p>
      <w:pPr>
        <w:pStyle w:val="ListBullet"/>
      </w:pPr>
      <w:r>
        <w:t>Preserve certificate and audit-report licence restrictions.</w:t>
      </w:r>
    </w:p>
    <w:p>
      <w:pPr>
        <w:pStyle w:val="ListBullet"/>
      </w:pPr>
      <w:r>
        <w:t>Identify evidence accepted by the GAISSF assessment program.</w:t>
      </w:r>
    </w:p>
    <w:p>
      <w:pPr>
        <w:pStyle w:val="ListBullet"/>
      </w:pPr>
      <w:r>
        <w:t>Control public statements during parallel certification periods.</w:t>
      </w:r>
    </w:p>
    <w:p>
      <w:pPr>
        <w:pStyle w:val="Heading1"/>
      </w:pPr>
      <w:r>
        <w:t>Migration Validation Checklist</w:t>
      </w:r>
    </w:p>
    <w:p>
      <w:pPr>
        <w:pStyle w:val="ListBullet"/>
      </w:pPr>
      <w:r>
        <w:t>All 59 controls have a disposition.</w:t>
      </w:r>
    </w:p>
    <w:p>
      <w:pPr>
        <w:pStyle w:val="ListBullet"/>
      </w:pPr>
      <w:r>
        <w:t>Profile and exclusions are enumerated.</w:t>
      </w:r>
    </w:p>
    <w:p>
      <w:pPr>
        <w:pStyle w:val="ListBullet"/>
      </w:pPr>
      <w:r>
        <w:t>Mappings are version-controlled and independently reviewed.</w:t>
      </w:r>
    </w:p>
    <w:p>
      <w:pPr>
        <w:pStyle w:val="ListBullet"/>
      </w:pPr>
      <w:r>
        <w:t>Evidence reuse decisions are documented.</w:t>
      </w:r>
    </w:p>
    <w:p>
      <w:pPr>
        <w:pStyle w:val="ListBullet"/>
      </w:pPr>
      <w:r>
        <w:t>Unmapped gaps are funded.</w:t>
      </w:r>
    </w:p>
    <w:p>
      <w:pPr>
        <w:pStyle w:val="ListBullet"/>
      </w:pPr>
      <w:r>
        <w:t>Legacy obligations and certifications remain traceable.</w:t>
      </w:r>
    </w:p>
    <w:p>
      <w:pPr>
        <w:pStyle w:val="ListBullet"/>
      </w:pPr>
      <w:r>
        <w:t>Retirement occurs only after accepted target operation.</w:t>
      </w:r>
    </w:p>
    <w:p>
      <w:r/>
    </w:p>
    <w:p>
      <w:pPr>
        <w:pStyle w:val="Heading1"/>
      </w:pPr>
      <w:r>
        <w:t>Publication Completeness and Intended Use</w:t>
      </w:r>
    </w:p>
    <w:p>
      <w:r>
        <w:t>This full publication edition of GAISSF-IMP-012 is designed to stand on its own for its stated role: complete transition method from external and internal frameworks. It includes purpose, scope, governance, operating guidance, evidence expectations, limitations, decision criteria and reusable records appropriate to that role.</w:t>
      </w:r>
    </w:p>
    <w:p>
      <w:r>
        <w:t>Completeness does not mean that the document replaces the normative control statements, applicable law, sector-specific engineering, organizational procedures or professional judgement. Cross-referenced GAISSF documents remain part of the controlled document system.</w:t>
      </w:r>
    </w:p>
    <w:tbl>
      <w:tblPr>
        <w:tblStyle w:val="TableGrid"/>
        <w:tblW w:type="auto" w:w="0"/>
        <w:jc w:val="center"/>
        <w:tblLook w:firstColumn="1" w:firstRow="1" w:lastColumn="0" w:lastRow="0" w:noHBand="0" w:noVBand="1" w:val="04A0"/>
      </w:tblPr>
      <w:tblGrid>
        <w:gridCol w:w="5141"/>
        <w:gridCol w:w="5141"/>
      </w:tblGrid>
      <w:tr>
        <w:trPr>
          <w:tblHeader w:val="true"/>
          <w:cantSplit/>
        </w:trPr>
        <w:tc>
          <w:tcPr>
            <w:tcW w:type="dxa" w:w="5141"/>
            <w:vAlign w:val="center"/>
            <w:shd w:fill="17324D"/>
          </w:tcPr>
          <w:p>
            <w:pPr>
              <w:spacing w:after="0"/>
            </w:pPr>
            <w:r/>
            <w:r>
              <w:rPr>
                <w:rFonts w:ascii="Aptos" w:hAnsi="Aptos"/>
                <w:b/>
                <w:color w:val="FFFFFF"/>
                <w:sz w:val="15"/>
              </w:rPr>
              <w:t>Completeness dimension</w:t>
            </w:r>
          </w:p>
        </w:tc>
        <w:tc>
          <w:tcPr>
            <w:tcW w:type="dxa" w:w="5141"/>
            <w:vAlign w:val="center"/>
            <w:shd w:fill="17324D"/>
          </w:tcPr>
          <w:p>
            <w:pPr>
              <w:spacing w:after="0"/>
            </w:pPr>
            <w:r/>
            <w:r>
              <w:rPr>
                <w:rFonts w:ascii="Aptos" w:hAnsi="Aptos"/>
                <w:b/>
                <w:color w:val="FFFFFF"/>
                <w:sz w:val="15"/>
              </w:rPr>
              <w:t>Treatment in this edition</w:t>
            </w:r>
          </w:p>
        </w:tc>
      </w:tr>
      <w:tr>
        <w:trPr>
          <w:cantSplit/>
        </w:trPr>
        <w:tc>
          <w:tcPr>
            <w:tcW w:type="dxa" w:w="5141"/>
            <w:vAlign w:val="center"/>
            <w:shd w:fill="FFFFFF"/>
          </w:tcPr>
          <w:p>
            <w:pPr>
              <w:spacing w:after="0"/>
            </w:pPr>
            <w:r/>
            <w:r>
              <w:rPr>
                <w:rFonts w:ascii="Aptos" w:hAnsi="Aptos"/>
                <w:b w:val="0"/>
                <w:sz w:val="15"/>
              </w:rPr>
              <w:t>Normative alignment</w:t>
            </w:r>
          </w:p>
        </w:tc>
        <w:tc>
          <w:tcPr>
            <w:tcW w:type="dxa" w:w="5141"/>
            <w:vAlign w:val="center"/>
            <w:shd w:fill="FFFFFF"/>
          </w:tcPr>
          <w:p>
            <w:pPr>
              <w:spacing w:after="0"/>
            </w:pPr>
            <w:r/>
            <w:r>
              <w:rPr>
                <w:rFonts w:ascii="Aptos" w:hAnsi="Aptos"/>
                <w:b w:val="0"/>
                <w:sz w:val="15"/>
              </w:rPr>
              <w:t>Reconciled to the authoritative 59-control baseline and controlled profile structure.</w:t>
            </w:r>
          </w:p>
        </w:tc>
      </w:tr>
      <w:tr>
        <w:trPr>
          <w:cantSplit/>
        </w:trPr>
        <w:tc>
          <w:tcPr>
            <w:tcW w:type="dxa" w:w="5141"/>
            <w:vAlign w:val="center"/>
            <w:shd w:fill="F3F6F7"/>
          </w:tcPr>
          <w:p>
            <w:pPr>
              <w:spacing w:after="0"/>
            </w:pPr>
            <w:r/>
            <w:r>
              <w:rPr>
                <w:rFonts w:ascii="Aptos" w:hAnsi="Aptos"/>
                <w:b w:val="0"/>
                <w:sz w:val="15"/>
              </w:rPr>
              <w:t>Operational usability</w:t>
            </w:r>
          </w:p>
        </w:tc>
        <w:tc>
          <w:tcPr>
            <w:tcW w:type="dxa" w:w="5141"/>
            <w:vAlign w:val="center"/>
            <w:shd w:fill="F3F6F7"/>
          </w:tcPr>
          <w:p>
            <w:pPr>
              <w:spacing w:after="0"/>
            </w:pPr>
            <w:r/>
            <w:r>
              <w:rPr>
                <w:rFonts w:ascii="Aptos" w:hAnsi="Aptos"/>
                <w:b w:val="0"/>
                <w:sz w:val="15"/>
              </w:rPr>
              <w:t>Includes roles, workflows, gates, evidence, metrics, escalation and examples where relevant.</w:t>
            </w:r>
          </w:p>
        </w:tc>
      </w:tr>
      <w:tr>
        <w:trPr>
          <w:cantSplit/>
        </w:trPr>
        <w:tc>
          <w:tcPr>
            <w:tcW w:type="dxa" w:w="5141"/>
            <w:vAlign w:val="center"/>
            <w:shd w:fill="FFFFFF"/>
          </w:tcPr>
          <w:p>
            <w:pPr>
              <w:spacing w:after="0"/>
            </w:pPr>
            <w:r/>
            <w:r>
              <w:rPr>
                <w:rFonts w:ascii="Aptos" w:hAnsi="Aptos"/>
                <w:b w:val="0"/>
                <w:sz w:val="15"/>
              </w:rPr>
              <w:t>Traceability</w:t>
            </w:r>
          </w:p>
        </w:tc>
        <w:tc>
          <w:tcPr>
            <w:tcW w:type="dxa" w:w="5141"/>
            <w:vAlign w:val="center"/>
            <w:shd w:fill="FFFFFF"/>
          </w:tcPr>
          <w:p>
            <w:pPr>
              <w:spacing w:after="0"/>
            </w:pPr>
            <w:r/>
            <w:r>
              <w:rPr>
                <w:rFonts w:ascii="Aptos" w:hAnsi="Aptos"/>
                <w:b w:val="0"/>
                <w:sz w:val="15"/>
              </w:rPr>
              <w:t>Identifies dependencies and preserves the distinction between requirements, guidance and examples.</w:t>
            </w:r>
          </w:p>
        </w:tc>
      </w:tr>
      <w:tr>
        <w:trPr>
          <w:cantSplit/>
        </w:trPr>
        <w:tc>
          <w:tcPr>
            <w:tcW w:type="dxa" w:w="5141"/>
            <w:vAlign w:val="center"/>
            <w:shd w:fill="F3F6F7"/>
          </w:tcPr>
          <w:p>
            <w:pPr>
              <w:spacing w:after="0"/>
            </w:pPr>
            <w:r/>
            <w:r>
              <w:rPr>
                <w:rFonts w:ascii="Aptos" w:hAnsi="Aptos"/>
                <w:b w:val="0"/>
                <w:sz w:val="15"/>
              </w:rPr>
              <w:t>Limitations</w:t>
            </w:r>
          </w:p>
        </w:tc>
        <w:tc>
          <w:tcPr>
            <w:tcW w:type="dxa" w:w="5141"/>
            <w:vAlign w:val="center"/>
            <w:shd w:fill="F3F6F7"/>
          </w:tcPr>
          <w:p>
            <w:pPr>
              <w:spacing w:after="0"/>
            </w:pPr>
            <w:r/>
            <w:r>
              <w:rPr>
                <w:rFonts w:ascii="Aptos" w:hAnsi="Aptos"/>
                <w:b w:val="0"/>
                <w:sz w:val="15"/>
              </w:rPr>
              <w:t>States what the document does not establish or guarantee.</w:t>
            </w:r>
          </w:p>
        </w:tc>
      </w:tr>
      <w:tr>
        <w:trPr>
          <w:cantSplit/>
        </w:trPr>
        <w:tc>
          <w:tcPr>
            <w:tcW w:type="dxa" w:w="5141"/>
            <w:vAlign w:val="center"/>
            <w:shd w:fill="FFFFFF"/>
          </w:tcPr>
          <w:p>
            <w:pPr>
              <w:spacing w:after="0"/>
            </w:pPr>
            <w:r/>
            <w:r>
              <w:rPr>
                <w:rFonts w:ascii="Aptos" w:hAnsi="Aptos"/>
                <w:b w:val="0"/>
                <w:sz w:val="15"/>
              </w:rPr>
              <w:t>Maintenance</w:t>
            </w:r>
          </w:p>
        </w:tc>
        <w:tc>
          <w:tcPr>
            <w:tcW w:type="dxa" w:w="5141"/>
            <w:vAlign w:val="center"/>
            <w:shd w:fill="FFFFFF"/>
          </w:tcPr>
          <w:p>
            <w:pPr>
              <w:spacing w:after="0"/>
            </w:pPr>
            <w:r/>
            <w:r>
              <w:rPr>
                <w:rFonts w:ascii="Aptos" w:hAnsi="Aptos"/>
                <w:b w:val="0"/>
                <w:sz w:val="15"/>
              </w:rPr>
              <w:t>Includes review triggers, change control and publication status.</w:t>
            </w:r>
          </w:p>
        </w:tc>
      </w:tr>
    </w:tbl>
    <w:p/>
    <w:p>
      <w:r>
        <w:br w:type="page"/>
      </w:r>
    </w:p>
    <w:p>
      <w:pPr>
        <w:pStyle w:val="Heading1"/>
      </w:pPr>
      <w:r>
        <w:t>Legal and Regulatory Integration</w:t>
      </w:r>
    </w:p>
    <w:p>
      <w:r>
        <w:t>GAISSF provides an operational security, safety, governance and evidence framework. It does not determine which laws apply, establish statutory compliance, create a legal safe harbour, define a legal standard of care, replace competent legal advice, or guarantee that evidence collected for GAISSF purposes will satisfy a regulator, court or other authority. Organizations should maintain a jurisdiction-specific legal and regulatory obligations register and map applicable obligations to their GAISSF scope, controls, evidence, reporting processes and decision authorities.</w:t>
      </w:r>
    </w:p>
    <w:p>
      <w:pPr>
        <w:pStyle w:val="Heading2"/>
      </w:pPr>
      <w:r>
        <w:t>Legal and regulatory interface requirements</w:t>
      </w:r>
    </w:p>
    <w:p>
      <w:pPr>
        <w:pStyle w:val="ListBullet"/>
      </w:pPr>
      <w:r>
        <w:t>Identify applicable jurisdictions, regulators, sector rules, contractual duties and internal legal authorities before relying on this guide.</w:t>
      </w:r>
    </w:p>
    <w:p>
      <w:pPr>
        <w:pStyle w:val="ListBullet"/>
      </w:pPr>
      <w:r>
        <w:t>Maintain a controlled obligations register, reporting-clock register, retention schedule, legal-hold process and conflicts-of-obligation procedure.</w:t>
      </w:r>
    </w:p>
    <w:p>
      <w:pPr>
        <w:pStyle w:val="ListBullet"/>
      </w:pPr>
      <w:r>
        <w:t>Treat statutory, regulatory and contractual analysis as a parallel workstream to GAISSF implementation and assurance.</w:t>
      </w:r>
    </w:p>
    <w:p>
      <w:pPr>
        <w:pStyle w:val="ListBullet"/>
      </w:pPr>
      <w:r>
        <w:t>Record the legal basis, responsible owner, scope, decision, evidence, deadline and review date for each material obligation.</w:t>
      </w:r>
    </w:p>
    <w:p>
      <w:pPr>
        <w:pStyle w:val="ListBullet"/>
      </w:pPr>
      <w:r>
        <w:t>Do not represent GAISSF conformance, maturity or certification as legal approval, permission to operate, immunity from enforcement or proof that harm cannot occur.</w:t>
      </w:r>
    </w:p>
    <w:p>
      <w:pPr>
        <w:pStyle w:val="Heading1"/>
      </w:pPr>
      <w:r>
        <w:t>How to use this document</w:t>
      </w:r>
    </w:p>
    <w:tbl>
      <w:tblPr>
        <w:tblStyle w:val="TableGrid"/>
        <w:tblW w:type="auto" w:w="0"/>
        <w:jc w:val="center"/>
        <w:tblLook w:firstColumn="1" w:firstRow="1" w:lastColumn="0" w:lastRow="0" w:noHBand="0" w:noVBand="1" w:val="04A0"/>
      </w:tblPr>
      <w:tblGrid>
        <w:gridCol w:w="5141"/>
        <w:gridCol w:w="5141"/>
      </w:tblGrid>
      <w:tr>
        <w:tc>
          <w:tcPr>
            <w:tcW w:type="dxa" w:w="5141"/>
            <w:shd w:fill="17324D"/>
            <w:vAlign w:val="center"/>
          </w:tcPr>
          <w:p>
            <w:r>
              <w:rPr>
                <w:b/>
              </w:rPr>
              <w:t>Reader</w:t>
            </w:r>
          </w:p>
        </w:tc>
        <w:tc>
          <w:tcPr>
            <w:tcW w:type="dxa" w:w="5141"/>
            <w:shd w:fill="17324D"/>
            <w:vAlign w:val="center"/>
          </w:tcPr>
          <w:p>
            <w:r>
              <w:rPr>
                <w:b/>
              </w:rPr>
              <w:t>Recommended use</w:t>
            </w:r>
          </w:p>
        </w:tc>
      </w:tr>
      <w:tr>
        <w:tc>
          <w:tcPr>
            <w:tcW w:type="dxa" w:w="5141"/>
          </w:tcPr>
          <w:p>
            <w:r>
              <w:t>Executive or board reader</w:t>
            </w:r>
          </w:p>
        </w:tc>
        <w:tc>
          <w:tcPr>
            <w:tcW w:type="dxa" w:w="5141"/>
          </w:tcPr>
          <w:p>
            <w:r>
              <w:t>Review purpose, decision rights, legal and regulatory integration, limitations and Notably Absent sections.</w:t>
            </w:r>
          </w:p>
        </w:tc>
      </w:tr>
      <w:tr>
        <w:tc>
          <w:tcPr>
            <w:tcW w:type="dxa" w:w="5141"/>
          </w:tcPr>
          <w:p>
            <w:r>
              <w:t>Program or control owner</w:t>
            </w:r>
          </w:p>
        </w:tc>
        <w:tc>
          <w:tcPr>
            <w:tcW w:type="dxa" w:w="5141"/>
          </w:tcPr>
          <w:p>
            <w:r>
              <w:t>Use workflows, templates, gates, evidence fields and escalation criteria as implementation aids.</w:t>
            </w:r>
          </w:p>
        </w:tc>
      </w:tr>
      <w:tr>
        <w:tc>
          <w:tcPr>
            <w:tcW w:type="dxa" w:w="5141"/>
          </w:tcPr>
          <w:p>
            <w:r>
              <w:t>Engineering or operations team</w:t>
            </w:r>
          </w:p>
        </w:tc>
        <w:tc>
          <w:tcPr>
            <w:tcW w:type="dxa" w:w="5141"/>
          </w:tcPr>
          <w:p>
            <w:r>
              <w:t>Translate guidance into system-specific procedures, configurations, runbooks and testable acceptance criteria.</w:t>
            </w:r>
          </w:p>
        </w:tc>
      </w:tr>
      <w:tr>
        <w:tc>
          <w:tcPr>
            <w:tcW w:type="dxa" w:w="5141"/>
          </w:tcPr>
          <w:p>
            <w:r>
              <w:t>Legal, privacy or compliance team</w:t>
            </w:r>
          </w:p>
        </w:tc>
        <w:tc>
          <w:tcPr>
            <w:tcW w:type="dxa" w:w="5141"/>
          </w:tcPr>
          <w:p>
            <w:r>
              <w:t>Validate jurisdiction-specific obligations, deadlines, retention, disclosure, privilege and regulator-facing requirements.</w:t>
            </w:r>
          </w:p>
        </w:tc>
      </w:tr>
      <w:tr>
        <w:tc>
          <w:tcPr>
            <w:tcW w:type="dxa" w:w="5141"/>
          </w:tcPr>
          <w:p>
            <w:r>
              <w:t>Assessor or auditor</w:t>
            </w:r>
          </w:p>
        </w:tc>
        <w:tc>
          <w:tcPr>
            <w:tcW w:type="dxa" w:w="5141"/>
          </w:tcPr>
          <w:p>
            <w:r>
              <w:t>Use the document as informative context only; test claims against the authoritative normative sources and applicable assessment criteria.</w:t>
            </w:r>
          </w:p>
        </w:tc>
      </w:tr>
    </w:tbl>
    <w:p>
      <w:pPr>
        <w:pStyle w:val="Heading1"/>
      </w:pPr>
      <w:r>
        <w:t>See Also</w:t>
      </w:r>
    </w:p>
    <w:p>
      <w:pPr>
        <w:pStyle w:val="ListBullet"/>
      </w:pPr>
      <w:r>
        <w:t>GAISSF-NOR-004 for the authoritative control catalogue.</w:t>
      </w:r>
    </w:p>
    <w:p>
      <w:pPr>
        <w:pStyle w:val="ListBullet"/>
      </w:pPr>
      <w:r>
        <w:t>GAISSF-IMP-009 for adoption governance.</w:t>
      </w:r>
    </w:p>
    <w:p>
      <w:pPr>
        <w:pStyle w:val="ListBullet"/>
      </w:pPr>
      <w:r>
        <w:t>Controlled crosswalks for formal mapping records.</w:t>
      </w:r>
    </w:p>
    <w:p>
      <w:pPr>
        <w:pStyle w:val="Heading1"/>
      </w:pPr>
      <w:r>
        <w:t>Migration-specific regulatory enhancements</w:t>
      </w:r>
    </w:p>
    <w:p>
      <w:pPr>
        <w:pStyle w:val="Heading2"/>
      </w:pPr>
      <w:r>
        <w:t>Regulatory Gap Analysis work package</w:t>
      </w:r>
    </w:p>
    <w:p>
      <w:pPr>
        <w:pStyle w:val="ListNumber"/>
      </w:pPr>
      <w:r>
        <w:t>Identify applicable legal, regulatory, contractual and sector obligations.</w:t>
      </w:r>
    </w:p>
    <w:p>
      <w:pPr>
        <w:pStyle w:val="ListNumber"/>
      </w:pPr>
      <w:r>
        <w:t>Determine what the source framework actually covers.</w:t>
      </w:r>
    </w:p>
    <w:p>
      <w:pPr>
        <w:pStyle w:val="ListNumber"/>
      </w:pPr>
      <w:r>
        <w:t>Record partial, unsupported and conflicting relationships.</w:t>
      </w:r>
    </w:p>
    <w:p>
      <w:pPr>
        <w:pStyle w:val="ListNumber"/>
      </w:pPr>
      <w:r>
        <w:t>Assess operational and evidentiary gaps independently of framework mapping.</w:t>
      </w:r>
    </w:p>
    <w:p>
      <w:pPr>
        <w:pStyle w:val="ListNumber"/>
      </w:pPr>
      <w:r>
        <w:t>Obtain authorized legal, privacy or compliance review.</w:t>
      </w:r>
    </w:p>
    <w:p>
      <w:pPr>
        <w:pStyle w:val="ListNumber"/>
      </w:pPr>
      <w:r>
        <w:t>Track remediation outside the migration-completion claim.</w:t>
      </w:r>
    </w:p>
    <w:p>
      <w:r>
        <w:t>Framework mapping shall not be treated as a safe harbour, legal equivalence or proof of statutory compliance.</w:t>
      </w:r>
    </w:p>
    <w:p>
      <w:pPr>
        <w:pStyle w:val="Heading2"/>
      </w:pPr>
      <w:r>
        <w:t>Legacy model and data legal review</w:t>
      </w:r>
    </w:p>
    <w:tbl>
      <w:tblPr>
        <w:tblStyle w:val="TableGrid"/>
        <w:tblW w:type="auto" w:w="0"/>
        <w:jc w:val="center"/>
        <w:tblLook w:firstColumn="1" w:firstRow="1" w:lastColumn="0" w:lastRow="0" w:noHBand="0" w:noVBand="1" w:val="04A0"/>
      </w:tblPr>
      <w:tblGrid>
        <w:gridCol w:w="5141"/>
        <w:gridCol w:w="5141"/>
      </w:tblGrid>
      <w:tr>
        <w:tc>
          <w:tcPr>
            <w:tcW w:type="dxa" w:w="5141"/>
            <w:shd w:fill="17324D"/>
            <w:vAlign w:val="center"/>
          </w:tcPr>
          <w:p>
            <w:r>
              <w:rPr>
                <w:b/>
              </w:rPr>
              <w:t>Review area</w:t>
            </w:r>
          </w:p>
        </w:tc>
        <w:tc>
          <w:tcPr>
            <w:tcW w:type="dxa" w:w="5141"/>
            <w:shd w:fill="17324D"/>
            <w:vAlign w:val="center"/>
          </w:tcPr>
          <w:p>
            <w:r>
              <w:rPr>
                <w:b/>
              </w:rPr>
              <w:t>Questions</w:t>
            </w:r>
          </w:p>
        </w:tc>
      </w:tr>
      <w:tr>
        <w:tc>
          <w:tcPr>
            <w:tcW w:type="dxa" w:w="5141"/>
          </w:tcPr>
          <w:p>
            <w:r>
              <w:t>Provenance and licensing</w:t>
            </w:r>
          </w:p>
        </w:tc>
        <w:tc>
          <w:tcPr>
            <w:tcW w:type="dxa" w:w="5141"/>
          </w:tcPr>
          <w:p>
            <w:r>
              <w:t>Are source, licence, permitted use and downstream restrictions documented?</w:t>
            </w:r>
          </w:p>
        </w:tc>
      </w:tr>
      <w:tr>
        <w:tc>
          <w:tcPr>
            <w:tcW w:type="dxa" w:w="5141"/>
          </w:tcPr>
          <w:p>
            <w:r>
              <w:t>Privacy and consent</w:t>
            </w:r>
          </w:p>
        </w:tc>
        <w:tc>
          <w:tcPr>
            <w:tcW w:type="dxa" w:w="5141"/>
          </w:tcPr>
          <w:p>
            <w:r>
              <w:t>Is there a valid basis, notice, consent or other authority for processing?</w:t>
            </w:r>
          </w:p>
        </w:tc>
      </w:tr>
      <w:tr>
        <w:tc>
          <w:tcPr>
            <w:tcW w:type="dxa" w:w="5141"/>
          </w:tcPr>
          <w:p>
            <w:r>
              <w:t>Sensitive populations</w:t>
            </w:r>
          </w:p>
        </w:tc>
        <w:tc>
          <w:tcPr>
            <w:tcW w:type="dxa" w:w="5141"/>
          </w:tcPr>
          <w:p>
            <w:r>
              <w:t>Are children’s, biometric, health or other protected data involved?</w:t>
            </w:r>
          </w:p>
        </w:tc>
      </w:tr>
      <w:tr>
        <w:tc>
          <w:tcPr>
            <w:tcW w:type="dxa" w:w="5141"/>
          </w:tcPr>
          <w:p>
            <w:r>
              <w:t>Supplier terms</w:t>
            </w:r>
          </w:p>
        </w:tc>
        <w:tc>
          <w:tcPr>
            <w:tcW w:type="dxa" w:w="5141"/>
          </w:tcPr>
          <w:p>
            <w:r>
              <w:t>Do model or dataset terms permit migration, reuse and evidence retention?</w:t>
            </w:r>
          </w:p>
        </w:tc>
      </w:tr>
      <w:tr>
        <w:tc>
          <w:tcPr>
            <w:tcW w:type="dxa" w:w="5141"/>
          </w:tcPr>
          <w:p>
            <w:r>
              <w:t>Deletion and opt-out</w:t>
            </w:r>
          </w:p>
        </w:tc>
        <w:tc>
          <w:tcPr>
            <w:tcW w:type="dxa" w:w="5141"/>
          </w:tcPr>
          <w:p>
            <w:r>
              <w:t>Can statutory, contractual and data-subject requests be executed?</w:t>
            </w:r>
          </w:p>
        </w:tc>
      </w:tr>
      <w:tr>
        <w:tc>
          <w:tcPr>
            <w:tcW w:type="dxa" w:w="5141"/>
          </w:tcPr>
          <w:p>
            <w:r>
              <w:t>Uncertainty</w:t>
            </w:r>
          </w:p>
        </w:tc>
        <w:tc>
          <w:tcPr>
            <w:tcW w:type="dxa" w:w="5141"/>
          </w:tcPr>
          <w:p>
            <w:r>
              <w:t>Is unresolved provenance clearly recorded and risk accepted by authorized owners?</w:t>
            </w:r>
          </w:p>
        </w:tc>
      </w:tr>
    </w:tbl>
    <w:p>
      <w:pPr>
        <w:pStyle w:val="Heading2"/>
      </w:pPr>
      <w:r>
        <w:t>Portability, concentration and exit controls</w:t>
      </w:r>
    </w:p>
    <w:p>
      <w:pPr>
        <w:pStyle w:val="ListBullet"/>
      </w:pPr>
      <w:r>
        <w:t>Test data, model, configuration and evidence export.</w:t>
      </w:r>
    </w:p>
    <w:p>
      <w:pPr>
        <w:pStyle w:val="ListBullet"/>
      </w:pPr>
      <w:r>
        <w:t>Assess substitute providers and concentration dependencies.</w:t>
      </w:r>
    </w:p>
    <w:p>
      <w:pPr>
        <w:pStyle w:val="ListBullet"/>
      </w:pPr>
      <w:r>
        <w:t>Define termination assistance, deletion verification and continuity arrangements.</w:t>
      </w:r>
    </w:p>
    <w:p>
      <w:pPr>
        <w:pStyle w:val="ListBullet"/>
      </w:pPr>
      <w:r>
        <w:t>Preserve legacy evidence until the replacement has operated through an accepted assurance cycle and retention obligations permit disposal.</w:t>
      </w:r>
    </w:p>
    <w:p>
      <w:pPr>
        <w:pStyle w:val="Heading2"/>
      </w:pPr>
      <w:r>
        <w:t>Worked mapping rule</w:t>
      </w:r>
    </w:p>
    <w:p>
      <w:r>
        <w:t>A source requirement may be classified as “substantial alignment” only where intent is mostly covered and the remaining scope, evidence, frequency or assurance gap is explicitly stated. Worked examples are illustrative, version-specific and do not establish formal equivalence.</w:t>
      </w:r>
    </w:p>
    <w:p>
      <w:pPr>
        <w:pStyle w:val="Heading2"/>
      </w:pPr>
      <w:r>
        <w:t>Notably Absent — legal and regulatory boundary</w:t>
      </w:r>
    </w:p>
    <w:p>
      <w:pPr>
        <w:pStyle w:val="ListBullet"/>
      </w:pPr>
      <w:r>
        <w:t>No ISO, NIST or other framework safe harbour.</w:t>
      </w:r>
    </w:p>
    <w:p>
      <w:pPr>
        <w:pStyle w:val="ListBullet"/>
      </w:pPr>
      <w:r>
        <w:t>No requirement that legal counsel personally signs every migration record; review authority is risk-based.</w:t>
      </w:r>
    </w:p>
    <w:p>
      <w:pPr>
        <w:pStyle w:val="ListBullet"/>
      </w:pPr>
      <w:r>
        <w:t>No permission to retire a legacy control merely because a mapping exists.</w:t>
      </w:r>
    </w:p>
    <w:p>
      <w:pPr>
        <w:pStyle w:val="Heading1"/>
      </w:pPr>
      <w:r>
        <w:t>Publication revision record</w:t>
      </w:r>
    </w:p>
    <w:tbl>
      <w:tblPr>
        <w:tblStyle w:val="TableGrid"/>
        <w:tblW w:type="auto" w:w="0"/>
        <w:jc w:val="center"/>
        <w:tblLook w:firstColumn="1" w:firstRow="1" w:lastColumn="0" w:lastRow="0" w:noHBand="0" w:noVBand="1" w:val="04A0"/>
      </w:tblPr>
      <w:tblGrid>
        <w:gridCol w:w="5141"/>
        <w:gridCol w:w="5141"/>
      </w:tblGrid>
      <w:tr>
        <w:tc>
          <w:tcPr>
            <w:tcW w:type="dxa" w:w="5141"/>
            <w:shd w:fill="17324D"/>
            <w:vAlign w:val="center"/>
          </w:tcPr>
          <w:p>
            <w:r>
              <w:rPr>
                <w:b/>
              </w:rPr>
              <w:t>Revision</w:t>
            </w:r>
          </w:p>
        </w:tc>
        <w:tc>
          <w:tcPr>
            <w:tcW w:type="dxa" w:w="5141"/>
            <w:shd w:fill="17324D"/>
            <w:vAlign w:val="center"/>
          </w:tcPr>
          <w:p>
            <w:r>
              <w:rPr>
                <w:b/>
              </w:rPr>
              <w:t>Disposition</w:t>
            </w:r>
          </w:p>
        </w:tc>
      </w:tr>
      <w:tr>
        <w:tc>
          <w:tcPr>
            <w:tcW w:type="dxa" w:w="5141"/>
          </w:tcPr>
          <w:p>
            <w:r>
              <w:t>R2 — Regulatory and practitioner refinement</w:t>
            </w:r>
          </w:p>
        </w:tc>
        <w:tc>
          <w:tcPr>
            <w:tcW w:type="dxa" w:w="5141"/>
          </w:tcPr>
          <w:p>
            <w:r>
              <w:t>Added legal and regulatory integration, preservation, reporting, decision-record, public-claim and usability guidance. No normative GAISSF control was added, removed, renamed or amended.</w:t>
            </w:r>
          </w:p>
        </w:tc>
      </w:tr>
      <w:tr>
        <w:tc>
          <w:tcPr>
            <w:tcW w:type="dxa" w:w="5141"/>
          </w:tcPr>
          <w:p>
            <w:r>
              <w:t>Authority boundary</w:t>
            </w:r>
          </w:p>
        </w:tc>
        <w:tc>
          <w:tcPr>
            <w:tcW w:type="dxa" w:w="5141"/>
          </w:tcPr>
          <w:p>
            <w:r>
              <w:t>GAISSF-NOR-001, GAISSF-NOR-004 and controlled profile records remain authoritative.</w:t>
            </w:r>
          </w:p>
        </w:tc>
      </w:tr>
    </w:tbl>
    <w:sectPr w:rsidR="00FC693F" w:rsidRPr="0006063C" w:rsidSect="00034616">
      <w:headerReference w:type="default" r:id="rId9"/>
      <w:footerReference w:type="default" r:id="rId10"/>
      <w:pgSz w:w="12240" w:h="15840"/>
      <w:pgMar w:top="893" w:right="979" w:bottom="893" w:left="97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5"/>
      </w:rPr>
      <w:t xml:space="preserve">Version 1.0 | Implementation guidance | © 2026 ODA3 Pvt Ltd | Page </w:t>
    </w:r>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color w:val="4C6B7A"/>
        <w:sz w:val="16"/>
      </w:rPr>
      <w:t>GAISSF-IMP-012 | GAISSF® v1.0 Migration Guide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47" w:lineRule="auto"/>
    </w:pPr>
    <w:rPr>
      <w:rFonts w:ascii="Aptos" w:hAnsi="Apto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17324D"/>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205B65"/>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w:hAnsi="Aptos"/>
      <w:b/>
      <w:bCs/>
      <w:color w:val="17324D"/>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17324D"/>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ptos" w:hAnsi="Aptos"/>
      <w:b w:val="0"/>
      <w:i/>
      <w:iCs/>
      <w:color w:val="4C6B7A"/>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Note">
    <w:name w:val="Small Note"/>
    <w:pPr>
      <w:spacing w:after="60"/>
    </w:pPr>
    <w:rPr>
      <w:rFonts w:ascii="Aptos" w:hAnsi="Aptos"/>
      <w:color w:val="4A5560"/>
      <w:sz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GAISSF® v1.0 Migration Guide</dc:title>
  <dc:subject>Migration from other frameworks into GAISSF | Full final edition</dc:subject>
  <dc:creator>ODA3 Institute</dc:creator>
  <cp:keywords>GAISSF, AI security, AI safety, implementation guidance, ODA3 Institute</cp:keywords>
  <dc:description>Verified and revised publication edition aligned to GAISSF v1.0 authoritative normative sources.</dc:description>
  <cp:lastModifiedBy>ODA3 Institute</cp:lastModifiedBy>
  <cp:revision>1</cp:revision>
  <dcterms:created xsi:type="dcterms:W3CDTF">2013-12-23T23:15:00Z</dcterms:created>
  <dcterms:modified xsi:type="dcterms:W3CDTF">2013-12-23T23:15:00Z</dcterms:modified>
  <cp:category/>
</cp:coreProperties>
</file>