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b/>
          <w:color w:val="17324D"/>
          <w:sz w:val="60"/>
        </w:rPr>
        <w:t>GAISSF® v1.0</w:t>
      </w:r>
    </w:p>
    <w:p>
      <w:pPr>
        <w:jc w:val="center"/>
      </w:pPr>
      <w:r>
        <w:rPr>
          <w:b/>
          <w:color w:val="205B65"/>
          <w:sz w:val="48"/>
        </w:rPr>
        <w:t>Reference Architecture</w:t>
      </w:r>
    </w:p>
    <w:p>
      <w:pPr>
        <w:jc w:val="center"/>
      </w:pPr>
      <w:r>
        <w:rPr>
          <w:color w:val="4C6B7A"/>
          <w:sz w:val="23"/>
        </w:rPr>
        <w:t>Reference Designs, Security Zones, Trust Boundaries and Deployment Patterns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736"/>
            <w:vAlign w:val="center"/>
            <w:shd w:fill="17324D"/>
          </w:tcPr>
          <w:p>
            <w:pPr>
              <w:spacing w:after="0"/>
            </w:pPr>
            <w:r/>
            <w:r>
              <w:rPr>
                <w:rFonts w:ascii="Aptos" w:hAnsi="Aptos"/>
                <w:b/>
                <w:color w:val="FFFFFF"/>
                <w:sz w:val="15"/>
              </w:rPr>
              <w:t>Field</w:t>
            </w:r>
          </w:p>
        </w:tc>
        <w:tc>
          <w:tcPr>
            <w:tcW w:type="dxa" w:w="6912"/>
            <w:vAlign w:val="center"/>
            <w:shd w:fill="17324D"/>
          </w:tcPr>
          <w:p>
            <w:pPr>
              <w:spacing w:after="0"/>
            </w:pPr>
            <w:r/>
            <w:r>
              <w:rPr>
                <w:rFonts w:ascii="Aptos" w:hAnsi="Aptos"/>
                <w:b/>
                <w:color w:val="FFFFFF"/>
                <w:sz w:val="15"/>
              </w:rPr>
              <w:t>Value</w:t>
            </w:r>
          </w:p>
        </w:tc>
      </w:tr>
      <w:tr>
        <w:trPr>
          <w:cantSplit/>
        </w:trPr>
        <w:tc>
          <w:tcPr>
            <w:tcW w:type="dxa" w:w="2736"/>
            <w:vAlign w:val="center"/>
          </w:tcPr>
          <w:p>
            <w:pPr>
              <w:spacing w:after="0"/>
            </w:pPr>
            <w:r/>
            <w:r>
              <w:rPr>
                <w:rFonts w:ascii="Aptos" w:hAnsi="Aptos"/>
                <w:b w:val="0"/>
                <w:sz w:val="15"/>
              </w:rPr>
              <w:t>Document ID</w:t>
            </w:r>
          </w:p>
        </w:tc>
        <w:tc>
          <w:tcPr>
            <w:tcW w:type="dxa" w:w="6912"/>
            <w:vAlign w:val="center"/>
          </w:tcPr>
          <w:p>
            <w:pPr>
              <w:spacing w:after="0"/>
            </w:pPr>
            <w:r/>
            <w:r>
              <w:rPr>
                <w:rFonts w:ascii="Aptos" w:hAnsi="Aptos"/>
                <w:b w:val="0"/>
                <w:sz w:val="15"/>
              </w:rPr>
              <w:t>GAISSF-IMP-013</w:t>
            </w:r>
          </w:p>
        </w:tc>
      </w:tr>
      <w:tr>
        <w:trPr>
          <w:cantSplit/>
        </w:trPr>
        <w:tc>
          <w:tcPr>
            <w:tcW w:type="dxa" w:w="2736"/>
            <w:vAlign w:val="center"/>
            <w:shd w:fill="F3F6F7"/>
          </w:tcPr>
          <w:p>
            <w:pPr>
              <w:spacing w:after="0"/>
            </w:pPr>
            <w:r/>
            <w:r>
              <w:rPr>
                <w:rFonts w:ascii="Aptos" w:hAnsi="Aptos"/>
                <w:b w:val="0"/>
                <w:sz w:val="15"/>
              </w:rPr>
              <w:t>Version</w:t>
            </w:r>
          </w:p>
        </w:tc>
        <w:tc>
          <w:tcPr>
            <w:tcW w:type="dxa" w:w="6912"/>
            <w:vAlign w:val="center"/>
            <w:shd w:fill="F3F6F7"/>
          </w:tcPr>
          <w:p>
            <w:pPr>
              <w:spacing w:after="0"/>
            </w:pPr>
            <w:r/>
            <w:r>
              <w:rPr>
                <w:rFonts w:ascii="Aptos" w:hAnsi="Aptos"/>
                <w:b w:val="0"/>
                <w:sz w:val="15"/>
              </w:rPr>
              <w:t>1.0</w:t>
            </w:r>
          </w:p>
        </w:tc>
      </w:tr>
      <w:tr>
        <w:trPr>
          <w:cantSplit/>
        </w:trPr>
        <w:tc>
          <w:tcPr>
            <w:tcW w:type="dxa" w:w="2736"/>
            <w:vAlign w:val="center"/>
          </w:tcPr>
          <w:p>
            <w:pPr>
              <w:spacing w:after="0"/>
            </w:pPr>
            <w:r/>
            <w:r>
              <w:rPr>
                <w:rFonts w:ascii="Aptos" w:hAnsi="Aptos"/>
                <w:b w:val="0"/>
                <w:sz w:val="15"/>
              </w:rPr>
              <w:t>Status</w:t>
            </w:r>
          </w:p>
        </w:tc>
        <w:tc>
          <w:tcPr>
            <w:tcW w:type="dxa" w:w="6912"/>
            <w:vAlign w:val="center"/>
          </w:tcPr>
          <w:p>
            <w:r>
              <w:t>Final Publication Edition</w:t>
            </w:r>
          </w:p>
        </w:tc>
      </w:tr>
      <w:tr>
        <w:trPr>
          <w:cantSplit/>
        </w:trPr>
        <w:tc>
          <w:tcPr>
            <w:tcW w:type="dxa" w:w="2736"/>
            <w:vAlign w:val="center"/>
            <w:shd w:fill="F3F6F7"/>
          </w:tcPr>
          <w:p>
            <w:pPr>
              <w:spacing w:after="0"/>
            </w:pPr>
            <w:r/>
            <w:r>
              <w:rPr>
                <w:rFonts w:ascii="Aptos" w:hAnsi="Aptos"/>
                <w:b w:val="0"/>
                <w:sz w:val="15"/>
              </w:rPr>
              <w:t>Classification</w:t>
            </w:r>
          </w:p>
        </w:tc>
        <w:tc>
          <w:tcPr>
            <w:tcW w:type="dxa" w:w="6912"/>
            <w:vAlign w:val="center"/>
            <w:shd w:fill="F3F6F7"/>
          </w:tcPr>
          <w:p>
            <w:pPr>
              <w:spacing w:after="0"/>
            </w:pPr>
            <w:r/>
            <w:r>
              <w:rPr>
                <w:rFonts w:ascii="Aptos" w:hAnsi="Aptos"/>
                <w:b w:val="0"/>
                <w:sz w:val="15"/>
              </w:rPr>
              <w:t>Implementation guidance — informative</w:t>
            </w:r>
          </w:p>
        </w:tc>
      </w:tr>
      <w:tr>
        <w:trPr>
          <w:cantSplit/>
        </w:trPr>
        <w:tc>
          <w:tcPr>
            <w:tcW w:type="dxa" w:w="2736"/>
            <w:vAlign w:val="center"/>
          </w:tcPr>
          <w:p>
            <w:pPr>
              <w:spacing w:after="0"/>
            </w:pPr>
            <w:r/>
            <w:r>
              <w:rPr>
                <w:rFonts w:ascii="Aptos" w:hAnsi="Aptos"/>
                <w:b w:val="0"/>
                <w:sz w:val="15"/>
              </w:rPr>
              <w:t>Publisher</w:t>
            </w:r>
          </w:p>
        </w:tc>
        <w:tc>
          <w:tcPr>
            <w:tcW w:type="dxa" w:w="6912"/>
            <w:vAlign w:val="center"/>
          </w:tcPr>
          <w:p>
            <w:pPr>
              <w:spacing w:after="0"/>
            </w:pPr>
            <w:r/>
            <w:r>
              <w:rPr>
                <w:rFonts w:ascii="Aptos" w:hAnsi="Aptos"/>
                <w:b w:val="0"/>
                <w:sz w:val="15"/>
              </w:rPr>
              <w:t>ODA3 Institute</w:t>
            </w:r>
          </w:p>
        </w:tc>
      </w:tr>
      <w:tr>
        <w:trPr>
          <w:cantSplit/>
        </w:trPr>
        <w:tc>
          <w:tcPr>
            <w:tcW w:type="dxa" w:w="2736"/>
            <w:vAlign w:val="center"/>
            <w:shd w:fill="F3F6F7"/>
          </w:tcPr>
          <w:p>
            <w:pPr>
              <w:spacing w:after="0"/>
            </w:pPr>
            <w:r/>
            <w:r>
              <w:rPr>
                <w:rFonts w:ascii="Aptos" w:hAnsi="Aptos"/>
                <w:b w:val="0"/>
                <w:sz w:val="15"/>
              </w:rPr>
              <w:t>Legal entity</w:t>
            </w:r>
          </w:p>
        </w:tc>
        <w:tc>
          <w:tcPr>
            <w:tcW w:type="dxa" w:w="6912"/>
            <w:vAlign w:val="center"/>
            <w:shd w:fill="F3F6F7"/>
          </w:tcPr>
          <w:p>
            <w:pPr>
              <w:spacing w:after="0"/>
            </w:pPr>
            <w:r/>
            <w:r>
              <w:rPr>
                <w:rFonts w:ascii="Aptos" w:hAnsi="Aptos"/>
                <w:b w:val="0"/>
                <w:sz w:val="15"/>
              </w:rPr>
              <w:t>ODA3 Pvt Ltd</w:t>
            </w:r>
          </w:p>
        </w:tc>
      </w:tr>
      <w:tr>
        <w:trPr>
          <w:cantSplit/>
        </w:trPr>
        <w:tc>
          <w:tcPr>
            <w:tcW w:type="dxa" w:w="2736"/>
            <w:vAlign w:val="center"/>
          </w:tcPr>
          <w:p>
            <w:pPr>
              <w:spacing w:after="0"/>
            </w:pPr>
            <w:r/>
            <w:r>
              <w:rPr>
                <w:rFonts w:ascii="Aptos" w:hAnsi="Aptos"/>
                <w:b w:val="0"/>
                <w:sz w:val="15"/>
              </w:rPr>
              <w:t>Authoritative normative source</w:t>
            </w:r>
          </w:p>
        </w:tc>
        <w:tc>
          <w:tcPr>
            <w:tcW w:type="dxa" w:w="6912"/>
            <w:vAlign w:val="center"/>
          </w:tcPr>
          <w:p>
            <w:pPr>
              <w:spacing w:after="0"/>
            </w:pPr>
            <w:r/>
            <w:r>
              <w:rPr>
                <w:rFonts w:ascii="Aptos" w:hAnsi="Aptos"/>
                <w:b w:val="0"/>
                <w:sz w:val="15"/>
              </w:rPr>
              <w:t>GAISSF-NOR-001</w:t>
            </w:r>
          </w:p>
        </w:tc>
      </w:tr>
      <w:tr>
        <w:trPr>
          <w:cantSplit/>
        </w:trPr>
        <w:tc>
          <w:tcPr>
            <w:tcW w:type="dxa" w:w="2736"/>
            <w:vAlign w:val="center"/>
            <w:shd w:fill="F3F6F7"/>
          </w:tcPr>
          <w:p>
            <w:pPr>
              <w:spacing w:after="0"/>
            </w:pPr>
            <w:r/>
            <w:r>
              <w:rPr>
                <w:rFonts w:ascii="Aptos" w:hAnsi="Aptos"/>
                <w:b w:val="0"/>
                <w:sz w:val="15"/>
              </w:rPr>
              <w:t>Control baseline</w:t>
            </w:r>
          </w:p>
        </w:tc>
        <w:tc>
          <w:tcPr>
            <w:tcW w:type="dxa" w:w="6912"/>
            <w:vAlign w:val="center"/>
            <w:shd w:fill="F3F6F7"/>
          </w:tcPr>
          <w:p>
            <w:pPr>
              <w:spacing w:after="0"/>
            </w:pPr>
            <w:r/>
            <w:r>
              <w:rPr>
                <w:rFonts w:ascii="Aptos" w:hAnsi="Aptos"/>
                <w:b w:val="0"/>
                <w:sz w:val="15"/>
              </w:rPr>
              <w:t>59 controls across nine domains</w:t>
            </w:r>
          </w:p>
        </w:tc>
      </w:tr>
      <w:tr>
        <w:trPr>
          <w:cantSplit/>
        </w:trPr>
        <w:tc>
          <w:tcPr>
            <w:tcW w:type="dxa" w:w="2736"/>
            <w:vAlign w:val="center"/>
          </w:tcPr>
          <w:p>
            <w:pPr>
              <w:spacing w:after="0"/>
            </w:pPr>
            <w:r/>
            <w:r>
              <w:rPr>
                <w:rFonts w:ascii="Aptos" w:hAnsi="Aptos"/>
                <w:b w:val="0"/>
                <w:sz w:val="15"/>
              </w:rPr>
              <w:t>Publication date</w:t>
            </w:r>
          </w:p>
        </w:tc>
        <w:tc>
          <w:tcPr>
            <w:tcW w:type="dxa" w:w="6912"/>
            <w:vAlign w:val="center"/>
          </w:tcPr>
          <w:p>
            <w:pPr>
              <w:spacing w:after="0"/>
            </w:pPr>
            <w:r/>
            <w:r>
              <w:rPr>
                <w:rFonts w:ascii="Aptos" w:hAnsi="Aptos"/>
                <w:b w:val="0"/>
                <w:sz w:val="15"/>
              </w:rPr>
              <w:t>29 June 2026</w:t>
            </w:r>
          </w:p>
        </w:tc>
      </w:tr>
    </w:tbl>
    <w:p/>
    <w:p>
      <w:pPr>
        <w:pStyle w:val="SmallNote"/>
        <w:jc w:val="center"/>
      </w:pPr>
      <w:r>
        <w:t>This document provides implementation-independent reference designs. It does not mandate a specific product, vendor, cloud, topology or technology stack.</w:t>
      </w:r>
    </w:p>
    <w:p>
      <w:r/>
    </w:p>
    <w:p>
      <w:pPr>
        <w:pStyle w:val="Heading1"/>
      </w:pPr>
      <w:r>
        <w:t>Document Control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Attribute</w:t>
            </w:r>
          </w:p>
        </w:tc>
        <w:tc>
          <w:tcPr>
            <w:tcW w:type="dxa" w:w="7056"/>
            <w:vAlign w:val="center"/>
            <w:shd w:fill="17324D"/>
          </w:tcPr>
          <w:p>
            <w:pPr>
              <w:spacing w:after="0"/>
            </w:pPr>
            <w:r/>
            <w:r>
              <w:rPr>
                <w:rFonts w:ascii="Aptos" w:hAnsi="Aptos"/>
                <w:b/>
                <w:color w:val="FFFFFF"/>
                <w:sz w:val="15"/>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Reference Architecture</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GAISSF-IMP-013</w:t>
            </w:r>
          </w:p>
        </w:tc>
      </w:tr>
      <w:tr>
        <w:trPr>
          <w:cantSplit/>
        </w:trPr>
        <w:tc>
          <w:tcPr>
            <w:tcW w:type="dxa" w:w="2592"/>
            <w:vAlign w:val="center"/>
          </w:tcPr>
          <w:p>
            <w:pPr>
              <w:spacing w:after="0"/>
            </w:pPr>
            <w:r/>
            <w:r>
              <w:rPr>
                <w:rFonts w:ascii="Aptos" w:hAnsi="Aptos"/>
                <w:b w:val="0"/>
                <w:sz w:val="15"/>
              </w:rPr>
              <w:t>Purpose</w:t>
            </w:r>
          </w:p>
        </w:tc>
        <w:tc>
          <w:tcPr>
            <w:tcW w:type="dxa" w:w="7056"/>
            <w:vAlign w:val="center"/>
          </w:tcPr>
          <w:p>
            <w:pPr>
              <w:spacing w:after="0"/>
            </w:pPr>
            <w:r/>
            <w:r>
              <w:rPr>
                <w:rFonts w:ascii="Aptos" w:hAnsi="Aptos"/>
                <w:b w:val="0"/>
                <w:sz w:val="15"/>
              </w:rPr>
              <w:t>Provide reusable architectural blueprints and security patterns for GAISSF implementation</w:t>
            </w:r>
          </w:p>
        </w:tc>
      </w:tr>
      <w:tr>
        <w:trPr>
          <w:cantSplit/>
        </w:trPr>
        <w:tc>
          <w:tcPr>
            <w:tcW w:type="dxa" w:w="2592"/>
            <w:vAlign w:val="center"/>
            <w:shd w:fill="F3F6F7"/>
          </w:tcPr>
          <w:p>
            <w:pPr>
              <w:spacing w:after="0"/>
            </w:pPr>
            <w:r/>
            <w:r>
              <w:rPr>
                <w:rFonts w:ascii="Aptos" w:hAnsi="Aptos"/>
                <w:b w:val="0"/>
                <w:sz w:val="15"/>
              </w:rPr>
              <w:t>Primary audience</w:t>
            </w:r>
          </w:p>
        </w:tc>
        <w:tc>
          <w:tcPr>
            <w:tcW w:type="dxa" w:w="7056"/>
            <w:vAlign w:val="center"/>
            <w:shd w:fill="F3F6F7"/>
          </w:tcPr>
          <w:p>
            <w:pPr>
              <w:spacing w:after="0"/>
            </w:pPr>
            <w:r/>
            <w:r>
              <w:rPr>
                <w:rFonts w:ascii="Aptos" w:hAnsi="Aptos"/>
                <w:b w:val="0"/>
                <w:sz w:val="15"/>
              </w:rPr>
              <w:t>Enterprise architects, security architects, AI architects, platform engineers, MLOps, DevSecOps, safety engineers, governance leads and assessors</w:t>
            </w:r>
          </w:p>
        </w:tc>
      </w:tr>
      <w:tr>
        <w:trPr>
          <w:cantSplit/>
        </w:trPr>
        <w:tc>
          <w:tcPr>
            <w:tcW w:type="dxa" w:w="2592"/>
            <w:vAlign w:val="center"/>
          </w:tcPr>
          <w:p>
            <w:pPr>
              <w:spacing w:after="0"/>
            </w:pPr>
            <w:r/>
            <w:r>
              <w:rPr>
                <w:rFonts w:ascii="Aptos" w:hAnsi="Aptos"/>
                <w:b w:val="0"/>
                <w:sz w:val="15"/>
              </w:rPr>
              <w:t>Dependencies</w:t>
            </w:r>
          </w:p>
        </w:tc>
        <w:tc>
          <w:tcPr>
            <w:tcW w:type="dxa" w:w="7056"/>
            <w:vAlign w:val="center"/>
          </w:tcPr>
          <w:p>
            <w:pPr>
              <w:spacing w:after="0"/>
            </w:pPr>
            <w:r/>
            <w:r>
              <w:rPr>
                <w:rFonts w:ascii="Aptos" w:hAnsi="Aptos"/>
                <w:b w:val="0"/>
                <w:sz w:val="15"/>
              </w:rPr>
              <w:t>GAISSF-NOR-001 through GAISSF-NOR-008 and GAISSF-IMP-009 through GAISSF-IMP-012</w:t>
            </w:r>
          </w:p>
        </w:tc>
      </w:tr>
      <w:tr>
        <w:trPr>
          <w:cantSplit/>
        </w:trPr>
        <w:tc>
          <w:tcPr>
            <w:tcW w:type="dxa" w:w="2592"/>
            <w:vAlign w:val="center"/>
            <w:shd w:fill="F3F6F7"/>
          </w:tcPr>
          <w:p>
            <w:pPr>
              <w:spacing w:after="0"/>
            </w:pPr>
            <w:r/>
            <w:r>
              <w:rPr>
                <w:rFonts w:ascii="Aptos" w:hAnsi="Aptos"/>
                <w:b w:val="0"/>
                <w:sz w:val="15"/>
              </w:rPr>
              <w:t>Classification</w:t>
            </w:r>
          </w:p>
        </w:tc>
        <w:tc>
          <w:tcPr>
            <w:tcW w:type="dxa" w:w="7056"/>
            <w:vAlign w:val="center"/>
            <w:shd w:fill="F3F6F7"/>
          </w:tcPr>
          <w:p>
            <w:pPr>
              <w:spacing w:after="0"/>
            </w:pPr>
            <w:r/>
            <w:r>
              <w:rPr>
                <w:rFonts w:ascii="Aptos" w:hAnsi="Aptos"/>
                <w:b w:val="0"/>
                <w:sz w:val="15"/>
              </w:rPr>
              <w:t>Informative implementation guidance</w:t>
            </w:r>
          </w:p>
        </w:tc>
      </w:tr>
      <w:tr>
        <w:trPr>
          <w:cantSplit/>
        </w:trPr>
        <w:tc>
          <w:tcPr>
            <w:tcW w:type="dxa" w:w="2592"/>
            <w:vAlign w:val="center"/>
          </w:tcPr>
          <w:p>
            <w:pPr>
              <w:spacing w:after="0"/>
            </w:pPr>
            <w:r/>
            <w:r>
              <w:rPr>
                <w:rFonts w:ascii="Aptos" w:hAnsi="Aptos"/>
                <w:b w:val="0"/>
                <w:sz w:val="15"/>
              </w:rPr>
              <w:t>Precedence</w:t>
            </w:r>
          </w:p>
        </w:tc>
        <w:tc>
          <w:tcPr>
            <w:tcW w:type="dxa" w:w="7056"/>
            <w:vAlign w:val="center"/>
          </w:tcPr>
          <w:p>
            <w:pPr>
              <w:spacing w:after="0"/>
            </w:pPr>
            <w:r/>
            <w:r>
              <w:rPr>
                <w:rFonts w:ascii="Aptos" w:hAnsi="Aptos"/>
                <w:b w:val="0"/>
                <w:sz w:val="15"/>
              </w:rPr>
              <w:t>GAISSF-NOR-001 and GAISSF-NOR-004 prevail</w:t>
            </w:r>
          </w:p>
        </w:tc>
      </w:tr>
      <w:tr>
        <w:trPr>
          <w:cantSplit/>
        </w:trPr>
        <w:tc>
          <w:tcPr>
            <w:tcW w:type="dxa" w:w="2592"/>
            <w:vAlign w:val="center"/>
            <w:shd w:fill="F3F6F7"/>
          </w:tcPr>
          <w:p>
            <w:pPr>
              <w:spacing w:after="0"/>
            </w:pPr>
            <w:r/>
            <w:r>
              <w:rPr>
                <w:rFonts w:ascii="Aptos" w:hAnsi="Aptos"/>
                <w:b w:val="0"/>
                <w:sz w:val="15"/>
              </w:rPr>
              <w:t>Distribution</w:t>
            </w:r>
          </w:p>
        </w:tc>
        <w:tc>
          <w:tcPr>
            <w:tcW w:type="dxa" w:w="7056"/>
            <w:vAlign w:val="center"/>
            <w:shd w:fill="F3F6F7"/>
          </w:tcPr>
          <w:p>
            <w:pPr>
              <w:spacing w:after="0"/>
            </w:pPr>
            <w:r/>
            <w:r>
              <w:rPr>
                <w:rFonts w:ascii="Aptos" w:hAnsi="Aptos"/>
                <w:b w:val="0"/>
                <w:sz w:val="15"/>
              </w:rPr>
              <w:t>Public — Website and GitHub</w:t>
            </w:r>
          </w:p>
        </w:tc>
      </w:tr>
    </w:tbl>
    <w:p/>
    <w:p>
      <w:pPr>
        <w:pStyle w:val="Heading1"/>
      </w:pPr>
      <w:r>
        <w:t>Legal and Reliance Notice</w:t>
      </w:r>
    </w:p>
    <w:p>
      <w:r>
        <w:t>© 2026 ODA3 Pvt Ltd. Published market-facing by ODA3 Institute.</w:t>
      </w:r>
    </w:p>
    <w:p>
      <w:r>
        <w:t>GAISSF® is used as a framework mark. Third-party names and marks remain the property of their respective owners.</w:t>
      </w:r>
    </w:p>
    <w:p>
      <w:r>
        <w:t>The reference designs are illustrative and shall be adapted to system context, threat model, sector, jurisdiction and safety requirements.</w:t>
      </w:r>
    </w:p>
    <w:p>
      <w:r>
        <w:t>Use of this architecture does not establish GAISSF conformance, certification eligibility, legal compliance or system safety.</w:t>
      </w:r>
    </w:p>
    <w:p>
      <w:pPr>
        <w:pStyle w:val="Heading1"/>
      </w:pPr>
      <w:r>
        <w:t>Foreword</w:t>
      </w:r>
    </w:p>
    <w:p>
      <w:r>
        <w:t>A reference architecture helps organizations implement GAISSF consistently without prescribing a single technology stack. The designs in this document organize control placement, trust boundaries, telemetry, evidence, human oversight and fail-safe behavior across common AI deployment models.</w:t>
      </w:r>
    </w:p>
    <w:p>
      <w:pPr>
        <w:pStyle w:val="Heading1"/>
      </w:pPr>
      <w:r>
        <w:t>1. Purpose and Scope</w:t>
      </w:r>
    </w:p>
    <w:p>
      <w:r>
        <w:t>This document defines reusable architectural patterns for enterprise AI services, generative-AI applications, retrieval-augmented generation, agentic systems, externally hosted model services, private-model platforms, edge deployments and physical-AI systems.</w:t>
      </w:r>
    </w:p>
    <w:p>
      <w:r>
        <w:t>The patterns are implementation-independent. Organizations should select, combine and tailor them based on system criticality, autonomy, data sensitivity, supplier dependence, deployment model and applicable safety obligations.</w:t>
      </w:r>
    </w:p>
    <w:p>
      <w:pPr>
        <w:pStyle w:val="Heading1"/>
      </w:pPr>
      <w:r>
        <w:t>2. Architecture Principles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Principle</w:t>
            </w:r>
          </w:p>
        </w:tc>
        <w:tc>
          <w:tcPr>
            <w:tcW w:type="dxa" w:w="6624"/>
            <w:vAlign w:val="center"/>
            <w:shd w:fill="17324D"/>
          </w:tcPr>
          <w:p>
            <w:pPr>
              <w:spacing w:after="0"/>
            </w:pPr>
            <w:r/>
            <w:r>
              <w:rPr>
                <w:rFonts w:ascii="Aptos" w:hAnsi="Aptos"/>
                <w:b/>
                <w:color w:val="FFFFFF"/>
                <w:sz w:val="15"/>
              </w:rPr>
              <w:t>Architectural implication</w:t>
            </w:r>
          </w:p>
        </w:tc>
      </w:tr>
      <w:tr>
        <w:trPr>
          <w:cantSplit/>
        </w:trPr>
        <w:tc>
          <w:tcPr>
            <w:tcW w:type="dxa" w:w="3024"/>
            <w:vAlign w:val="center"/>
          </w:tcPr>
          <w:p>
            <w:pPr>
              <w:spacing w:after="0"/>
            </w:pPr>
            <w:r/>
            <w:r>
              <w:rPr>
                <w:rFonts w:ascii="Aptos" w:hAnsi="Aptos"/>
                <w:b w:val="0"/>
                <w:sz w:val="15"/>
              </w:rPr>
              <w:t>Explicit trust boundaries</w:t>
            </w:r>
          </w:p>
        </w:tc>
        <w:tc>
          <w:tcPr>
            <w:tcW w:type="dxa" w:w="6624"/>
            <w:vAlign w:val="center"/>
          </w:tcPr>
          <w:p>
            <w:pPr>
              <w:spacing w:after="0"/>
            </w:pPr>
            <w:r/>
            <w:r>
              <w:rPr>
                <w:rFonts w:ascii="Aptos" w:hAnsi="Aptos"/>
                <w:b w:val="0"/>
                <w:sz w:val="15"/>
              </w:rPr>
              <w:t>Every transition between users, applications, models, tools, data, suppliers and physical actions is identified and controlled.</w:t>
            </w:r>
          </w:p>
        </w:tc>
      </w:tr>
      <w:tr>
        <w:trPr>
          <w:cantSplit/>
        </w:trPr>
        <w:tc>
          <w:tcPr>
            <w:tcW w:type="dxa" w:w="3024"/>
            <w:vAlign w:val="center"/>
            <w:shd w:fill="F3F6F7"/>
          </w:tcPr>
          <w:p>
            <w:pPr>
              <w:spacing w:after="0"/>
            </w:pPr>
            <w:r/>
            <w:r>
              <w:rPr>
                <w:rFonts w:ascii="Aptos" w:hAnsi="Aptos"/>
                <w:b w:val="0"/>
                <w:sz w:val="15"/>
              </w:rPr>
              <w:t>Least privilege by capability</w:t>
            </w:r>
          </w:p>
        </w:tc>
        <w:tc>
          <w:tcPr>
            <w:tcW w:type="dxa" w:w="6624"/>
            <w:vAlign w:val="center"/>
            <w:shd w:fill="F3F6F7"/>
          </w:tcPr>
          <w:p>
            <w:pPr>
              <w:spacing w:after="0"/>
            </w:pPr>
            <w:r/>
            <w:r>
              <w:rPr>
                <w:rFonts w:ascii="Aptos" w:hAnsi="Aptos"/>
                <w:b w:val="0"/>
                <w:sz w:val="15"/>
              </w:rPr>
              <w:t>Permissions are scoped to models, tools, actions, data, memory and environments—not only user identities.</w:t>
            </w:r>
          </w:p>
        </w:tc>
      </w:tr>
      <w:tr>
        <w:trPr>
          <w:cantSplit/>
        </w:trPr>
        <w:tc>
          <w:tcPr>
            <w:tcW w:type="dxa" w:w="3024"/>
            <w:vAlign w:val="center"/>
          </w:tcPr>
          <w:p>
            <w:pPr>
              <w:spacing w:after="0"/>
            </w:pPr>
            <w:r/>
            <w:r>
              <w:rPr>
                <w:rFonts w:ascii="Aptos" w:hAnsi="Aptos"/>
                <w:b w:val="0"/>
                <w:sz w:val="15"/>
              </w:rPr>
              <w:t>Separation of control and data planes</w:t>
            </w:r>
          </w:p>
        </w:tc>
        <w:tc>
          <w:tcPr>
            <w:tcW w:type="dxa" w:w="6624"/>
            <w:vAlign w:val="center"/>
          </w:tcPr>
          <w:p>
            <w:pPr>
              <w:spacing w:after="0"/>
            </w:pPr>
            <w:r/>
            <w:r>
              <w:rPr>
                <w:rFonts w:ascii="Aptos" w:hAnsi="Aptos"/>
                <w:b w:val="0"/>
                <w:sz w:val="15"/>
              </w:rPr>
              <w:t>Governance, policy and approval functions are separated from operational data and inference flows.</w:t>
            </w:r>
          </w:p>
        </w:tc>
      </w:tr>
      <w:tr>
        <w:trPr>
          <w:cantSplit/>
        </w:trPr>
        <w:tc>
          <w:tcPr>
            <w:tcW w:type="dxa" w:w="3024"/>
            <w:vAlign w:val="center"/>
            <w:shd w:fill="F3F6F7"/>
          </w:tcPr>
          <w:p>
            <w:pPr>
              <w:spacing w:after="0"/>
            </w:pPr>
            <w:r/>
            <w:r>
              <w:rPr>
                <w:rFonts w:ascii="Aptos" w:hAnsi="Aptos"/>
                <w:b w:val="0"/>
                <w:sz w:val="15"/>
              </w:rPr>
              <w:t>Evidence by design</w:t>
            </w:r>
          </w:p>
        </w:tc>
        <w:tc>
          <w:tcPr>
            <w:tcW w:type="dxa" w:w="6624"/>
            <w:vAlign w:val="center"/>
            <w:shd w:fill="F3F6F7"/>
          </w:tcPr>
          <w:p>
            <w:pPr>
              <w:spacing w:after="0"/>
            </w:pPr>
            <w:r/>
            <w:r>
              <w:rPr>
                <w:rFonts w:ascii="Aptos" w:hAnsi="Aptos"/>
                <w:b w:val="0"/>
                <w:sz w:val="15"/>
              </w:rPr>
              <w:t>Architecture generates attributable logs, decisions, tests and state records required for assurance.</w:t>
            </w:r>
          </w:p>
        </w:tc>
      </w:tr>
      <w:tr>
        <w:trPr>
          <w:cantSplit/>
        </w:trPr>
        <w:tc>
          <w:tcPr>
            <w:tcW w:type="dxa" w:w="3024"/>
            <w:vAlign w:val="center"/>
          </w:tcPr>
          <w:p>
            <w:pPr>
              <w:spacing w:after="0"/>
            </w:pPr>
            <w:r/>
            <w:r>
              <w:rPr>
                <w:rFonts w:ascii="Aptos" w:hAnsi="Aptos"/>
                <w:b w:val="0"/>
                <w:sz w:val="15"/>
              </w:rPr>
              <w:t>Fail securely and safely</w:t>
            </w:r>
          </w:p>
        </w:tc>
        <w:tc>
          <w:tcPr>
            <w:tcW w:type="dxa" w:w="6624"/>
            <w:vAlign w:val="center"/>
          </w:tcPr>
          <w:p>
            <w:pPr>
              <w:spacing w:after="0"/>
            </w:pPr>
            <w:r/>
            <w:r>
              <w:rPr>
                <w:rFonts w:ascii="Aptos" w:hAnsi="Aptos"/>
                <w:b w:val="0"/>
                <w:sz w:val="15"/>
              </w:rPr>
              <w:t>Failures produce contained, observable and recoverable states; physical systems enter a defined safe state.</w:t>
            </w:r>
          </w:p>
        </w:tc>
      </w:tr>
      <w:tr>
        <w:trPr>
          <w:cantSplit/>
        </w:trPr>
        <w:tc>
          <w:tcPr>
            <w:tcW w:type="dxa" w:w="3024"/>
            <w:vAlign w:val="center"/>
            <w:shd w:fill="F3F6F7"/>
          </w:tcPr>
          <w:p>
            <w:pPr>
              <w:spacing w:after="0"/>
            </w:pPr>
            <w:r/>
            <w:r>
              <w:rPr>
                <w:rFonts w:ascii="Aptos" w:hAnsi="Aptos"/>
                <w:b w:val="0"/>
                <w:sz w:val="15"/>
              </w:rPr>
              <w:t>Human authority for consequential actions</w:t>
            </w:r>
          </w:p>
        </w:tc>
        <w:tc>
          <w:tcPr>
            <w:tcW w:type="dxa" w:w="6624"/>
            <w:vAlign w:val="center"/>
            <w:shd w:fill="F3F6F7"/>
          </w:tcPr>
          <w:p>
            <w:pPr>
              <w:spacing w:after="0"/>
            </w:pPr>
            <w:r/>
            <w:r>
              <w:rPr>
                <w:rFonts w:ascii="Aptos" w:hAnsi="Aptos"/>
                <w:b w:val="0"/>
                <w:sz w:val="15"/>
              </w:rPr>
              <w:t>High-impact actions require approval, review, override or escalation appropriate to risk.</w:t>
            </w:r>
          </w:p>
        </w:tc>
      </w:tr>
      <w:tr>
        <w:trPr>
          <w:cantSplit/>
        </w:trPr>
        <w:tc>
          <w:tcPr>
            <w:tcW w:type="dxa" w:w="3024"/>
            <w:vAlign w:val="center"/>
          </w:tcPr>
          <w:p>
            <w:pPr>
              <w:spacing w:after="0"/>
            </w:pPr>
            <w:r/>
            <w:r>
              <w:rPr>
                <w:rFonts w:ascii="Aptos" w:hAnsi="Aptos"/>
                <w:b w:val="0"/>
                <w:sz w:val="15"/>
              </w:rPr>
              <w:t>Versioned and reproducible components</w:t>
            </w:r>
          </w:p>
        </w:tc>
        <w:tc>
          <w:tcPr>
            <w:tcW w:type="dxa" w:w="6624"/>
            <w:vAlign w:val="center"/>
          </w:tcPr>
          <w:p>
            <w:pPr>
              <w:spacing w:after="0"/>
            </w:pPr>
            <w:r/>
            <w:r>
              <w:rPr>
                <w:rFonts w:ascii="Aptos" w:hAnsi="Aptos"/>
                <w:b w:val="0"/>
                <w:sz w:val="15"/>
              </w:rPr>
              <w:t>Models, data, prompts, policies, tools and configurations are identifiable and recoverable.</w:t>
            </w:r>
          </w:p>
        </w:tc>
      </w:tr>
      <w:tr>
        <w:trPr>
          <w:cantSplit/>
        </w:trPr>
        <w:tc>
          <w:tcPr>
            <w:tcW w:type="dxa" w:w="3024"/>
            <w:vAlign w:val="center"/>
            <w:shd w:fill="F3F6F7"/>
          </w:tcPr>
          <w:p>
            <w:pPr>
              <w:spacing w:after="0"/>
            </w:pPr>
            <w:r/>
            <w:r>
              <w:rPr>
                <w:rFonts w:ascii="Aptos" w:hAnsi="Aptos"/>
                <w:b w:val="0"/>
                <w:sz w:val="15"/>
              </w:rPr>
              <w:t>Supplier boundaries remain visible</w:t>
            </w:r>
          </w:p>
        </w:tc>
        <w:tc>
          <w:tcPr>
            <w:tcW w:type="dxa" w:w="6624"/>
            <w:vAlign w:val="center"/>
            <w:shd w:fill="F3F6F7"/>
          </w:tcPr>
          <w:p>
            <w:pPr>
              <w:spacing w:after="0"/>
            </w:pPr>
            <w:r/>
            <w:r>
              <w:rPr>
                <w:rFonts w:ascii="Aptos" w:hAnsi="Aptos"/>
                <w:b w:val="0"/>
                <w:sz w:val="15"/>
              </w:rPr>
              <w:t>Inherited controls and external dependencies are represented explicitly rather than treated as internal.</w:t>
            </w:r>
          </w:p>
        </w:tc>
      </w:tr>
      <w:tr>
        <w:trPr>
          <w:cantSplit/>
        </w:trPr>
        <w:tc>
          <w:tcPr>
            <w:tcW w:type="dxa" w:w="3024"/>
            <w:vAlign w:val="center"/>
          </w:tcPr>
          <w:p>
            <w:pPr>
              <w:spacing w:after="0"/>
            </w:pPr>
            <w:r/>
            <w:r>
              <w:rPr>
                <w:rFonts w:ascii="Aptos" w:hAnsi="Aptos"/>
                <w:b w:val="0"/>
                <w:sz w:val="15"/>
              </w:rPr>
              <w:t>Monitoring is independent where feasible</w:t>
            </w:r>
          </w:p>
        </w:tc>
        <w:tc>
          <w:tcPr>
            <w:tcW w:type="dxa" w:w="6624"/>
            <w:vAlign w:val="center"/>
          </w:tcPr>
          <w:p>
            <w:pPr>
              <w:spacing w:after="0"/>
            </w:pPr>
            <w:r/>
            <w:r>
              <w:rPr>
                <w:rFonts w:ascii="Aptos" w:hAnsi="Aptos"/>
                <w:b w:val="0"/>
                <w:sz w:val="15"/>
              </w:rPr>
              <w:t>Critical telemetry and control-health verification are not solely dependent on the component being monitored.</w:t>
            </w:r>
          </w:p>
        </w:tc>
      </w:tr>
    </w:tbl>
    <w:p/>
    <w:p>
      <w:pPr>
        <w:pStyle w:val="Heading1"/>
      </w:pPr>
      <w:r>
        <w:t>3. Logical Reference Architecture</w:t>
      </w:r>
    </w:p>
    <w:p>
      <w:pPr>
        <w:pStyle w:val="Heading2"/>
      </w:pPr>
      <w:r>
        <w:t>3.1 Layered architecture</w:t>
      </w:r>
    </w:p>
    <w:tbl>
      <w:tblPr>
        <w:tblStyle w:val="TableGrid"/>
        <w:tblW w:type="auto" w:w="0"/>
        <w:jc w:val="center"/>
        <w:tblLook w:firstColumn="1" w:firstRow="1" w:lastColumn="0" w:lastRow="0" w:noHBand="0" w:noVBand="1" w:val="04A0"/>
      </w:tblPr>
      <w:tblGrid>
        <w:gridCol w:w="10282"/>
      </w:tblGrid>
      <w:tr>
        <w:trPr>
          <w:tblHeader w:val="true"/>
          <w:cantSplit/>
        </w:trPr>
        <w:tc>
          <w:tcPr>
            <w:tcW w:type="dxa" w:w="10282"/>
            <w:vAlign w:val="center"/>
            <w:shd w:fill="D9EAF0"/>
          </w:tcPr>
          <w:p>
            <w:pPr>
              <w:spacing w:after="0"/>
              <w:jc w:val="center"/>
            </w:pPr>
            <w:r/>
            <w:r>
              <w:rPr>
                <w:rFonts w:ascii="Aptos" w:hAnsi="Aptos"/>
                <w:b/>
                <w:sz w:val="16"/>
              </w:rPr>
              <w:t>Governance and Assurance Plane</w:t>
              <w:br/>
              <w:t>Inventory • risk • policy • exceptions • approvals • evidence • audit • certification records</w:t>
            </w:r>
          </w:p>
        </w:tc>
      </w:tr>
      <w:tr>
        <w:trPr>
          <w:cantSplit/>
        </w:trPr>
        <w:tc>
          <w:tcPr>
            <w:tcW w:type="dxa" w:w="10282"/>
            <w:vAlign w:val="center"/>
            <w:shd w:fill="E8F1E8"/>
          </w:tcPr>
          <w:p>
            <w:pPr>
              <w:spacing w:after="0"/>
              <w:jc w:val="center"/>
            </w:pPr>
            <w:r/>
            <w:r>
              <w:rPr>
                <w:rFonts w:ascii="Aptos" w:hAnsi="Aptos"/>
                <w:b w:val="0"/>
                <w:sz w:val="16"/>
              </w:rPr>
              <w:t>Security and Policy Enforcement Plane</w:t>
              <w:br/>
              <w:t>Identity • authorization • AI gateway • policy engine • content controls • transaction approval</w:t>
            </w:r>
          </w:p>
        </w:tc>
      </w:tr>
      <w:tr>
        <w:trPr>
          <w:cantSplit/>
        </w:trPr>
        <w:tc>
          <w:tcPr>
            <w:tcW w:type="dxa" w:w="10282"/>
            <w:vAlign w:val="center"/>
            <w:shd w:fill="F2EBDD"/>
          </w:tcPr>
          <w:p>
            <w:pPr>
              <w:spacing w:after="0"/>
              <w:jc w:val="center"/>
            </w:pPr>
            <w:r/>
            <w:r>
              <w:rPr>
                <w:rFonts w:ascii="Aptos" w:hAnsi="Aptos"/>
                <w:b w:val="0"/>
                <w:sz w:val="16"/>
              </w:rPr>
              <w:t>Experience and Channel Layer</w:t>
              <w:br/>
              <w:t>Web • mobile • API • chat • voice • operator console • embedded interface</w:t>
            </w:r>
          </w:p>
        </w:tc>
      </w:tr>
      <w:tr>
        <w:trPr>
          <w:cantSplit/>
        </w:trPr>
        <w:tc>
          <w:tcPr>
            <w:tcW w:type="dxa" w:w="10282"/>
            <w:vAlign w:val="center"/>
            <w:shd w:fill="EFE5F2"/>
          </w:tcPr>
          <w:p>
            <w:pPr>
              <w:spacing w:after="0"/>
              <w:jc w:val="center"/>
            </w:pPr>
            <w:r/>
            <w:r>
              <w:rPr>
                <w:rFonts w:ascii="Aptos" w:hAnsi="Aptos"/>
                <w:b w:val="0"/>
                <w:sz w:val="16"/>
              </w:rPr>
              <w:t>Application and Orchestration Layer</w:t>
              <w:br/>
              <w:t>Business logic • prompt orchestration • agents • memory • tool routing • workflow state</w:t>
            </w:r>
          </w:p>
        </w:tc>
      </w:tr>
      <w:tr>
        <w:trPr>
          <w:cantSplit/>
        </w:trPr>
        <w:tc>
          <w:tcPr>
            <w:tcW w:type="dxa" w:w="10282"/>
            <w:vAlign w:val="center"/>
            <w:shd w:fill="E6EAF3"/>
          </w:tcPr>
          <w:p>
            <w:pPr>
              <w:spacing w:after="0"/>
              <w:jc w:val="center"/>
            </w:pPr>
            <w:r/>
            <w:r>
              <w:rPr>
                <w:rFonts w:ascii="Aptos" w:hAnsi="Aptos"/>
                <w:b w:val="0"/>
                <w:sz w:val="16"/>
              </w:rPr>
              <w:t>Model Service Layer</w:t>
              <w:br/>
              <w:t>Model routing • inference endpoints • local models • hosted models • evaluation wrappers</w:t>
            </w:r>
          </w:p>
        </w:tc>
      </w:tr>
      <w:tr>
        <w:trPr>
          <w:cantSplit/>
        </w:trPr>
        <w:tc>
          <w:tcPr>
            <w:tcW w:type="dxa" w:w="10282"/>
            <w:vAlign w:val="center"/>
            <w:shd w:fill="F3E3E3"/>
          </w:tcPr>
          <w:p>
            <w:pPr>
              <w:spacing w:after="0"/>
              <w:jc w:val="center"/>
            </w:pPr>
            <w:r/>
            <w:r>
              <w:rPr>
                <w:rFonts w:ascii="Aptos" w:hAnsi="Aptos"/>
                <w:b w:val="0"/>
                <w:sz w:val="16"/>
              </w:rPr>
              <w:t>Data and Knowledge Layer</w:t>
              <w:br/>
              <w:t>Training data • retrieval stores • vector databases • feature stores • operational records</w:t>
            </w:r>
          </w:p>
        </w:tc>
      </w:tr>
      <w:tr>
        <w:trPr>
          <w:cantSplit/>
        </w:trPr>
        <w:tc>
          <w:tcPr>
            <w:tcW w:type="dxa" w:w="10282"/>
            <w:vAlign w:val="center"/>
            <w:shd w:fill="E8ECEF"/>
          </w:tcPr>
          <w:p>
            <w:pPr>
              <w:spacing w:after="0"/>
              <w:jc w:val="center"/>
            </w:pPr>
            <w:r/>
            <w:r>
              <w:rPr>
                <w:rFonts w:ascii="Aptos" w:hAnsi="Aptos"/>
                <w:b w:val="0"/>
                <w:sz w:val="16"/>
              </w:rPr>
              <w:t>Platform and Infrastructure Layer</w:t>
              <w:br/>
              <w:t>Cloud • containers • networks • secrets • endpoints • accelerators • edge compute</w:t>
            </w:r>
          </w:p>
        </w:tc>
      </w:tr>
      <w:tr>
        <w:trPr>
          <w:cantSplit/>
        </w:trPr>
        <w:tc>
          <w:tcPr>
            <w:tcW w:type="dxa" w:w="10282"/>
            <w:vAlign w:val="center"/>
            <w:shd w:fill="DDE8E6"/>
          </w:tcPr>
          <w:p>
            <w:pPr>
              <w:spacing w:after="0"/>
              <w:jc w:val="center"/>
            </w:pPr>
            <w:r/>
            <w:r>
              <w:rPr>
                <w:rFonts w:ascii="Aptos" w:hAnsi="Aptos"/>
                <w:b w:val="0"/>
                <w:sz w:val="16"/>
              </w:rPr>
              <w:t>Physical Actuation and Environment Layer</w:t>
              <w:br/>
              <w:t>Robotics • vehicles • machinery • sensors • actuators • human environment</w:t>
            </w:r>
          </w:p>
        </w:tc>
      </w:tr>
    </w:tbl>
    <w:p/>
    <w:p>
      <w:pPr>
        <w:pStyle w:val="Heading2"/>
      </w:pPr>
      <w:r>
        <w:t>3.2 Cross-cutting services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448"/>
            <w:vAlign w:val="center"/>
            <w:shd w:fill="17324D"/>
          </w:tcPr>
          <w:p>
            <w:pPr>
              <w:spacing w:after="0"/>
            </w:pPr>
            <w:r/>
            <w:r>
              <w:rPr>
                <w:rFonts w:ascii="Aptos" w:hAnsi="Aptos"/>
                <w:b/>
                <w:color w:val="FFFFFF"/>
                <w:sz w:val="15"/>
              </w:rPr>
              <w:t>Service</w:t>
            </w:r>
          </w:p>
        </w:tc>
        <w:tc>
          <w:tcPr>
            <w:tcW w:type="dxa" w:w="4032"/>
            <w:vAlign w:val="center"/>
            <w:shd w:fill="17324D"/>
          </w:tcPr>
          <w:p>
            <w:pPr>
              <w:spacing w:after="0"/>
            </w:pPr>
            <w:r/>
            <w:r>
              <w:rPr>
                <w:rFonts w:ascii="Aptos" w:hAnsi="Aptos"/>
                <w:b/>
                <w:color w:val="FFFFFF"/>
                <w:sz w:val="15"/>
              </w:rPr>
              <w:t>Purpose</w:t>
            </w:r>
          </w:p>
        </w:tc>
        <w:tc>
          <w:tcPr>
            <w:tcW w:type="dxa" w:w="3168"/>
            <w:vAlign w:val="center"/>
            <w:shd w:fill="17324D"/>
          </w:tcPr>
          <w:p>
            <w:pPr>
              <w:spacing w:after="0"/>
            </w:pPr>
            <w:r/>
            <w:r>
              <w:rPr>
                <w:rFonts w:ascii="Aptos" w:hAnsi="Aptos"/>
                <w:b/>
                <w:color w:val="FFFFFF"/>
                <w:sz w:val="15"/>
              </w:rPr>
              <w:t>Evidence generated</w:t>
            </w:r>
          </w:p>
        </w:tc>
      </w:tr>
      <w:tr>
        <w:trPr>
          <w:cantSplit/>
        </w:trPr>
        <w:tc>
          <w:tcPr>
            <w:tcW w:type="dxa" w:w="2448"/>
            <w:vAlign w:val="center"/>
          </w:tcPr>
          <w:p>
            <w:pPr>
              <w:spacing w:after="0"/>
            </w:pPr>
            <w:r/>
            <w:r>
              <w:rPr>
                <w:rFonts w:ascii="Aptos" w:hAnsi="Aptos"/>
                <w:b w:val="0"/>
                <w:sz w:val="15"/>
              </w:rPr>
              <w:t>Identity and access</w:t>
            </w:r>
          </w:p>
        </w:tc>
        <w:tc>
          <w:tcPr>
            <w:tcW w:type="dxa" w:w="4032"/>
            <w:vAlign w:val="center"/>
          </w:tcPr>
          <w:p>
            <w:pPr>
              <w:spacing w:after="0"/>
            </w:pPr>
            <w:r/>
            <w:r>
              <w:rPr>
                <w:rFonts w:ascii="Aptos" w:hAnsi="Aptos"/>
                <w:b w:val="0"/>
                <w:sz w:val="15"/>
              </w:rPr>
              <w:t>Authenticate users, services, agents, tools and administrators</w:t>
            </w:r>
          </w:p>
        </w:tc>
        <w:tc>
          <w:tcPr>
            <w:tcW w:type="dxa" w:w="3168"/>
            <w:vAlign w:val="center"/>
          </w:tcPr>
          <w:p>
            <w:pPr>
              <w:spacing w:after="0"/>
            </w:pPr>
            <w:r/>
            <w:r>
              <w:rPr>
                <w:rFonts w:ascii="Aptos" w:hAnsi="Aptos"/>
                <w:b w:val="0"/>
                <w:sz w:val="15"/>
              </w:rPr>
              <w:t>Access decisions, role changes, privileged sessions</w:t>
            </w:r>
          </w:p>
        </w:tc>
      </w:tr>
      <w:tr>
        <w:trPr>
          <w:cantSplit/>
        </w:trPr>
        <w:tc>
          <w:tcPr>
            <w:tcW w:type="dxa" w:w="2448"/>
            <w:vAlign w:val="center"/>
            <w:shd w:fill="F3F6F7"/>
          </w:tcPr>
          <w:p>
            <w:pPr>
              <w:spacing w:after="0"/>
            </w:pPr>
            <w:r/>
            <w:r>
              <w:rPr>
                <w:rFonts w:ascii="Aptos" w:hAnsi="Aptos"/>
                <w:b w:val="0"/>
                <w:sz w:val="15"/>
              </w:rPr>
              <w:t>Policy decision point</w:t>
            </w:r>
          </w:p>
        </w:tc>
        <w:tc>
          <w:tcPr>
            <w:tcW w:type="dxa" w:w="4032"/>
            <w:vAlign w:val="center"/>
            <w:shd w:fill="F3F6F7"/>
          </w:tcPr>
          <w:p>
            <w:pPr>
              <w:spacing w:after="0"/>
            </w:pPr>
            <w:r/>
            <w:r>
              <w:rPr>
                <w:rFonts w:ascii="Aptos" w:hAnsi="Aptos"/>
                <w:b w:val="0"/>
                <w:sz w:val="15"/>
              </w:rPr>
              <w:t>Evaluate contextual policy before model, data or tool use</w:t>
            </w:r>
          </w:p>
        </w:tc>
        <w:tc>
          <w:tcPr>
            <w:tcW w:type="dxa" w:w="3168"/>
            <w:vAlign w:val="center"/>
            <w:shd w:fill="F3F6F7"/>
          </w:tcPr>
          <w:p>
            <w:pPr>
              <w:spacing w:after="0"/>
            </w:pPr>
            <w:r/>
            <w:r>
              <w:rPr>
                <w:rFonts w:ascii="Aptos" w:hAnsi="Aptos"/>
                <w:b w:val="0"/>
                <w:sz w:val="15"/>
              </w:rPr>
              <w:t>Policy version and decision log</w:t>
            </w:r>
          </w:p>
        </w:tc>
      </w:tr>
      <w:tr>
        <w:trPr>
          <w:cantSplit/>
        </w:trPr>
        <w:tc>
          <w:tcPr>
            <w:tcW w:type="dxa" w:w="2448"/>
            <w:vAlign w:val="center"/>
          </w:tcPr>
          <w:p>
            <w:pPr>
              <w:spacing w:after="0"/>
            </w:pPr>
            <w:r/>
            <w:r>
              <w:rPr>
                <w:rFonts w:ascii="Aptos" w:hAnsi="Aptos"/>
                <w:b w:val="0"/>
                <w:sz w:val="15"/>
              </w:rPr>
              <w:t>Telemetry pipeline</w:t>
            </w:r>
          </w:p>
        </w:tc>
        <w:tc>
          <w:tcPr>
            <w:tcW w:type="dxa" w:w="4032"/>
            <w:vAlign w:val="center"/>
          </w:tcPr>
          <w:p>
            <w:pPr>
              <w:spacing w:after="0"/>
            </w:pPr>
            <w:r/>
            <w:r>
              <w:rPr>
                <w:rFonts w:ascii="Aptos" w:hAnsi="Aptos"/>
                <w:b w:val="0"/>
                <w:sz w:val="15"/>
              </w:rPr>
              <w:t>Collect security, behavior, safety and control-health events</w:t>
            </w:r>
          </w:p>
        </w:tc>
        <w:tc>
          <w:tcPr>
            <w:tcW w:type="dxa" w:w="3168"/>
            <w:vAlign w:val="center"/>
          </w:tcPr>
          <w:p>
            <w:pPr>
              <w:spacing w:after="0"/>
            </w:pPr>
            <w:r/>
            <w:r>
              <w:rPr>
                <w:rFonts w:ascii="Aptos" w:hAnsi="Aptos"/>
                <w:b w:val="0"/>
                <w:sz w:val="15"/>
              </w:rPr>
              <w:t>Immutable or protected event records</w:t>
            </w:r>
          </w:p>
        </w:tc>
      </w:tr>
      <w:tr>
        <w:trPr>
          <w:cantSplit/>
        </w:trPr>
        <w:tc>
          <w:tcPr>
            <w:tcW w:type="dxa" w:w="2448"/>
            <w:vAlign w:val="center"/>
            <w:shd w:fill="F3F6F7"/>
          </w:tcPr>
          <w:p>
            <w:pPr>
              <w:spacing w:after="0"/>
            </w:pPr>
            <w:r/>
            <w:r>
              <w:rPr>
                <w:rFonts w:ascii="Aptos" w:hAnsi="Aptos"/>
                <w:b w:val="0"/>
                <w:sz w:val="15"/>
              </w:rPr>
              <w:t>Configuration registry</w:t>
            </w:r>
          </w:p>
        </w:tc>
        <w:tc>
          <w:tcPr>
            <w:tcW w:type="dxa" w:w="4032"/>
            <w:vAlign w:val="center"/>
            <w:shd w:fill="F3F6F7"/>
          </w:tcPr>
          <w:p>
            <w:pPr>
              <w:spacing w:after="0"/>
            </w:pPr>
            <w:r/>
            <w:r>
              <w:rPr>
                <w:rFonts w:ascii="Aptos" w:hAnsi="Aptos"/>
                <w:b w:val="0"/>
                <w:sz w:val="15"/>
              </w:rPr>
              <w:t>Maintain approved model, prompt, tool and policy versions</w:t>
            </w:r>
          </w:p>
        </w:tc>
        <w:tc>
          <w:tcPr>
            <w:tcW w:type="dxa" w:w="3168"/>
            <w:vAlign w:val="center"/>
            <w:shd w:fill="F3F6F7"/>
          </w:tcPr>
          <w:p>
            <w:pPr>
              <w:spacing w:after="0"/>
            </w:pPr>
            <w:r/>
            <w:r>
              <w:rPr>
                <w:rFonts w:ascii="Aptos" w:hAnsi="Aptos"/>
                <w:b w:val="0"/>
                <w:sz w:val="15"/>
              </w:rPr>
              <w:t>Release and change history</w:t>
            </w:r>
          </w:p>
        </w:tc>
      </w:tr>
      <w:tr>
        <w:trPr>
          <w:cantSplit/>
        </w:trPr>
        <w:tc>
          <w:tcPr>
            <w:tcW w:type="dxa" w:w="2448"/>
            <w:vAlign w:val="center"/>
          </w:tcPr>
          <w:p>
            <w:pPr>
              <w:spacing w:after="0"/>
            </w:pPr>
            <w:r/>
            <w:r>
              <w:rPr>
                <w:rFonts w:ascii="Aptos" w:hAnsi="Aptos"/>
                <w:b w:val="0"/>
                <w:sz w:val="15"/>
              </w:rPr>
              <w:t>Evidence service</w:t>
            </w:r>
          </w:p>
        </w:tc>
        <w:tc>
          <w:tcPr>
            <w:tcW w:type="dxa" w:w="4032"/>
            <w:vAlign w:val="center"/>
          </w:tcPr>
          <w:p>
            <w:pPr>
              <w:spacing w:after="0"/>
            </w:pPr>
            <w:r/>
            <w:r>
              <w:rPr>
                <w:rFonts w:ascii="Aptos" w:hAnsi="Aptos"/>
                <w:b w:val="0"/>
                <w:sz w:val="15"/>
              </w:rPr>
              <w:t>Index and protect artifacts linked to GAISSF controls</w:t>
            </w:r>
          </w:p>
        </w:tc>
        <w:tc>
          <w:tcPr>
            <w:tcW w:type="dxa" w:w="3168"/>
            <w:vAlign w:val="center"/>
          </w:tcPr>
          <w:p>
            <w:pPr>
              <w:spacing w:after="0"/>
            </w:pPr>
            <w:r/>
            <w:r>
              <w:rPr>
                <w:rFonts w:ascii="Aptos" w:hAnsi="Aptos"/>
                <w:b w:val="0"/>
                <w:sz w:val="15"/>
              </w:rPr>
              <w:t>Manifest, hashes, signatures and custody records</w:t>
            </w:r>
          </w:p>
        </w:tc>
      </w:tr>
      <w:tr>
        <w:trPr>
          <w:cantSplit/>
        </w:trPr>
        <w:tc>
          <w:tcPr>
            <w:tcW w:type="dxa" w:w="2448"/>
            <w:vAlign w:val="center"/>
            <w:shd w:fill="F3F6F7"/>
          </w:tcPr>
          <w:p>
            <w:pPr>
              <w:spacing w:after="0"/>
            </w:pPr>
            <w:r/>
            <w:r>
              <w:rPr>
                <w:rFonts w:ascii="Aptos" w:hAnsi="Aptos"/>
                <w:b w:val="0"/>
                <w:sz w:val="15"/>
              </w:rPr>
              <w:t>Evaluation service</w:t>
            </w:r>
          </w:p>
        </w:tc>
        <w:tc>
          <w:tcPr>
            <w:tcW w:type="dxa" w:w="4032"/>
            <w:vAlign w:val="center"/>
            <w:shd w:fill="F3F6F7"/>
          </w:tcPr>
          <w:p>
            <w:pPr>
              <w:spacing w:after="0"/>
            </w:pPr>
            <w:r/>
            <w:r>
              <w:rPr>
                <w:rFonts w:ascii="Aptos" w:hAnsi="Aptos"/>
                <w:b w:val="0"/>
                <w:sz w:val="15"/>
              </w:rPr>
              <w:t>Run regression, adversarial, safety and performance tests</w:t>
            </w:r>
          </w:p>
        </w:tc>
        <w:tc>
          <w:tcPr>
            <w:tcW w:type="dxa" w:w="3168"/>
            <w:vAlign w:val="center"/>
            <w:shd w:fill="F3F6F7"/>
          </w:tcPr>
          <w:p>
            <w:pPr>
              <w:spacing w:after="0"/>
            </w:pPr>
            <w:r/>
            <w:r>
              <w:rPr>
                <w:rFonts w:ascii="Aptos" w:hAnsi="Aptos"/>
                <w:b w:val="0"/>
                <w:sz w:val="15"/>
              </w:rPr>
              <w:t>Evaluation reports and failed-result records</w:t>
            </w:r>
          </w:p>
        </w:tc>
      </w:tr>
      <w:tr>
        <w:trPr>
          <w:cantSplit/>
        </w:trPr>
        <w:tc>
          <w:tcPr>
            <w:tcW w:type="dxa" w:w="2448"/>
            <w:vAlign w:val="center"/>
          </w:tcPr>
          <w:p>
            <w:pPr>
              <w:spacing w:after="0"/>
            </w:pPr>
            <w:r/>
            <w:r>
              <w:rPr>
                <w:rFonts w:ascii="Aptos" w:hAnsi="Aptos"/>
                <w:b w:val="0"/>
                <w:sz w:val="15"/>
              </w:rPr>
              <w:t>Incident integration</w:t>
            </w:r>
          </w:p>
        </w:tc>
        <w:tc>
          <w:tcPr>
            <w:tcW w:type="dxa" w:w="4032"/>
            <w:vAlign w:val="center"/>
          </w:tcPr>
          <w:p>
            <w:pPr>
              <w:spacing w:after="0"/>
            </w:pPr>
            <w:r/>
            <w:r>
              <w:rPr>
                <w:rFonts w:ascii="Aptos" w:hAnsi="Aptos"/>
                <w:b w:val="0"/>
                <w:sz w:val="15"/>
              </w:rPr>
              <w:t>Create, route and track AI-related incidents and near misses</w:t>
            </w:r>
          </w:p>
        </w:tc>
        <w:tc>
          <w:tcPr>
            <w:tcW w:type="dxa" w:w="3168"/>
            <w:vAlign w:val="center"/>
          </w:tcPr>
          <w:p>
            <w:pPr>
              <w:spacing w:after="0"/>
            </w:pPr>
            <w:r/>
            <w:r>
              <w:rPr>
                <w:rFonts w:ascii="Aptos" w:hAnsi="Aptos"/>
                <w:b w:val="0"/>
                <w:sz w:val="15"/>
              </w:rPr>
              <w:t>Tickets, timelines and corrective actions</w:t>
            </w:r>
          </w:p>
        </w:tc>
      </w:tr>
    </w:tbl>
    <w:p/>
    <w:p>
      <w:pPr>
        <w:pStyle w:val="Heading1"/>
      </w:pPr>
      <w:r>
        <w:t>4. Security Zones and Trust Boundaries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016"/>
            <w:vAlign w:val="center"/>
            <w:shd w:fill="17324D"/>
          </w:tcPr>
          <w:p>
            <w:pPr>
              <w:spacing w:after="0"/>
            </w:pPr>
            <w:r/>
            <w:r>
              <w:rPr>
                <w:rFonts w:ascii="Aptos" w:hAnsi="Aptos"/>
                <w:b/>
                <w:color w:val="FFFFFF"/>
                <w:sz w:val="15"/>
              </w:rPr>
              <w:t>Zone</w:t>
            </w:r>
          </w:p>
        </w:tc>
        <w:tc>
          <w:tcPr>
            <w:tcW w:type="dxa" w:w="3744"/>
            <w:vAlign w:val="center"/>
            <w:shd w:fill="17324D"/>
          </w:tcPr>
          <w:p>
            <w:pPr>
              <w:spacing w:after="0"/>
            </w:pPr>
            <w:r/>
            <w:r>
              <w:rPr>
                <w:rFonts w:ascii="Aptos" w:hAnsi="Aptos"/>
                <w:b/>
                <w:color w:val="FFFFFF"/>
                <w:sz w:val="15"/>
              </w:rPr>
              <w:t>Typical components</w:t>
            </w:r>
          </w:p>
        </w:tc>
        <w:tc>
          <w:tcPr>
            <w:tcW w:type="dxa" w:w="3888"/>
            <w:vAlign w:val="center"/>
            <w:shd w:fill="17324D"/>
          </w:tcPr>
          <w:p>
            <w:pPr>
              <w:spacing w:after="0"/>
            </w:pPr>
            <w:r/>
            <w:r>
              <w:rPr>
                <w:rFonts w:ascii="Aptos" w:hAnsi="Aptos"/>
                <w:b/>
                <w:color w:val="FFFFFF"/>
                <w:sz w:val="15"/>
              </w:rPr>
              <w:t>Required boundary controls</w:t>
            </w:r>
          </w:p>
        </w:tc>
      </w:tr>
      <w:tr>
        <w:trPr>
          <w:cantSplit/>
        </w:trPr>
        <w:tc>
          <w:tcPr>
            <w:tcW w:type="dxa" w:w="2016"/>
            <w:vAlign w:val="center"/>
          </w:tcPr>
          <w:p>
            <w:pPr>
              <w:spacing w:after="0"/>
            </w:pPr>
            <w:r/>
            <w:r>
              <w:rPr>
                <w:rFonts w:ascii="Aptos" w:hAnsi="Aptos"/>
                <w:b w:val="0"/>
                <w:sz w:val="15"/>
              </w:rPr>
              <w:t>Z0 — Public/untrusted</w:t>
            </w:r>
          </w:p>
        </w:tc>
        <w:tc>
          <w:tcPr>
            <w:tcW w:type="dxa" w:w="3744"/>
            <w:vAlign w:val="center"/>
          </w:tcPr>
          <w:p>
            <w:pPr>
              <w:spacing w:after="0"/>
            </w:pPr>
            <w:r/>
            <w:r>
              <w:rPr>
                <w:rFonts w:ascii="Aptos" w:hAnsi="Aptos"/>
                <w:b w:val="0"/>
                <w:sz w:val="15"/>
              </w:rPr>
              <w:t>Internet users, public data, external prompts and files</w:t>
            </w:r>
          </w:p>
        </w:tc>
        <w:tc>
          <w:tcPr>
            <w:tcW w:type="dxa" w:w="3888"/>
            <w:vAlign w:val="center"/>
          </w:tcPr>
          <w:p>
            <w:pPr>
              <w:spacing w:after="0"/>
            </w:pPr>
            <w:r/>
            <w:r>
              <w:rPr>
                <w:rFonts w:ascii="Aptos" w:hAnsi="Aptos"/>
                <w:b w:val="0"/>
                <w:sz w:val="15"/>
              </w:rPr>
              <w:t>Input validation, rate limiting, abuse detection and isolation</w:t>
            </w:r>
          </w:p>
        </w:tc>
      </w:tr>
      <w:tr>
        <w:trPr>
          <w:cantSplit/>
        </w:trPr>
        <w:tc>
          <w:tcPr>
            <w:tcW w:type="dxa" w:w="2016"/>
            <w:vAlign w:val="center"/>
            <w:shd w:fill="F3F6F7"/>
          </w:tcPr>
          <w:p>
            <w:pPr>
              <w:spacing w:after="0"/>
            </w:pPr>
            <w:r/>
            <w:r>
              <w:rPr>
                <w:rFonts w:ascii="Aptos" w:hAnsi="Aptos"/>
                <w:b w:val="0"/>
                <w:sz w:val="15"/>
              </w:rPr>
              <w:t>Z1 — User interaction</w:t>
            </w:r>
          </w:p>
        </w:tc>
        <w:tc>
          <w:tcPr>
            <w:tcW w:type="dxa" w:w="3744"/>
            <w:vAlign w:val="center"/>
            <w:shd w:fill="F3F6F7"/>
          </w:tcPr>
          <w:p>
            <w:pPr>
              <w:spacing w:after="0"/>
            </w:pPr>
            <w:r/>
            <w:r>
              <w:rPr>
                <w:rFonts w:ascii="Aptos" w:hAnsi="Aptos"/>
                <w:b w:val="0"/>
                <w:sz w:val="15"/>
              </w:rPr>
              <w:t>Authenticated users, channels and operator consoles</w:t>
            </w:r>
          </w:p>
        </w:tc>
        <w:tc>
          <w:tcPr>
            <w:tcW w:type="dxa" w:w="3888"/>
            <w:vAlign w:val="center"/>
            <w:shd w:fill="F3F6F7"/>
          </w:tcPr>
          <w:p>
            <w:pPr>
              <w:spacing w:after="0"/>
            </w:pPr>
            <w:r/>
            <w:r>
              <w:rPr>
                <w:rFonts w:ascii="Aptos" w:hAnsi="Aptos"/>
                <w:b w:val="0"/>
                <w:sz w:val="15"/>
              </w:rPr>
              <w:t>Identity, session control, disclosure and user-level policy</w:t>
            </w:r>
          </w:p>
        </w:tc>
      </w:tr>
      <w:tr>
        <w:trPr>
          <w:cantSplit/>
        </w:trPr>
        <w:tc>
          <w:tcPr>
            <w:tcW w:type="dxa" w:w="2016"/>
            <w:vAlign w:val="center"/>
          </w:tcPr>
          <w:p>
            <w:pPr>
              <w:spacing w:after="0"/>
            </w:pPr>
            <w:r/>
            <w:r>
              <w:rPr>
                <w:rFonts w:ascii="Aptos" w:hAnsi="Aptos"/>
                <w:b w:val="0"/>
                <w:sz w:val="15"/>
              </w:rPr>
              <w:t>Z2 — Application</w:t>
            </w:r>
          </w:p>
        </w:tc>
        <w:tc>
          <w:tcPr>
            <w:tcW w:type="dxa" w:w="3744"/>
            <w:vAlign w:val="center"/>
          </w:tcPr>
          <w:p>
            <w:pPr>
              <w:spacing w:after="0"/>
            </w:pPr>
            <w:r/>
            <w:r>
              <w:rPr>
                <w:rFonts w:ascii="Aptos" w:hAnsi="Aptos"/>
                <w:b w:val="0"/>
                <w:sz w:val="15"/>
              </w:rPr>
              <w:t>Business logic, APIs, orchestration and workflow state</w:t>
            </w:r>
          </w:p>
        </w:tc>
        <w:tc>
          <w:tcPr>
            <w:tcW w:type="dxa" w:w="3888"/>
            <w:vAlign w:val="center"/>
          </w:tcPr>
          <w:p>
            <w:pPr>
              <w:spacing w:after="0"/>
            </w:pPr>
            <w:r/>
            <w:r>
              <w:rPr>
                <w:rFonts w:ascii="Aptos" w:hAnsi="Aptos"/>
                <w:b w:val="0"/>
                <w:sz w:val="15"/>
              </w:rPr>
              <w:t>Service identity, authorization, secure coding and transaction control</w:t>
            </w:r>
          </w:p>
        </w:tc>
      </w:tr>
      <w:tr>
        <w:trPr>
          <w:cantSplit/>
        </w:trPr>
        <w:tc>
          <w:tcPr>
            <w:tcW w:type="dxa" w:w="2016"/>
            <w:vAlign w:val="center"/>
            <w:shd w:fill="F3F6F7"/>
          </w:tcPr>
          <w:p>
            <w:pPr>
              <w:spacing w:after="0"/>
            </w:pPr>
            <w:r/>
            <w:r>
              <w:rPr>
                <w:rFonts w:ascii="Aptos" w:hAnsi="Aptos"/>
                <w:b w:val="0"/>
                <w:sz w:val="15"/>
              </w:rPr>
              <w:t>Z3 — AI mediation</w:t>
            </w:r>
          </w:p>
        </w:tc>
        <w:tc>
          <w:tcPr>
            <w:tcW w:type="dxa" w:w="3744"/>
            <w:vAlign w:val="center"/>
            <w:shd w:fill="F3F6F7"/>
          </w:tcPr>
          <w:p>
            <w:pPr>
              <w:spacing w:after="0"/>
            </w:pPr>
            <w:r/>
            <w:r>
              <w:rPr>
                <w:rFonts w:ascii="Aptos" w:hAnsi="Aptos"/>
                <w:b w:val="0"/>
                <w:sz w:val="15"/>
              </w:rPr>
              <w:t>AI gateway, prompt policy, model router and output controls</w:t>
            </w:r>
          </w:p>
        </w:tc>
        <w:tc>
          <w:tcPr>
            <w:tcW w:type="dxa" w:w="3888"/>
            <w:vAlign w:val="center"/>
            <w:shd w:fill="F3F6F7"/>
          </w:tcPr>
          <w:p>
            <w:pPr>
              <w:spacing w:after="0"/>
            </w:pPr>
            <w:r/>
            <w:r>
              <w:rPr>
                <w:rFonts w:ascii="Aptos" w:hAnsi="Aptos"/>
                <w:b w:val="0"/>
                <w:sz w:val="15"/>
              </w:rPr>
              <w:t>Policy enforcement, model allowlists, logging and content safeguards</w:t>
            </w:r>
          </w:p>
        </w:tc>
      </w:tr>
      <w:tr>
        <w:trPr>
          <w:cantSplit/>
        </w:trPr>
        <w:tc>
          <w:tcPr>
            <w:tcW w:type="dxa" w:w="2016"/>
            <w:vAlign w:val="center"/>
          </w:tcPr>
          <w:p>
            <w:pPr>
              <w:spacing w:after="0"/>
            </w:pPr>
            <w:r/>
            <w:r>
              <w:rPr>
                <w:rFonts w:ascii="Aptos" w:hAnsi="Aptos"/>
                <w:b w:val="0"/>
                <w:sz w:val="15"/>
              </w:rPr>
              <w:t>Z4 — Model execution</w:t>
            </w:r>
          </w:p>
        </w:tc>
        <w:tc>
          <w:tcPr>
            <w:tcW w:type="dxa" w:w="3744"/>
            <w:vAlign w:val="center"/>
          </w:tcPr>
          <w:p>
            <w:pPr>
              <w:spacing w:after="0"/>
            </w:pPr>
            <w:r/>
            <w:r>
              <w:rPr>
                <w:rFonts w:ascii="Aptos" w:hAnsi="Aptos"/>
                <w:b w:val="0"/>
                <w:sz w:val="15"/>
              </w:rPr>
              <w:t>Hosted or private inference endpoints</w:t>
            </w:r>
          </w:p>
        </w:tc>
        <w:tc>
          <w:tcPr>
            <w:tcW w:type="dxa" w:w="3888"/>
            <w:vAlign w:val="center"/>
          </w:tcPr>
          <w:p>
            <w:pPr>
              <w:spacing w:after="0"/>
            </w:pPr>
            <w:r/>
            <w:r>
              <w:rPr>
                <w:rFonts w:ascii="Aptos" w:hAnsi="Aptos"/>
                <w:b w:val="0"/>
                <w:sz w:val="15"/>
              </w:rPr>
              <w:t>Model identity, version pinning, network restriction and monitoring</w:t>
            </w:r>
          </w:p>
        </w:tc>
      </w:tr>
      <w:tr>
        <w:trPr>
          <w:cantSplit/>
        </w:trPr>
        <w:tc>
          <w:tcPr>
            <w:tcW w:type="dxa" w:w="2016"/>
            <w:vAlign w:val="center"/>
            <w:shd w:fill="F3F6F7"/>
          </w:tcPr>
          <w:p>
            <w:pPr>
              <w:spacing w:after="0"/>
            </w:pPr>
            <w:r/>
            <w:r>
              <w:rPr>
                <w:rFonts w:ascii="Aptos" w:hAnsi="Aptos"/>
                <w:b w:val="0"/>
                <w:sz w:val="15"/>
              </w:rPr>
              <w:t>Z5 — Data and memory</w:t>
            </w:r>
          </w:p>
        </w:tc>
        <w:tc>
          <w:tcPr>
            <w:tcW w:type="dxa" w:w="3744"/>
            <w:vAlign w:val="center"/>
            <w:shd w:fill="F3F6F7"/>
          </w:tcPr>
          <w:p>
            <w:pPr>
              <w:spacing w:after="0"/>
            </w:pPr>
            <w:r/>
            <w:r>
              <w:rPr>
                <w:rFonts w:ascii="Aptos" w:hAnsi="Aptos"/>
                <w:b w:val="0"/>
                <w:sz w:val="15"/>
              </w:rPr>
              <w:t>Vector stores, datasets, memory, logs and feature stores</w:t>
            </w:r>
          </w:p>
        </w:tc>
        <w:tc>
          <w:tcPr>
            <w:tcW w:type="dxa" w:w="3888"/>
            <w:vAlign w:val="center"/>
            <w:shd w:fill="F3F6F7"/>
          </w:tcPr>
          <w:p>
            <w:pPr>
              <w:spacing w:after="0"/>
            </w:pPr>
            <w:r/>
            <w:r>
              <w:rPr>
                <w:rFonts w:ascii="Aptos" w:hAnsi="Aptos"/>
                <w:b w:val="0"/>
                <w:sz w:val="15"/>
              </w:rPr>
              <w:t>Data classification, access, lineage, poisoning controls and retention</w:t>
            </w:r>
          </w:p>
        </w:tc>
      </w:tr>
      <w:tr>
        <w:trPr>
          <w:cantSplit/>
        </w:trPr>
        <w:tc>
          <w:tcPr>
            <w:tcW w:type="dxa" w:w="2016"/>
            <w:vAlign w:val="center"/>
          </w:tcPr>
          <w:p>
            <w:pPr>
              <w:spacing w:after="0"/>
            </w:pPr>
            <w:r/>
            <w:r>
              <w:rPr>
                <w:rFonts w:ascii="Aptos" w:hAnsi="Aptos"/>
                <w:b w:val="0"/>
                <w:sz w:val="15"/>
              </w:rPr>
              <w:t>Z6 — Tool/action</w:t>
            </w:r>
          </w:p>
        </w:tc>
        <w:tc>
          <w:tcPr>
            <w:tcW w:type="dxa" w:w="3744"/>
            <w:vAlign w:val="center"/>
          </w:tcPr>
          <w:p>
            <w:pPr>
              <w:spacing w:after="0"/>
            </w:pPr>
            <w:r/>
            <w:r>
              <w:rPr>
                <w:rFonts w:ascii="Aptos" w:hAnsi="Aptos"/>
                <w:b w:val="0"/>
                <w:sz w:val="15"/>
              </w:rPr>
              <w:t>Plugins, enterprise APIs, code execution and external actions</w:t>
            </w:r>
          </w:p>
        </w:tc>
        <w:tc>
          <w:tcPr>
            <w:tcW w:type="dxa" w:w="3888"/>
            <w:vAlign w:val="center"/>
          </w:tcPr>
          <w:p>
            <w:pPr>
              <w:spacing w:after="0"/>
            </w:pPr>
            <w:r/>
            <w:r>
              <w:rPr>
                <w:rFonts w:ascii="Aptos" w:hAnsi="Aptos"/>
                <w:b w:val="0"/>
                <w:sz w:val="15"/>
              </w:rPr>
              <w:t>Per-tool permissions, approval, sandboxing and rollback</w:t>
            </w:r>
          </w:p>
        </w:tc>
      </w:tr>
      <w:tr>
        <w:trPr>
          <w:cantSplit/>
        </w:trPr>
        <w:tc>
          <w:tcPr>
            <w:tcW w:type="dxa" w:w="2016"/>
            <w:vAlign w:val="center"/>
            <w:shd w:fill="F3F6F7"/>
          </w:tcPr>
          <w:p>
            <w:pPr>
              <w:spacing w:after="0"/>
            </w:pPr>
            <w:r/>
            <w:r>
              <w:rPr>
                <w:rFonts w:ascii="Aptos" w:hAnsi="Aptos"/>
                <w:b w:val="0"/>
                <w:sz w:val="15"/>
              </w:rPr>
              <w:t>Z7 — Assurance</w:t>
            </w:r>
          </w:p>
        </w:tc>
        <w:tc>
          <w:tcPr>
            <w:tcW w:type="dxa" w:w="3744"/>
            <w:vAlign w:val="center"/>
            <w:shd w:fill="F3F6F7"/>
          </w:tcPr>
          <w:p>
            <w:pPr>
              <w:spacing w:after="0"/>
            </w:pPr>
            <w:r/>
            <w:r>
              <w:rPr>
                <w:rFonts w:ascii="Aptos" w:hAnsi="Aptos"/>
                <w:b w:val="0"/>
                <w:sz w:val="15"/>
              </w:rPr>
              <w:t>Test harnesses, evidence repositories and monitoring systems</w:t>
            </w:r>
          </w:p>
        </w:tc>
        <w:tc>
          <w:tcPr>
            <w:tcW w:type="dxa" w:w="3888"/>
            <w:vAlign w:val="center"/>
            <w:shd w:fill="F3F6F7"/>
          </w:tcPr>
          <w:p>
            <w:pPr>
              <w:spacing w:after="0"/>
            </w:pPr>
            <w:r/>
            <w:r>
              <w:rPr>
                <w:rFonts w:ascii="Aptos" w:hAnsi="Aptos"/>
                <w:b w:val="0"/>
                <w:sz w:val="15"/>
              </w:rPr>
              <w:t>Independence, integrity, restricted write access and traceability</w:t>
            </w:r>
          </w:p>
        </w:tc>
      </w:tr>
      <w:tr>
        <w:trPr>
          <w:cantSplit/>
        </w:trPr>
        <w:tc>
          <w:tcPr>
            <w:tcW w:type="dxa" w:w="2016"/>
            <w:vAlign w:val="center"/>
          </w:tcPr>
          <w:p>
            <w:pPr>
              <w:spacing w:after="0"/>
            </w:pPr>
            <w:r/>
            <w:r>
              <w:rPr>
                <w:rFonts w:ascii="Aptos" w:hAnsi="Aptos"/>
                <w:b w:val="0"/>
                <w:sz w:val="15"/>
              </w:rPr>
              <w:t>Z8 — Physical control</w:t>
            </w:r>
          </w:p>
        </w:tc>
        <w:tc>
          <w:tcPr>
            <w:tcW w:type="dxa" w:w="3744"/>
            <w:vAlign w:val="center"/>
          </w:tcPr>
          <w:p>
            <w:pPr>
              <w:spacing w:after="0"/>
            </w:pPr>
            <w:r/>
            <w:r>
              <w:rPr>
                <w:rFonts w:ascii="Aptos" w:hAnsi="Aptos"/>
                <w:b w:val="0"/>
                <w:sz w:val="15"/>
              </w:rPr>
              <w:t>Sensors, controllers, actuators and safety systems</w:t>
            </w:r>
          </w:p>
        </w:tc>
        <w:tc>
          <w:tcPr>
            <w:tcW w:type="dxa" w:w="3888"/>
            <w:vAlign w:val="center"/>
          </w:tcPr>
          <w:p>
            <w:pPr>
              <w:spacing w:after="0"/>
            </w:pPr>
            <w:r/>
            <w:r>
              <w:rPr>
                <w:rFonts w:ascii="Aptos" w:hAnsi="Aptos"/>
                <w:b w:val="0"/>
                <w:sz w:val="15"/>
              </w:rPr>
              <w:t>Command authentication, safety interlocks, fail-safe and override</w:t>
            </w:r>
          </w:p>
        </w:tc>
      </w:tr>
    </w:tbl>
    <w:p/>
    <w:p>
      <w:pPr>
        <w:pStyle w:val="Heading1"/>
      </w:pPr>
      <w:r>
        <w:t>5. Core Data Flows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Flow</w:t>
            </w:r>
          </w:p>
        </w:tc>
        <w:tc>
          <w:tcPr>
            <w:tcW w:type="dxa" w:w="6624"/>
            <w:vAlign w:val="center"/>
            <w:shd w:fill="17324D"/>
          </w:tcPr>
          <w:p>
            <w:pPr>
              <w:spacing w:after="0"/>
            </w:pPr>
            <w:r/>
            <w:r>
              <w:rPr>
                <w:rFonts w:ascii="Aptos" w:hAnsi="Aptos"/>
                <w:b/>
                <w:color w:val="FFFFFF"/>
                <w:sz w:val="15"/>
              </w:rPr>
              <w:t>Architecture controls</w:t>
            </w:r>
          </w:p>
        </w:tc>
      </w:tr>
      <w:tr>
        <w:trPr>
          <w:cantSplit/>
        </w:trPr>
        <w:tc>
          <w:tcPr>
            <w:tcW w:type="dxa" w:w="3024"/>
            <w:vAlign w:val="center"/>
          </w:tcPr>
          <w:p>
            <w:pPr>
              <w:spacing w:after="0"/>
            </w:pPr>
            <w:r/>
            <w:r>
              <w:rPr>
                <w:rFonts w:ascii="Aptos" w:hAnsi="Aptos"/>
                <w:b w:val="0"/>
                <w:sz w:val="15"/>
              </w:rPr>
              <w:t>User input to application</w:t>
            </w:r>
          </w:p>
        </w:tc>
        <w:tc>
          <w:tcPr>
            <w:tcW w:type="dxa" w:w="6624"/>
            <w:vAlign w:val="center"/>
          </w:tcPr>
          <w:p>
            <w:pPr>
              <w:spacing w:after="0"/>
            </w:pPr>
            <w:r/>
            <w:r>
              <w:rPr>
                <w:rFonts w:ascii="Aptos" w:hAnsi="Aptos"/>
                <w:b w:val="0"/>
                <w:sz w:val="15"/>
              </w:rPr>
              <w:t>Authentication, validation, malware scanning, rate limits and purpose constraints</w:t>
            </w:r>
          </w:p>
        </w:tc>
      </w:tr>
      <w:tr>
        <w:trPr>
          <w:cantSplit/>
        </w:trPr>
        <w:tc>
          <w:tcPr>
            <w:tcW w:type="dxa" w:w="3024"/>
            <w:vAlign w:val="center"/>
            <w:shd w:fill="F3F6F7"/>
          </w:tcPr>
          <w:p>
            <w:pPr>
              <w:spacing w:after="0"/>
            </w:pPr>
            <w:r/>
            <w:r>
              <w:rPr>
                <w:rFonts w:ascii="Aptos" w:hAnsi="Aptos"/>
                <w:b w:val="0"/>
                <w:sz w:val="15"/>
              </w:rPr>
              <w:t>Application to model</w:t>
            </w:r>
          </w:p>
        </w:tc>
        <w:tc>
          <w:tcPr>
            <w:tcW w:type="dxa" w:w="6624"/>
            <w:vAlign w:val="center"/>
            <w:shd w:fill="F3F6F7"/>
          </w:tcPr>
          <w:p>
            <w:pPr>
              <w:spacing w:after="0"/>
            </w:pPr>
            <w:r/>
            <w:r>
              <w:rPr>
                <w:rFonts w:ascii="Aptos" w:hAnsi="Aptos"/>
                <w:b w:val="0"/>
                <w:sz w:val="15"/>
              </w:rPr>
              <w:t>Prompt policy, context minimization, model routing, version pinning and request logging</w:t>
            </w:r>
          </w:p>
        </w:tc>
      </w:tr>
      <w:tr>
        <w:trPr>
          <w:cantSplit/>
        </w:trPr>
        <w:tc>
          <w:tcPr>
            <w:tcW w:type="dxa" w:w="3024"/>
            <w:vAlign w:val="center"/>
          </w:tcPr>
          <w:p>
            <w:pPr>
              <w:spacing w:after="0"/>
            </w:pPr>
            <w:r/>
            <w:r>
              <w:rPr>
                <w:rFonts w:ascii="Aptos" w:hAnsi="Aptos"/>
                <w:b w:val="0"/>
                <w:sz w:val="15"/>
              </w:rPr>
              <w:t>Application to retrieval</w:t>
            </w:r>
          </w:p>
        </w:tc>
        <w:tc>
          <w:tcPr>
            <w:tcW w:type="dxa" w:w="6624"/>
            <w:vAlign w:val="center"/>
          </w:tcPr>
          <w:p>
            <w:pPr>
              <w:spacing w:after="0"/>
            </w:pPr>
            <w:r/>
            <w:r>
              <w:rPr>
                <w:rFonts w:ascii="Aptos" w:hAnsi="Aptos"/>
                <w:b w:val="0"/>
                <w:sz w:val="15"/>
              </w:rPr>
              <w:t>Query authorization, tenant isolation, data classification and provenance filters</w:t>
            </w:r>
          </w:p>
        </w:tc>
      </w:tr>
      <w:tr>
        <w:trPr>
          <w:cantSplit/>
        </w:trPr>
        <w:tc>
          <w:tcPr>
            <w:tcW w:type="dxa" w:w="3024"/>
            <w:vAlign w:val="center"/>
            <w:shd w:fill="F3F6F7"/>
          </w:tcPr>
          <w:p>
            <w:pPr>
              <w:spacing w:after="0"/>
            </w:pPr>
            <w:r/>
            <w:r>
              <w:rPr>
                <w:rFonts w:ascii="Aptos" w:hAnsi="Aptos"/>
                <w:b w:val="0"/>
                <w:sz w:val="15"/>
              </w:rPr>
              <w:t>Model output to user</w:t>
            </w:r>
          </w:p>
        </w:tc>
        <w:tc>
          <w:tcPr>
            <w:tcW w:type="dxa" w:w="6624"/>
            <w:vAlign w:val="center"/>
            <w:shd w:fill="F3F6F7"/>
          </w:tcPr>
          <w:p>
            <w:pPr>
              <w:spacing w:after="0"/>
            </w:pPr>
            <w:r/>
            <w:r>
              <w:rPr>
                <w:rFonts w:ascii="Aptos" w:hAnsi="Aptos"/>
                <w:b w:val="0"/>
                <w:sz w:val="15"/>
              </w:rPr>
              <w:t>Output validation, content safety, disclosure, confidence/limitation handling and logging</w:t>
            </w:r>
          </w:p>
        </w:tc>
      </w:tr>
      <w:tr>
        <w:trPr>
          <w:cantSplit/>
        </w:trPr>
        <w:tc>
          <w:tcPr>
            <w:tcW w:type="dxa" w:w="3024"/>
            <w:vAlign w:val="center"/>
          </w:tcPr>
          <w:p>
            <w:pPr>
              <w:spacing w:after="0"/>
            </w:pPr>
            <w:r/>
            <w:r>
              <w:rPr>
                <w:rFonts w:ascii="Aptos" w:hAnsi="Aptos"/>
                <w:b w:val="0"/>
                <w:sz w:val="15"/>
              </w:rPr>
              <w:t>Agent to tool</w:t>
            </w:r>
          </w:p>
        </w:tc>
        <w:tc>
          <w:tcPr>
            <w:tcW w:type="dxa" w:w="6624"/>
            <w:vAlign w:val="center"/>
          </w:tcPr>
          <w:p>
            <w:pPr>
              <w:spacing w:after="0"/>
            </w:pPr>
            <w:r/>
            <w:r>
              <w:rPr>
                <w:rFonts w:ascii="Aptos" w:hAnsi="Aptos"/>
                <w:b w:val="0"/>
                <w:sz w:val="15"/>
              </w:rPr>
              <w:t>Capability authorization, parameter constraints, transaction approval and action recording</w:t>
            </w:r>
          </w:p>
        </w:tc>
      </w:tr>
      <w:tr>
        <w:trPr>
          <w:cantSplit/>
        </w:trPr>
        <w:tc>
          <w:tcPr>
            <w:tcW w:type="dxa" w:w="3024"/>
            <w:vAlign w:val="center"/>
            <w:shd w:fill="F3F6F7"/>
          </w:tcPr>
          <w:p>
            <w:pPr>
              <w:spacing w:after="0"/>
            </w:pPr>
            <w:r/>
            <w:r>
              <w:rPr>
                <w:rFonts w:ascii="Aptos" w:hAnsi="Aptos"/>
                <w:b w:val="0"/>
                <w:sz w:val="15"/>
              </w:rPr>
              <w:t>System to supplier model</w:t>
            </w:r>
          </w:p>
        </w:tc>
        <w:tc>
          <w:tcPr>
            <w:tcW w:type="dxa" w:w="6624"/>
            <w:vAlign w:val="center"/>
            <w:shd w:fill="F3F6F7"/>
          </w:tcPr>
          <w:p>
            <w:pPr>
              <w:spacing w:after="0"/>
            </w:pPr>
            <w:r/>
            <w:r>
              <w:rPr>
                <w:rFonts w:ascii="Aptos" w:hAnsi="Aptos"/>
                <w:b w:val="0"/>
                <w:sz w:val="15"/>
              </w:rPr>
              <w:t>Encrypted transport, data-use restrictions, provider controls and response validation</w:t>
            </w:r>
          </w:p>
        </w:tc>
      </w:tr>
      <w:tr>
        <w:trPr>
          <w:cantSplit/>
        </w:trPr>
        <w:tc>
          <w:tcPr>
            <w:tcW w:type="dxa" w:w="3024"/>
            <w:vAlign w:val="center"/>
          </w:tcPr>
          <w:p>
            <w:pPr>
              <w:spacing w:after="0"/>
            </w:pPr>
            <w:r/>
            <w:r>
              <w:rPr>
                <w:rFonts w:ascii="Aptos" w:hAnsi="Aptos"/>
                <w:b w:val="0"/>
                <w:sz w:val="15"/>
              </w:rPr>
              <w:t>Telemetry to assurance plane</w:t>
            </w:r>
          </w:p>
        </w:tc>
        <w:tc>
          <w:tcPr>
            <w:tcW w:type="dxa" w:w="6624"/>
            <w:vAlign w:val="center"/>
          </w:tcPr>
          <w:p>
            <w:pPr>
              <w:spacing w:after="0"/>
            </w:pPr>
            <w:r/>
            <w:r>
              <w:rPr>
                <w:rFonts w:ascii="Aptos" w:hAnsi="Aptos"/>
                <w:b w:val="0"/>
                <w:sz w:val="15"/>
              </w:rPr>
              <w:t>Protected transport, timestamping, integrity and access segregation</w:t>
            </w:r>
          </w:p>
        </w:tc>
      </w:tr>
      <w:tr>
        <w:trPr>
          <w:cantSplit/>
        </w:trPr>
        <w:tc>
          <w:tcPr>
            <w:tcW w:type="dxa" w:w="3024"/>
            <w:vAlign w:val="center"/>
            <w:shd w:fill="F3F6F7"/>
          </w:tcPr>
          <w:p>
            <w:pPr>
              <w:spacing w:after="0"/>
            </w:pPr>
            <w:r/>
            <w:r>
              <w:rPr>
                <w:rFonts w:ascii="Aptos" w:hAnsi="Aptos"/>
                <w:b w:val="0"/>
                <w:sz w:val="15"/>
              </w:rPr>
              <w:t>AI decision to physical actuator</w:t>
            </w:r>
          </w:p>
        </w:tc>
        <w:tc>
          <w:tcPr>
            <w:tcW w:type="dxa" w:w="6624"/>
            <w:vAlign w:val="center"/>
            <w:shd w:fill="F3F6F7"/>
          </w:tcPr>
          <w:p>
            <w:pPr>
              <w:spacing w:after="0"/>
            </w:pPr>
            <w:r/>
            <w:r>
              <w:rPr>
                <w:rFonts w:ascii="Aptos" w:hAnsi="Aptos"/>
                <w:b w:val="0"/>
                <w:sz w:val="15"/>
              </w:rPr>
              <w:t>Deterministic safety gate, command authentication, bounds checking and safe-state logic</w:t>
            </w:r>
          </w:p>
        </w:tc>
      </w:tr>
    </w:tbl>
    <w:p/>
    <w:p>
      <w:pPr>
        <w:pStyle w:val="Heading1"/>
      </w:pPr>
      <w:r>
        <w:t>6. Pattern A — Enterprise AI Gateway</w:t>
      </w:r>
    </w:p>
    <w:p>
      <w:pPr>
        <w:pStyle w:val="Heading2"/>
      </w:pPr>
      <w:r>
        <w:t>6.1 Blueprint</w:t>
      </w:r>
    </w:p>
    <w:tbl>
      <w:tblPr>
        <w:tblStyle w:val="TableGrid"/>
        <w:tblW w:type="auto" w:w="0"/>
        <w:jc w:val="center"/>
        <w:tblLook w:firstColumn="1" w:firstRow="1" w:lastColumn="0" w:lastRow="0" w:noHBand="0" w:noVBand="1" w:val="04A0"/>
      </w:tblPr>
      <w:tblGrid>
        <w:gridCol w:w="10282"/>
      </w:tblGrid>
      <w:tr>
        <w:trPr>
          <w:tblHeader w:val="true"/>
          <w:cantSplit/>
        </w:trPr>
        <w:tc>
          <w:tcPr>
            <w:tcW w:type="dxa" w:w="10282"/>
            <w:vAlign w:val="center"/>
            <w:shd w:fill="D9EAF0"/>
          </w:tcPr>
          <w:p>
            <w:pPr>
              <w:spacing w:after="0"/>
              <w:jc w:val="center"/>
            </w:pPr>
            <w:r/>
            <w:r>
              <w:rPr>
                <w:rFonts w:ascii="Aptos" w:hAnsi="Aptos"/>
                <w:b/>
                <w:sz w:val="16"/>
              </w:rPr>
              <w:t>User and Application Channels</w:t>
              <w:br/>
              <w:t>Approved clients and service identities</w:t>
            </w:r>
          </w:p>
        </w:tc>
      </w:tr>
      <w:tr>
        <w:trPr>
          <w:cantSplit/>
        </w:trPr>
        <w:tc>
          <w:tcPr>
            <w:tcW w:type="dxa" w:w="10282"/>
            <w:vAlign w:val="center"/>
            <w:shd w:fill="E8F1E8"/>
          </w:tcPr>
          <w:p>
            <w:pPr>
              <w:spacing w:after="0"/>
              <w:jc w:val="center"/>
            </w:pPr>
            <w:r/>
            <w:r>
              <w:rPr>
                <w:rFonts w:ascii="Aptos" w:hAnsi="Aptos"/>
                <w:b w:val="0"/>
                <w:sz w:val="16"/>
              </w:rPr>
              <w:t>Enterprise AI Gateway</w:t>
              <w:br/>
              <w:t>Authentication • rate limits • prompt policy • model allowlist • logging</w:t>
            </w:r>
          </w:p>
        </w:tc>
      </w:tr>
      <w:tr>
        <w:trPr>
          <w:cantSplit/>
        </w:trPr>
        <w:tc>
          <w:tcPr>
            <w:tcW w:type="dxa" w:w="10282"/>
            <w:vAlign w:val="center"/>
            <w:shd w:fill="F2EBDD"/>
          </w:tcPr>
          <w:p>
            <w:pPr>
              <w:spacing w:after="0"/>
              <w:jc w:val="center"/>
            </w:pPr>
            <w:r/>
            <w:r>
              <w:rPr>
                <w:rFonts w:ascii="Aptos" w:hAnsi="Aptos"/>
                <w:b w:val="0"/>
                <w:sz w:val="16"/>
              </w:rPr>
              <w:t>Safety and Security Services</w:t>
              <w:br/>
              <w:t>Input scanning • DLP • content safety • abuse detection • policy decisions</w:t>
            </w:r>
          </w:p>
        </w:tc>
      </w:tr>
      <w:tr>
        <w:trPr>
          <w:cantSplit/>
        </w:trPr>
        <w:tc>
          <w:tcPr>
            <w:tcW w:type="dxa" w:w="10282"/>
            <w:vAlign w:val="center"/>
            <w:shd w:fill="EFE5F2"/>
          </w:tcPr>
          <w:p>
            <w:pPr>
              <w:spacing w:after="0"/>
              <w:jc w:val="center"/>
            </w:pPr>
            <w:r/>
            <w:r>
              <w:rPr>
                <w:rFonts w:ascii="Aptos" w:hAnsi="Aptos"/>
                <w:b w:val="0"/>
                <w:sz w:val="16"/>
              </w:rPr>
              <w:t>Model Router</w:t>
              <w:br/>
              <w:t>Selects approved private or external model endpoints</w:t>
            </w:r>
          </w:p>
        </w:tc>
      </w:tr>
      <w:tr>
        <w:trPr>
          <w:cantSplit/>
        </w:trPr>
        <w:tc>
          <w:tcPr>
            <w:tcW w:type="dxa" w:w="10282"/>
            <w:vAlign w:val="center"/>
            <w:shd w:fill="E6EAF3"/>
          </w:tcPr>
          <w:p>
            <w:pPr>
              <w:spacing w:after="0"/>
              <w:jc w:val="center"/>
            </w:pPr>
            <w:r/>
            <w:r>
              <w:rPr>
                <w:rFonts w:ascii="Aptos" w:hAnsi="Aptos"/>
                <w:b w:val="0"/>
                <w:sz w:val="16"/>
              </w:rPr>
              <w:t>Model Providers</w:t>
              <w:br/>
              <w:t>Private models • cloud models • specialized models</w:t>
            </w:r>
          </w:p>
        </w:tc>
      </w:tr>
      <w:tr>
        <w:trPr>
          <w:cantSplit/>
        </w:trPr>
        <w:tc>
          <w:tcPr>
            <w:tcW w:type="dxa" w:w="10282"/>
            <w:vAlign w:val="center"/>
            <w:shd w:fill="F3E3E3"/>
          </w:tcPr>
          <w:p>
            <w:pPr>
              <w:spacing w:after="0"/>
              <w:jc w:val="center"/>
            </w:pPr>
            <w:r/>
            <w:r>
              <w:rPr>
                <w:rFonts w:ascii="Aptos" w:hAnsi="Aptos"/>
                <w:b w:val="0"/>
                <w:sz w:val="16"/>
              </w:rPr>
              <w:t>Evidence and Monitoring</w:t>
              <w:br/>
              <w:t>Requests • policy decisions • model versions • outputs • incidents</w:t>
            </w:r>
          </w:p>
        </w:tc>
      </w:tr>
    </w:tbl>
    <w:p/>
    <w:p>
      <w:pPr>
        <w:pStyle w:val="Heading2"/>
      </w:pPr>
      <w:r>
        <w:t>6.2 Suitable use</w:t>
      </w:r>
    </w:p>
    <w:p>
      <w:r>
        <w:t>Centralized control of multiple AI applications and model providers, particularly where organizations need consistent policy, logging, supplier control and evidence.</w:t>
      </w:r>
    </w:p>
    <w:p>
      <w:pPr>
        <w:pStyle w:val="Heading2"/>
      </w:pPr>
      <w:r>
        <w:t>6.3 Key risks and controls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312"/>
            <w:vAlign w:val="center"/>
            <w:shd w:fill="17324D"/>
          </w:tcPr>
          <w:p>
            <w:pPr>
              <w:spacing w:after="0"/>
            </w:pPr>
            <w:r/>
            <w:r>
              <w:rPr>
                <w:rFonts w:ascii="Aptos" w:hAnsi="Aptos"/>
                <w:b/>
                <w:color w:val="FFFFFF"/>
                <w:sz w:val="15"/>
              </w:rPr>
              <w:t>Risk</w:t>
            </w:r>
          </w:p>
        </w:tc>
        <w:tc>
          <w:tcPr>
            <w:tcW w:type="dxa" w:w="6336"/>
            <w:vAlign w:val="center"/>
            <w:shd w:fill="17324D"/>
          </w:tcPr>
          <w:p>
            <w:pPr>
              <w:spacing w:after="0"/>
            </w:pPr>
            <w:r/>
            <w:r>
              <w:rPr>
                <w:rFonts w:ascii="Aptos" w:hAnsi="Aptos"/>
                <w:b/>
                <w:color w:val="FFFFFF"/>
                <w:sz w:val="15"/>
              </w:rPr>
              <w:t>Architectural control</w:t>
            </w:r>
          </w:p>
        </w:tc>
      </w:tr>
      <w:tr>
        <w:trPr>
          <w:cantSplit/>
        </w:trPr>
        <w:tc>
          <w:tcPr>
            <w:tcW w:type="dxa" w:w="3312"/>
            <w:vAlign w:val="center"/>
          </w:tcPr>
          <w:p>
            <w:pPr>
              <w:spacing w:after="0"/>
            </w:pPr>
            <w:r/>
            <w:r>
              <w:rPr>
                <w:rFonts w:ascii="Aptos" w:hAnsi="Aptos"/>
                <w:b w:val="0"/>
                <w:sz w:val="15"/>
              </w:rPr>
              <w:t>Gateway becomes single point of failure</w:t>
            </w:r>
          </w:p>
        </w:tc>
        <w:tc>
          <w:tcPr>
            <w:tcW w:type="dxa" w:w="6336"/>
            <w:vAlign w:val="center"/>
          </w:tcPr>
          <w:p>
            <w:pPr>
              <w:spacing w:after="0"/>
            </w:pPr>
            <w:r/>
            <w:r>
              <w:rPr>
                <w:rFonts w:ascii="Aptos" w:hAnsi="Aptos"/>
                <w:b w:val="0"/>
                <w:sz w:val="15"/>
              </w:rPr>
              <w:t>High availability, graceful degradation and bypass prevention</w:t>
            </w:r>
          </w:p>
        </w:tc>
      </w:tr>
      <w:tr>
        <w:trPr>
          <w:cantSplit/>
        </w:trPr>
        <w:tc>
          <w:tcPr>
            <w:tcW w:type="dxa" w:w="3312"/>
            <w:vAlign w:val="center"/>
            <w:shd w:fill="F3F6F7"/>
          </w:tcPr>
          <w:p>
            <w:pPr>
              <w:spacing w:after="0"/>
            </w:pPr>
            <w:r/>
            <w:r>
              <w:rPr>
                <w:rFonts w:ascii="Aptos" w:hAnsi="Aptos"/>
                <w:b w:val="0"/>
                <w:sz w:val="15"/>
              </w:rPr>
              <w:t>Sensitive context reaches external model</w:t>
            </w:r>
          </w:p>
        </w:tc>
        <w:tc>
          <w:tcPr>
            <w:tcW w:type="dxa" w:w="6336"/>
            <w:vAlign w:val="center"/>
            <w:shd w:fill="F3F6F7"/>
          </w:tcPr>
          <w:p>
            <w:pPr>
              <w:spacing w:after="0"/>
            </w:pPr>
            <w:r/>
            <w:r>
              <w:rPr>
                <w:rFonts w:ascii="Aptos" w:hAnsi="Aptos"/>
                <w:b w:val="0"/>
                <w:sz w:val="15"/>
              </w:rPr>
              <w:t>Data classification, redaction, routing rules and contractual restrictions</w:t>
            </w:r>
          </w:p>
        </w:tc>
      </w:tr>
      <w:tr>
        <w:trPr>
          <w:cantSplit/>
        </w:trPr>
        <w:tc>
          <w:tcPr>
            <w:tcW w:type="dxa" w:w="3312"/>
            <w:vAlign w:val="center"/>
          </w:tcPr>
          <w:p>
            <w:pPr>
              <w:spacing w:after="0"/>
            </w:pPr>
            <w:r/>
            <w:r>
              <w:rPr>
                <w:rFonts w:ascii="Aptos" w:hAnsi="Aptos"/>
                <w:b w:val="0"/>
                <w:sz w:val="15"/>
              </w:rPr>
              <w:t>Model substitution</w:t>
            </w:r>
          </w:p>
        </w:tc>
        <w:tc>
          <w:tcPr>
            <w:tcW w:type="dxa" w:w="6336"/>
            <w:vAlign w:val="center"/>
          </w:tcPr>
          <w:p>
            <w:pPr>
              <w:spacing w:after="0"/>
            </w:pPr>
            <w:r/>
            <w:r>
              <w:rPr>
                <w:rFonts w:ascii="Aptos" w:hAnsi="Aptos"/>
                <w:b w:val="0"/>
                <w:sz w:val="15"/>
              </w:rPr>
              <w:t>Provider and model allowlists with cryptographic or registry verification</w:t>
            </w:r>
          </w:p>
        </w:tc>
      </w:tr>
      <w:tr>
        <w:trPr>
          <w:cantSplit/>
        </w:trPr>
        <w:tc>
          <w:tcPr>
            <w:tcW w:type="dxa" w:w="3312"/>
            <w:vAlign w:val="center"/>
            <w:shd w:fill="F3F6F7"/>
          </w:tcPr>
          <w:p>
            <w:pPr>
              <w:spacing w:after="0"/>
            </w:pPr>
            <w:r/>
            <w:r>
              <w:rPr>
                <w:rFonts w:ascii="Aptos" w:hAnsi="Aptos"/>
                <w:b w:val="0"/>
                <w:sz w:val="15"/>
              </w:rPr>
              <w:t>Policy drift</w:t>
            </w:r>
          </w:p>
        </w:tc>
        <w:tc>
          <w:tcPr>
            <w:tcW w:type="dxa" w:w="6336"/>
            <w:vAlign w:val="center"/>
            <w:shd w:fill="F3F6F7"/>
          </w:tcPr>
          <w:p>
            <w:pPr>
              <w:spacing w:after="0"/>
            </w:pPr>
            <w:r/>
            <w:r>
              <w:rPr>
                <w:rFonts w:ascii="Aptos" w:hAnsi="Aptos"/>
                <w:b w:val="0"/>
                <w:sz w:val="15"/>
              </w:rPr>
              <w:t>Versioned policy deployment and independent conformance checks</w:t>
            </w:r>
          </w:p>
        </w:tc>
      </w:tr>
      <w:tr>
        <w:trPr>
          <w:cantSplit/>
        </w:trPr>
        <w:tc>
          <w:tcPr>
            <w:tcW w:type="dxa" w:w="3312"/>
            <w:vAlign w:val="center"/>
          </w:tcPr>
          <w:p>
            <w:pPr>
              <w:spacing w:after="0"/>
            </w:pPr>
            <w:r/>
            <w:r>
              <w:rPr>
                <w:rFonts w:ascii="Aptos" w:hAnsi="Aptos"/>
                <w:b w:val="0"/>
                <w:sz w:val="15"/>
              </w:rPr>
              <w:t>Incomplete application coverage</w:t>
            </w:r>
          </w:p>
        </w:tc>
        <w:tc>
          <w:tcPr>
            <w:tcW w:type="dxa" w:w="6336"/>
            <w:vAlign w:val="center"/>
          </w:tcPr>
          <w:p>
            <w:pPr>
              <w:spacing w:after="0"/>
            </w:pPr>
            <w:r/>
            <w:r>
              <w:rPr>
                <w:rFonts w:ascii="Aptos" w:hAnsi="Aptos"/>
                <w:b w:val="0"/>
                <w:sz w:val="15"/>
              </w:rPr>
              <w:t>Network and identity controls preventing direct unsanctioned model access</w:t>
            </w:r>
          </w:p>
        </w:tc>
      </w:tr>
    </w:tbl>
    <w:p/>
    <w:p>
      <w:pPr>
        <w:pStyle w:val="Heading1"/>
      </w:pPr>
      <w:r>
        <w:t>7. Pattern B — Retrieval-Augmented Generation</w:t>
      </w:r>
    </w:p>
    <w:p>
      <w:pPr>
        <w:pStyle w:val="Heading2"/>
      </w:pPr>
      <w:r>
        <w:t>7.1 Blueprint</w:t>
      </w:r>
    </w:p>
    <w:tbl>
      <w:tblPr>
        <w:tblStyle w:val="TableGrid"/>
        <w:tblW w:type="auto" w:w="0"/>
        <w:jc w:val="center"/>
        <w:tblLook w:firstColumn="1" w:firstRow="1" w:lastColumn="0" w:lastRow="0" w:noHBand="0" w:noVBand="1" w:val="04A0"/>
      </w:tblPr>
      <w:tblGrid>
        <w:gridCol w:w="10282"/>
      </w:tblGrid>
      <w:tr>
        <w:trPr>
          <w:tblHeader w:val="true"/>
          <w:cantSplit/>
        </w:trPr>
        <w:tc>
          <w:tcPr>
            <w:tcW w:type="dxa" w:w="10282"/>
            <w:vAlign w:val="center"/>
            <w:shd w:fill="D9EAF0"/>
          </w:tcPr>
          <w:p>
            <w:pPr>
              <w:spacing w:after="0"/>
              <w:jc w:val="center"/>
            </w:pPr>
            <w:r/>
            <w:r>
              <w:rPr>
                <w:rFonts w:ascii="Aptos" w:hAnsi="Aptos"/>
                <w:b/>
                <w:sz w:val="16"/>
              </w:rPr>
              <w:t>Authenticated User</w:t>
              <w:br/>
              <w:t>Identity, role and purpose context</w:t>
            </w:r>
          </w:p>
        </w:tc>
      </w:tr>
      <w:tr>
        <w:trPr>
          <w:cantSplit/>
        </w:trPr>
        <w:tc>
          <w:tcPr>
            <w:tcW w:type="dxa" w:w="10282"/>
            <w:vAlign w:val="center"/>
            <w:shd w:fill="E8F1E8"/>
          </w:tcPr>
          <w:p>
            <w:pPr>
              <w:spacing w:after="0"/>
              <w:jc w:val="center"/>
            </w:pPr>
            <w:r/>
            <w:r>
              <w:rPr>
                <w:rFonts w:ascii="Aptos" w:hAnsi="Aptos"/>
                <w:b w:val="0"/>
                <w:sz w:val="16"/>
              </w:rPr>
              <w:t>RAG Application</w:t>
              <w:br/>
              <w:t>Query handling, context assembly and response workflow</w:t>
            </w:r>
          </w:p>
        </w:tc>
      </w:tr>
      <w:tr>
        <w:trPr>
          <w:cantSplit/>
        </w:trPr>
        <w:tc>
          <w:tcPr>
            <w:tcW w:type="dxa" w:w="10282"/>
            <w:vAlign w:val="center"/>
            <w:shd w:fill="F2EBDD"/>
          </w:tcPr>
          <w:p>
            <w:pPr>
              <w:spacing w:after="0"/>
              <w:jc w:val="center"/>
            </w:pPr>
            <w:r/>
            <w:r>
              <w:rPr>
                <w:rFonts w:ascii="Aptos" w:hAnsi="Aptos"/>
                <w:b w:val="0"/>
                <w:sz w:val="16"/>
              </w:rPr>
              <w:t>Retrieval Policy Layer</w:t>
              <w:br/>
              <w:t>Authorization, tenant isolation, source filtering and relevance constraints</w:t>
            </w:r>
          </w:p>
        </w:tc>
      </w:tr>
      <w:tr>
        <w:trPr>
          <w:cantSplit/>
        </w:trPr>
        <w:tc>
          <w:tcPr>
            <w:tcW w:type="dxa" w:w="10282"/>
            <w:vAlign w:val="center"/>
            <w:shd w:fill="EFE5F2"/>
          </w:tcPr>
          <w:p>
            <w:pPr>
              <w:spacing w:after="0"/>
              <w:jc w:val="center"/>
            </w:pPr>
            <w:r/>
            <w:r>
              <w:rPr>
                <w:rFonts w:ascii="Aptos" w:hAnsi="Aptos"/>
                <w:b w:val="0"/>
                <w:sz w:val="16"/>
              </w:rPr>
              <w:t>Knowledge Stores</w:t>
              <w:br/>
              <w:t>Approved documents, vector indexes and source metadata</w:t>
            </w:r>
          </w:p>
        </w:tc>
      </w:tr>
      <w:tr>
        <w:trPr>
          <w:cantSplit/>
        </w:trPr>
        <w:tc>
          <w:tcPr>
            <w:tcW w:type="dxa" w:w="10282"/>
            <w:vAlign w:val="center"/>
            <w:shd w:fill="E6EAF3"/>
          </w:tcPr>
          <w:p>
            <w:pPr>
              <w:spacing w:after="0"/>
              <w:jc w:val="center"/>
            </w:pPr>
            <w:r/>
            <w:r>
              <w:rPr>
                <w:rFonts w:ascii="Aptos" w:hAnsi="Aptos"/>
                <w:b w:val="0"/>
                <w:sz w:val="16"/>
              </w:rPr>
              <w:t>Model Service</w:t>
              <w:br/>
              <w:t>Inference using bounded retrieved context</w:t>
            </w:r>
          </w:p>
        </w:tc>
      </w:tr>
      <w:tr>
        <w:trPr>
          <w:cantSplit/>
        </w:trPr>
        <w:tc>
          <w:tcPr>
            <w:tcW w:type="dxa" w:w="10282"/>
            <w:vAlign w:val="center"/>
            <w:shd w:fill="F3E3E3"/>
          </w:tcPr>
          <w:p>
            <w:pPr>
              <w:spacing w:after="0"/>
              <w:jc w:val="center"/>
            </w:pPr>
            <w:r/>
            <w:r>
              <w:rPr>
                <w:rFonts w:ascii="Aptos" w:hAnsi="Aptos"/>
                <w:b w:val="0"/>
                <w:sz w:val="16"/>
              </w:rPr>
              <w:t>Citation and Output Layer</w:t>
              <w:br/>
              <w:t>Source attribution, content controls and user disclosure</w:t>
            </w:r>
          </w:p>
        </w:tc>
      </w:tr>
      <w:tr>
        <w:trPr>
          <w:cantSplit/>
        </w:trPr>
        <w:tc>
          <w:tcPr>
            <w:tcW w:type="dxa" w:w="10282"/>
            <w:vAlign w:val="center"/>
            <w:shd w:fill="E8ECEF"/>
          </w:tcPr>
          <w:p>
            <w:pPr>
              <w:spacing w:after="0"/>
              <w:jc w:val="center"/>
            </w:pPr>
            <w:r/>
            <w:r>
              <w:rPr>
                <w:rFonts w:ascii="Aptos" w:hAnsi="Aptos"/>
                <w:b w:val="0"/>
                <w:sz w:val="16"/>
              </w:rPr>
              <w:t>Evidence Layer</w:t>
              <w:br/>
              <w:t>Query, sources, model version, output and user feedback</w:t>
            </w:r>
          </w:p>
        </w:tc>
      </w:tr>
    </w:tbl>
    <w:p/>
    <w:p>
      <w:pPr>
        <w:pStyle w:val="Heading2"/>
      </w:pPr>
      <w:r>
        <w:t>7.2 Key controls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168"/>
            <w:vAlign w:val="center"/>
            <w:shd w:fill="17324D"/>
          </w:tcPr>
          <w:p>
            <w:pPr>
              <w:spacing w:after="0"/>
            </w:pPr>
            <w:r/>
            <w:r>
              <w:rPr>
                <w:rFonts w:ascii="Aptos" w:hAnsi="Aptos"/>
                <w:b/>
                <w:color w:val="FFFFFF"/>
                <w:sz w:val="15"/>
              </w:rPr>
              <w:t>Concern</w:t>
            </w:r>
          </w:p>
        </w:tc>
        <w:tc>
          <w:tcPr>
            <w:tcW w:type="dxa" w:w="6480"/>
            <w:vAlign w:val="center"/>
            <w:shd w:fill="17324D"/>
          </w:tcPr>
          <w:p>
            <w:pPr>
              <w:spacing w:after="0"/>
            </w:pPr>
            <w:r/>
            <w:r>
              <w:rPr>
                <w:rFonts w:ascii="Aptos" w:hAnsi="Aptos"/>
                <w:b/>
                <w:color w:val="FFFFFF"/>
                <w:sz w:val="15"/>
              </w:rPr>
              <w:t>Pattern control</w:t>
            </w:r>
          </w:p>
        </w:tc>
      </w:tr>
      <w:tr>
        <w:trPr>
          <w:cantSplit/>
        </w:trPr>
        <w:tc>
          <w:tcPr>
            <w:tcW w:type="dxa" w:w="3168"/>
            <w:vAlign w:val="center"/>
          </w:tcPr>
          <w:p>
            <w:pPr>
              <w:spacing w:after="0"/>
            </w:pPr>
            <w:r/>
            <w:r>
              <w:rPr>
                <w:rFonts w:ascii="Aptos" w:hAnsi="Aptos"/>
                <w:b w:val="0"/>
                <w:sz w:val="15"/>
              </w:rPr>
              <w:t>Unauthorized retrieval</w:t>
            </w:r>
          </w:p>
        </w:tc>
        <w:tc>
          <w:tcPr>
            <w:tcW w:type="dxa" w:w="6480"/>
            <w:vAlign w:val="center"/>
          </w:tcPr>
          <w:p>
            <w:pPr>
              <w:spacing w:after="0"/>
            </w:pPr>
            <w:r/>
            <w:r>
              <w:rPr>
                <w:rFonts w:ascii="Aptos" w:hAnsi="Aptos"/>
                <w:b w:val="0"/>
                <w:sz w:val="15"/>
              </w:rPr>
              <w:t>Document-level and attribute-based access controls before retrieval</w:t>
            </w:r>
          </w:p>
        </w:tc>
      </w:tr>
      <w:tr>
        <w:trPr>
          <w:cantSplit/>
        </w:trPr>
        <w:tc>
          <w:tcPr>
            <w:tcW w:type="dxa" w:w="3168"/>
            <w:vAlign w:val="center"/>
            <w:shd w:fill="F3F6F7"/>
          </w:tcPr>
          <w:p>
            <w:pPr>
              <w:spacing w:after="0"/>
            </w:pPr>
            <w:r/>
            <w:r>
              <w:rPr>
                <w:rFonts w:ascii="Aptos" w:hAnsi="Aptos"/>
                <w:b w:val="0"/>
                <w:sz w:val="15"/>
              </w:rPr>
              <w:t>Poisoned knowledge</w:t>
            </w:r>
          </w:p>
        </w:tc>
        <w:tc>
          <w:tcPr>
            <w:tcW w:type="dxa" w:w="6480"/>
            <w:vAlign w:val="center"/>
            <w:shd w:fill="F3F6F7"/>
          </w:tcPr>
          <w:p>
            <w:pPr>
              <w:spacing w:after="0"/>
            </w:pPr>
            <w:r/>
            <w:r>
              <w:rPr>
                <w:rFonts w:ascii="Aptos" w:hAnsi="Aptos"/>
                <w:b w:val="0"/>
                <w:sz w:val="15"/>
              </w:rPr>
              <w:t>Source approval, integrity checks, lineage and change review</w:t>
            </w:r>
          </w:p>
        </w:tc>
      </w:tr>
      <w:tr>
        <w:trPr>
          <w:cantSplit/>
        </w:trPr>
        <w:tc>
          <w:tcPr>
            <w:tcW w:type="dxa" w:w="3168"/>
            <w:vAlign w:val="center"/>
          </w:tcPr>
          <w:p>
            <w:pPr>
              <w:spacing w:after="0"/>
            </w:pPr>
            <w:r/>
            <w:r>
              <w:rPr>
                <w:rFonts w:ascii="Aptos" w:hAnsi="Aptos"/>
                <w:b w:val="0"/>
                <w:sz w:val="15"/>
              </w:rPr>
              <w:t>Cross-tenant leakage</w:t>
            </w:r>
          </w:p>
        </w:tc>
        <w:tc>
          <w:tcPr>
            <w:tcW w:type="dxa" w:w="6480"/>
            <w:vAlign w:val="center"/>
          </w:tcPr>
          <w:p>
            <w:pPr>
              <w:spacing w:after="0"/>
            </w:pPr>
            <w:r/>
            <w:r>
              <w:rPr>
                <w:rFonts w:ascii="Aptos" w:hAnsi="Aptos"/>
                <w:b w:val="0"/>
                <w:sz w:val="15"/>
              </w:rPr>
              <w:t>Separate indexes or enforced tenant filters with negative testing</w:t>
            </w:r>
          </w:p>
        </w:tc>
      </w:tr>
      <w:tr>
        <w:trPr>
          <w:cantSplit/>
        </w:trPr>
        <w:tc>
          <w:tcPr>
            <w:tcW w:type="dxa" w:w="3168"/>
            <w:vAlign w:val="center"/>
            <w:shd w:fill="F3F6F7"/>
          </w:tcPr>
          <w:p>
            <w:pPr>
              <w:spacing w:after="0"/>
            </w:pPr>
            <w:r/>
            <w:r>
              <w:rPr>
                <w:rFonts w:ascii="Aptos" w:hAnsi="Aptos"/>
                <w:b w:val="0"/>
                <w:sz w:val="15"/>
              </w:rPr>
              <w:t>Unsupported answer</w:t>
            </w:r>
          </w:p>
        </w:tc>
        <w:tc>
          <w:tcPr>
            <w:tcW w:type="dxa" w:w="6480"/>
            <w:vAlign w:val="center"/>
            <w:shd w:fill="F3F6F7"/>
          </w:tcPr>
          <w:p>
            <w:pPr>
              <w:spacing w:after="0"/>
            </w:pPr>
            <w:r/>
            <w:r>
              <w:rPr>
                <w:rFonts w:ascii="Aptos" w:hAnsi="Aptos"/>
                <w:b w:val="0"/>
                <w:sz w:val="15"/>
              </w:rPr>
              <w:t>Citation requirement, confidence handling and abstention behavior</w:t>
            </w:r>
          </w:p>
        </w:tc>
      </w:tr>
      <w:tr>
        <w:trPr>
          <w:cantSplit/>
        </w:trPr>
        <w:tc>
          <w:tcPr>
            <w:tcW w:type="dxa" w:w="3168"/>
            <w:vAlign w:val="center"/>
          </w:tcPr>
          <w:p>
            <w:pPr>
              <w:spacing w:after="0"/>
            </w:pPr>
            <w:r/>
            <w:r>
              <w:rPr>
                <w:rFonts w:ascii="Aptos" w:hAnsi="Aptos"/>
                <w:b w:val="0"/>
                <w:sz w:val="15"/>
              </w:rPr>
              <w:t>Stale knowledge</w:t>
            </w:r>
          </w:p>
        </w:tc>
        <w:tc>
          <w:tcPr>
            <w:tcW w:type="dxa" w:w="6480"/>
            <w:vAlign w:val="center"/>
          </w:tcPr>
          <w:p>
            <w:pPr>
              <w:spacing w:after="0"/>
            </w:pPr>
            <w:r/>
            <w:r>
              <w:rPr>
                <w:rFonts w:ascii="Aptos" w:hAnsi="Aptos"/>
                <w:b w:val="0"/>
                <w:sz w:val="15"/>
              </w:rPr>
              <w:t>Freshness metadata, expiry and re-index controls</w:t>
            </w:r>
          </w:p>
        </w:tc>
      </w:tr>
      <w:tr>
        <w:trPr>
          <w:cantSplit/>
        </w:trPr>
        <w:tc>
          <w:tcPr>
            <w:tcW w:type="dxa" w:w="3168"/>
            <w:vAlign w:val="center"/>
            <w:shd w:fill="F3F6F7"/>
          </w:tcPr>
          <w:p>
            <w:pPr>
              <w:spacing w:after="0"/>
            </w:pPr>
            <w:r/>
            <w:r>
              <w:rPr>
                <w:rFonts w:ascii="Aptos" w:hAnsi="Aptos"/>
                <w:b w:val="0"/>
                <w:sz w:val="15"/>
              </w:rPr>
              <w:t>Prompt injection in documents</w:t>
            </w:r>
          </w:p>
        </w:tc>
        <w:tc>
          <w:tcPr>
            <w:tcW w:type="dxa" w:w="6480"/>
            <w:vAlign w:val="center"/>
            <w:shd w:fill="F3F6F7"/>
          </w:tcPr>
          <w:p>
            <w:pPr>
              <w:spacing w:after="0"/>
            </w:pPr>
            <w:r/>
            <w:r>
              <w:rPr>
                <w:rFonts w:ascii="Aptos" w:hAnsi="Aptos"/>
                <w:b w:val="0"/>
                <w:sz w:val="15"/>
              </w:rPr>
              <w:t>Content scanning, instruction isolation and tool-policy enforcement</w:t>
            </w:r>
          </w:p>
        </w:tc>
      </w:tr>
    </w:tbl>
    <w:p/>
    <w:p>
      <w:pPr>
        <w:pStyle w:val="Heading1"/>
      </w:pPr>
      <w:r>
        <w:t>8. Pattern C — Agentic AI with Tool Use</w:t>
      </w:r>
    </w:p>
    <w:p>
      <w:pPr>
        <w:pStyle w:val="Heading2"/>
      </w:pPr>
      <w:r>
        <w:t>8.1 Blueprint</w:t>
      </w:r>
    </w:p>
    <w:tbl>
      <w:tblPr>
        <w:tblStyle w:val="TableGrid"/>
        <w:tblW w:type="auto" w:w="0"/>
        <w:jc w:val="center"/>
        <w:tblLook w:firstColumn="1" w:firstRow="1" w:lastColumn="0" w:lastRow="0" w:noHBand="0" w:noVBand="1" w:val="04A0"/>
      </w:tblPr>
      <w:tblGrid>
        <w:gridCol w:w="10282"/>
      </w:tblGrid>
      <w:tr>
        <w:trPr>
          <w:tblHeader w:val="true"/>
          <w:cantSplit/>
        </w:trPr>
        <w:tc>
          <w:tcPr>
            <w:tcW w:type="dxa" w:w="10282"/>
            <w:vAlign w:val="center"/>
            <w:shd w:fill="D9EAF0"/>
          </w:tcPr>
          <w:p>
            <w:pPr>
              <w:spacing w:after="0"/>
              <w:jc w:val="center"/>
            </w:pPr>
            <w:r/>
            <w:r>
              <w:rPr>
                <w:rFonts w:ascii="Aptos" w:hAnsi="Aptos"/>
                <w:b/>
                <w:sz w:val="16"/>
              </w:rPr>
              <w:t>User/Trigger</w:t>
              <w:br/>
              <w:t>Authenticated request and approved objective</w:t>
            </w:r>
          </w:p>
        </w:tc>
      </w:tr>
      <w:tr>
        <w:trPr>
          <w:cantSplit/>
        </w:trPr>
        <w:tc>
          <w:tcPr>
            <w:tcW w:type="dxa" w:w="10282"/>
            <w:vAlign w:val="center"/>
            <w:shd w:fill="E8F1E8"/>
          </w:tcPr>
          <w:p>
            <w:pPr>
              <w:spacing w:after="0"/>
              <w:jc w:val="center"/>
            </w:pPr>
            <w:r/>
            <w:r>
              <w:rPr>
                <w:rFonts w:ascii="Aptos" w:hAnsi="Aptos"/>
                <w:b w:val="0"/>
                <w:sz w:val="16"/>
              </w:rPr>
              <w:t>Agent Controller</w:t>
              <w:br/>
              <w:t>Goal constraints • plan limits • termination • state</w:t>
            </w:r>
          </w:p>
        </w:tc>
      </w:tr>
      <w:tr>
        <w:trPr>
          <w:cantSplit/>
        </w:trPr>
        <w:tc>
          <w:tcPr>
            <w:tcW w:type="dxa" w:w="10282"/>
            <w:vAlign w:val="center"/>
            <w:shd w:fill="F2EBDD"/>
          </w:tcPr>
          <w:p>
            <w:pPr>
              <w:spacing w:after="0"/>
              <w:jc w:val="center"/>
            </w:pPr>
            <w:r/>
            <w:r>
              <w:rPr>
                <w:rFonts w:ascii="Aptos" w:hAnsi="Aptos"/>
                <w:b w:val="0"/>
                <w:sz w:val="16"/>
              </w:rPr>
              <w:t>Policy and Approval Gate</w:t>
              <w:br/>
              <w:t>Per-tool permission • transaction risk • human approval</w:t>
            </w:r>
          </w:p>
        </w:tc>
      </w:tr>
      <w:tr>
        <w:trPr>
          <w:cantSplit/>
        </w:trPr>
        <w:tc>
          <w:tcPr>
            <w:tcW w:type="dxa" w:w="10282"/>
            <w:vAlign w:val="center"/>
            <w:shd w:fill="EFE5F2"/>
          </w:tcPr>
          <w:p>
            <w:pPr>
              <w:spacing w:after="0"/>
              <w:jc w:val="center"/>
            </w:pPr>
            <w:r/>
            <w:r>
              <w:rPr>
                <w:rFonts w:ascii="Aptos" w:hAnsi="Aptos"/>
                <w:b w:val="0"/>
                <w:sz w:val="16"/>
              </w:rPr>
              <w:t>Tool Sandbox</w:t>
              <w:br/>
              <w:t>Isolated execution with allowlisted tools and parameters</w:t>
            </w:r>
          </w:p>
        </w:tc>
      </w:tr>
      <w:tr>
        <w:trPr>
          <w:cantSplit/>
        </w:trPr>
        <w:tc>
          <w:tcPr>
            <w:tcW w:type="dxa" w:w="10282"/>
            <w:vAlign w:val="center"/>
            <w:shd w:fill="E6EAF3"/>
          </w:tcPr>
          <w:p>
            <w:pPr>
              <w:spacing w:after="0"/>
              <w:jc w:val="center"/>
            </w:pPr>
            <w:r/>
            <w:r>
              <w:rPr>
                <w:rFonts w:ascii="Aptos" w:hAnsi="Aptos"/>
                <w:b w:val="0"/>
                <w:sz w:val="16"/>
              </w:rPr>
              <w:t>Enterprise Services</w:t>
              <w:br/>
              <w:t>APIs, databases, ticketing, code repositories and transactions</w:t>
            </w:r>
          </w:p>
        </w:tc>
      </w:tr>
      <w:tr>
        <w:trPr>
          <w:cantSplit/>
        </w:trPr>
        <w:tc>
          <w:tcPr>
            <w:tcW w:type="dxa" w:w="10282"/>
            <w:vAlign w:val="center"/>
            <w:shd w:fill="F3E3E3"/>
          </w:tcPr>
          <w:p>
            <w:pPr>
              <w:spacing w:after="0"/>
              <w:jc w:val="center"/>
            </w:pPr>
            <w:r/>
            <w:r>
              <w:rPr>
                <w:rFonts w:ascii="Aptos" w:hAnsi="Aptos"/>
                <w:b w:val="0"/>
                <w:sz w:val="16"/>
              </w:rPr>
              <w:t>Memory Service</w:t>
              <w:br/>
              <w:t>Scoped, retained and integrity-checked memory</w:t>
            </w:r>
          </w:p>
        </w:tc>
      </w:tr>
      <w:tr>
        <w:trPr>
          <w:cantSplit/>
        </w:trPr>
        <w:tc>
          <w:tcPr>
            <w:tcW w:type="dxa" w:w="10282"/>
            <w:vAlign w:val="center"/>
            <w:shd w:fill="E8ECEF"/>
          </w:tcPr>
          <w:p>
            <w:pPr>
              <w:spacing w:after="0"/>
              <w:jc w:val="center"/>
            </w:pPr>
            <w:r/>
            <w:r>
              <w:rPr>
                <w:rFonts w:ascii="Aptos" w:hAnsi="Aptos"/>
                <w:b w:val="0"/>
                <w:sz w:val="16"/>
              </w:rPr>
              <w:t>Observation and Evidence</w:t>
              <w:br/>
              <w:t>Plans • tool calls • approvals • outputs • state changes</w:t>
            </w:r>
          </w:p>
        </w:tc>
      </w:tr>
      <w:tr>
        <w:trPr>
          <w:cantSplit/>
        </w:trPr>
        <w:tc>
          <w:tcPr>
            <w:tcW w:type="dxa" w:w="10282"/>
            <w:vAlign w:val="center"/>
            <w:shd w:fill="DDE8E6"/>
          </w:tcPr>
          <w:p>
            <w:pPr>
              <w:spacing w:after="0"/>
              <w:jc w:val="center"/>
            </w:pPr>
            <w:r/>
            <w:r>
              <w:rPr>
                <w:rFonts w:ascii="Aptos" w:hAnsi="Aptos"/>
                <w:b w:val="0"/>
                <w:sz w:val="16"/>
              </w:rPr>
              <w:t>Containment</w:t>
              <w:br/>
              <w:t>Circuit breaker • kill switch • rollback • incident routing</w:t>
            </w:r>
          </w:p>
        </w:tc>
      </w:tr>
    </w:tbl>
    <w:p/>
    <w:p>
      <w:pPr>
        <w:pStyle w:val="Heading2"/>
      </w:pPr>
      <w:r>
        <w:t>8.2 Agent authorization model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Authorization dimension</w:t>
            </w:r>
          </w:p>
        </w:tc>
        <w:tc>
          <w:tcPr>
            <w:tcW w:type="dxa" w:w="6624"/>
            <w:vAlign w:val="center"/>
            <w:shd w:fill="17324D"/>
          </w:tcPr>
          <w:p>
            <w:pPr>
              <w:spacing w:after="0"/>
            </w:pPr>
            <w:r/>
            <w:r>
              <w:rPr>
                <w:rFonts w:ascii="Aptos" w:hAnsi="Aptos"/>
                <w:b/>
                <w:color w:val="FFFFFF"/>
                <w:sz w:val="15"/>
              </w:rPr>
              <w:t>Example constraint</w:t>
            </w:r>
          </w:p>
        </w:tc>
      </w:tr>
      <w:tr>
        <w:trPr>
          <w:cantSplit/>
        </w:trPr>
        <w:tc>
          <w:tcPr>
            <w:tcW w:type="dxa" w:w="3024"/>
            <w:vAlign w:val="center"/>
          </w:tcPr>
          <w:p>
            <w:pPr>
              <w:spacing w:after="0"/>
            </w:pPr>
            <w:r/>
            <w:r>
              <w:rPr>
                <w:rFonts w:ascii="Aptos" w:hAnsi="Aptos"/>
                <w:b w:val="0"/>
                <w:sz w:val="15"/>
              </w:rPr>
              <w:t>Identity</w:t>
            </w:r>
          </w:p>
        </w:tc>
        <w:tc>
          <w:tcPr>
            <w:tcW w:type="dxa" w:w="6624"/>
            <w:vAlign w:val="center"/>
          </w:tcPr>
          <w:p>
            <w:pPr>
              <w:spacing w:after="0"/>
            </w:pPr>
            <w:r/>
            <w:r>
              <w:rPr>
                <w:rFonts w:ascii="Aptos" w:hAnsi="Aptos"/>
                <w:b w:val="0"/>
                <w:sz w:val="15"/>
              </w:rPr>
              <w:t>Agent instance and sponsoring user/service are attributable</w:t>
            </w:r>
          </w:p>
        </w:tc>
      </w:tr>
      <w:tr>
        <w:trPr>
          <w:cantSplit/>
        </w:trPr>
        <w:tc>
          <w:tcPr>
            <w:tcW w:type="dxa" w:w="3024"/>
            <w:vAlign w:val="center"/>
            <w:shd w:fill="F3F6F7"/>
          </w:tcPr>
          <w:p>
            <w:pPr>
              <w:spacing w:after="0"/>
            </w:pPr>
            <w:r/>
            <w:r>
              <w:rPr>
                <w:rFonts w:ascii="Aptos" w:hAnsi="Aptos"/>
                <w:b w:val="0"/>
                <w:sz w:val="15"/>
              </w:rPr>
              <w:t>Objective</w:t>
            </w:r>
          </w:p>
        </w:tc>
        <w:tc>
          <w:tcPr>
            <w:tcW w:type="dxa" w:w="6624"/>
            <w:vAlign w:val="center"/>
            <w:shd w:fill="F3F6F7"/>
          </w:tcPr>
          <w:p>
            <w:pPr>
              <w:spacing w:after="0"/>
            </w:pPr>
            <w:r/>
            <w:r>
              <w:rPr>
                <w:rFonts w:ascii="Aptos" w:hAnsi="Aptos"/>
                <w:b w:val="0"/>
                <w:sz w:val="15"/>
              </w:rPr>
              <w:t>Approved goal class and prohibited objectives</w:t>
            </w:r>
          </w:p>
        </w:tc>
      </w:tr>
      <w:tr>
        <w:trPr>
          <w:cantSplit/>
        </w:trPr>
        <w:tc>
          <w:tcPr>
            <w:tcW w:type="dxa" w:w="3024"/>
            <w:vAlign w:val="center"/>
          </w:tcPr>
          <w:p>
            <w:pPr>
              <w:spacing w:after="0"/>
            </w:pPr>
            <w:r/>
            <w:r>
              <w:rPr>
                <w:rFonts w:ascii="Aptos" w:hAnsi="Aptos"/>
                <w:b w:val="0"/>
                <w:sz w:val="15"/>
              </w:rPr>
              <w:t>Tool</w:t>
            </w:r>
          </w:p>
        </w:tc>
        <w:tc>
          <w:tcPr>
            <w:tcW w:type="dxa" w:w="6624"/>
            <w:vAlign w:val="center"/>
          </w:tcPr>
          <w:p>
            <w:pPr>
              <w:spacing w:after="0"/>
            </w:pPr>
            <w:r/>
            <w:r>
              <w:rPr>
                <w:rFonts w:ascii="Aptos" w:hAnsi="Aptos"/>
                <w:b w:val="0"/>
                <w:sz w:val="15"/>
              </w:rPr>
              <w:t>Explicit allowlist and denied capabilities</w:t>
            </w:r>
          </w:p>
        </w:tc>
      </w:tr>
      <w:tr>
        <w:trPr>
          <w:cantSplit/>
        </w:trPr>
        <w:tc>
          <w:tcPr>
            <w:tcW w:type="dxa" w:w="3024"/>
            <w:vAlign w:val="center"/>
            <w:shd w:fill="F3F6F7"/>
          </w:tcPr>
          <w:p>
            <w:pPr>
              <w:spacing w:after="0"/>
            </w:pPr>
            <w:r/>
            <w:r>
              <w:rPr>
                <w:rFonts w:ascii="Aptos" w:hAnsi="Aptos"/>
                <w:b w:val="0"/>
                <w:sz w:val="15"/>
              </w:rPr>
              <w:t>Action</w:t>
            </w:r>
          </w:p>
        </w:tc>
        <w:tc>
          <w:tcPr>
            <w:tcW w:type="dxa" w:w="6624"/>
            <w:vAlign w:val="center"/>
            <w:shd w:fill="F3F6F7"/>
          </w:tcPr>
          <w:p>
            <w:pPr>
              <w:spacing w:after="0"/>
            </w:pPr>
            <w:r/>
            <w:r>
              <w:rPr>
                <w:rFonts w:ascii="Aptos" w:hAnsi="Aptos"/>
                <w:b w:val="0"/>
                <w:sz w:val="15"/>
              </w:rPr>
              <w:t>Read, draft, recommend, execute or administer</w:t>
            </w:r>
          </w:p>
        </w:tc>
      </w:tr>
      <w:tr>
        <w:trPr>
          <w:cantSplit/>
        </w:trPr>
        <w:tc>
          <w:tcPr>
            <w:tcW w:type="dxa" w:w="3024"/>
            <w:vAlign w:val="center"/>
          </w:tcPr>
          <w:p>
            <w:pPr>
              <w:spacing w:after="0"/>
            </w:pPr>
            <w:r/>
            <w:r>
              <w:rPr>
                <w:rFonts w:ascii="Aptos" w:hAnsi="Aptos"/>
                <w:b w:val="0"/>
                <w:sz w:val="15"/>
              </w:rPr>
              <w:t>Resource</w:t>
            </w:r>
          </w:p>
        </w:tc>
        <w:tc>
          <w:tcPr>
            <w:tcW w:type="dxa" w:w="6624"/>
            <w:vAlign w:val="center"/>
          </w:tcPr>
          <w:p>
            <w:pPr>
              <w:spacing w:after="0"/>
            </w:pPr>
            <w:r/>
            <w:r>
              <w:rPr>
                <w:rFonts w:ascii="Aptos" w:hAnsi="Aptos"/>
                <w:b w:val="0"/>
                <w:sz w:val="15"/>
              </w:rPr>
              <w:t>Permitted systems, accounts, files and datasets</w:t>
            </w:r>
          </w:p>
        </w:tc>
      </w:tr>
      <w:tr>
        <w:trPr>
          <w:cantSplit/>
        </w:trPr>
        <w:tc>
          <w:tcPr>
            <w:tcW w:type="dxa" w:w="3024"/>
            <w:vAlign w:val="center"/>
            <w:shd w:fill="F3F6F7"/>
          </w:tcPr>
          <w:p>
            <w:pPr>
              <w:spacing w:after="0"/>
            </w:pPr>
            <w:r/>
            <w:r>
              <w:rPr>
                <w:rFonts w:ascii="Aptos" w:hAnsi="Aptos"/>
                <w:b w:val="0"/>
                <w:sz w:val="15"/>
              </w:rPr>
              <w:t>Transaction</w:t>
            </w:r>
          </w:p>
        </w:tc>
        <w:tc>
          <w:tcPr>
            <w:tcW w:type="dxa" w:w="6624"/>
            <w:vAlign w:val="center"/>
            <w:shd w:fill="F3F6F7"/>
          </w:tcPr>
          <w:p>
            <w:pPr>
              <w:spacing w:after="0"/>
            </w:pPr>
            <w:r/>
            <w:r>
              <w:rPr>
                <w:rFonts w:ascii="Aptos" w:hAnsi="Aptos"/>
                <w:b w:val="0"/>
                <w:sz w:val="15"/>
              </w:rPr>
              <w:t>Value, frequency, destination and approval thresholds</w:t>
            </w:r>
          </w:p>
        </w:tc>
      </w:tr>
      <w:tr>
        <w:trPr>
          <w:cantSplit/>
        </w:trPr>
        <w:tc>
          <w:tcPr>
            <w:tcW w:type="dxa" w:w="3024"/>
            <w:vAlign w:val="center"/>
          </w:tcPr>
          <w:p>
            <w:pPr>
              <w:spacing w:after="0"/>
            </w:pPr>
            <w:r/>
            <w:r>
              <w:rPr>
                <w:rFonts w:ascii="Aptos" w:hAnsi="Aptos"/>
                <w:b w:val="0"/>
                <w:sz w:val="15"/>
              </w:rPr>
              <w:t>Time</w:t>
            </w:r>
          </w:p>
        </w:tc>
        <w:tc>
          <w:tcPr>
            <w:tcW w:type="dxa" w:w="6624"/>
            <w:vAlign w:val="center"/>
          </w:tcPr>
          <w:p>
            <w:pPr>
              <w:spacing w:after="0"/>
            </w:pPr>
            <w:r/>
            <w:r>
              <w:rPr>
                <w:rFonts w:ascii="Aptos" w:hAnsi="Aptos"/>
                <w:b w:val="0"/>
                <w:sz w:val="15"/>
              </w:rPr>
              <w:t>Session duration and credential expiry</w:t>
            </w:r>
          </w:p>
        </w:tc>
      </w:tr>
      <w:tr>
        <w:trPr>
          <w:cantSplit/>
        </w:trPr>
        <w:tc>
          <w:tcPr>
            <w:tcW w:type="dxa" w:w="3024"/>
            <w:vAlign w:val="center"/>
            <w:shd w:fill="F3F6F7"/>
          </w:tcPr>
          <w:p>
            <w:pPr>
              <w:spacing w:after="0"/>
            </w:pPr>
            <w:r/>
            <w:r>
              <w:rPr>
                <w:rFonts w:ascii="Aptos" w:hAnsi="Aptos"/>
                <w:b w:val="0"/>
                <w:sz w:val="15"/>
              </w:rPr>
              <w:t>Delegation</w:t>
            </w:r>
          </w:p>
        </w:tc>
        <w:tc>
          <w:tcPr>
            <w:tcW w:type="dxa" w:w="6624"/>
            <w:vAlign w:val="center"/>
            <w:shd w:fill="F3F6F7"/>
          </w:tcPr>
          <w:p>
            <w:pPr>
              <w:spacing w:after="0"/>
            </w:pPr>
            <w:r/>
            <w:r>
              <w:rPr>
                <w:rFonts w:ascii="Aptos" w:hAnsi="Aptos"/>
                <w:b w:val="0"/>
                <w:sz w:val="15"/>
              </w:rPr>
              <w:t>Whether sub-agents may be created and with what permissions</w:t>
            </w:r>
          </w:p>
        </w:tc>
      </w:tr>
    </w:tbl>
    <w:p/>
    <w:p>
      <w:pPr>
        <w:pStyle w:val="Heading1"/>
      </w:pPr>
      <w:r>
        <w:t>9. Pattern D — Private Model Platform</w:t>
      </w:r>
    </w:p>
    <w:p>
      <w:pPr>
        <w:pStyle w:val="Heading2"/>
      </w:pPr>
      <w:r>
        <w:t>9.1 Blueprint</w:t>
      </w:r>
    </w:p>
    <w:tbl>
      <w:tblPr>
        <w:tblStyle w:val="TableGrid"/>
        <w:tblW w:type="auto" w:w="0"/>
        <w:jc w:val="center"/>
        <w:tblLook w:firstColumn="1" w:firstRow="1" w:lastColumn="0" w:lastRow="0" w:noHBand="0" w:noVBand="1" w:val="04A0"/>
      </w:tblPr>
      <w:tblGrid>
        <w:gridCol w:w="10282"/>
      </w:tblGrid>
      <w:tr>
        <w:trPr>
          <w:tblHeader w:val="true"/>
          <w:cantSplit/>
        </w:trPr>
        <w:tc>
          <w:tcPr>
            <w:tcW w:type="dxa" w:w="10282"/>
            <w:vAlign w:val="center"/>
            <w:shd w:fill="D9EAF0"/>
          </w:tcPr>
          <w:p>
            <w:pPr>
              <w:spacing w:after="0"/>
              <w:jc w:val="center"/>
            </w:pPr>
            <w:r/>
            <w:r>
              <w:rPr>
                <w:rFonts w:ascii="Aptos" w:hAnsi="Aptos"/>
                <w:b/>
                <w:sz w:val="16"/>
              </w:rPr>
              <w:t>Model and Data Registry</w:t>
              <w:br/>
              <w:t>Approved models, datasets, lineage, licences and signatures</w:t>
            </w:r>
          </w:p>
        </w:tc>
      </w:tr>
      <w:tr>
        <w:trPr>
          <w:cantSplit/>
        </w:trPr>
        <w:tc>
          <w:tcPr>
            <w:tcW w:type="dxa" w:w="10282"/>
            <w:vAlign w:val="center"/>
            <w:shd w:fill="E8F1E8"/>
          </w:tcPr>
          <w:p>
            <w:pPr>
              <w:spacing w:after="0"/>
              <w:jc w:val="center"/>
            </w:pPr>
            <w:r/>
            <w:r>
              <w:rPr>
                <w:rFonts w:ascii="Aptos" w:hAnsi="Aptos"/>
                <w:b w:val="0"/>
                <w:sz w:val="16"/>
              </w:rPr>
              <w:t>Build and Training Environment</w:t>
              <w:br/>
              <w:t>Isolated pipelines, reproducible builds and controlled compute</w:t>
            </w:r>
          </w:p>
        </w:tc>
      </w:tr>
      <w:tr>
        <w:trPr>
          <w:cantSplit/>
        </w:trPr>
        <w:tc>
          <w:tcPr>
            <w:tcW w:type="dxa" w:w="10282"/>
            <w:vAlign w:val="center"/>
            <w:shd w:fill="F2EBDD"/>
          </w:tcPr>
          <w:p>
            <w:pPr>
              <w:spacing w:after="0"/>
              <w:jc w:val="center"/>
            </w:pPr>
            <w:r/>
            <w:r>
              <w:rPr>
                <w:rFonts w:ascii="Aptos" w:hAnsi="Aptos"/>
                <w:b w:val="0"/>
                <w:sz w:val="16"/>
              </w:rPr>
              <w:t>Evaluation Environment</w:t>
              <w:br/>
              <w:t>Security, safety, robustness, privacy and performance testing</w:t>
            </w:r>
          </w:p>
        </w:tc>
      </w:tr>
      <w:tr>
        <w:trPr>
          <w:cantSplit/>
        </w:trPr>
        <w:tc>
          <w:tcPr>
            <w:tcW w:type="dxa" w:w="10282"/>
            <w:vAlign w:val="center"/>
            <w:shd w:fill="EFE5F2"/>
          </w:tcPr>
          <w:p>
            <w:pPr>
              <w:spacing w:after="0"/>
              <w:jc w:val="center"/>
            </w:pPr>
            <w:r/>
            <w:r>
              <w:rPr>
                <w:rFonts w:ascii="Aptos" w:hAnsi="Aptos"/>
                <w:b w:val="0"/>
                <w:sz w:val="16"/>
              </w:rPr>
              <w:t>Release Registry</w:t>
              <w:br/>
              <w:t>Signed model package, configuration and approval status</w:t>
            </w:r>
          </w:p>
        </w:tc>
      </w:tr>
      <w:tr>
        <w:trPr>
          <w:cantSplit/>
        </w:trPr>
        <w:tc>
          <w:tcPr>
            <w:tcW w:type="dxa" w:w="10282"/>
            <w:vAlign w:val="center"/>
            <w:shd w:fill="E6EAF3"/>
          </w:tcPr>
          <w:p>
            <w:pPr>
              <w:spacing w:after="0"/>
              <w:jc w:val="center"/>
            </w:pPr>
            <w:r/>
            <w:r>
              <w:rPr>
                <w:rFonts w:ascii="Aptos" w:hAnsi="Aptos"/>
                <w:b w:val="0"/>
                <w:sz w:val="16"/>
              </w:rPr>
              <w:t>Inference Platform</w:t>
              <w:br/>
              <w:t>Segregated endpoints, autoscaling, quotas and service identity</w:t>
            </w:r>
          </w:p>
        </w:tc>
      </w:tr>
      <w:tr>
        <w:trPr>
          <w:cantSplit/>
        </w:trPr>
        <w:tc>
          <w:tcPr>
            <w:tcW w:type="dxa" w:w="10282"/>
            <w:vAlign w:val="center"/>
            <w:shd w:fill="F3E3E3"/>
          </w:tcPr>
          <w:p>
            <w:pPr>
              <w:spacing w:after="0"/>
              <w:jc w:val="center"/>
            </w:pPr>
            <w:r/>
            <w:r>
              <w:rPr>
                <w:rFonts w:ascii="Aptos" w:hAnsi="Aptos"/>
                <w:b w:val="0"/>
                <w:sz w:val="16"/>
              </w:rPr>
              <w:t>Monitoring and Drift</w:t>
              <w:br/>
              <w:t>Behavior, data drift, abuse, failures and control health</w:t>
            </w:r>
          </w:p>
        </w:tc>
      </w:tr>
      <w:tr>
        <w:trPr>
          <w:cantSplit/>
        </w:trPr>
        <w:tc>
          <w:tcPr>
            <w:tcW w:type="dxa" w:w="10282"/>
            <w:vAlign w:val="center"/>
            <w:shd w:fill="E8ECEF"/>
          </w:tcPr>
          <w:p>
            <w:pPr>
              <w:spacing w:after="0"/>
              <w:jc w:val="center"/>
            </w:pPr>
            <w:r/>
            <w:r>
              <w:rPr>
                <w:rFonts w:ascii="Aptos" w:hAnsi="Aptos"/>
                <w:b w:val="0"/>
                <w:sz w:val="16"/>
              </w:rPr>
              <w:t>Evidence Repository</w:t>
              <w:br/>
              <w:t>Training, evaluation, release and operational artifacts</w:t>
            </w:r>
          </w:p>
        </w:tc>
      </w:tr>
    </w:tbl>
    <w:p/>
    <w:p>
      <w:pPr>
        <w:pStyle w:val="Heading2"/>
      </w:pPr>
      <w:r>
        <w:t>9.2 Platform separation</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016"/>
            <w:vAlign w:val="center"/>
            <w:shd w:fill="17324D"/>
          </w:tcPr>
          <w:p>
            <w:pPr>
              <w:spacing w:after="0"/>
            </w:pPr>
            <w:r/>
            <w:r>
              <w:rPr>
                <w:rFonts w:ascii="Aptos" w:hAnsi="Aptos"/>
                <w:b/>
                <w:color w:val="FFFFFF"/>
                <w:sz w:val="15"/>
              </w:rPr>
              <w:t>Environment</w:t>
            </w:r>
          </w:p>
        </w:tc>
        <w:tc>
          <w:tcPr>
            <w:tcW w:type="dxa" w:w="4032"/>
            <w:vAlign w:val="center"/>
            <w:shd w:fill="17324D"/>
          </w:tcPr>
          <w:p>
            <w:pPr>
              <w:spacing w:after="0"/>
            </w:pPr>
            <w:r/>
            <w:r>
              <w:rPr>
                <w:rFonts w:ascii="Aptos" w:hAnsi="Aptos"/>
                <w:b/>
                <w:color w:val="FFFFFF"/>
                <w:sz w:val="15"/>
              </w:rPr>
              <w:t>Permitted activities</w:t>
            </w:r>
          </w:p>
        </w:tc>
        <w:tc>
          <w:tcPr>
            <w:tcW w:type="dxa" w:w="3600"/>
            <w:vAlign w:val="center"/>
            <w:shd w:fill="17324D"/>
          </w:tcPr>
          <w:p>
            <w:pPr>
              <w:spacing w:after="0"/>
            </w:pPr>
            <w:r/>
            <w:r>
              <w:rPr>
                <w:rFonts w:ascii="Aptos" w:hAnsi="Aptos"/>
                <w:b/>
                <w:color w:val="FFFFFF"/>
                <w:sz w:val="15"/>
              </w:rPr>
              <w:t>Prohibited activities</w:t>
            </w:r>
          </w:p>
        </w:tc>
      </w:tr>
      <w:tr>
        <w:trPr>
          <w:cantSplit/>
        </w:trPr>
        <w:tc>
          <w:tcPr>
            <w:tcW w:type="dxa" w:w="2016"/>
            <w:vAlign w:val="center"/>
          </w:tcPr>
          <w:p>
            <w:pPr>
              <w:spacing w:after="0"/>
            </w:pPr>
            <w:r/>
            <w:r>
              <w:rPr>
                <w:rFonts w:ascii="Aptos" w:hAnsi="Aptos"/>
                <w:b w:val="0"/>
                <w:sz w:val="15"/>
              </w:rPr>
              <w:t>Development</w:t>
            </w:r>
          </w:p>
        </w:tc>
        <w:tc>
          <w:tcPr>
            <w:tcW w:type="dxa" w:w="4032"/>
            <w:vAlign w:val="center"/>
          </w:tcPr>
          <w:p>
            <w:pPr>
              <w:spacing w:after="0"/>
            </w:pPr>
            <w:r/>
            <w:r>
              <w:rPr>
                <w:rFonts w:ascii="Aptos" w:hAnsi="Aptos"/>
                <w:b w:val="0"/>
                <w:sz w:val="15"/>
              </w:rPr>
              <w:t>Experimentation with non-production data and isolated models</w:t>
            </w:r>
          </w:p>
        </w:tc>
        <w:tc>
          <w:tcPr>
            <w:tcW w:type="dxa" w:w="3600"/>
            <w:vAlign w:val="center"/>
          </w:tcPr>
          <w:p>
            <w:pPr>
              <w:spacing w:after="0"/>
            </w:pPr>
            <w:r/>
            <w:r>
              <w:rPr>
                <w:rFonts w:ascii="Aptos" w:hAnsi="Aptos"/>
                <w:b w:val="0"/>
                <w:sz w:val="15"/>
              </w:rPr>
              <w:t>Direct production deployment</w:t>
            </w:r>
          </w:p>
        </w:tc>
      </w:tr>
      <w:tr>
        <w:trPr>
          <w:cantSplit/>
        </w:trPr>
        <w:tc>
          <w:tcPr>
            <w:tcW w:type="dxa" w:w="2016"/>
            <w:vAlign w:val="center"/>
            <w:shd w:fill="F3F6F7"/>
          </w:tcPr>
          <w:p>
            <w:pPr>
              <w:spacing w:after="0"/>
            </w:pPr>
            <w:r/>
            <w:r>
              <w:rPr>
                <w:rFonts w:ascii="Aptos" w:hAnsi="Aptos"/>
                <w:b w:val="0"/>
                <w:sz w:val="15"/>
              </w:rPr>
              <w:t>Training</w:t>
            </w:r>
          </w:p>
        </w:tc>
        <w:tc>
          <w:tcPr>
            <w:tcW w:type="dxa" w:w="4032"/>
            <w:vAlign w:val="center"/>
            <w:shd w:fill="F3F6F7"/>
          </w:tcPr>
          <w:p>
            <w:pPr>
              <w:spacing w:after="0"/>
            </w:pPr>
            <w:r/>
            <w:r>
              <w:rPr>
                <w:rFonts w:ascii="Aptos" w:hAnsi="Aptos"/>
                <w:b w:val="0"/>
                <w:sz w:val="15"/>
              </w:rPr>
              <w:t>Approved data processing and model creation</w:t>
            </w:r>
          </w:p>
        </w:tc>
        <w:tc>
          <w:tcPr>
            <w:tcW w:type="dxa" w:w="3600"/>
            <w:vAlign w:val="center"/>
            <w:shd w:fill="F3F6F7"/>
          </w:tcPr>
          <w:p>
            <w:pPr>
              <w:spacing w:after="0"/>
            </w:pPr>
            <w:r/>
            <w:r>
              <w:rPr>
                <w:rFonts w:ascii="Aptos" w:hAnsi="Aptos"/>
                <w:b w:val="0"/>
                <w:sz w:val="15"/>
              </w:rPr>
              <w:t>Unapproved external connectivity</w:t>
            </w:r>
          </w:p>
        </w:tc>
      </w:tr>
      <w:tr>
        <w:trPr>
          <w:cantSplit/>
        </w:trPr>
        <w:tc>
          <w:tcPr>
            <w:tcW w:type="dxa" w:w="2016"/>
            <w:vAlign w:val="center"/>
          </w:tcPr>
          <w:p>
            <w:pPr>
              <w:spacing w:after="0"/>
            </w:pPr>
            <w:r/>
            <w:r>
              <w:rPr>
                <w:rFonts w:ascii="Aptos" w:hAnsi="Aptos"/>
                <w:b w:val="0"/>
                <w:sz w:val="15"/>
              </w:rPr>
              <w:t>Evaluation</w:t>
            </w:r>
          </w:p>
        </w:tc>
        <w:tc>
          <w:tcPr>
            <w:tcW w:type="dxa" w:w="4032"/>
            <w:vAlign w:val="center"/>
          </w:tcPr>
          <w:p>
            <w:pPr>
              <w:spacing w:after="0"/>
            </w:pPr>
            <w:r/>
            <w:r>
              <w:rPr>
                <w:rFonts w:ascii="Aptos" w:hAnsi="Aptos"/>
                <w:b w:val="0"/>
                <w:sz w:val="15"/>
              </w:rPr>
              <w:t>Independent test execution and comparison</w:t>
            </w:r>
          </w:p>
        </w:tc>
        <w:tc>
          <w:tcPr>
            <w:tcW w:type="dxa" w:w="3600"/>
            <w:vAlign w:val="center"/>
          </w:tcPr>
          <w:p>
            <w:pPr>
              <w:spacing w:after="0"/>
            </w:pPr>
            <w:r/>
            <w:r>
              <w:rPr>
                <w:rFonts w:ascii="Aptos" w:hAnsi="Aptos"/>
                <w:b w:val="0"/>
                <w:sz w:val="15"/>
              </w:rPr>
              <w:t>Modification of approved test results</w:t>
            </w:r>
          </w:p>
        </w:tc>
      </w:tr>
      <w:tr>
        <w:trPr>
          <w:cantSplit/>
        </w:trPr>
        <w:tc>
          <w:tcPr>
            <w:tcW w:type="dxa" w:w="2016"/>
            <w:vAlign w:val="center"/>
            <w:shd w:fill="F3F6F7"/>
          </w:tcPr>
          <w:p>
            <w:pPr>
              <w:spacing w:after="0"/>
            </w:pPr>
            <w:r/>
            <w:r>
              <w:rPr>
                <w:rFonts w:ascii="Aptos" w:hAnsi="Aptos"/>
                <w:b w:val="0"/>
                <w:sz w:val="15"/>
              </w:rPr>
              <w:t>Staging</w:t>
            </w:r>
          </w:p>
        </w:tc>
        <w:tc>
          <w:tcPr>
            <w:tcW w:type="dxa" w:w="4032"/>
            <w:vAlign w:val="center"/>
            <w:shd w:fill="F3F6F7"/>
          </w:tcPr>
          <w:p>
            <w:pPr>
              <w:spacing w:after="0"/>
            </w:pPr>
            <w:r/>
            <w:r>
              <w:rPr>
                <w:rFonts w:ascii="Aptos" w:hAnsi="Aptos"/>
                <w:b w:val="0"/>
                <w:sz w:val="15"/>
              </w:rPr>
              <w:t>Production-like integration and release validation</w:t>
            </w:r>
          </w:p>
        </w:tc>
        <w:tc>
          <w:tcPr>
            <w:tcW w:type="dxa" w:w="3600"/>
            <w:vAlign w:val="center"/>
            <w:shd w:fill="F3F6F7"/>
          </w:tcPr>
          <w:p>
            <w:pPr>
              <w:spacing w:after="0"/>
            </w:pPr>
            <w:r/>
            <w:r>
              <w:rPr>
                <w:rFonts w:ascii="Aptos" w:hAnsi="Aptos"/>
                <w:b w:val="0"/>
                <w:sz w:val="15"/>
              </w:rPr>
              <w:t>Use as hidden production</w:t>
            </w:r>
          </w:p>
        </w:tc>
      </w:tr>
      <w:tr>
        <w:trPr>
          <w:cantSplit/>
        </w:trPr>
        <w:tc>
          <w:tcPr>
            <w:tcW w:type="dxa" w:w="2016"/>
            <w:vAlign w:val="center"/>
          </w:tcPr>
          <w:p>
            <w:pPr>
              <w:spacing w:after="0"/>
            </w:pPr>
            <w:r/>
            <w:r>
              <w:rPr>
                <w:rFonts w:ascii="Aptos" w:hAnsi="Aptos"/>
                <w:b w:val="0"/>
                <w:sz w:val="15"/>
              </w:rPr>
              <w:t>Production</w:t>
            </w:r>
          </w:p>
        </w:tc>
        <w:tc>
          <w:tcPr>
            <w:tcW w:type="dxa" w:w="4032"/>
            <w:vAlign w:val="center"/>
          </w:tcPr>
          <w:p>
            <w:pPr>
              <w:spacing w:after="0"/>
            </w:pPr>
            <w:r/>
            <w:r>
              <w:rPr>
                <w:rFonts w:ascii="Aptos" w:hAnsi="Aptos"/>
                <w:b w:val="0"/>
                <w:sz w:val="15"/>
              </w:rPr>
              <w:t>Approved inference and monitoring</w:t>
            </w:r>
          </w:p>
        </w:tc>
        <w:tc>
          <w:tcPr>
            <w:tcW w:type="dxa" w:w="3600"/>
            <w:vAlign w:val="center"/>
          </w:tcPr>
          <w:p>
            <w:pPr>
              <w:spacing w:after="0"/>
            </w:pPr>
            <w:r/>
            <w:r>
              <w:rPr>
                <w:rFonts w:ascii="Aptos" w:hAnsi="Aptos"/>
                <w:b w:val="0"/>
                <w:sz w:val="15"/>
              </w:rPr>
              <w:t>Interactive model modification</w:t>
            </w:r>
          </w:p>
        </w:tc>
      </w:tr>
    </w:tbl>
    <w:p/>
    <w:p>
      <w:pPr>
        <w:pStyle w:val="Heading1"/>
      </w:pPr>
      <w:r>
        <w:t>10. Pattern E — External Model Service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312"/>
            <w:vAlign w:val="center"/>
            <w:shd w:fill="17324D"/>
          </w:tcPr>
          <w:p>
            <w:pPr>
              <w:spacing w:after="0"/>
            </w:pPr>
            <w:r/>
            <w:r>
              <w:rPr>
                <w:rFonts w:ascii="Aptos" w:hAnsi="Aptos"/>
                <w:b/>
                <w:color w:val="FFFFFF"/>
                <w:sz w:val="15"/>
              </w:rPr>
              <w:t>Boundary concern</w:t>
            </w:r>
          </w:p>
        </w:tc>
        <w:tc>
          <w:tcPr>
            <w:tcW w:type="dxa" w:w="6336"/>
            <w:vAlign w:val="center"/>
            <w:shd w:fill="17324D"/>
          </w:tcPr>
          <w:p>
            <w:pPr>
              <w:spacing w:after="0"/>
            </w:pPr>
            <w:r/>
            <w:r>
              <w:rPr>
                <w:rFonts w:ascii="Aptos" w:hAnsi="Aptos"/>
                <w:b/>
                <w:color w:val="FFFFFF"/>
                <w:sz w:val="15"/>
              </w:rPr>
              <w:t>Reference control pattern</w:t>
            </w:r>
          </w:p>
        </w:tc>
      </w:tr>
      <w:tr>
        <w:trPr>
          <w:cantSplit/>
        </w:trPr>
        <w:tc>
          <w:tcPr>
            <w:tcW w:type="dxa" w:w="3312"/>
            <w:vAlign w:val="center"/>
          </w:tcPr>
          <w:p>
            <w:pPr>
              <w:spacing w:after="0"/>
            </w:pPr>
            <w:r/>
            <w:r>
              <w:rPr>
                <w:rFonts w:ascii="Aptos" w:hAnsi="Aptos"/>
                <w:b w:val="0"/>
                <w:sz w:val="15"/>
              </w:rPr>
              <w:t>Provider identity and service version</w:t>
            </w:r>
          </w:p>
        </w:tc>
        <w:tc>
          <w:tcPr>
            <w:tcW w:type="dxa" w:w="6336"/>
            <w:vAlign w:val="center"/>
          </w:tcPr>
          <w:p>
            <w:pPr>
              <w:spacing w:after="0"/>
            </w:pPr>
            <w:r/>
            <w:r>
              <w:rPr>
                <w:rFonts w:ascii="Aptos" w:hAnsi="Aptos"/>
                <w:b w:val="0"/>
                <w:sz w:val="15"/>
              </w:rPr>
              <w:t>Approved provider registry, endpoint verification and contract record</w:t>
            </w:r>
          </w:p>
        </w:tc>
      </w:tr>
      <w:tr>
        <w:trPr>
          <w:cantSplit/>
        </w:trPr>
        <w:tc>
          <w:tcPr>
            <w:tcW w:type="dxa" w:w="3312"/>
            <w:vAlign w:val="center"/>
            <w:shd w:fill="F3F6F7"/>
          </w:tcPr>
          <w:p>
            <w:pPr>
              <w:spacing w:after="0"/>
            </w:pPr>
            <w:r/>
            <w:r>
              <w:rPr>
                <w:rFonts w:ascii="Aptos" w:hAnsi="Aptos"/>
                <w:b w:val="0"/>
                <w:sz w:val="15"/>
              </w:rPr>
              <w:t>Data disclosure</w:t>
            </w:r>
          </w:p>
        </w:tc>
        <w:tc>
          <w:tcPr>
            <w:tcW w:type="dxa" w:w="6336"/>
            <w:vAlign w:val="center"/>
            <w:shd w:fill="F3F6F7"/>
          </w:tcPr>
          <w:p>
            <w:pPr>
              <w:spacing w:after="0"/>
            </w:pPr>
            <w:r/>
            <w:r>
              <w:rPr>
                <w:rFonts w:ascii="Aptos" w:hAnsi="Aptos"/>
                <w:b w:val="0"/>
                <w:sz w:val="15"/>
              </w:rPr>
              <w:t>Pre-send classification, minimization, redaction and routing</w:t>
            </w:r>
          </w:p>
        </w:tc>
      </w:tr>
      <w:tr>
        <w:trPr>
          <w:cantSplit/>
        </w:trPr>
        <w:tc>
          <w:tcPr>
            <w:tcW w:type="dxa" w:w="3312"/>
            <w:vAlign w:val="center"/>
          </w:tcPr>
          <w:p>
            <w:pPr>
              <w:spacing w:after="0"/>
            </w:pPr>
            <w:r/>
            <w:r>
              <w:rPr>
                <w:rFonts w:ascii="Aptos" w:hAnsi="Aptos"/>
                <w:b w:val="0"/>
                <w:sz w:val="15"/>
              </w:rPr>
              <w:t>Provider change</w:t>
            </w:r>
          </w:p>
        </w:tc>
        <w:tc>
          <w:tcPr>
            <w:tcW w:type="dxa" w:w="6336"/>
            <w:vAlign w:val="center"/>
          </w:tcPr>
          <w:p>
            <w:pPr>
              <w:spacing w:after="0"/>
            </w:pPr>
            <w:r/>
            <w:r>
              <w:rPr>
                <w:rFonts w:ascii="Aptos" w:hAnsi="Aptos"/>
                <w:b w:val="0"/>
                <w:sz w:val="15"/>
              </w:rPr>
              <w:t>Contractual notification, behavioral monitoring and fallback</w:t>
            </w:r>
          </w:p>
        </w:tc>
      </w:tr>
      <w:tr>
        <w:trPr>
          <w:cantSplit/>
        </w:trPr>
        <w:tc>
          <w:tcPr>
            <w:tcW w:type="dxa" w:w="3312"/>
            <w:vAlign w:val="center"/>
            <w:shd w:fill="F3F6F7"/>
          </w:tcPr>
          <w:p>
            <w:pPr>
              <w:spacing w:after="0"/>
            </w:pPr>
            <w:r/>
            <w:r>
              <w:rPr>
                <w:rFonts w:ascii="Aptos" w:hAnsi="Aptos"/>
                <w:b w:val="0"/>
                <w:sz w:val="15"/>
              </w:rPr>
              <w:t>Availability</w:t>
            </w:r>
          </w:p>
        </w:tc>
        <w:tc>
          <w:tcPr>
            <w:tcW w:type="dxa" w:w="6336"/>
            <w:vAlign w:val="center"/>
            <w:shd w:fill="F3F6F7"/>
          </w:tcPr>
          <w:p>
            <w:pPr>
              <w:spacing w:after="0"/>
            </w:pPr>
            <w:r/>
            <w:r>
              <w:rPr>
                <w:rFonts w:ascii="Aptos" w:hAnsi="Aptos"/>
                <w:b w:val="0"/>
                <w:sz w:val="15"/>
              </w:rPr>
              <w:t>Multi-provider routing, queueing, degradation or approved outage behavior</w:t>
            </w:r>
          </w:p>
        </w:tc>
      </w:tr>
      <w:tr>
        <w:trPr>
          <w:cantSplit/>
        </w:trPr>
        <w:tc>
          <w:tcPr>
            <w:tcW w:type="dxa" w:w="3312"/>
            <w:vAlign w:val="center"/>
          </w:tcPr>
          <w:p>
            <w:pPr>
              <w:spacing w:after="0"/>
            </w:pPr>
            <w:r/>
            <w:r>
              <w:rPr>
                <w:rFonts w:ascii="Aptos" w:hAnsi="Aptos"/>
                <w:b w:val="0"/>
                <w:sz w:val="15"/>
              </w:rPr>
              <w:t>Response integrity</w:t>
            </w:r>
          </w:p>
        </w:tc>
        <w:tc>
          <w:tcPr>
            <w:tcW w:type="dxa" w:w="6336"/>
            <w:vAlign w:val="center"/>
          </w:tcPr>
          <w:p>
            <w:pPr>
              <w:spacing w:after="0"/>
            </w:pPr>
            <w:r/>
            <w:r>
              <w:rPr>
                <w:rFonts w:ascii="Aptos" w:hAnsi="Aptos"/>
                <w:b w:val="0"/>
                <w:sz w:val="15"/>
              </w:rPr>
              <w:t>Schema validation, content controls and anomaly detection</w:t>
            </w:r>
          </w:p>
        </w:tc>
      </w:tr>
      <w:tr>
        <w:trPr>
          <w:cantSplit/>
        </w:trPr>
        <w:tc>
          <w:tcPr>
            <w:tcW w:type="dxa" w:w="3312"/>
            <w:vAlign w:val="center"/>
            <w:shd w:fill="F3F6F7"/>
          </w:tcPr>
          <w:p>
            <w:pPr>
              <w:spacing w:after="0"/>
            </w:pPr>
            <w:r/>
            <w:r>
              <w:rPr>
                <w:rFonts w:ascii="Aptos" w:hAnsi="Aptos"/>
                <w:b w:val="0"/>
                <w:sz w:val="15"/>
              </w:rPr>
              <w:t>Evidence limitations</w:t>
            </w:r>
          </w:p>
        </w:tc>
        <w:tc>
          <w:tcPr>
            <w:tcW w:type="dxa" w:w="6336"/>
            <w:vAlign w:val="center"/>
            <w:shd w:fill="F3F6F7"/>
          </w:tcPr>
          <w:p>
            <w:pPr>
              <w:spacing w:after="0"/>
            </w:pPr>
            <w:r/>
            <w:r>
              <w:rPr>
                <w:rFonts w:ascii="Aptos" w:hAnsi="Aptos"/>
                <w:b w:val="0"/>
                <w:sz w:val="15"/>
              </w:rPr>
              <w:t>Record unavailable provider internals and inherited-control assumptions</w:t>
            </w:r>
          </w:p>
        </w:tc>
      </w:tr>
      <w:tr>
        <w:trPr>
          <w:cantSplit/>
        </w:trPr>
        <w:tc>
          <w:tcPr>
            <w:tcW w:type="dxa" w:w="3312"/>
            <w:vAlign w:val="center"/>
          </w:tcPr>
          <w:p>
            <w:pPr>
              <w:spacing w:after="0"/>
            </w:pPr>
            <w:r/>
            <w:r>
              <w:rPr>
                <w:rFonts w:ascii="Aptos" w:hAnsi="Aptos"/>
                <w:b w:val="0"/>
                <w:sz w:val="15"/>
              </w:rPr>
              <w:t>Exit strategy</w:t>
            </w:r>
          </w:p>
        </w:tc>
        <w:tc>
          <w:tcPr>
            <w:tcW w:type="dxa" w:w="6336"/>
            <w:vAlign w:val="center"/>
          </w:tcPr>
          <w:p>
            <w:pPr>
              <w:spacing w:after="0"/>
            </w:pPr>
            <w:r/>
            <w:r>
              <w:rPr>
                <w:rFonts w:ascii="Aptos" w:hAnsi="Aptos"/>
                <w:b w:val="0"/>
                <w:sz w:val="15"/>
              </w:rPr>
              <w:t>Portable prompts, test suites, data and alternate endpoint capability</w:t>
            </w:r>
          </w:p>
        </w:tc>
      </w:tr>
    </w:tbl>
    <w:p/>
    <w:p>
      <w:pPr>
        <w:pStyle w:val="Heading1"/>
      </w:pPr>
      <w:r>
        <w:t>11. Pattern F — Edge and Offline AI</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Architecture area</w:t>
            </w:r>
          </w:p>
        </w:tc>
        <w:tc>
          <w:tcPr>
            <w:tcW w:type="dxa" w:w="6768"/>
            <w:vAlign w:val="center"/>
            <w:shd w:fill="17324D"/>
          </w:tcPr>
          <w:p>
            <w:pPr>
              <w:spacing w:after="0"/>
            </w:pPr>
            <w:r/>
            <w:r>
              <w:rPr>
                <w:rFonts w:ascii="Aptos" w:hAnsi="Aptos"/>
                <w:b/>
                <w:color w:val="FFFFFF"/>
                <w:sz w:val="15"/>
              </w:rPr>
              <w:t>Reference design</w:t>
            </w:r>
          </w:p>
        </w:tc>
      </w:tr>
      <w:tr>
        <w:trPr>
          <w:cantSplit/>
        </w:trPr>
        <w:tc>
          <w:tcPr>
            <w:tcW w:type="dxa" w:w="2880"/>
            <w:vAlign w:val="center"/>
          </w:tcPr>
          <w:p>
            <w:pPr>
              <w:spacing w:after="0"/>
            </w:pPr>
            <w:r/>
            <w:r>
              <w:rPr>
                <w:rFonts w:ascii="Aptos" w:hAnsi="Aptos"/>
                <w:b w:val="0"/>
                <w:sz w:val="15"/>
              </w:rPr>
              <w:t>Model package</w:t>
            </w:r>
          </w:p>
        </w:tc>
        <w:tc>
          <w:tcPr>
            <w:tcW w:type="dxa" w:w="6768"/>
            <w:vAlign w:val="center"/>
          </w:tcPr>
          <w:p>
            <w:pPr>
              <w:spacing w:after="0"/>
            </w:pPr>
            <w:r/>
            <w:r>
              <w:rPr>
                <w:rFonts w:ascii="Aptos" w:hAnsi="Aptos"/>
                <w:b w:val="0"/>
                <w:sz w:val="15"/>
              </w:rPr>
              <w:t>Signed, versioned and verified before activation</w:t>
            </w:r>
          </w:p>
        </w:tc>
      </w:tr>
      <w:tr>
        <w:trPr>
          <w:cantSplit/>
        </w:trPr>
        <w:tc>
          <w:tcPr>
            <w:tcW w:type="dxa" w:w="2880"/>
            <w:vAlign w:val="center"/>
            <w:shd w:fill="F3F6F7"/>
          </w:tcPr>
          <w:p>
            <w:pPr>
              <w:spacing w:after="0"/>
            </w:pPr>
            <w:r/>
            <w:r>
              <w:rPr>
                <w:rFonts w:ascii="Aptos" w:hAnsi="Aptos"/>
                <w:b w:val="0"/>
                <w:sz w:val="15"/>
              </w:rPr>
              <w:t>Local data</w:t>
            </w:r>
          </w:p>
        </w:tc>
        <w:tc>
          <w:tcPr>
            <w:tcW w:type="dxa" w:w="6768"/>
            <w:vAlign w:val="center"/>
            <w:shd w:fill="F3F6F7"/>
          </w:tcPr>
          <w:p>
            <w:pPr>
              <w:spacing w:after="0"/>
            </w:pPr>
            <w:r/>
            <w:r>
              <w:rPr>
                <w:rFonts w:ascii="Aptos" w:hAnsi="Aptos"/>
                <w:b w:val="0"/>
                <w:sz w:val="15"/>
              </w:rPr>
              <w:t>Encrypted storage, minimization and controlled synchronization</w:t>
            </w:r>
          </w:p>
        </w:tc>
      </w:tr>
      <w:tr>
        <w:trPr>
          <w:cantSplit/>
        </w:trPr>
        <w:tc>
          <w:tcPr>
            <w:tcW w:type="dxa" w:w="2880"/>
            <w:vAlign w:val="center"/>
          </w:tcPr>
          <w:p>
            <w:pPr>
              <w:spacing w:after="0"/>
            </w:pPr>
            <w:r/>
            <w:r>
              <w:rPr>
                <w:rFonts w:ascii="Aptos" w:hAnsi="Aptos"/>
                <w:b w:val="0"/>
                <w:sz w:val="15"/>
              </w:rPr>
              <w:t>Policy</w:t>
            </w:r>
          </w:p>
        </w:tc>
        <w:tc>
          <w:tcPr>
            <w:tcW w:type="dxa" w:w="6768"/>
            <w:vAlign w:val="center"/>
          </w:tcPr>
          <w:p>
            <w:pPr>
              <w:spacing w:after="0"/>
            </w:pPr>
            <w:r/>
            <w:r>
              <w:rPr>
                <w:rFonts w:ascii="Aptos" w:hAnsi="Aptos"/>
                <w:b w:val="0"/>
                <w:sz w:val="15"/>
              </w:rPr>
              <w:t>Locally enforceable controls when central services are unavailable</w:t>
            </w:r>
          </w:p>
        </w:tc>
      </w:tr>
      <w:tr>
        <w:trPr>
          <w:cantSplit/>
        </w:trPr>
        <w:tc>
          <w:tcPr>
            <w:tcW w:type="dxa" w:w="2880"/>
            <w:vAlign w:val="center"/>
            <w:shd w:fill="F3F6F7"/>
          </w:tcPr>
          <w:p>
            <w:pPr>
              <w:spacing w:after="0"/>
            </w:pPr>
            <w:r/>
            <w:r>
              <w:rPr>
                <w:rFonts w:ascii="Aptos" w:hAnsi="Aptos"/>
                <w:b w:val="0"/>
                <w:sz w:val="15"/>
              </w:rPr>
              <w:t>Telemetry</w:t>
            </w:r>
          </w:p>
        </w:tc>
        <w:tc>
          <w:tcPr>
            <w:tcW w:type="dxa" w:w="6768"/>
            <w:vAlign w:val="center"/>
            <w:shd w:fill="F3F6F7"/>
          </w:tcPr>
          <w:p>
            <w:pPr>
              <w:spacing w:after="0"/>
            </w:pPr>
            <w:r/>
            <w:r>
              <w:rPr>
                <w:rFonts w:ascii="Aptos" w:hAnsi="Aptos"/>
                <w:b w:val="0"/>
                <w:sz w:val="15"/>
              </w:rPr>
              <w:t>Buffered, integrity-protected events with later synchronization</w:t>
            </w:r>
          </w:p>
        </w:tc>
      </w:tr>
      <w:tr>
        <w:trPr>
          <w:cantSplit/>
        </w:trPr>
        <w:tc>
          <w:tcPr>
            <w:tcW w:type="dxa" w:w="2880"/>
            <w:vAlign w:val="center"/>
          </w:tcPr>
          <w:p>
            <w:pPr>
              <w:spacing w:after="0"/>
            </w:pPr>
            <w:r/>
            <w:r>
              <w:rPr>
                <w:rFonts w:ascii="Aptos" w:hAnsi="Aptos"/>
                <w:b w:val="0"/>
                <w:sz w:val="15"/>
              </w:rPr>
              <w:t>Update</w:t>
            </w:r>
          </w:p>
        </w:tc>
        <w:tc>
          <w:tcPr>
            <w:tcW w:type="dxa" w:w="6768"/>
            <w:vAlign w:val="center"/>
          </w:tcPr>
          <w:p>
            <w:pPr>
              <w:spacing w:after="0"/>
            </w:pPr>
            <w:r/>
            <w:r>
              <w:rPr>
                <w:rFonts w:ascii="Aptos" w:hAnsi="Aptos"/>
                <w:b w:val="0"/>
                <w:sz w:val="15"/>
              </w:rPr>
              <w:t>Authenticated, rollback-capable and staged software/model update</w:t>
            </w:r>
          </w:p>
        </w:tc>
      </w:tr>
      <w:tr>
        <w:trPr>
          <w:cantSplit/>
        </w:trPr>
        <w:tc>
          <w:tcPr>
            <w:tcW w:type="dxa" w:w="2880"/>
            <w:vAlign w:val="center"/>
            <w:shd w:fill="F3F6F7"/>
          </w:tcPr>
          <w:p>
            <w:pPr>
              <w:spacing w:after="0"/>
            </w:pPr>
            <w:r/>
            <w:r>
              <w:rPr>
                <w:rFonts w:ascii="Aptos" w:hAnsi="Aptos"/>
                <w:b w:val="0"/>
                <w:sz w:val="15"/>
              </w:rPr>
              <w:t>Degraded operation</w:t>
            </w:r>
          </w:p>
        </w:tc>
        <w:tc>
          <w:tcPr>
            <w:tcW w:type="dxa" w:w="6768"/>
            <w:vAlign w:val="center"/>
            <w:shd w:fill="F3F6F7"/>
          </w:tcPr>
          <w:p>
            <w:pPr>
              <w:spacing w:after="0"/>
            </w:pPr>
            <w:r/>
            <w:r>
              <w:rPr>
                <w:rFonts w:ascii="Aptos" w:hAnsi="Aptos"/>
                <w:b w:val="0"/>
                <w:sz w:val="15"/>
              </w:rPr>
              <w:t>Documented behavior during network, sensor or service loss</w:t>
            </w:r>
          </w:p>
        </w:tc>
      </w:tr>
      <w:tr>
        <w:trPr>
          <w:cantSplit/>
        </w:trPr>
        <w:tc>
          <w:tcPr>
            <w:tcW w:type="dxa" w:w="2880"/>
            <w:vAlign w:val="center"/>
          </w:tcPr>
          <w:p>
            <w:pPr>
              <w:spacing w:after="0"/>
            </w:pPr>
            <w:r/>
            <w:r>
              <w:rPr>
                <w:rFonts w:ascii="Aptos" w:hAnsi="Aptos"/>
                <w:b w:val="0"/>
                <w:sz w:val="15"/>
              </w:rPr>
              <w:t>Physical access</w:t>
            </w:r>
          </w:p>
        </w:tc>
        <w:tc>
          <w:tcPr>
            <w:tcW w:type="dxa" w:w="6768"/>
            <w:vAlign w:val="center"/>
          </w:tcPr>
          <w:p>
            <w:pPr>
              <w:spacing w:after="0"/>
            </w:pPr>
            <w:r/>
            <w:r>
              <w:rPr>
                <w:rFonts w:ascii="Aptos" w:hAnsi="Aptos"/>
                <w:b w:val="0"/>
                <w:sz w:val="15"/>
              </w:rPr>
              <w:t>Tamper resistance, secure boot and maintenance authentication</w:t>
            </w:r>
          </w:p>
        </w:tc>
      </w:tr>
    </w:tbl>
    <w:p/>
    <w:p>
      <w:pPr>
        <w:pStyle w:val="Heading1"/>
      </w:pPr>
      <w:r>
        <w:t>12. Pattern G — Physical AI Safety Architecture</w:t>
      </w:r>
    </w:p>
    <w:p>
      <w:pPr>
        <w:pStyle w:val="Heading2"/>
      </w:pPr>
      <w:r>
        <w:t>12.1 Blueprint</w:t>
      </w:r>
    </w:p>
    <w:tbl>
      <w:tblPr>
        <w:tblStyle w:val="TableGrid"/>
        <w:tblW w:type="auto" w:w="0"/>
        <w:jc w:val="center"/>
        <w:tblLook w:firstColumn="1" w:firstRow="1" w:lastColumn="0" w:lastRow="0" w:noHBand="0" w:noVBand="1" w:val="04A0"/>
      </w:tblPr>
      <w:tblGrid>
        <w:gridCol w:w="10282"/>
      </w:tblGrid>
      <w:tr>
        <w:trPr>
          <w:tblHeader w:val="true"/>
          <w:cantSplit/>
        </w:trPr>
        <w:tc>
          <w:tcPr>
            <w:tcW w:type="dxa" w:w="10282"/>
            <w:vAlign w:val="center"/>
            <w:shd w:fill="D9EAF0"/>
          </w:tcPr>
          <w:p>
            <w:pPr>
              <w:spacing w:after="0"/>
              <w:jc w:val="center"/>
            </w:pPr>
            <w:r/>
            <w:r>
              <w:rPr>
                <w:rFonts w:ascii="Aptos" w:hAnsi="Aptos"/>
                <w:b/>
                <w:sz w:val="16"/>
              </w:rPr>
              <w:t>Mission/Application Layer</w:t>
              <w:br/>
              <w:t>Requested goals and operational tasks</w:t>
            </w:r>
          </w:p>
        </w:tc>
      </w:tr>
      <w:tr>
        <w:trPr>
          <w:cantSplit/>
        </w:trPr>
        <w:tc>
          <w:tcPr>
            <w:tcW w:type="dxa" w:w="10282"/>
            <w:vAlign w:val="center"/>
            <w:shd w:fill="E8F1E8"/>
          </w:tcPr>
          <w:p>
            <w:pPr>
              <w:spacing w:after="0"/>
              <w:jc w:val="center"/>
            </w:pPr>
            <w:r/>
            <w:r>
              <w:rPr>
                <w:rFonts w:ascii="Aptos" w:hAnsi="Aptos"/>
                <w:b w:val="0"/>
                <w:sz w:val="16"/>
              </w:rPr>
              <w:t>AI Decision Layer</w:t>
              <w:br/>
              <w:t>Perception, planning and learned control</w:t>
            </w:r>
          </w:p>
        </w:tc>
      </w:tr>
      <w:tr>
        <w:trPr>
          <w:cantSplit/>
        </w:trPr>
        <w:tc>
          <w:tcPr>
            <w:tcW w:type="dxa" w:w="10282"/>
            <w:vAlign w:val="center"/>
            <w:shd w:fill="F2EBDD"/>
          </w:tcPr>
          <w:p>
            <w:pPr>
              <w:spacing w:after="0"/>
              <w:jc w:val="center"/>
            </w:pPr>
            <w:r/>
            <w:r>
              <w:rPr>
                <w:rFonts w:ascii="Aptos" w:hAnsi="Aptos"/>
                <w:b w:val="0"/>
                <w:sz w:val="16"/>
              </w:rPr>
              <w:t>Deterministic Safety Supervisor</w:t>
              <w:br/>
              <w:t>Independent limits, collision rules and operational envelope</w:t>
            </w:r>
          </w:p>
        </w:tc>
      </w:tr>
      <w:tr>
        <w:trPr>
          <w:cantSplit/>
        </w:trPr>
        <w:tc>
          <w:tcPr>
            <w:tcW w:type="dxa" w:w="10282"/>
            <w:vAlign w:val="center"/>
            <w:shd w:fill="EFE5F2"/>
          </w:tcPr>
          <w:p>
            <w:pPr>
              <w:spacing w:after="0"/>
              <w:jc w:val="center"/>
            </w:pPr>
            <w:r/>
            <w:r>
              <w:rPr>
                <w:rFonts w:ascii="Aptos" w:hAnsi="Aptos"/>
                <w:b w:val="0"/>
                <w:sz w:val="16"/>
              </w:rPr>
              <w:t>Command Authentication Layer</w:t>
              <w:br/>
              <w:t>Authorized, bounded and rate-limited actuation commands</w:t>
            </w:r>
          </w:p>
        </w:tc>
      </w:tr>
      <w:tr>
        <w:trPr>
          <w:cantSplit/>
        </w:trPr>
        <w:tc>
          <w:tcPr>
            <w:tcW w:type="dxa" w:w="10282"/>
            <w:vAlign w:val="center"/>
            <w:shd w:fill="E6EAF3"/>
          </w:tcPr>
          <w:p>
            <w:pPr>
              <w:spacing w:after="0"/>
              <w:jc w:val="center"/>
            </w:pPr>
            <w:r/>
            <w:r>
              <w:rPr>
                <w:rFonts w:ascii="Aptos" w:hAnsi="Aptos"/>
                <w:b w:val="0"/>
                <w:sz w:val="16"/>
              </w:rPr>
              <w:t>Low-Level Controller</w:t>
              <w:br/>
              <w:t>Deterministic control and actuator feedback</w:t>
            </w:r>
          </w:p>
        </w:tc>
      </w:tr>
      <w:tr>
        <w:trPr>
          <w:cantSplit/>
        </w:trPr>
        <w:tc>
          <w:tcPr>
            <w:tcW w:type="dxa" w:w="10282"/>
            <w:vAlign w:val="center"/>
            <w:shd w:fill="F3E3E3"/>
          </w:tcPr>
          <w:p>
            <w:pPr>
              <w:spacing w:after="0"/>
              <w:jc w:val="center"/>
            </w:pPr>
            <w:r/>
            <w:r>
              <w:rPr>
                <w:rFonts w:ascii="Aptos" w:hAnsi="Aptos"/>
                <w:b w:val="0"/>
                <w:sz w:val="16"/>
              </w:rPr>
              <w:t>Sensors and Actuators</w:t>
              <w:br/>
              <w:t>Validated sensing, calibration, fault detection and actuation</w:t>
            </w:r>
          </w:p>
        </w:tc>
      </w:tr>
      <w:tr>
        <w:trPr>
          <w:cantSplit/>
        </w:trPr>
        <w:tc>
          <w:tcPr>
            <w:tcW w:type="dxa" w:w="10282"/>
            <w:vAlign w:val="center"/>
            <w:shd w:fill="E8ECEF"/>
          </w:tcPr>
          <w:p>
            <w:pPr>
              <w:spacing w:after="0"/>
              <w:jc w:val="center"/>
            </w:pPr>
            <w:r/>
            <w:r>
              <w:rPr>
                <w:rFonts w:ascii="Aptos" w:hAnsi="Aptos"/>
                <w:b w:val="0"/>
                <w:sz w:val="16"/>
              </w:rPr>
              <w:t>Human Override and Emergency Stop</w:t>
              <w:br/>
              <w:t>Independent, accessible and regularly tested</w:t>
            </w:r>
          </w:p>
        </w:tc>
      </w:tr>
      <w:tr>
        <w:trPr>
          <w:cantSplit/>
        </w:trPr>
        <w:tc>
          <w:tcPr>
            <w:tcW w:type="dxa" w:w="10282"/>
            <w:vAlign w:val="center"/>
            <w:shd w:fill="DDE8E6"/>
          </w:tcPr>
          <w:p>
            <w:pPr>
              <w:spacing w:after="0"/>
              <w:jc w:val="center"/>
            </w:pPr>
            <w:r/>
            <w:r>
              <w:rPr>
                <w:rFonts w:ascii="Aptos" w:hAnsi="Aptos"/>
                <w:b w:val="0"/>
                <w:sz w:val="16"/>
              </w:rPr>
              <w:t>Safety Evidence</w:t>
              <w:br/>
              <w:t>Simulation • HIL • event telemetry • override tests • incident reconstruction</w:t>
            </w:r>
          </w:p>
        </w:tc>
      </w:tr>
    </w:tbl>
    <w:p/>
    <w:p>
      <w:pPr>
        <w:pStyle w:val="Heading2"/>
      </w:pPr>
      <w:r>
        <w:t>12.2 Safety separation</w:t>
      </w:r>
    </w:p>
    <w:p>
      <w:r>
        <w:t>Where practicable, critical safety constraints should be enforced by a deterministic or independently assured supervisor that does not rely solely on the same learned component whose behavior it constrains.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Failure scenario</w:t>
            </w:r>
          </w:p>
        </w:tc>
        <w:tc>
          <w:tcPr>
            <w:tcW w:type="dxa" w:w="6624"/>
            <w:vAlign w:val="center"/>
            <w:shd w:fill="17324D"/>
          </w:tcPr>
          <w:p>
            <w:pPr>
              <w:spacing w:after="0"/>
            </w:pPr>
            <w:r/>
            <w:r>
              <w:rPr>
                <w:rFonts w:ascii="Aptos" w:hAnsi="Aptos"/>
                <w:b/>
                <w:color w:val="FFFFFF"/>
                <w:sz w:val="15"/>
              </w:rPr>
              <w:t>Architectural response</w:t>
            </w:r>
          </w:p>
        </w:tc>
      </w:tr>
      <w:tr>
        <w:trPr>
          <w:cantSplit/>
        </w:trPr>
        <w:tc>
          <w:tcPr>
            <w:tcW w:type="dxa" w:w="3024"/>
            <w:vAlign w:val="center"/>
          </w:tcPr>
          <w:p>
            <w:pPr>
              <w:spacing w:after="0"/>
            </w:pPr>
            <w:r/>
            <w:r>
              <w:rPr>
                <w:rFonts w:ascii="Aptos" w:hAnsi="Aptos"/>
                <w:b w:val="0"/>
                <w:sz w:val="15"/>
              </w:rPr>
              <w:t>Loss of model confidence</w:t>
            </w:r>
          </w:p>
        </w:tc>
        <w:tc>
          <w:tcPr>
            <w:tcW w:type="dxa" w:w="6624"/>
            <w:vAlign w:val="center"/>
          </w:tcPr>
          <w:p>
            <w:pPr>
              <w:spacing w:after="0"/>
            </w:pPr>
            <w:r/>
            <w:r>
              <w:rPr>
                <w:rFonts w:ascii="Aptos" w:hAnsi="Aptos"/>
                <w:b w:val="0"/>
                <w:sz w:val="15"/>
              </w:rPr>
              <w:t>Reduce capability, request human control or enter safe state</w:t>
            </w:r>
          </w:p>
        </w:tc>
      </w:tr>
      <w:tr>
        <w:trPr>
          <w:cantSplit/>
        </w:trPr>
        <w:tc>
          <w:tcPr>
            <w:tcW w:type="dxa" w:w="3024"/>
            <w:vAlign w:val="center"/>
            <w:shd w:fill="F3F6F7"/>
          </w:tcPr>
          <w:p>
            <w:pPr>
              <w:spacing w:after="0"/>
            </w:pPr>
            <w:r/>
            <w:r>
              <w:rPr>
                <w:rFonts w:ascii="Aptos" w:hAnsi="Aptos"/>
                <w:b w:val="0"/>
                <w:sz w:val="15"/>
              </w:rPr>
              <w:t>Sensor inconsistency</w:t>
            </w:r>
          </w:p>
        </w:tc>
        <w:tc>
          <w:tcPr>
            <w:tcW w:type="dxa" w:w="6624"/>
            <w:vAlign w:val="center"/>
            <w:shd w:fill="F3F6F7"/>
          </w:tcPr>
          <w:p>
            <w:pPr>
              <w:spacing w:after="0"/>
            </w:pPr>
            <w:r/>
            <w:r>
              <w:rPr>
                <w:rFonts w:ascii="Aptos" w:hAnsi="Aptos"/>
                <w:b w:val="0"/>
                <w:sz w:val="15"/>
              </w:rPr>
              <w:t>Fault detection, sensor voting and restricted operation</w:t>
            </w:r>
          </w:p>
        </w:tc>
      </w:tr>
      <w:tr>
        <w:trPr>
          <w:cantSplit/>
        </w:trPr>
        <w:tc>
          <w:tcPr>
            <w:tcW w:type="dxa" w:w="3024"/>
            <w:vAlign w:val="center"/>
          </w:tcPr>
          <w:p>
            <w:pPr>
              <w:spacing w:after="0"/>
            </w:pPr>
            <w:r/>
            <w:r>
              <w:rPr>
                <w:rFonts w:ascii="Aptos" w:hAnsi="Aptos"/>
                <w:b w:val="0"/>
                <w:sz w:val="15"/>
              </w:rPr>
              <w:t>Unsafe planned action</w:t>
            </w:r>
          </w:p>
        </w:tc>
        <w:tc>
          <w:tcPr>
            <w:tcW w:type="dxa" w:w="6624"/>
            <w:vAlign w:val="center"/>
          </w:tcPr>
          <w:p>
            <w:pPr>
              <w:spacing w:after="0"/>
            </w:pPr>
            <w:r/>
            <w:r>
              <w:rPr>
                <w:rFonts w:ascii="Aptos" w:hAnsi="Aptos"/>
                <w:b w:val="0"/>
                <w:sz w:val="15"/>
              </w:rPr>
              <w:t>Independent safety supervisor blocks command</w:t>
            </w:r>
          </w:p>
        </w:tc>
      </w:tr>
      <w:tr>
        <w:trPr>
          <w:cantSplit/>
        </w:trPr>
        <w:tc>
          <w:tcPr>
            <w:tcW w:type="dxa" w:w="3024"/>
            <w:vAlign w:val="center"/>
            <w:shd w:fill="F3F6F7"/>
          </w:tcPr>
          <w:p>
            <w:pPr>
              <w:spacing w:after="0"/>
            </w:pPr>
            <w:r/>
            <w:r>
              <w:rPr>
                <w:rFonts w:ascii="Aptos" w:hAnsi="Aptos"/>
                <w:b w:val="0"/>
                <w:sz w:val="15"/>
              </w:rPr>
              <w:t>Communication loss</w:t>
            </w:r>
          </w:p>
        </w:tc>
        <w:tc>
          <w:tcPr>
            <w:tcW w:type="dxa" w:w="6624"/>
            <w:vAlign w:val="center"/>
            <w:shd w:fill="F3F6F7"/>
          </w:tcPr>
          <w:p>
            <w:pPr>
              <w:spacing w:after="0"/>
            </w:pPr>
            <w:r/>
            <w:r>
              <w:rPr>
                <w:rFonts w:ascii="Aptos" w:hAnsi="Aptos"/>
                <w:b w:val="0"/>
                <w:sz w:val="15"/>
              </w:rPr>
              <w:t>Local safe-state logic</w:t>
            </w:r>
          </w:p>
        </w:tc>
      </w:tr>
      <w:tr>
        <w:trPr>
          <w:cantSplit/>
        </w:trPr>
        <w:tc>
          <w:tcPr>
            <w:tcW w:type="dxa" w:w="3024"/>
            <w:vAlign w:val="center"/>
          </w:tcPr>
          <w:p>
            <w:pPr>
              <w:spacing w:after="0"/>
            </w:pPr>
            <w:r/>
            <w:r>
              <w:rPr>
                <w:rFonts w:ascii="Aptos" w:hAnsi="Aptos"/>
                <w:b w:val="0"/>
                <w:sz w:val="15"/>
              </w:rPr>
              <w:t>Unauthorized command</w:t>
            </w:r>
          </w:p>
        </w:tc>
        <w:tc>
          <w:tcPr>
            <w:tcW w:type="dxa" w:w="6624"/>
            <w:vAlign w:val="center"/>
          </w:tcPr>
          <w:p>
            <w:pPr>
              <w:spacing w:after="0"/>
            </w:pPr>
            <w:r/>
            <w:r>
              <w:rPr>
                <w:rFonts w:ascii="Aptos" w:hAnsi="Aptos"/>
                <w:b w:val="0"/>
                <w:sz w:val="15"/>
              </w:rPr>
              <w:t>Authentication failure and command rejection</w:t>
            </w:r>
          </w:p>
        </w:tc>
      </w:tr>
      <w:tr>
        <w:trPr>
          <w:cantSplit/>
        </w:trPr>
        <w:tc>
          <w:tcPr>
            <w:tcW w:type="dxa" w:w="3024"/>
            <w:vAlign w:val="center"/>
            <w:shd w:fill="F3F6F7"/>
          </w:tcPr>
          <w:p>
            <w:pPr>
              <w:spacing w:after="0"/>
            </w:pPr>
            <w:r/>
            <w:r>
              <w:rPr>
                <w:rFonts w:ascii="Aptos" w:hAnsi="Aptos"/>
                <w:b w:val="0"/>
                <w:sz w:val="15"/>
              </w:rPr>
              <w:t>Override failure</w:t>
            </w:r>
          </w:p>
        </w:tc>
        <w:tc>
          <w:tcPr>
            <w:tcW w:type="dxa" w:w="6624"/>
            <w:vAlign w:val="center"/>
            <w:shd w:fill="F3F6F7"/>
          </w:tcPr>
          <w:p>
            <w:pPr>
              <w:spacing w:after="0"/>
            </w:pPr>
            <w:r/>
            <w:r>
              <w:rPr>
                <w:rFonts w:ascii="Aptos" w:hAnsi="Aptos"/>
                <w:b w:val="0"/>
                <w:sz w:val="15"/>
              </w:rPr>
              <w:t>Redundant independent emergency-stop path</w:t>
            </w:r>
          </w:p>
        </w:tc>
      </w:tr>
    </w:tbl>
    <w:p/>
    <w:p>
      <w:pPr>
        <w:pStyle w:val="Heading1"/>
      </w:pPr>
      <w:r>
        <w:t>13. Governance and Assurance Plane</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016"/>
            <w:vAlign w:val="center"/>
            <w:shd w:fill="17324D"/>
          </w:tcPr>
          <w:p>
            <w:pPr>
              <w:spacing w:after="0"/>
            </w:pPr>
            <w:r/>
            <w:r>
              <w:rPr>
                <w:rFonts w:ascii="Aptos" w:hAnsi="Aptos"/>
                <w:b/>
                <w:color w:val="FFFFFF"/>
                <w:sz w:val="15"/>
              </w:rPr>
              <w:t>Capability</w:t>
            </w:r>
          </w:p>
        </w:tc>
        <w:tc>
          <w:tcPr>
            <w:tcW w:type="dxa" w:w="3888"/>
            <w:vAlign w:val="center"/>
            <w:shd w:fill="17324D"/>
          </w:tcPr>
          <w:p>
            <w:pPr>
              <w:spacing w:after="0"/>
            </w:pPr>
            <w:r/>
            <w:r>
              <w:rPr>
                <w:rFonts w:ascii="Aptos" w:hAnsi="Aptos"/>
                <w:b/>
                <w:color w:val="FFFFFF"/>
                <w:sz w:val="15"/>
              </w:rPr>
              <w:t>Architecture component</w:t>
            </w:r>
          </w:p>
        </w:tc>
        <w:tc>
          <w:tcPr>
            <w:tcW w:type="dxa" w:w="3744"/>
            <w:vAlign w:val="center"/>
            <w:shd w:fill="17324D"/>
          </w:tcPr>
          <w:p>
            <w:pPr>
              <w:spacing w:after="0"/>
            </w:pPr>
            <w:r/>
            <w:r>
              <w:rPr>
                <w:rFonts w:ascii="Aptos" w:hAnsi="Aptos"/>
                <w:b/>
                <w:color w:val="FFFFFF"/>
                <w:sz w:val="15"/>
              </w:rPr>
              <w:t>Control outcome</w:t>
            </w:r>
          </w:p>
        </w:tc>
      </w:tr>
      <w:tr>
        <w:trPr>
          <w:cantSplit/>
        </w:trPr>
        <w:tc>
          <w:tcPr>
            <w:tcW w:type="dxa" w:w="2016"/>
            <w:vAlign w:val="center"/>
          </w:tcPr>
          <w:p>
            <w:pPr>
              <w:spacing w:after="0"/>
            </w:pPr>
            <w:r/>
            <w:r>
              <w:rPr>
                <w:rFonts w:ascii="Aptos" w:hAnsi="Aptos"/>
                <w:b w:val="0"/>
                <w:sz w:val="15"/>
              </w:rPr>
              <w:t>Inventory</w:t>
            </w:r>
          </w:p>
        </w:tc>
        <w:tc>
          <w:tcPr>
            <w:tcW w:type="dxa" w:w="3888"/>
            <w:vAlign w:val="center"/>
          </w:tcPr>
          <w:p>
            <w:pPr>
              <w:spacing w:after="0"/>
            </w:pPr>
            <w:r/>
            <w:r>
              <w:rPr>
                <w:rFonts w:ascii="Aptos" w:hAnsi="Aptos"/>
                <w:b w:val="0"/>
                <w:sz w:val="15"/>
              </w:rPr>
              <w:t>System/model/data/tool registry</w:t>
            </w:r>
          </w:p>
        </w:tc>
        <w:tc>
          <w:tcPr>
            <w:tcW w:type="dxa" w:w="3744"/>
            <w:vAlign w:val="center"/>
          </w:tcPr>
          <w:p>
            <w:pPr>
              <w:spacing w:after="0"/>
            </w:pPr>
            <w:r/>
            <w:r>
              <w:rPr>
                <w:rFonts w:ascii="Aptos" w:hAnsi="Aptos"/>
                <w:b w:val="0"/>
                <w:sz w:val="15"/>
              </w:rPr>
              <w:t>Complete and current scope</w:t>
            </w:r>
          </w:p>
        </w:tc>
      </w:tr>
      <w:tr>
        <w:trPr>
          <w:cantSplit/>
        </w:trPr>
        <w:tc>
          <w:tcPr>
            <w:tcW w:type="dxa" w:w="2016"/>
            <w:vAlign w:val="center"/>
            <w:shd w:fill="F3F6F7"/>
          </w:tcPr>
          <w:p>
            <w:pPr>
              <w:spacing w:after="0"/>
            </w:pPr>
            <w:r/>
            <w:r>
              <w:rPr>
                <w:rFonts w:ascii="Aptos" w:hAnsi="Aptos"/>
                <w:b w:val="0"/>
                <w:sz w:val="15"/>
              </w:rPr>
              <w:t>Risk</w:t>
            </w:r>
          </w:p>
        </w:tc>
        <w:tc>
          <w:tcPr>
            <w:tcW w:type="dxa" w:w="3888"/>
            <w:vAlign w:val="center"/>
            <w:shd w:fill="F3F6F7"/>
          </w:tcPr>
          <w:p>
            <w:pPr>
              <w:spacing w:after="0"/>
            </w:pPr>
            <w:r/>
            <w:r>
              <w:rPr>
                <w:rFonts w:ascii="Aptos" w:hAnsi="Aptos"/>
                <w:b w:val="0"/>
                <w:sz w:val="15"/>
              </w:rPr>
              <w:t>Risk and impact register</w:t>
            </w:r>
          </w:p>
        </w:tc>
        <w:tc>
          <w:tcPr>
            <w:tcW w:type="dxa" w:w="3744"/>
            <w:vAlign w:val="center"/>
            <w:shd w:fill="F3F6F7"/>
          </w:tcPr>
          <w:p>
            <w:pPr>
              <w:spacing w:after="0"/>
            </w:pPr>
            <w:r/>
            <w:r>
              <w:rPr>
                <w:rFonts w:ascii="Aptos" w:hAnsi="Aptos"/>
                <w:b w:val="0"/>
                <w:sz w:val="15"/>
              </w:rPr>
              <w:t>Documented treatment and ownership</w:t>
            </w:r>
          </w:p>
        </w:tc>
      </w:tr>
      <w:tr>
        <w:trPr>
          <w:cantSplit/>
        </w:trPr>
        <w:tc>
          <w:tcPr>
            <w:tcW w:type="dxa" w:w="2016"/>
            <w:vAlign w:val="center"/>
          </w:tcPr>
          <w:p>
            <w:pPr>
              <w:spacing w:after="0"/>
            </w:pPr>
            <w:r/>
            <w:r>
              <w:rPr>
                <w:rFonts w:ascii="Aptos" w:hAnsi="Aptos"/>
                <w:b w:val="0"/>
                <w:sz w:val="15"/>
              </w:rPr>
              <w:t>Policy</w:t>
            </w:r>
          </w:p>
        </w:tc>
        <w:tc>
          <w:tcPr>
            <w:tcW w:type="dxa" w:w="3888"/>
            <w:vAlign w:val="center"/>
          </w:tcPr>
          <w:p>
            <w:pPr>
              <w:spacing w:after="0"/>
            </w:pPr>
            <w:r/>
            <w:r>
              <w:rPr>
                <w:rFonts w:ascii="Aptos" w:hAnsi="Aptos"/>
                <w:b w:val="0"/>
                <w:sz w:val="15"/>
              </w:rPr>
              <w:t>Versioned policy repository and decision engine</w:t>
            </w:r>
          </w:p>
        </w:tc>
        <w:tc>
          <w:tcPr>
            <w:tcW w:type="dxa" w:w="3744"/>
            <w:vAlign w:val="center"/>
          </w:tcPr>
          <w:p>
            <w:pPr>
              <w:spacing w:after="0"/>
            </w:pPr>
            <w:r/>
            <w:r>
              <w:rPr>
                <w:rFonts w:ascii="Aptos" w:hAnsi="Aptos"/>
                <w:b w:val="0"/>
                <w:sz w:val="15"/>
              </w:rPr>
              <w:t>Consistent enforcement</w:t>
            </w:r>
          </w:p>
        </w:tc>
      </w:tr>
      <w:tr>
        <w:trPr>
          <w:cantSplit/>
        </w:trPr>
        <w:tc>
          <w:tcPr>
            <w:tcW w:type="dxa" w:w="2016"/>
            <w:vAlign w:val="center"/>
            <w:shd w:fill="F3F6F7"/>
          </w:tcPr>
          <w:p>
            <w:pPr>
              <w:spacing w:after="0"/>
            </w:pPr>
            <w:r/>
            <w:r>
              <w:rPr>
                <w:rFonts w:ascii="Aptos" w:hAnsi="Aptos"/>
                <w:b w:val="0"/>
                <w:sz w:val="15"/>
              </w:rPr>
              <w:t>Exceptions</w:t>
            </w:r>
          </w:p>
        </w:tc>
        <w:tc>
          <w:tcPr>
            <w:tcW w:type="dxa" w:w="3888"/>
            <w:vAlign w:val="center"/>
            <w:shd w:fill="F3F6F7"/>
          </w:tcPr>
          <w:p>
            <w:pPr>
              <w:spacing w:after="0"/>
            </w:pPr>
            <w:r/>
            <w:r>
              <w:rPr>
                <w:rFonts w:ascii="Aptos" w:hAnsi="Aptos"/>
                <w:b w:val="0"/>
                <w:sz w:val="15"/>
              </w:rPr>
              <w:t>Time-bound exception workflow</w:t>
            </w:r>
          </w:p>
        </w:tc>
        <w:tc>
          <w:tcPr>
            <w:tcW w:type="dxa" w:w="3744"/>
            <w:vAlign w:val="center"/>
            <w:shd w:fill="F3F6F7"/>
          </w:tcPr>
          <w:p>
            <w:pPr>
              <w:spacing w:after="0"/>
            </w:pPr>
            <w:r/>
            <w:r>
              <w:rPr>
                <w:rFonts w:ascii="Aptos" w:hAnsi="Aptos"/>
                <w:b w:val="0"/>
                <w:sz w:val="15"/>
              </w:rPr>
              <w:t>Visible residual risk</w:t>
            </w:r>
          </w:p>
        </w:tc>
      </w:tr>
      <w:tr>
        <w:trPr>
          <w:cantSplit/>
        </w:trPr>
        <w:tc>
          <w:tcPr>
            <w:tcW w:type="dxa" w:w="2016"/>
            <w:vAlign w:val="center"/>
          </w:tcPr>
          <w:p>
            <w:pPr>
              <w:spacing w:after="0"/>
            </w:pPr>
            <w:r/>
            <w:r>
              <w:rPr>
                <w:rFonts w:ascii="Aptos" w:hAnsi="Aptos"/>
                <w:b w:val="0"/>
                <w:sz w:val="15"/>
              </w:rPr>
              <w:t>Evidence</w:t>
            </w:r>
          </w:p>
        </w:tc>
        <w:tc>
          <w:tcPr>
            <w:tcW w:type="dxa" w:w="3888"/>
            <w:vAlign w:val="center"/>
          </w:tcPr>
          <w:p>
            <w:pPr>
              <w:spacing w:after="0"/>
            </w:pPr>
            <w:r/>
            <w:r>
              <w:rPr>
                <w:rFonts w:ascii="Aptos" w:hAnsi="Aptos"/>
                <w:b w:val="0"/>
                <w:sz w:val="15"/>
              </w:rPr>
              <w:t>Protected evidence repository</w:t>
            </w:r>
          </w:p>
        </w:tc>
        <w:tc>
          <w:tcPr>
            <w:tcW w:type="dxa" w:w="3744"/>
            <w:vAlign w:val="center"/>
          </w:tcPr>
          <w:p>
            <w:pPr>
              <w:spacing w:after="0"/>
            </w:pPr>
            <w:r/>
            <w:r>
              <w:rPr>
                <w:rFonts w:ascii="Aptos" w:hAnsi="Aptos"/>
                <w:b w:val="0"/>
                <w:sz w:val="15"/>
              </w:rPr>
              <w:t>Traceable and reviewable operation</w:t>
            </w:r>
          </w:p>
        </w:tc>
      </w:tr>
      <w:tr>
        <w:trPr>
          <w:cantSplit/>
        </w:trPr>
        <w:tc>
          <w:tcPr>
            <w:tcW w:type="dxa" w:w="2016"/>
            <w:vAlign w:val="center"/>
            <w:shd w:fill="F3F6F7"/>
          </w:tcPr>
          <w:p>
            <w:pPr>
              <w:spacing w:after="0"/>
            </w:pPr>
            <w:r/>
            <w:r>
              <w:rPr>
                <w:rFonts w:ascii="Aptos" w:hAnsi="Aptos"/>
                <w:b w:val="0"/>
                <w:sz w:val="15"/>
              </w:rPr>
              <w:t>Testing</w:t>
            </w:r>
          </w:p>
        </w:tc>
        <w:tc>
          <w:tcPr>
            <w:tcW w:type="dxa" w:w="3888"/>
            <w:vAlign w:val="center"/>
            <w:shd w:fill="F3F6F7"/>
          </w:tcPr>
          <w:p>
            <w:pPr>
              <w:spacing w:after="0"/>
            </w:pPr>
            <w:r/>
            <w:r>
              <w:rPr>
                <w:rFonts w:ascii="Aptos" w:hAnsi="Aptos"/>
                <w:b w:val="0"/>
                <w:sz w:val="15"/>
              </w:rPr>
              <w:t>Independent evaluation and VTS integration</w:t>
            </w:r>
          </w:p>
        </w:tc>
        <w:tc>
          <w:tcPr>
            <w:tcW w:type="dxa" w:w="3744"/>
            <w:vAlign w:val="center"/>
            <w:shd w:fill="F3F6F7"/>
          </w:tcPr>
          <w:p>
            <w:pPr>
              <w:spacing w:after="0"/>
            </w:pPr>
            <w:r/>
            <w:r>
              <w:rPr>
                <w:rFonts w:ascii="Aptos" w:hAnsi="Aptos"/>
                <w:b w:val="0"/>
                <w:sz w:val="15"/>
              </w:rPr>
              <w:t>Repeatable assurance</w:t>
            </w:r>
          </w:p>
        </w:tc>
      </w:tr>
      <w:tr>
        <w:trPr>
          <w:cantSplit/>
        </w:trPr>
        <w:tc>
          <w:tcPr>
            <w:tcW w:type="dxa" w:w="2016"/>
            <w:vAlign w:val="center"/>
          </w:tcPr>
          <w:p>
            <w:pPr>
              <w:spacing w:after="0"/>
            </w:pPr>
            <w:r/>
            <w:r>
              <w:rPr>
                <w:rFonts w:ascii="Aptos" w:hAnsi="Aptos"/>
                <w:b w:val="0"/>
                <w:sz w:val="15"/>
              </w:rPr>
              <w:t>Change</w:t>
            </w:r>
          </w:p>
        </w:tc>
        <w:tc>
          <w:tcPr>
            <w:tcW w:type="dxa" w:w="3888"/>
            <w:vAlign w:val="center"/>
          </w:tcPr>
          <w:p>
            <w:pPr>
              <w:spacing w:after="0"/>
            </w:pPr>
            <w:r/>
            <w:r>
              <w:rPr>
                <w:rFonts w:ascii="Aptos" w:hAnsi="Aptos"/>
                <w:b w:val="0"/>
                <w:sz w:val="15"/>
              </w:rPr>
              <w:t>Release and impact-management service</w:t>
            </w:r>
          </w:p>
        </w:tc>
        <w:tc>
          <w:tcPr>
            <w:tcW w:type="dxa" w:w="3744"/>
            <w:vAlign w:val="center"/>
          </w:tcPr>
          <w:p>
            <w:pPr>
              <w:spacing w:after="0"/>
            </w:pPr>
            <w:r/>
            <w:r>
              <w:rPr>
                <w:rFonts w:ascii="Aptos" w:hAnsi="Aptos"/>
                <w:b w:val="0"/>
                <w:sz w:val="15"/>
              </w:rPr>
              <w:t>Controlled architecture evolution</w:t>
            </w:r>
          </w:p>
        </w:tc>
      </w:tr>
      <w:tr>
        <w:trPr>
          <w:cantSplit/>
        </w:trPr>
        <w:tc>
          <w:tcPr>
            <w:tcW w:type="dxa" w:w="2016"/>
            <w:vAlign w:val="center"/>
            <w:shd w:fill="F3F6F7"/>
          </w:tcPr>
          <w:p>
            <w:pPr>
              <w:spacing w:after="0"/>
            </w:pPr>
            <w:r/>
            <w:r>
              <w:rPr>
                <w:rFonts w:ascii="Aptos" w:hAnsi="Aptos"/>
                <w:b w:val="0"/>
                <w:sz w:val="15"/>
              </w:rPr>
              <w:t>Certification</w:t>
            </w:r>
          </w:p>
        </w:tc>
        <w:tc>
          <w:tcPr>
            <w:tcW w:type="dxa" w:w="3888"/>
            <w:vAlign w:val="center"/>
            <w:shd w:fill="F3F6F7"/>
          </w:tcPr>
          <w:p>
            <w:pPr>
              <w:spacing w:after="0"/>
            </w:pPr>
            <w:r/>
            <w:r>
              <w:rPr>
                <w:rFonts w:ascii="Aptos" w:hAnsi="Aptos"/>
                <w:b w:val="0"/>
                <w:sz w:val="15"/>
              </w:rPr>
              <w:t>Scope, findings and claim-management records</w:t>
            </w:r>
          </w:p>
        </w:tc>
        <w:tc>
          <w:tcPr>
            <w:tcW w:type="dxa" w:w="3744"/>
            <w:vAlign w:val="center"/>
            <w:shd w:fill="F3F6F7"/>
          </w:tcPr>
          <w:p>
            <w:pPr>
              <w:spacing w:after="0"/>
            </w:pPr>
            <w:r/>
            <w:r>
              <w:rPr>
                <w:rFonts w:ascii="Aptos" w:hAnsi="Aptos"/>
                <w:b w:val="0"/>
                <w:sz w:val="15"/>
              </w:rPr>
              <w:t>Accurate external representation</w:t>
            </w:r>
          </w:p>
        </w:tc>
      </w:tr>
    </w:tbl>
    <w:p/>
    <w:p>
      <w:pPr>
        <w:pStyle w:val="Heading1"/>
      </w:pPr>
      <w:r>
        <w:t>14. Observability and Evidence Architecture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Event category</w:t>
            </w:r>
          </w:p>
        </w:tc>
        <w:tc>
          <w:tcPr>
            <w:tcW w:type="dxa" w:w="7056"/>
            <w:vAlign w:val="center"/>
            <w:shd w:fill="17324D"/>
          </w:tcPr>
          <w:p>
            <w:pPr>
              <w:spacing w:after="0"/>
            </w:pPr>
            <w:r/>
            <w:r>
              <w:rPr>
                <w:rFonts w:ascii="Aptos" w:hAnsi="Aptos"/>
                <w:b/>
                <w:color w:val="FFFFFF"/>
                <w:sz w:val="15"/>
              </w:rPr>
              <w:t>Minimum attributes</w:t>
            </w:r>
          </w:p>
        </w:tc>
      </w:tr>
      <w:tr>
        <w:trPr>
          <w:cantSplit/>
        </w:trPr>
        <w:tc>
          <w:tcPr>
            <w:tcW w:type="dxa" w:w="2592"/>
            <w:vAlign w:val="center"/>
          </w:tcPr>
          <w:p>
            <w:pPr>
              <w:spacing w:after="0"/>
            </w:pPr>
            <w:r/>
            <w:r>
              <w:rPr>
                <w:rFonts w:ascii="Aptos" w:hAnsi="Aptos"/>
                <w:b w:val="0"/>
                <w:sz w:val="15"/>
              </w:rPr>
              <w:t>Identity</w:t>
            </w:r>
          </w:p>
        </w:tc>
        <w:tc>
          <w:tcPr>
            <w:tcW w:type="dxa" w:w="7056"/>
            <w:vAlign w:val="center"/>
          </w:tcPr>
          <w:p>
            <w:pPr>
              <w:spacing w:after="0"/>
            </w:pPr>
            <w:r/>
            <w:r>
              <w:rPr>
                <w:rFonts w:ascii="Aptos" w:hAnsi="Aptos"/>
                <w:b w:val="0"/>
                <w:sz w:val="15"/>
              </w:rPr>
              <w:t>Actor, agent, service, role and authentication context</w:t>
            </w:r>
          </w:p>
        </w:tc>
      </w:tr>
      <w:tr>
        <w:trPr>
          <w:cantSplit/>
        </w:trPr>
        <w:tc>
          <w:tcPr>
            <w:tcW w:type="dxa" w:w="2592"/>
            <w:vAlign w:val="center"/>
            <w:shd w:fill="F3F6F7"/>
          </w:tcPr>
          <w:p>
            <w:pPr>
              <w:spacing w:after="0"/>
            </w:pPr>
            <w:r/>
            <w:r>
              <w:rPr>
                <w:rFonts w:ascii="Aptos" w:hAnsi="Aptos"/>
                <w:b w:val="0"/>
                <w:sz w:val="15"/>
              </w:rPr>
              <w:t>Request</w:t>
            </w:r>
          </w:p>
        </w:tc>
        <w:tc>
          <w:tcPr>
            <w:tcW w:type="dxa" w:w="7056"/>
            <w:vAlign w:val="center"/>
            <w:shd w:fill="F3F6F7"/>
          </w:tcPr>
          <w:p>
            <w:pPr>
              <w:spacing w:after="0"/>
            </w:pPr>
            <w:r/>
            <w:r>
              <w:rPr>
                <w:rFonts w:ascii="Aptos" w:hAnsi="Aptos"/>
                <w:b w:val="0"/>
                <w:sz w:val="15"/>
              </w:rPr>
              <w:t>Time, system, purpose, channel and data classification</w:t>
            </w:r>
          </w:p>
        </w:tc>
      </w:tr>
      <w:tr>
        <w:trPr>
          <w:cantSplit/>
        </w:trPr>
        <w:tc>
          <w:tcPr>
            <w:tcW w:type="dxa" w:w="2592"/>
            <w:vAlign w:val="center"/>
          </w:tcPr>
          <w:p>
            <w:pPr>
              <w:spacing w:after="0"/>
            </w:pPr>
            <w:r/>
            <w:r>
              <w:rPr>
                <w:rFonts w:ascii="Aptos" w:hAnsi="Aptos"/>
                <w:b w:val="0"/>
                <w:sz w:val="15"/>
              </w:rPr>
              <w:t>Policy decision</w:t>
            </w:r>
          </w:p>
        </w:tc>
        <w:tc>
          <w:tcPr>
            <w:tcW w:type="dxa" w:w="7056"/>
            <w:vAlign w:val="center"/>
          </w:tcPr>
          <w:p>
            <w:pPr>
              <w:spacing w:after="0"/>
            </w:pPr>
            <w:r/>
            <w:r>
              <w:rPr>
                <w:rFonts w:ascii="Aptos" w:hAnsi="Aptos"/>
                <w:b w:val="0"/>
                <w:sz w:val="15"/>
              </w:rPr>
              <w:t>Policy version, decision, reason and obligations</w:t>
            </w:r>
          </w:p>
        </w:tc>
      </w:tr>
      <w:tr>
        <w:trPr>
          <w:cantSplit/>
        </w:trPr>
        <w:tc>
          <w:tcPr>
            <w:tcW w:type="dxa" w:w="2592"/>
            <w:vAlign w:val="center"/>
            <w:shd w:fill="F3F6F7"/>
          </w:tcPr>
          <w:p>
            <w:pPr>
              <w:spacing w:after="0"/>
            </w:pPr>
            <w:r/>
            <w:r>
              <w:rPr>
                <w:rFonts w:ascii="Aptos" w:hAnsi="Aptos"/>
                <w:b w:val="0"/>
                <w:sz w:val="15"/>
              </w:rPr>
              <w:t>Model invocation</w:t>
            </w:r>
          </w:p>
        </w:tc>
        <w:tc>
          <w:tcPr>
            <w:tcW w:type="dxa" w:w="7056"/>
            <w:vAlign w:val="center"/>
            <w:shd w:fill="F3F6F7"/>
          </w:tcPr>
          <w:p>
            <w:pPr>
              <w:spacing w:after="0"/>
            </w:pPr>
            <w:r/>
            <w:r>
              <w:rPr>
                <w:rFonts w:ascii="Aptos" w:hAnsi="Aptos"/>
                <w:b w:val="0"/>
                <w:sz w:val="15"/>
              </w:rPr>
              <w:t>Provider, model/version, configuration and latency</w:t>
            </w:r>
          </w:p>
        </w:tc>
      </w:tr>
      <w:tr>
        <w:trPr>
          <w:cantSplit/>
        </w:trPr>
        <w:tc>
          <w:tcPr>
            <w:tcW w:type="dxa" w:w="2592"/>
            <w:vAlign w:val="center"/>
          </w:tcPr>
          <w:p>
            <w:pPr>
              <w:spacing w:after="0"/>
            </w:pPr>
            <w:r/>
            <w:r>
              <w:rPr>
                <w:rFonts w:ascii="Aptos" w:hAnsi="Aptos"/>
                <w:b w:val="0"/>
                <w:sz w:val="15"/>
              </w:rPr>
              <w:t>Retrieval</w:t>
            </w:r>
          </w:p>
        </w:tc>
        <w:tc>
          <w:tcPr>
            <w:tcW w:type="dxa" w:w="7056"/>
            <w:vAlign w:val="center"/>
          </w:tcPr>
          <w:p>
            <w:pPr>
              <w:spacing w:after="0"/>
            </w:pPr>
            <w:r/>
            <w:r>
              <w:rPr>
                <w:rFonts w:ascii="Aptos" w:hAnsi="Aptos"/>
                <w:b w:val="0"/>
                <w:sz w:val="15"/>
              </w:rPr>
              <w:t>Sources, permissions, index version and result identifiers</w:t>
            </w:r>
          </w:p>
        </w:tc>
      </w:tr>
      <w:tr>
        <w:trPr>
          <w:cantSplit/>
        </w:trPr>
        <w:tc>
          <w:tcPr>
            <w:tcW w:type="dxa" w:w="2592"/>
            <w:vAlign w:val="center"/>
            <w:shd w:fill="F3F6F7"/>
          </w:tcPr>
          <w:p>
            <w:pPr>
              <w:spacing w:after="0"/>
            </w:pPr>
            <w:r/>
            <w:r>
              <w:rPr>
                <w:rFonts w:ascii="Aptos" w:hAnsi="Aptos"/>
                <w:b w:val="0"/>
                <w:sz w:val="15"/>
              </w:rPr>
              <w:t>Agent action</w:t>
            </w:r>
          </w:p>
        </w:tc>
        <w:tc>
          <w:tcPr>
            <w:tcW w:type="dxa" w:w="7056"/>
            <w:vAlign w:val="center"/>
            <w:shd w:fill="F3F6F7"/>
          </w:tcPr>
          <w:p>
            <w:pPr>
              <w:spacing w:after="0"/>
            </w:pPr>
            <w:r/>
            <w:r>
              <w:rPr>
                <w:rFonts w:ascii="Aptos" w:hAnsi="Aptos"/>
                <w:b w:val="0"/>
                <w:sz w:val="15"/>
              </w:rPr>
              <w:t>Plan step, tool, parameters, approval and outcome</w:t>
            </w:r>
          </w:p>
        </w:tc>
      </w:tr>
      <w:tr>
        <w:trPr>
          <w:cantSplit/>
        </w:trPr>
        <w:tc>
          <w:tcPr>
            <w:tcW w:type="dxa" w:w="2592"/>
            <w:vAlign w:val="center"/>
          </w:tcPr>
          <w:p>
            <w:pPr>
              <w:spacing w:after="0"/>
            </w:pPr>
            <w:r/>
            <w:r>
              <w:rPr>
                <w:rFonts w:ascii="Aptos" w:hAnsi="Aptos"/>
                <w:b w:val="0"/>
                <w:sz w:val="15"/>
              </w:rPr>
              <w:t>Output</w:t>
            </w:r>
          </w:p>
        </w:tc>
        <w:tc>
          <w:tcPr>
            <w:tcW w:type="dxa" w:w="7056"/>
            <w:vAlign w:val="center"/>
          </w:tcPr>
          <w:p>
            <w:pPr>
              <w:spacing w:after="0"/>
            </w:pPr>
            <w:r/>
            <w:r>
              <w:rPr>
                <w:rFonts w:ascii="Aptos" w:hAnsi="Aptos"/>
                <w:b w:val="0"/>
                <w:sz w:val="15"/>
              </w:rPr>
              <w:t>Response identifier, controls applied and delivery channel</w:t>
            </w:r>
          </w:p>
        </w:tc>
      </w:tr>
      <w:tr>
        <w:trPr>
          <w:cantSplit/>
        </w:trPr>
        <w:tc>
          <w:tcPr>
            <w:tcW w:type="dxa" w:w="2592"/>
            <w:vAlign w:val="center"/>
            <w:shd w:fill="F3F6F7"/>
          </w:tcPr>
          <w:p>
            <w:pPr>
              <w:spacing w:after="0"/>
            </w:pPr>
            <w:r/>
            <w:r>
              <w:rPr>
                <w:rFonts w:ascii="Aptos" w:hAnsi="Aptos"/>
                <w:b w:val="0"/>
                <w:sz w:val="15"/>
              </w:rPr>
              <w:t>Safety event</w:t>
            </w:r>
          </w:p>
        </w:tc>
        <w:tc>
          <w:tcPr>
            <w:tcW w:type="dxa" w:w="7056"/>
            <w:vAlign w:val="center"/>
            <w:shd w:fill="F3F6F7"/>
          </w:tcPr>
          <w:p>
            <w:pPr>
              <w:spacing w:after="0"/>
            </w:pPr>
            <w:r/>
            <w:r>
              <w:rPr>
                <w:rFonts w:ascii="Aptos" w:hAnsi="Aptos"/>
                <w:b w:val="0"/>
                <w:sz w:val="15"/>
              </w:rPr>
              <w:t>Hazard, sensor state, command, block, override and safe state</w:t>
            </w:r>
          </w:p>
        </w:tc>
      </w:tr>
      <w:tr>
        <w:trPr>
          <w:cantSplit/>
        </w:trPr>
        <w:tc>
          <w:tcPr>
            <w:tcW w:type="dxa" w:w="2592"/>
            <w:vAlign w:val="center"/>
          </w:tcPr>
          <w:p>
            <w:pPr>
              <w:spacing w:after="0"/>
            </w:pPr>
            <w:r/>
            <w:r>
              <w:rPr>
                <w:rFonts w:ascii="Aptos" w:hAnsi="Aptos"/>
                <w:b w:val="0"/>
                <w:sz w:val="15"/>
              </w:rPr>
              <w:t>Change</w:t>
            </w:r>
          </w:p>
        </w:tc>
        <w:tc>
          <w:tcPr>
            <w:tcW w:type="dxa" w:w="7056"/>
            <w:vAlign w:val="center"/>
          </w:tcPr>
          <w:p>
            <w:pPr>
              <w:spacing w:after="0"/>
            </w:pPr>
            <w:r/>
            <w:r>
              <w:rPr>
                <w:rFonts w:ascii="Aptos" w:hAnsi="Aptos"/>
                <w:b w:val="0"/>
                <w:sz w:val="15"/>
              </w:rPr>
              <w:t>Component, old/new version, approver and release</w:t>
            </w:r>
          </w:p>
        </w:tc>
      </w:tr>
      <w:tr>
        <w:trPr>
          <w:cantSplit/>
        </w:trPr>
        <w:tc>
          <w:tcPr>
            <w:tcW w:type="dxa" w:w="2592"/>
            <w:vAlign w:val="center"/>
            <w:shd w:fill="F3F6F7"/>
          </w:tcPr>
          <w:p>
            <w:pPr>
              <w:spacing w:after="0"/>
            </w:pPr>
            <w:r/>
            <w:r>
              <w:rPr>
                <w:rFonts w:ascii="Aptos" w:hAnsi="Aptos"/>
                <w:b w:val="0"/>
                <w:sz w:val="15"/>
              </w:rPr>
              <w:t>Evidence integrity</w:t>
            </w:r>
          </w:p>
        </w:tc>
        <w:tc>
          <w:tcPr>
            <w:tcW w:type="dxa" w:w="7056"/>
            <w:vAlign w:val="center"/>
            <w:shd w:fill="F3F6F7"/>
          </w:tcPr>
          <w:p>
            <w:pPr>
              <w:spacing w:after="0"/>
            </w:pPr>
            <w:r/>
            <w:r>
              <w:rPr>
                <w:rFonts w:ascii="Aptos" w:hAnsi="Aptos"/>
                <w:b w:val="0"/>
                <w:sz w:val="15"/>
              </w:rPr>
              <w:t>Hash, signature, timestamp and repository location</w:t>
            </w:r>
          </w:p>
        </w:tc>
      </w:tr>
    </w:tbl>
    <w:p/>
    <w:p>
      <w:pPr>
        <w:pStyle w:val="Heading1"/>
      </w:pPr>
      <w:r>
        <w:t>15. Resilience and Recovery Patterns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168"/>
            <w:vAlign w:val="center"/>
            <w:shd w:fill="17324D"/>
          </w:tcPr>
          <w:p>
            <w:pPr>
              <w:spacing w:after="0"/>
            </w:pPr>
            <w:r/>
            <w:r>
              <w:rPr>
                <w:rFonts w:ascii="Aptos" w:hAnsi="Aptos"/>
                <w:b/>
                <w:color w:val="FFFFFF"/>
                <w:sz w:val="15"/>
              </w:rPr>
              <w:t>Failure</w:t>
            </w:r>
          </w:p>
        </w:tc>
        <w:tc>
          <w:tcPr>
            <w:tcW w:type="dxa" w:w="6480"/>
            <w:vAlign w:val="center"/>
            <w:shd w:fill="17324D"/>
          </w:tcPr>
          <w:p>
            <w:pPr>
              <w:spacing w:after="0"/>
            </w:pPr>
            <w:r/>
            <w:r>
              <w:rPr>
                <w:rFonts w:ascii="Aptos" w:hAnsi="Aptos"/>
                <w:b/>
                <w:color w:val="FFFFFF"/>
                <w:sz w:val="15"/>
              </w:rPr>
              <w:t>Resilience pattern</w:t>
            </w:r>
          </w:p>
        </w:tc>
      </w:tr>
      <w:tr>
        <w:trPr>
          <w:cantSplit/>
        </w:trPr>
        <w:tc>
          <w:tcPr>
            <w:tcW w:type="dxa" w:w="3168"/>
            <w:vAlign w:val="center"/>
          </w:tcPr>
          <w:p>
            <w:pPr>
              <w:spacing w:after="0"/>
            </w:pPr>
            <w:r/>
            <w:r>
              <w:rPr>
                <w:rFonts w:ascii="Aptos" w:hAnsi="Aptos"/>
                <w:b w:val="0"/>
                <w:sz w:val="15"/>
              </w:rPr>
              <w:t>Model endpoint outage</w:t>
            </w:r>
          </w:p>
        </w:tc>
        <w:tc>
          <w:tcPr>
            <w:tcW w:type="dxa" w:w="6480"/>
            <w:vAlign w:val="center"/>
          </w:tcPr>
          <w:p>
            <w:pPr>
              <w:spacing w:after="0"/>
            </w:pPr>
            <w:r/>
            <w:r>
              <w:rPr>
                <w:rFonts w:ascii="Aptos" w:hAnsi="Aptos"/>
                <w:b w:val="0"/>
                <w:sz w:val="15"/>
              </w:rPr>
              <w:t>Fallback model, queue, user notification or controlled service degradation</w:t>
            </w:r>
          </w:p>
        </w:tc>
      </w:tr>
      <w:tr>
        <w:trPr>
          <w:cantSplit/>
        </w:trPr>
        <w:tc>
          <w:tcPr>
            <w:tcW w:type="dxa" w:w="3168"/>
            <w:vAlign w:val="center"/>
            <w:shd w:fill="F3F6F7"/>
          </w:tcPr>
          <w:p>
            <w:pPr>
              <w:spacing w:after="0"/>
            </w:pPr>
            <w:r/>
            <w:r>
              <w:rPr>
                <w:rFonts w:ascii="Aptos" w:hAnsi="Aptos"/>
                <w:b w:val="0"/>
                <w:sz w:val="15"/>
              </w:rPr>
              <w:t>Policy service outage</w:t>
            </w:r>
          </w:p>
        </w:tc>
        <w:tc>
          <w:tcPr>
            <w:tcW w:type="dxa" w:w="6480"/>
            <w:vAlign w:val="center"/>
            <w:shd w:fill="F3F6F7"/>
          </w:tcPr>
          <w:p>
            <w:pPr>
              <w:spacing w:after="0"/>
            </w:pPr>
            <w:r/>
            <w:r>
              <w:rPr>
                <w:rFonts w:ascii="Aptos" w:hAnsi="Aptos"/>
                <w:b w:val="0"/>
                <w:sz w:val="15"/>
              </w:rPr>
              <w:t>Fail closed for high-risk actions; cached signed policy for approved low-risk use</w:t>
            </w:r>
          </w:p>
        </w:tc>
      </w:tr>
      <w:tr>
        <w:trPr>
          <w:cantSplit/>
        </w:trPr>
        <w:tc>
          <w:tcPr>
            <w:tcW w:type="dxa" w:w="3168"/>
            <w:vAlign w:val="center"/>
          </w:tcPr>
          <w:p>
            <w:pPr>
              <w:spacing w:after="0"/>
            </w:pPr>
            <w:r/>
            <w:r>
              <w:rPr>
                <w:rFonts w:ascii="Aptos" w:hAnsi="Aptos"/>
                <w:b w:val="0"/>
                <w:sz w:val="15"/>
              </w:rPr>
              <w:t>Retrieval outage</w:t>
            </w:r>
          </w:p>
        </w:tc>
        <w:tc>
          <w:tcPr>
            <w:tcW w:type="dxa" w:w="6480"/>
            <w:vAlign w:val="center"/>
          </w:tcPr>
          <w:p>
            <w:pPr>
              <w:spacing w:after="0"/>
            </w:pPr>
            <w:r/>
            <w:r>
              <w:rPr>
                <w:rFonts w:ascii="Aptos" w:hAnsi="Aptos"/>
                <w:b w:val="0"/>
                <w:sz w:val="15"/>
              </w:rPr>
              <w:t>Abstain or use clearly identified reduced-function mode</w:t>
            </w:r>
          </w:p>
        </w:tc>
      </w:tr>
      <w:tr>
        <w:trPr>
          <w:cantSplit/>
        </w:trPr>
        <w:tc>
          <w:tcPr>
            <w:tcW w:type="dxa" w:w="3168"/>
            <w:vAlign w:val="center"/>
            <w:shd w:fill="F3F6F7"/>
          </w:tcPr>
          <w:p>
            <w:pPr>
              <w:spacing w:after="0"/>
            </w:pPr>
            <w:r/>
            <w:r>
              <w:rPr>
                <w:rFonts w:ascii="Aptos" w:hAnsi="Aptos"/>
                <w:b w:val="0"/>
                <w:sz w:val="15"/>
              </w:rPr>
              <w:t>Monitoring outage</w:t>
            </w:r>
          </w:p>
        </w:tc>
        <w:tc>
          <w:tcPr>
            <w:tcW w:type="dxa" w:w="6480"/>
            <w:vAlign w:val="center"/>
            <w:shd w:fill="F3F6F7"/>
          </w:tcPr>
          <w:p>
            <w:pPr>
              <w:spacing w:after="0"/>
            </w:pPr>
            <w:r/>
            <w:r>
              <w:rPr>
                <w:rFonts w:ascii="Aptos" w:hAnsi="Aptos"/>
                <w:b w:val="0"/>
                <w:sz w:val="15"/>
              </w:rPr>
              <w:t>Pause expansion, restrict consequential actions or revert</w:t>
            </w:r>
          </w:p>
        </w:tc>
      </w:tr>
      <w:tr>
        <w:trPr>
          <w:cantSplit/>
        </w:trPr>
        <w:tc>
          <w:tcPr>
            <w:tcW w:type="dxa" w:w="3168"/>
            <w:vAlign w:val="center"/>
          </w:tcPr>
          <w:p>
            <w:pPr>
              <w:spacing w:after="0"/>
            </w:pPr>
            <w:r/>
            <w:r>
              <w:rPr>
                <w:rFonts w:ascii="Aptos" w:hAnsi="Aptos"/>
                <w:b w:val="0"/>
                <w:sz w:val="15"/>
              </w:rPr>
              <w:t>Supplier behavior change</w:t>
            </w:r>
          </w:p>
        </w:tc>
        <w:tc>
          <w:tcPr>
            <w:tcW w:type="dxa" w:w="6480"/>
            <w:vAlign w:val="center"/>
          </w:tcPr>
          <w:p>
            <w:pPr>
              <w:spacing w:after="0"/>
            </w:pPr>
            <w:r/>
            <w:r>
              <w:rPr>
                <w:rFonts w:ascii="Aptos" w:hAnsi="Aptos"/>
                <w:b w:val="0"/>
                <w:sz w:val="15"/>
              </w:rPr>
              <w:t>Canary comparison, anomaly detection and provider switch</w:t>
            </w:r>
          </w:p>
        </w:tc>
      </w:tr>
      <w:tr>
        <w:trPr>
          <w:cantSplit/>
        </w:trPr>
        <w:tc>
          <w:tcPr>
            <w:tcW w:type="dxa" w:w="3168"/>
            <w:vAlign w:val="center"/>
            <w:shd w:fill="F3F6F7"/>
          </w:tcPr>
          <w:p>
            <w:pPr>
              <w:spacing w:after="0"/>
            </w:pPr>
            <w:r/>
            <w:r>
              <w:rPr>
                <w:rFonts w:ascii="Aptos" w:hAnsi="Aptos"/>
                <w:b w:val="0"/>
                <w:sz w:val="15"/>
              </w:rPr>
              <w:t>Data corruption</w:t>
            </w:r>
          </w:p>
        </w:tc>
        <w:tc>
          <w:tcPr>
            <w:tcW w:type="dxa" w:w="6480"/>
            <w:vAlign w:val="center"/>
            <w:shd w:fill="F3F6F7"/>
          </w:tcPr>
          <w:p>
            <w:pPr>
              <w:spacing w:after="0"/>
            </w:pPr>
            <w:r/>
            <w:r>
              <w:rPr>
                <w:rFonts w:ascii="Aptos" w:hAnsi="Aptos"/>
                <w:b w:val="0"/>
                <w:sz w:val="15"/>
              </w:rPr>
              <w:t>Integrity verification, restore and re-index from approved sources</w:t>
            </w:r>
          </w:p>
        </w:tc>
      </w:tr>
      <w:tr>
        <w:trPr>
          <w:cantSplit/>
        </w:trPr>
        <w:tc>
          <w:tcPr>
            <w:tcW w:type="dxa" w:w="3168"/>
            <w:vAlign w:val="center"/>
          </w:tcPr>
          <w:p>
            <w:pPr>
              <w:spacing w:after="0"/>
            </w:pPr>
            <w:r/>
            <w:r>
              <w:rPr>
                <w:rFonts w:ascii="Aptos" w:hAnsi="Aptos"/>
                <w:b w:val="0"/>
                <w:sz w:val="15"/>
              </w:rPr>
              <w:t>Agent runaway</w:t>
            </w:r>
          </w:p>
        </w:tc>
        <w:tc>
          <w:tcPr>
            <w:tcW w:type="dxa" w:w="6480"/>
            <w:vAlign w:val="center"/>
          </w:tcPr>
          <w:p>
            <w:pPr>
              <w:spacing w:after="0"/>
            </w:pPr>
            <w:r/>
            <w:r>
              <w:rPr>
                <w:rFonts w:ascii="Aptos" w:hAnsi="Aptos"/>
                <w:b w:val="0"/>
                <w:sz w:val="15"/>
              </w:rPr>
              <w:t>Step limit, circuit breaker, credential revocation and state rollback</w:t>
            </w:r>
          </w:p>
        </w:tc>
      </w:tr>
      <w:tr>
        <w:trPr>
          <w:cantSplit/>
        </w:trPr>
        <w:tc>
          <w:tcPr>
            <w:tcW w:type="dxa" w:w="3168"/>
            <w:vAlign w:val="center"/>
            <w:shd w:fill="F3F6F7"/>
          </w:tcPr>
          <w:p>
            <w:pPr>
              <w:spacing w:after="0"/>
            </w:pPr>
            <w:r/>
            <w:r>
              <w:rPr>
                <w:rFonts w:ascii="Aptos" w:hAnsi="Aptos"/>
                <w:b w:val="0"/>
                <w:sz w:val="15"/>
              </w:rPr>
              <w:t>Physical control failure</w:t>
            </w:r>
          </w:p>
        </w:tc>
        <w:tc>
          <w:tcPr>
            <w:tcW w:type="dxa" w:w="6480"/>
            <w:vAlign w:val="center"/>
            <w:shd w:fill="F3F6F7"/>
          </w:tcPr>
          <w:p>
            <w:pPr>
              <w:spacing w:after="0"/>
            </w:pPr>
            <w:r/>
            <w:r>
              <w:rPr>
                <w:rFonts w:ascii="Aptos" w:hAnsi="Aptos"/>
                <w:b w:val="0"/>
                <w:sz w:val="15"/>
              </w:rPr>
              <w:t>Independent safe state, emergency stop and incident evidence</w:t>
            </w:r>
          </w:p>
        </w:tc>
      </w:tr>
    </w:tbl>
    <w:p/>
    <w:p>
      <w:pPr>
        <w:pStyle w:val="Heading1"/>
      </w:pPr>
      <w:r>
        <w:t>16. Architecture Decision Records</w:t>
      </w:r>
    </w:p>
    <w:p>
      <w:r>
        <w:t>Material architecture decisions should be documented using an Architecture Decision Record (ADR).</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ADR field</w:t>
            </w:r>
          </w:p>
        </w:tc>
        <w:tc>
          <w:tcPr>
            <w:tcW w:type="dxa" w:w="7200"/>
            <w:vAlign w:val="center"/>
            <w:shd w:fill="17324D"/>
          </w:tcPr>
          <w:p>
            <w:pPr>
              <w:spacing w:after="0"/>
            </w:pPr>
            <w:r/>
            <w:r>
              <w:rPr>
                <w:rFonts w:ascii="Aptos" w:hAnsi="Aptos"/>
                <w:b/>
                <w:color w:val="FFFFFF"/>
                <w:sz w:val="15"/>
              </w:rPr>
              <w:t>Required content</w:t>
            </w:r>
          </w:p>
        </w:tc>
      </w:tr>
      <w:tr>
        <w:trPr>
          <w:cantSplit/>
        </w:trPr>
        <w:tc>
          <w:tcPr>
            <w:tcW w:type="dxa" w:w="2448"/>
            <w:vAlign w:val="center"/>
          </w:tcPr>
          <w:p>
            <w:pPr>
              <w:spacing w:after="0"/>
            </w:pPr>
            <w:r/>
            <w:r>
              <w:rPr>
                <w:rFonts w:ascii="Aptos" w:hAnsi="Aptos"/>
                <w:b w:val="0"/>
                <w:sz w:val="15"/>
              </w:rPr>
              <w:t>Decision ID</w:t>
            </w:r>
          </w:p>
        </w:tc>
        <w:tc>
          <w:tcPr>
            <w:tcW w:type="dxa" w:w="7200"/>
            <w:vAlign w:val="center"/>
          </w:tcPr>
          <w:p>
            <w:pPr>
              <w:spacing w:after="0"/>
            </w:pPr>
            <w:r/>
            <w:r>
              <w:rPr>
                <w:rFonts w:ascii="Aptos" w:hAnsi="Aptos"/>
                <w:b w:val="0"/>
                <w:sz w:val="15"/>
              </w:rPr>
              <w:t>Unique identifier</w:t>
            </w:r>
          </w:p>
        </w:tc>
      </w:tr>
      <w:tr>
        <w:trPr>
          <w:cantSplit/>
        </w:trPr>
        <w:tc>
          <w:tcPr>
            <w:tcW w:type="dxa" w:w="2448"/>
            <w:vAlign w:val="center"/>
            <w:shd w:fill="F3F6F7"/>
          </w:tcPr>
          <w:p>
            <w:pPr>
              <w:spacing w:after="0"/>
            </w:pPr>
            <w:r/>
            <w:r>
              <w:rPr>
                <w:rFonts w:ascii="Aptos" w:hAnsi="Aptos"/>
                <w:b w:val="0"/>
                <w:sz w:val="15"/>
              </w:rPr>
              <w:t>Context</w:t>
            </w:r>
          </w:p>
        </w:tc>
        <w:tc>
          <w:tcPr>
            <w:tcW w:type="dxa" w:w="7200"/>
            <w:vAlign w:val="center"/>
            <w:shd w:fill="F3F6F7"/>
          </w:tcPr>
          <w:p>
            <w:pPr>
              <w:spacing w:after="0"/>
            </w:pPr>
            <w:r/>
            <w:r>
              <w:rPr>
                <w:rFonts w:ascii="Aptos" w:hAnsi="Aptos"/>
                <w:b w:val="0"/>
                <w:sz w:val="15"/>
              </w:rPr>
              <w:t>System, risk and constraints</w:t>
            </w:r>
          </w:p>
        </w:tc>
      </w:tr>
      <w:tr>
        <w:trPr>
          <w:cantSplit/>
        </w:trPr>
        <w:tc>
          <w:tcPr>
            <w:tcW w:type="dxa" w:w="2448"/>
            <w:vAlign w:val="center"/>
          </w:tcPr>
          <w:p>
            <w:pPr>
              <w:spacing w:after="0"/>
            </w:pPr>
            <w:r/>
            <w:r>
              <w:rPr>
                <w:rFonts w:ascii="Aptos" w:hAnsi="Aptos"/>
                <w:b w:val="0"/>
                <w:sz w:val="15"/>
              </w:rPr>
              <w:t>Decision</w:t>
            </w:r>
          </w:p>
        </w:tc>
        <w:tc>
          <w:tcPr>
            <w:tcW w:type="dxa" w:w="7200"/>
            <w:vAlign w:val="center"/>
          </w:tcPr>
          <w:p>
            <w:pPr>
              <w:spacing w:after="0"/>
            </w:pPr>
            <w:r/>
            <w:r>
              <w:rPr>
                <w:rFonts w:ascii="Aptos" w:hAnsi="Aptos"/>
                <w:b w:val="0"/>
                <w:sz w:val="15"/>
              </w:rPr>
              <w:t>Selected architecture or pattern</w:t>
            </w:r>
          </w:p>
        </w:tc>
      </w:tr>
      <w:tr>
        <w:trPr>
          <w:cantSplit/>
        </w:trPr>
        <w:tc>
          <w:tcPr>
            <w:tcW w:type="dxa" w:w="2448"/>
            <w:vAlign w:val="center"/>
            <w:shd w:fill="F3F6F7"/>
          </w:tcPr>
          <w:p>
            <w:pPr>
              <w:spacing w:after="0"/>
            </w:pPr>
            <w:r/>
            <w:r>
              <w:rPr>
                <w:rFonts w:ascii="Aptos" w:hAnsi="Aptos"/>
                <w:b w:val="0"/>
                <w:sz w:val="15"/>
              </w:rPr>
              <w:t>Alternatives</w:t>
            </w:r>
          </w:p>
        </w:tc>
        <w:tc>
          <w:tcPr>
            <w:tcW w:type="dxa" w:w="7200"/>
            <w:vAlign w:val="center"/>
            <w:shd w:fill="F3F6F7"/>
          </w:tcPr>
          <w:p>
            <w:pPr>
              <w:spacing w:after="0"/>
            </w:pPr>
            <w:r/>
            <w:r>
              <w:rPr>
                <w:rFonts w:ascii="Aptos" w:hAnsi="Aptos"/>
                <w:b w:val="0"/>
                <w:sz w:val="15"/>
              </w:rPr>
              <w:t>Options considered</w:t>
            </w:r>
          </w:p>
        </w:tc>
      </w:tr>
      <w:tr>
        <w:trPr>
          <w:cantSplit/>
        </w:trPr>
        <w:tc>
          <w:tcPr>
            <w:tcW w:type="dxa" w:w="2448"/>
            <w:vAlign w:val="center"/>
          </w:tcPr>
          <w:p>
            <w:pPr>
              <w:spacing w:after="0"/>
            </w:pPr>
            <w:r/>
            <w:r>
              <w:rPr>
                <w:rFonts w:ascii="Aptos" w:hAnsi="Aptos"/>
                <w:b w:val="0"/>
                <w:sz w:val="15"/>
              </w:rPr>
              <w:t>Rationale</w:t>
            </w:r>
          </w:p>
        </w:tc>
        <w:tc>
          <w:tcPr>
            <w:tcW w:type="dxa" w:w="7200"/>
            <w:vAlign w:val="center"/>
          </w:tcPr>
          <w:p>
            <w:pPr>
              <w:spacing w:after="0"/>
            </w:pPr>
            <w:r/>
            <w:r>
              <w:rPr>
                <w:rFonts w:ascii="Aptos" w:hAnsi="Aptos"/>
                <w:b w:val="0"/>
                <w:sz w:val="15"/>
              </w:rPr>
              <w:t>Why the decision was selected</w:t>
            </w:r>
          </w:p>
        </w:tc>
      </w:tr>
      <w:tr>
        <w:trPr>
          <w:cantSplit/>
        </w:trPr>
        <w:tc>
          <w:tcPr>
            <w:tcW w:type="dxa" w:w="2448"/>
            <w:vAlign w:val="center"/>
            <w:shd w:fill="F3F6F7"/>
          </w:tcPr>
          <w:p>
            <w:pPr>
              <w:spacing w:after="0"/>
            </w:pPr>
            <w:r/>
            <w:r>
              <w:rPr>
                <w:rFonts w:ascii="Aptos" w:hAnsi="Aptos"/>
                <w:b w:val="0"/>
                <w:sz w:val="15"/>
              </w:rPr>
              <w:t>GAISSF controls</w:t>
            </w:r>
          </w:p>
        </w:tc>
        <w:tc>
          <w:tcPr>
            <w:tcW w:type="dxa" w:w="7200"/>
            <w:vAlign w:val="center"/>
            <w:shd w:fill="F3F6F7"/>
          </w:tcPr>
          <w:p>
            <w:pPr>
              <w:spacing w:after="0"/>
            </w:pPr>
            <w:r/>
            <w:r>
              <w:rPr>
                <w:rFonts w:ascii="Aptos" w:hAnsi="Aptos"/>
                <w:b w:val="0"/>
                <w:sz w:val="15"/>
              </w:rPr>
              <w:t>Affected control IDs</w:t>
            </w:r>
          </w:p>
        </w:tc>
      </w:tr>
      <w:tr>
        <w:trPr>
          <w:cantSplit/>
        </w:trPr>
        <w:tc>
          <w:tcPr>
            <w:tcW w:type="dxa" w:w="2448"/>
            <w:vAlign w:val="center"/>
          </w:tcPr>
          <w:p>
            <w:pPr>
              <w:spacing w:after="0"/>
            </w:pPr>
            <w:r/>
            <w:r>
              <w:rPr>
                <w:rFonts w:ascii="Aptos" w:hAnsi="Aptos"/>
                <w:b w:val="0"/>
                <w:sz w:val="15"/>
              </w:rPr>
              <w:t>Assumptions</w:t>
            </w:r>
          </w:p>
        </w:tc>
        <w:tc>
          <w:tcPr>
            <w:tcW w:type="dxa" w:w="7200"/>
            <w:vAlign w:val="center"/>
          </w:tcPr>
          <w:p>
            <w:pPr>
              <w:spacing w:after="0"/>
            </w:pPr>
            <w:r/>
            <w:r>
              <w:rPr>
                <w:rFonts w:ascii="Aptos" w:hAnsi="Aptos"/>
                <w:b w:val="0"/>
                <w:sz w:val="15"/>
              </w:rPr>
              <w:t>Supplier, data, user and operating assumptions</w:t>
            </w:r>
          </w:p>
        </w:tc>
      </w:tr>
      <w:tr>
        <w:trPr>
          <w:cantSplit/>
        </w:trPr>
        <w:tc>
          <w:tcPr>
            <w:tcW w:type="dxa" w:w="2448"/>
            <w:vAlign w:val="center"/>
            <w:shd w:fill="F3F6F7"/>
          </w:tcPr>
          <w:p>
            <w:pPr>
              <w:spacing w:after="0"/>
            </w:pPr>
            <w:r/>
            <w:r>
              <w:rPr>
                <w:rFonts w:ascii="Aptos" w:hAnsi="Aptos"/>
                <w:b w:val="0"/>
                <w:sz w:val="15"/>
              </w:rPr>
              <w:t>Consequences</w:t>
            </w:r>
          </w:p>
        </w:tc>
        <w:tc>
          <w:tcPr>
            <w:tcW w:type="dxa" w:w="7200"/>
            <w:vAlign w:val="center"/>
            <w:shd w:fill="F3F6F7"/>
          </w:tcPr>
          <w:p>
            <w:pPr>
              <w:spacing w:after="0"/>
            </w:pPr>
            <w:r/>
            <w:r>
              <w:rPr>
                <w:rFonts w:ascii="Aptos" w:hAnsi="Aptos"/>
                <w:b w:val="0"/>
                <w:sz w:val="15"/>
              </w:rPr>
              <w:t>Benefits, limitations and new risks</w:t>
            </w:r>
          </w:p>
        </w:tc>
      </w:tr>
      <w:tr>
        <w:trPr>
          <w:cantSplit/>
        </w:trPr>
        <w:tc>
          <w:tcPr>
            <w:tcW w:type="dxa" w:w="2448"/>
            <w:vAlign w:val="center"/>
          </w:tcPr>
          <w:p>
            <w:pPr>
              <w:spacing w:after="0"/>
            </w:pPr>
            <w:r/>
            <w:r>
              <w:rPr>
                <w:rFonts w:ascii="Aptos" w:hAnsi="Aptos"/>
                <w:b w:val="0"/>
                <w:sz w:val="15"/>
              </w:rPr>
              <w:t>Evidence</w:t>
            </w:r>
          </w:p>
        </w:tc>
        <w:tc>
          <w:tcPr>
            <w:tcW w:type="dxa" w:w="7200"/>
            <w:vAlign w:val="center"/>
          </w:tcPr>
          <w:p>
            <w:pPr>
              <w:spacing w:after="0"/>
            </w:pPr>
            <w:r/>
            <w:r>
              <w:rPr>
                <w:rFonts w:ascii="Aptos" w:hAnsi="Aptos"/>
                <w:b w:val="0"/>
                <w:sz w:val="15"/>
              </w:rPr>
              <w:t>Design review and approval artifacts</w:t>
            </w:r>
          </w:p>
        </w:tc>
      </w:tr>
      <w:tr>
        <w:trPr>
          <w:cantSplit/>
        </w:trPr>
        <w:tc>
          <w:tcPr>
            <w:tcW w:type="dxa" w:w="2448"/>
            <w:vAlign w:val="center"/>
            <w:shd w:fill="F3F6F7"/>
          </w:tcPr>
          <w:p>
            <w:pPr>
              <w:spacing w:after="0"/>
            </w:pPr>
            <w:r/>
            <w:r>
              <w:rPr>
                <w:rFonts w:ascii="Aptos" w:hAnsi="Aptos"/>
                <w:b w:val="0"/>
                <w:sz w:val="15"/>
              </w:rPr>
              <w:t>Review trigger</w:t>
            </w:r>
          </w:p>
        </w:tc>
        <w:tc>
          <w:tcPr>
            <w:tcW w:type="dxa" w:w="7200"/>
            <w:vAlign w:val="center"/>
            <w:shd w:fill="F3F6F7"/>
          </w:tcPr>
          <w:p>
            <w:pPr>
              <w:spacing w:after="0"/>
            </w:pPr>
            <w:r/>
            <w:r>
              <w:rPr>
                <w:rFonts w:ascii="Aptos" w:hAnsi="Aptos"/>
                <w:b w:val="0"/>
                <w:sz w:val="15"/>
              </w:rPr>
              <w:t>Events requiring reconsideration</w:t>
            </w:r>
          </w:p>
        </w:tc>
      </w:tr>
    </w:tbl>
    <w:p/>
    <w:p>
      <w:pPr>
        <w:pStyle w:val="Heading1"/>
      </w:pPr>
      <w:r>
        <w:t>17. Architecture Review Method</w:t>
      </w:r>
    </w:p>
    <w:p>
      <w:pPr>
        <w:pStyle w:val="ListNumber"/>
      </w:pPr>
      <w:r>
        <w:t>Confirm system purpose, users, affected persons and consequence level.</w:t>
      </w:r>
    </w:p>
    <w:p>
      <w:pPr>
        <w:pStyle w:val="ListNumber"/>
      </w:pPr>
      <w:r>
        <w:t>Map components, data flows and trust boundaries.</w:t>
      </w:r>
    </w:p>
    <w:p>
      <w:pPr>
        <w:pStyle w:val="ListNumber"/>
      </w:pPr>
      <w:r>
        <w:t>Identify applicable GAISSF controls and sector obligations.</w:t>
      </w:r>
    </w:p>
    <w:p>
      <w:pPr>
        <w:pStyle w:val="ListNumber"/>
      </w:pPr>
      <w:r>
        <w:t>Review identity, authorization, policy and human-oversight placement.</w:t>
      </w:r>
    </w:p>
    <w:p>
      <w:pPr>
        <w:pStyle w:val="ListNumber"/>
      </w:pPr>
      <w:r>
        <w:t>Review model, data, agent, supplier and physical-safety boundaries.</w:t>
      </w:r>
    </w:p>
    <w:p>
      <w:pPr>
        <w:pStyle w:val="ListNumber"/>
      </w:pPr>
      <w:r>
        <w:t>Evaluate failure, containment, rollback and safe-state behavior.</w:t>
      </w:r>
    </w:p>
    <w:p>
      <w:pPr>
        <w:pStyle w:val="ListNumber"/>
      </w:pPr>
      <w:r>
        <w:t>Confirm telemetry, evidence and incident reconstruction capability.</w:t>
      </w:r>
    </w:p>
    <w:p>
      <w:pPr>
        <w:pStyle w:val="ListNumber"/>
      </w:pPr>
      <w:r>
        <w:t>Record gaps, assumptions and approved decisions.</w:t>
      </w:r>
    </w:p>
    <w:p>
      <w:pPr>
        <w:pStyle w:val="Heading1"/>
      </w:pPr>
      <w:r>
        <w:t>18. Reference Architecture Selection Guide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888"/>
            <w:vAlign w:val="center"/>
            <w:shd w:fill="17324D"/>
          </w:tcPr>
          <w:p>
            <w:pPr>
              <w:spacing w:after="0"/>
            </w:pPr>
            <w:r/>
            <w:r>
              <w:rPr>
                <w:rFonts w:ascii="Aptos" w:hAnsi="Aptos"/>
                <w:b/>
                <w:color w:val="FFFFFF"/>
                <w:sz w:val="15"/>
              </w:rPr>
              <w:t>System characteristic</w:t>
            </w:r>
          </w:p>
        </w:tc>
        <w:tc>
          <w:tcPr>
            <w:tcW w:type="dxa" w:w="5760"/>
            <w:vAlign w:val="center"/>
            <w:shd w:fill="17324D"/>
          </w:tcPr>
          <w:p>
            <w:pPr>
              <w:spacing w:after="0"/>
            </w:pPr>
            <w:r/>
            <w:r>
              <w:rPr>
                <w:rFonts w:ascii="Aptos" w:hAnsi="Aptos"/>
                <w:b/>
                <w:color w:val="FFFFFF"/>
                <w:sz w:val="15"/>
              </w:rPr>
              <w:t>Recommended starting pattern</w:t>
            </w:r>
          </w:p>
        </w:tc>
      </w:tr>
      <w:tr>
        <w:trPr>
          <w:cantSplit/>
        </w:trPr>
        <w:tc>
          <w:tcPr>
            <w:tcW w:type="dxa" w:w="3888"/>
            <w:vAlign w:val="center"/>
          </w:tcPr>
          <w:p>
            <w:pPr>
              <w:spacing w:after="0"/>
            </w:pPr>
            <w:r/>
            <w:r>
              <w:rPr>
                <w:rFonts w:ascii="Aptos" w:hAnsi="Aptos"/>
                <w:b w:val="0"/>
                <w:sz w:val="15"/>
              </w:rPr>
              <w:t>Many applications and providers</w:t>
            </w:r>
          </w:p>
        </w:tc>
        <w:tc>
          <w:tcPr>
            <w:tcW w:type="dxa" w:w="5760"/>
            <w:vAlign w:val="center"/>
          </w:tcPr>
          <w:p>
            <w:pPr>
              <w:spacing w:after="0"/>
            </w:pPr>
            <w:r/>
            <w:r>
              <w:rPr>
                <w:rFonts w:ascii="Aptos" w:hAnsi="Aptos"/>
                <w:b w:val="0"/>
                <w:sz w:val="15"/>
              </w:rPr>
              <w:t>Enterprise AI Gateway</w:t>
            </w:r>
          </w:p>
        </w:tc>
      </w:tr>
      <w:tr>
        <w:trPr>
          <w:cantSplit/>
        </w:trPr>
        <w:tc>
          <w:tcPr>
            <w:tcW w:type="dxa" w:w="3888"/>
            <w:vAlign w:val="center"/>
            <w:shd w:fill="F3F6F7"/>
          </w:tcPr>
          <w:p>
            <w:pPr>
              <w:spacing w:after="0"/>
            </w:pPr>
            <w:r/>
            <w:r>
              <w:rPr>
                <w:rFonts w:ascii="Aptos" w:hAnsi="Aptos"/>
                <w:b w:val="0"/>
                <w:sz w:val="15"/>
              </w:rPr>
              <w:t>Knowledge-grounded assistant</w:t>
            </w:r>
          </w:p>
        </w:tc>
        <w:tc>
          <w:tcPr>
            <w:tcW w:type="dxa" w:w="5760"/>
            <w:vAlign w:val="center"/>
            <w:shd w:fill="F3F6F7"/>
          </w:tcPr>
          <w:p>
            <w:pPr>
              <w:spacing w:after="0"/>
            </w:pPr>
            <w:r/>
            <w:r>
              <w:rPr>
                <w:rFonts w:ascii="Aptos" w:hAnsi="Aptos"/>
                <w:b w:val="0"/>
                <w:sz w:val="15"/>
              </w:rPr>
              <w:t>Retrieval-Augmented Generation</w:t>
            </w:r>
          </w:p>
        </w:tc>
      </w:tr>
      <w:tr>
        <w:trPr>
          <w:cantSplit/>
        </w:trPr>
        <w:tc>
          <w:tcPr>
            <w:tcW w:type="dxa" w:w="3888"/>
            <w:vAlign w:val="center"/>
          </w:tcPr>
          <w:p>
            <w:pPr>
              <w:spacing w:after="0"/>
            </w:pPr>
            <w:r/>
            <w:r>
              <w:rPr>
                <w:rFonts w:ascii="Aptos" w:hAnsi="Aptos"/>
                <w:b w:val="0"/>
                <w:sz w:val="15"/>
              </w:rPr>
              <w:t>Autonomous or multi-step tool use</w:t>
            </w:r>
          </w:p>
        </w:tc>
        <w:tc>
          <w:tcPr>
            <w:tcW w:type="dxa" w:w="5760"/>
            <w:vAlign w:val="center"/>
          </w:tcPr>
          <w:p>
            <w:pPr>
              <w:spacing w:after="0"/>
            </w:pPr>
            <w:r/>
            <w:r>
              <w:rPr>
                <w:rFonts w:ascii="Aptos" w:hAnsi="Aptos"/>
                <w:b w:val="0"/>
                <w:sz w:val="15"/>
              </w:rPr>
              <w:t>Agentic AI with Tool Use</w:t>
            </w:r>
          </w:p>
        </w:tc>
      </w:tr>
      <w:tr>
        <w:trPr>
          <w:cantSplit/>
        </w:trPr>
        <w:tc>
          <w:tcPr>
            <w:tcW w:type="dxa" w:w="3888"/>
            <w:vAlign w:val="center"/>
            <w:shd w:fill="F3F6F7"/>
          </w:tcPr>
          <w:p>
            <w:pPr>
              <w:spacing w:after="0"/>
            </w:pPr>
            <w:r/>
            <w:r>
              <w:rPr>
                <w:rFonts w:ascii="Aptos" w:hAnsi="Aptos"/>
                <w:b w:val="0"/>
                <w:sz w:val="15"/>
              </w:rPr>
              <w:t>Organization trains or hosts models</w:t>
            </w:r>
          </w:p>
        </w:tc>
        <w:tc>
          <w:tcPr>
            <w:tcW w:type="dxa" w:w="5760"/>
            <w:vAlign w:val="center"/>
            <w:shd w:fill="F3F6F7"/>
          </w:tcPr>
          <w:p>
            <w:pPr>
              <w:spacing w:after="0"/>
            </w:pPr>
            <w:r/>
            <w:r>
              <w:rPr>
                <w:rFonts w:ascii="Aptos" w:hAnsi="Aptos"/>
                <w:b w:val="0"/>
                <w:sz w:val="15"/>
              </w:rPr>
              <w:t>Private Model Platform</w:t>
            </w:r>
          </w:p>
        </w:tc>
      </w:tr>
      <w:tr>
        <w:trPr>
          <w:cantSplit/>
        </w:trPr>
        <w:tc>
          <w:tcPr>
            <w:tcW w:type="dxa" w:w="3888"/>
            <w:vAlign w:val="center"/>
          </w:tcPr>
          <w:p>
            <w:pPr>
              <w:spacing w:after="0"/>
            </w:pPr>
            <w:r/>
            <w:r>
              <w:rPr>
                <w:rFonts w:ascii="Aptos" w:hAnsi="Aptos"/>
                <w:b w:val="0"/>
                <w:sz w:val="15"/>
              </w:rPr>
              <w:t>Predominantly third-party model APIs</w:t>
            </w:r>
          </w:p>
        </w:tc>
        <w:tc>
          <w:tcPr>
            <w:tcW w:type="dxa" w:w="5760"/>
            <w:vAlign w:val="center"/>
          </w:tcPr>
          <w:p>
            <w:pPr>
              <w:spacing w:after="0"/>
            </w:pPr>
            <w:r/>
            <w:r>
              <w:rPr>
                <w:rFonts w:ascii="Aptos" w:hAnsi="Aptos"/>
                <w:b w:val="0"/>
                <w:sz w:val="15"/>
              </w:rPr>
              <w:t>External Model Service</w:t>
            </w:r>
          </w:p>
        </w:tc>
      </w:tr>
      <w:tr>
        <w:trPr>
          <w:cantSplit/>
        </w:trPr>
        <w:tc>
          <w:tcPr>
            <w:tcW w:type="dxa" w:w="3888"/>
            <w:vAlign w:val="center"/>
            <w:shd w:fill="F3F6F7"/>
          </w:tcPr>
          <w:p>
            <w:pPr>
              <w:spacing w:after="0"/>
            </w:pPr>
            <w:r/>
            <w:r>
              <w:rPr>
                <w:rFonts w:ascii="Aptos" w:hAnsi="Aptos"/>
                <w:b w:val="0"/>
                <w:sz w:val="15"/>
              </w:rPr>
              <w:t>Intermittent connectivity or embedded device</w:t>
            </w:r>
          </w:p>
        </w:tc>
        <w:tc>
          <w:tcPr>
            <w:tcW w:type="dxa" w:w="5760"/>
            <w:vAlign w:val="center"/>
            <w:shd w:fill="F3F6F7"/>
          </w:tcPr>
          <w:p>
            <w:pPr>
              <w:spacing w:after="0"/>
            </w:pPr>
            <w:r/>
            <w:r>
              <w:rPr>
                <w:rFonts w:ascii="Aptos" w:hAnsi="Aptos"/>
                <w:b w:val="0"/>
                <w:sz w:val="15"/>
              </w:rPr>
              <w:t>Edge and Offline AI</w:t>
            </w:r>
          </w:p>
        </w:tc>
      </w:tr>
      <w:tr>
        <w:trPr>
          <w:cantSplit/>
        </w:trPr>
        <w:tc>
          <w:tcPr>
            <w:tcW w:type="dxa" w:w="3888"/>
            <w:vAlign w:val="center"/>
          </w:tcPr>
          <w:p>
            <w:pPr>
              <w:spacing w:after="0"/>
            </w:pPr>
            <w:r/>
            <w:r>
              <w:rPr>
                <w:rFonts w:ascii="Aptos" w:hAnsi="Aptos"/>
                <w:b w:val="0"/>
                <w:sz w:val="15"/>
              </w:rPr>
              <w:t>Robotics, vehicles, machinery or actuators</w:t>
            </w:r>
          </w:p>
        </w:tc>
        <w:tc>
          <w:tcPr>
            <w:tcW w:type="dxa" w:w="5760"/>
            <w:vAlign w:val="center"/>
          </w:tcPr>
          <w:p>
            <w:pPr>
              <w:spacing w:after="0"/>
            </w:pPr>
            <w:r/>
            <w:r>
              <w:rPr>
                <w:rFonts w:ascii="Aptos" w:hAnsi="Aptos"/>
                <w:b w:val="0"/>
                <w:sz w:val="15"/>
              </w:rPr>
              <w:t>Physical AI Safety Architecture</w:t>
            </w:r>
          </w:p>
        </w:tc>
      </w:tr>
    </w:tbl>
    <w:p/>
    <w:p>
      <w:pPr>
        <w:pStyle w:val="Heading1"/>
      </w:pPr>
      <w:r>
        <w:t>19. Architecture Anti-Patterns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592"/>
            <w:vAlign w:val="center"/>
            <w:shd w:fill="17324D"/>
          </w:tcPr>
          <w:p>
            <w:pPr>
              <w:spacing w:after="0"/>
            </w:pPr>
            <w:r/>
            <w:r>
              <w:rPr>
                <w:rFonts w:ascii="Aptos" w:hAnsi="Aptos"/>
                <w:b/>
                <w:color w:val="FFFFFF"/>
                <w:sz w:val="15"/>
              </w:rPr>
              <w:t>Anti-pattern</w:t>
            </w:r>
          </w:p>
        </w:tc>
        <w:tc>
          <w:tcPr>
            <w:tcW w:type="dxa" w:w="3456"/>
            <w:vAlign w:val="center"/>
            <w:shd w:fill="17324D"/>
          </w:tcPr>
          <w:p>
            <w:pPr>
              <w:spacing w:after="0"/>
            </w:pPr>
            <w:r/>
            <w:r>
              <w:rPr>
                <w:rFonts w:ascii="Aptos" w:hAnsi="Aptos"/>
                <w:b/>
                <w:color w:val="FFFFFF"/>
                <w:sz w:val="15"/>
              </w:rPr>
              <w:t>Risk</w:t>
            </w:r>
          </w:p>
        </w:tc>
        <w:tc>
          <w:tcPr>
            <w:tcW w:type="dxa" w:w="3600"/>
            <w:vAlign w:val="center"/>
            <w:shd w:fill="17324D"/>
          </w:tcPr>
          <w:p>
            <w:pPr>
              <w:spacing w:after="0"/>
            </w:pPr>
            <w:r/>
            <w:r>
              <w:rPr>
                <w:rFonts w:ascii="Aptos" w:hAnsi="Aptos"/>
                <w:b/>
                <w:color w:val="FFFFFF"/>
                <w:sz w:val="15"/>
              </w:rPr>
              <w:t>Corrective pattern</w:t>
            </w:r>
          </w:p>
        </w:tc>
      </w:tr>
      <w:tr>
        <w:trPr>
          <w:cantSplit/>
        </w:trPr>
        <w:tc>
          <w:tcPr>
            <w:tcW w:type="dxa" w:w="2592"/>
            <w:vAlign w:val="center"/>
          </w:tcPr>
          <w:p>
            <w:pPr>
              <w:spacing w:after="0"/>
            </w:pPr>
            <w:r/>
            <w:r>
              <w:rPr>
                <w:rFonts w:ascii="Aptos" w:hAnsi="Aptos"/>
                <w:b w:val="0"/>
                <w:sz w:val="15"/>
              </w:rPr>
              <w:t>Direct application-to-model access</w:t>
            </w:r>
          </w:p>
        </w:tc>
        <w:tc>
          <w:tcPr>
            <w:tcW w:type="dxa" w:w="3456"/>
            <w:vAlign w:val="center"/>
          </w:tcPr>
          <w:p>
            <w:pPr>
              <w:spacing w:after="0"/>
            </w:pPr>
            <w:r/>
            <w:r>
              <w:rPr>
                <w:rFonts w:ascii="Aptos" w:hAnsi="Aptos"/>
                <w:b w:val="0"/>
                <w:sz w:val="15"/>
              </w:rPr>
              <w:t>Policy bypass and fragmented evidence</w:t>
            </w:r>
          </w:p>
        </w:tc>
        <w:tc>
          <w:tcPr>
            <w:tcW w:type="dxa" w:w="3600"/>
            <w:vAlign w:val="center"/>
          </w:tcPr>
          <w:p>
            <w:pPr>
              <w:spacing w:after="0"/>
            </w:pPr>
            <w:r/>
            <w:r>
              <w:rPr>
                <w:rFonts w:ascii="Aptos" w:hAnsi="Aptos"/>
                <w:b w:val="0"/>
                <w:sz w:val="15"/>
              </w:rPr>
              <w:t>Mediated gateway or controlled service layer</w:t>
            </w:r>
          </w:p>
        </w:tc>
      </w:tr>
      <w:tr>
        <w:trPr>
          <w:cantSplit/>
        </w:trPr>
        <w:tc>
          <w:tcPr>
            <w:tcW w:type="dxa" w:w="2592"/>
            <w:vAlign w:val="center"/>
            <w:shd w:fill="F3F6F7"/>
          </w:tcPr>
          <w:p>
            <w:pPr>
              <w:spacing w:after="0"/>
            </w:pPr>
            <w:r/>
            <w:r>
              <w:rPr>
                <w:rFonts w:ascii="Aptos" w:hAnsi="Aptos"/>
                <w:b w:val="0"/>
                <w:sz w:val="15"/>
              </w:rPr>
              <w:t>Shared unrestricted agent credentials</w:t>
            </w:r>
          </w:p>
        </w:tc>
        <w:tc>
          <w:tcPr>
            <w:tcW w:type="dxa" w:w="3456"/>
            <w:vAlign w:val="center"/>
            <w:shd w:fill="F3F6F7"/>
          </w:tcPr>
          <w:p>
            <w:pPr>
              <w:spacing w:after="0"/>
            </w:pPr>
            <w:r/>
            <w:r>
              <w:rPr>
                <w:rFonts w:ascii="Aptos" w:hAnsi="Aptos"/>
                <w:b w:val="0"/>
                <w:sz w:val="15"/>
              </w:rPr>
              <w:t>Unbounded and unattributable actions</w:t>
            </w:r>
          </w:p>
        </w:tc>
        <w:tc>
          <w:tcPr>
            <w:tcW w:type="dxa" w:w="3600"/>
            <w:vAlign w:val="center"/>
            <w:shd w:fill="F3F6F7"/>
          </w:tcPr>
          <w:p>
            <w:pPr>
              <w:spacing w:after="0"/>
            </w:pPr>
            <w:r/>
            <w:r>
              <w:rPr>
                <w:rFonts w:ascii="Aptos" w:hAnsi="Aptos"/>
                <w:b w:val="0"/>
                <w:sz w:val="15"/>
              </w:rPr>
              <w:t>Per-agent identity and capability authorization</w:t>
            </w:r>
          </w:p>
        </w:tc>
      </w:tr>
      <w:tr>
        <w:trPr>
          <w:cantSplit/>
        </w:trPr>
        <w:tc>
          <w:tcPr>
            <w:tcW w:type="dxa" w:w="2592"/>
            <w:vAlign w:val="center"/>
          </w:tcPr>
          <w:p>
            <w:pPr>
              <w:spacing w:after="0"/>
            </w:pPr>
            <w:r/>
            <w:r>
              <w:rPr>
                <w:rFonts w:ascii="Aptos" w:hAnsi="Aptos"/>
                <w:b w:val="0"/>
                <w:sz w:val="15"/>
              </w:rPr>
              <w:t>Retrieval authorization after search</w:t>
            </w:r>
          </w:p>
        </w:tc>
        <w:tc>
          <w:tcPr>
            <w:tcW w:type="dxa" w:w="3456"/>
            <w:vAlign w:val="center"/>
          </w:tcPr>
          <w:p>
            <w:pPr>
              <w:spacing w:after="0"/>
            </w:pPr>
            <w:r/>
            <w:r>
              <w:rPr>
                <w:rFonts w:ascii="Aptos" w:hAnsi="Aptos"/>
                <w:b w:val="0"/>
                <w:sz w:val="15"/>
              </w:rPr>
              <w:t>Unauthorized content may enter context</w:t>
            </w:r>
          </w:p>
        </w:tc>
        <w:tc>
          <w:tcPr>
            <w:tcW w:type="dxa" w:w="3600"/>
            <w:vAlign w:val="center"/>
          </w:tcPr>
          <w:p>
            <w:pPr>
              <w:spacing w:after="0"/>
            </w:pPr>
            <w:r/>
            <w:r>
              <w:rPr>
                <w:rFonts w:ascii="Aptos" w:hAnsi="Aptos"/>
                <w:b w:val="0"/>
                <w:sz w:val="15"/>
              </w:rPr>
              <w:t>Authorize before retrieval</w:t>
            </w:r>
          </w:p>
        </w:tc>
      </w:tr>
      <w:tr>
        <w:trPr>
          <w:cantSplit/>
        </w:trPr>
        <w:tc>
          <w:tcPr>
            <w:tcW w:type="dxa" w:w="2592"/>
            <w:vAlign w:val="center"/>
            <w:shd w:fill="F3F6F7"/>
          </w:tcPr>
          <w:p>
            <w:pPr>
              <w:spacing w:after="0"/>
            </w:pPr>
            <w:r/>
            <w:r>
              <w:rPr>
                <w:rFonts w:ascii="Aptos" w:hAnsi="Aptos"/>
                <w:b w:val="0"/>
                <w:sz w:val="15"/>
              </w:rPr>
              <w:t>Logging only user prompts</w:t>
            </w:r>
          </w:p>
        </w:tc>
        <w:tc>
          <w:tcPr>
            <w:tcW w:type="dxa" w:w="3456"/>
            <w:vAlign w:val="center"/>
            <w:shd w:fill="F3F6F7"/>
          </w:tcPr>
          <w:p>
            <w:pPr>
              <w:spacing w:after="0"/>
            </w:pPr>
            <w:r/>
            <w:r>
              <w:rPr>
                <w:rFonts w:ascii="Aptos" w:hAnsi="Aptos"/>
                <w:b w:val="0"/>
                <w:sz w:val="15"/>
              </w:rPr>
              <w:t>Insufficient reconstruction</w:t>
            </w:r>
          </w:p>
        </w:tc>
        <w:tc>
          <w:tcPr>
            <w:tcW w:type="dxa" w:w="3600"/>
            <w:vAlign w:val="center"/>
            <w:shd w:fill="F3F6F7"/>
          </w:tcPr>
          <w:p>
            <w:pPr>
              <w:spacing w:after="0"/>
            </w:pPr>
            <w:r/>
            <w:r>
              <w:rPr>
                <w:rFonts w:ascii="Aptos" w:hAnsi="Aptos"/>
                <w:b w:val="0"/>
                <w:sz w:val="15"/>
              </w:rPr>
              <w:t>Log policy, model, sources, tools, state and outcomes</w:t>
            </w:r>
          </w:p>
        </w:tc>
      </w:tr>
      <w:tr>
        <w:trPr>
          <w:cantSplit/>
        </w:trPr>
        <w:tc>
          <w:tcPr>
            <w:tcW w:type="dxa" w:w="2592"/>
            <w:vAlign w:val="center"/>
          </w:tcPr>
          <w:p>
            <w:pPr>
              <w:spacing w:after="0"/>
            </w:pPr>
            <w:r/>
            <w:r>
              <w:rPr>
                <w:rFonts w:ascii="Aptos" w:hAnsi="Aptos"/>
                <w:b w:val="0"/>
                <w:sz w:val="15"/>
              </w:rPr>
              <w:t>Safety logic inside learned model only</w:t>
            </w:r>
          </w:p>
        </w:tc>
        <w:tc>
          <w:tcPr>
            <w:tcW w:type="dxa" w:w="3456"/>
            <w:vAlign w:val="center"/>
          </w:tcPr>
          <w:p>
            <w:pPr>
              <w:spacing w:after="0"/>
            </w:pPr>
            <w:r/>
            <w:r>
              <w:rPr>
                <w:rFonts w:ascii="Aptos" w:hAnsi="Aptos"/>
                <w:b w:val="0"/>
                <w:sz w:val="15"/>
              </w:rPr>
              <w:t>Common-mode failure</w:t>
            </w:r>
          </w:p>
        </w:tc>
        <w:tc>
          <w:tcPr>
            <w:tcW w:type="dxa" w:w="3600"/>
            <w:vAlign w:val="center"/>
          </w:tcPr>
          <w:p>
            <w:pPr>
              <w:spacing w:after="0"/>
            </w:pPr>
            <w:r/>
            <w:r>
              <w:rPr>
                <w:rFonts w:ascii="Aptos" w:hAnsi="Aptos"/>
                <w:b w:val="0"/>
                <w:sz w:val="15"/>
              </w:rPr>
              <w:t>Independent deterministic safety supervisor</w:t>
            </w:r>
          </w:p>
        </w:tc>
      </w:tr>
      <w:tr>
        <w:trPr>
          <w:cantSplit/>
        </w:trPr>
        <w:tc>
          <w:tcPr>
            <w:tcW w:type="dxa" w:w="2592"/>
            <w:vAlign w:val="center"/>
            <w:shd w:fill="F3F6F7"/>
          </w:tcPr>
          <w:p>
            <w:pPr>
              <w:spacing w:after="0"/>
            </w:pPr>
            <w:r/>
            <w:r>
              <w:rPr>
                <w:rFonts w:ascii="Aptos" w:hAnsi="Aptos"/>
                <w:b w:val="0"/>
                <w:sz w:val="15"/>
              </w:rPr>
              <w:t>Unversioned prompts and policies</w:t>
            </w:r>
          </w:p>
        </w:tc>
        <w:tc>
          <w:tcPr>
            <w:tcW w:type="dxa" w:w="3456"/>
            <w:vAlign w:val="center"/>
            <w:shd w:fill="F3F6F7"/>
          </w:tcPr>
          <w:p>
            <w:pPr>
              <w:spacing w:after="0"/>
            </w:pPr>
            <w:r/>
            <w:r>
              <w:rPr>
                <w:rFonts w:ascii="Aptos" w:hAnsi="Aptos"/>
                <w:b w:val="0"/>
                <w:sz w:val="15"/>
              </w:rPr>
              <w:t>Non-reproducible behavior</w:t>
            </w:r>
          </w:p>
        </w:tc>
        <w:tc>
          <w:tcPr>
            <w:tcW w:type="dxa" w:w="3600"/>
            <w:vAlign w:val="center"/>
            <w:shd w:fill="F3F6F7"/>
          </w:tcPr>
          <w:p>
            <w:pPr>
              <w:spacing w:after="0"/>
            </w:pPr>
            <w:r/>
            <w:r>
              <w:rPr>
                <w:rFonts w:ascii="Aptos" w:hAnsi="Aptos"/>
                <w:b w:val="0"/>
                <w:sz w:val="15"/>
              </w:rPr>
              <w:t>Controlled configuration registry</w:t>
            </w:r>
          </w:p>
        </w:tc>
      </w:tr>
      <w:tr>
        <w:trPr>
          <w:cantSplit/>
        </w:trPr>
        <w:tc>
          <w:tcPr>
            <w:tcW w:type="dxa" w:w="2592"/>
            <w:vAlign w:val="center"/>
          </w:tcPr>
          <w:p>
            <w:pPr>
              <w:spacing w:after="0"/>
            </w:pPr>
            <w:r/>
            <w:r>
              <w:rPr>
                <w:rFonts w:ascii="Aptos" w:hAnsi="Aptos"/>
                <w:b w:val="0"/>
                <w:sz w:val="15"/>
              </w:rPr>
              <w:t>Provider treated as internal trust zone</w:t>
            </w:r>
          </w:p>
        </w:tc>
        <w:tc>
          <w:tcPr>
            <w:tcW w:type="dxa" w:w="3456"/>
            <w:vAlign w:val="center"/>
          </w:tcPr>
          <w:p>
            <w:pPr>
              <w:spacing w:after="0"/>
            </w:pPr>
            <w:r/>
            <w:r>
              <w:rPr>
                <w:rFonts w:ascii="Aptos" w:hAnsi="Aptos"/>
                <w:b w:val="0"/>
                <w:sz w:val="15"/>
              </w:rPr>
              <w:t>Inherited risks become invisible</w:t>
            </w:r>
          </w:p>
        </w:tc>
        <w:tc>
          <w:tcPr>
            <w:tcW w:type="dxa" w:w="3600"/>
            <w:vAlign w:val="center"/>
          </w:tcPr>
          <w:p>
            <w:pPr>
              <w:spacing w:after="0"/>
            </w:pPr>
            <w:r/>
            <w:r>
              <w:rPr>
                <w:rFonts w:ascii="Aptos" w:hAnsi="Aptos"/>
                <w:b w:val="0"/>
                <w:sz w:val="15"/>
              </w:rPr>
              <w:t>Explicit supplier boundary</w:t>
            </w:r>
          </w:p>
        </w:tc>
      </w:tr>
      <w:tr>
        <w:trPr>
          <w:cantSplit/>
        </w:trPr>
        <w:tc>
          <w:tcPr>
            <w:tcW w:type="dxa" w:w="2592"/>
            <w:vAlign w:val="center"/>
            <w:shd w:fill="F3F6F7"/>
          </w:tcPr>
          <w:p>
            <w:pPr>
              <w:spacing w:after="0"/>
            </w:pPr>
            <w:r/>
            <w:r>
              <w:rPr>
                <w:rFonts w:ascii="Aptos" w:hAnsi="Aptos"/>
                <w:b w:val="0"/>
                <w:sz w:val="15"/>
              </w:rPr>
              <w:t>Monitoring with unrestricted write access</w:t>
            </w:r>
          </w:p>
        </w:tc>
        <w:tc>
          <w:tcPr>
            <w:tcW w:type="dxa" w:w="3456"/>
            <w:vAlign w:val="center"/>
            <w:shd w:fill="F3F6F7"/>
          </w:tcPr>
          <w:p>
            <w:pPr>
              <w:spacing w:after="0"/>
            </w:pPr>
            <w:r/>
            <w:r>
              <w:rPr>
                <w:rFonts w:ascii="Aptos" w:hAnsi="Aptos"/>
                <w:b w:val="0"/>
                <w:sz w:val="15"/>
              </w:rPr>
              <w:t>Evidence tampering risk</w:t>
            </w:r>
          </w:p>
        </w:tc>
        <w:tc>
          <w:tcPr>
            <w:tcW w:type="dxa" w:w="3600"/>
            <w:vAlign w:val="center"/>
            <w:shd w:fill="F3F6F7"/>
          </w:tcPr>
          <w:p>
            <w:pPr>
              <w:spacing w:after="0"/>
            </w:pPr>
            <w:r/>
            <w:r>
              <w:rPr>
                <w:rFonts w:ascii="Aptos" w:hAnsi="Aptos"/>
                <w:b w:val="0"/>
                <w:sz w:val="15"/>
              </w:rPr>
              <w:t>Segregated assurance plane</w:t>
            </w:r>
          </w:p>
        </w:tc>
      </w:tr>
    </w:tbl>
    <w:p/>
    <w:p>
      <w:pPr>
        <w:pStyle w:val="Heading1"/>
      </w:pPr>
      <w:r>
        <w:t>20. Limitations</w:t>
      </w:r>
    </w:p>
    <w:p>
      <w:pPr>
        <w:pStyle w:val="ListBullet"/>
      </w:pPr>
      <w:r>
        <w:t>The patterns do not represent every valid architecture.</w:t>
      </w:r>
    </w:p>
    <w:p>
      <w:pPr>
        <w:pStyle w:val="ListBullet"/>
      </w:pPr>
      <w:r>
        <w:t>A reference pattern does not determine the applicability of individual controls.</w:t>
      </w:r>
    </w:p>
    <w:p>
      <w:pPr>
        <w:pStyle w:val="ListBullet"/>
      </w:pPr>
      <w:r>
        <w:t>The diagrams are logical and do not define network topology or product configuration.</w:t>
      </w:r>
    </w:p>
    <w:p>
      <w:pPr>
        <w:pStyle w:val="ListBullet"/>
      </w:pPr>
      <w:r>
        <w:t>Sector safety standards may require architectures not shown here.</w:t>
      </w:r>
    </w:p>
    <w:p>
      <w:pPr>
        <w:pStyle w:val="ListBullet"/>
      </w:pPr>
      <w:r>
        <w:t>Architecture alone does not demonstrate operating effectiveness.</w:t>
      </w:r>
    </w:p>
    <w:p>
      <w:pPr>
        <w:pStyle w:val="Heading1"/>
      </w:pPr>
      <w:r>
        <w:t>21. Notably Absent</w:t>
      </w:r>
    </w:p>
    <w:p>
      <w:pPr>
        <w:pStyle w:val="ListBullet"/>
      </w:pPr>
      <w:r>
        <w:t>No mandated vendor, cloud provider, model or product.</w:t>
      </w:r>
    </w:p>
    <w:p>
      <w:pPr>
        <w:pStyle w:val="ListBullet"/>
      </w:pPr>
      <w:r>
        <w:t>No assumption that centralized architecture is always preferable.</w:t>
      </w:r>
    </w:p>
    <w:p>
      <w:pPr>
        <w:pStyle w:val="ListBullet"/>
      </w:pPr>
      <w:r>
        <w:t>No universal requirement to retain full prompt or output content where privacy or law prohibits it.</w:t>
      </w:r>
    </w:p>
    <w:p>
      <w:pPr>
        <w:pStyle w:val="ListBullet"/>
      </w:pPr>
      <w:r>
        <w:t>No claim that an AI gateway alone establishes GAISSF conformance.</w:t>
      </w:r>
    </w:p>
    <w:p>
      <w:pPr>
        <w:pStyle w:val="ListBullet"/>
      </w:pPr>
      <w:r>
        <w:t>No substitution for specialist safety architecture in physical AI.</w:t>
      </w:r>
    </w:p>
    <w:p>
      <w:pPr>
        <w:pStyle w:val="ListBullet"/>
      </w:pPr>
      <w:r>
        <w:t>No guarantee that architectural controls eliminate emergent behavior or unknown threats.</w:t>
      </w:r>
    </w:p>
    <w:p>
      <w:pPr>
        <w:pStyle w:val="Heading1"/>
      </w:pPr>
      <w:r>
        <w:t>Annex A — Architecture Inventory Template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Field</w:t>
            </w:r>
          </w:p>
        </w:tc>
        <w:tc>
          <w:tcPr>
            <w:tcW w:type="dxa" w:w="6624"/>
            <w:vAlign w:val="center"/>
            <w:shd w:fill="17324D"/>
          </w:tcPr>
          <w:p>
            <w:pPr>
              <w:spacing w:after="0"/>
            </w:pPr>
            <w:r/>
            <w:r>
              <w:rPr>
                <w:rFonts w:ascii="Aptos" w:hAnsi="Aptos"/>
                <w:b/>
                <w:color w:val="FFFFFF"/>
                <w:sz w:val="15"/>
              </w:rPr>
              <w:t>Entry</w:t>
            </w:r>
          </w:p>
        </w:tc>
      </w:tr>
      <w:tr>
        <w:trPr>
          <w:cantSplit/>
        </w:trPr>
        <w:tc>
          <w:tcPr>
            <w:tcW w:type="dxa" w:w="3024"/>
            <w:vAlign w:val="center"/>
          </w:tcPr>
          <w:p>
            <w:pPr>
              <w:spacing w:after="0"/>
            </w:pPr>
            <w:r/>
            <w:r>
              <w:rPr>
                <w:rFonts w:ascii="Aptos" w:hAnsi="Aptos"/>
                <w:b w:val="0"/>
                <w:sz w:val="15"/>
              </w:rPr>
              <w:t>System name</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Purpose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Owner</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Users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Model services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Data stores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Agents and tools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Suppliers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Trust boundaries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Physical interfaces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Monitoring</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Evidence repository</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Applicable controls</w:t>
            </w:r>
          </w:p>
        </w:tc>
        <w:tc>
          <w:tcPr>
            <w:tcW w:type="dxa" w:w="6624"/>
            <w:vAlign w:val="center"/>
          </w:tcPr>
          <w:p>
            <w:pPr>
              <w:spacing w:after="0"/>
            </w:pPr>
            <w:r/>
            <w:r>
              <w:rPr>
                <w:rFonts w:ascii="Aptos" w:hAnsi="Aptos"/>
                <w:b w:val="0"/>
                <w:sz w:val="15"/>
              </w:rPr>
            </w:r>
          </w:p>
        </w:tc>
      </w:tr>
    </w:tbl>
    <w:p/>
    <w:p>
      <w:pPr>
        <w:pStyle w:val="Heading1"/>
      </w:pPr>
      <w:r>
        <w:t>Annex B — Trust Boundary Record</w:t>
      </w:r>
    </w:p>
    <w:tbl>
      <w:tblPr>
        <w:tblStyle w:val="TableGrid"/>
        <w:tblW w:type="auto" w:w="0"/>
        <w:jc w:val="center"/>
        <w:tblLook w:firstColumn="1" w:firstRow="1" w:lastColumn="0" w:lastRow="0" w:noHBand="0" w:noVBand="1" w:val="04A0"/>
      </w:tblPr>
      <w:tblGrid>
        <w:gridCol w:w="1285"/>
        <w:gridCol w:w="1285"/>
        <w:gridCol w:w="1285"/>
        <w:gridCol w:w="1285"/>
        <w:gridCol w:w="1285"/>
        <w:gridCol w:w="1285"/>
        <w:gridCol w:w="1285"/>
        <w:gridCol w:w="1285"/>
      </w:tblGrid>
      <w:tr>
        <w:trPr>
          <w:tblHeader w:val="true"/>
          <w:cantSplit/>
        </w:trPr>
        <w:tc>
          <w:tcPr>
            <w:tcW w:type="dxa" w:w="1152"/>
            <w:vAlign w:val="center"/>
            <w:shd w:fill="17324D"/>
          </w:tcPr>
          <w:p>
            <w:pPr>
              <w:spacing w:after="0"/>
            </w:pPr>
            <w:r/>
            <w:r>
              <w:rPr>
                <w:rFonts w:ascii="Aptos" w:hAnsi="Aptos"/>
                <w:b/>
                <w:color w:val="FFFFFF"/>
                <w:sz w:val="15"/>
              </w:rPr>
              <w:t>Boundary ID</w:t>
            </w:r>
          </w:p>
        </w:tc>
        <w:tc>
          <w:tcPr>
            <w:tcW w:type="dxa" w:w="1440"/>
            <w:vAlign w:val="center"/>
            <w:shd w:fill="17324D"/>
          </w:tcPr>
          <w:p>
            <w:pPr>
              <w:spacing w:after="0"/>
            </w:pPr>
            <w:r/>
            <w:r>
              <w:rPr>
                <w:rFonts w:ascii="Aptos" w:hAnsi="Aptos"/>
                <w:b/>
                <w:color w:val="FFFFFF"/>
                <w:sz w:val="15"/>
              </w:rPr>
              <w:t>Source zone</w:t>
            </w:r>
          </w:p>
        </w:tc>
        <w:tc>
          <w:tcPr>
            <w:tcW w:type="dxa" w:w="1440"/>
            <w:vAlign w:val="center"/>
            <w:shd w:fill="17324D"/>
          </w:tcPr>
          <w:p>
            <w:pPr>
              <w:spacing w:after="0"/>
            </w:pPr>
            <w:r/>
            <w:r>
              <w:rPr>
                <w:rFonts w:ascii="Aptos" w:hAnsi="Aptos"/>
                <w:b/>
                <w:color w:val="FFFFFF"/>
                <w:sz w:val="15"/>
              </w:rPr>
              <w:t>Destination zone</w:t>
            </w:r>
          </w:p>
        </w:tc>
        <w:tc>
          <w:tcPr>
            <w:tcW w:type="dxa" w:w="1440"/>
            <w:vAlign w:val="center"/>
            <w:shd w:fill="17324D"/>
          </w:tcPr>
          <w:p>
            <w:pPr>
              <w:spacing w:after="0"/>
            </w:pPr>
            <w:r/>
            <w:r>
              <w:rPr>
                <w:rFonts w:ascii="Aptos" w:hAnsi="Aptos"/>
                <w:b/>
                <w:color w:val="FFFFFF"/>
                <w:sz w:val="15"/>
              </w:rPr>
              <w:t>Assets</w:t>
            </w:r>
          </w:p>
        </w:tc>
        <w:tc>
          <w:tcPr>
            <w:tcW w:type="dxa" w:w="1440"/>
            <w:vAlign w:val="center"/>
            <w:shd w:fill="17324D"/>
          </w:tcPr>
          <w:p>
            <w:pPr>
              <w:spacing w:after="0"/>
            </w:pPr>
            <w:r/>
            <w:r>
              <w:rPr>
                <w:rFonts w:ascii="Aptos" w:hAnsi="Aptos"/>
                <w:b/>
                <w:color w:val="FFFFFF"/>
                <w:sz w:val="15"/>
              </w:rPr>
              <w:t>Threats</w:t>
            </w:r>
          </w:p>
        </w:tc>
        <w:tc>
          <w:tcPr>
            <w:tcW w:type="dxa" w:w="1440"/>
            <w:vAlign w:val="center"/>
            <w:shd w:fill="17324D"/>
          </w:tcPr>
          <w:p>
            <w:pPr>
              <w:spacing w:after="0"/>
            </w:pPr>
            <w:r/>
            <w:r>
              <w:rPr>
                <w:rFonts w:ascii="Aptos" w:hAnsi="Aptos"/>
                <w:b/>
                <w:color w:val="FFFFFF"/>
                <w:sz w:val="15"/>
              </w:rPr>
              <w:t>Controls</w:t>
            </w:r>
          </w:p>
        </w:tc>
        <w:tc>
          <w:tcPr>
            <w:tcW w:type="dxa" w:w="1440"/>
            <w:vAlign w:val="center"/>
            <w:shd w:fill="17324D"/>
          </w:tcPr>
          <w:p>
            <w:pPr>
              <w:spacing w:after="0"/>
            </w:pPr>
            <w:r/>
            <w:r>
              <w:rPr>
                <w:rFonts w:ascii="Aptos" w:hAnsi="Aptos"/>
                <w:b/>
                <w:color w:val="FFFFFF"/>
                <w:sz w:val="15"/>
              </w:rPr>
              <w:t>Telemetry</w:t>
            </w:r>
          </w:p>
        </w:tc>
        <w:tc>
          <w:tcPr>
            <w:tcW w:type="dxa" w:w="1152"/>
            <w:vAlign w:val="center"/>
            <w:shd w:fill="17324D"/>
          </w:tcPr>
          <w:p>
            <w:pPr>
              <w:spacing w:after="0"/>
            </w:pPr>
            <w:r/>
            <w:r>
              <w:rPr>
                <w:rFonts w:ascii="Aptos" w:hAnsi="Aptos"/>
                <w:b/>
                <w:color w:val="FFFFFF"/>
                <w:sz w:val="15"/>
              </w:rPr>
              <w:t>Owner</w:t>
            </w:r>
          </w:p>
        </w:tc>
      </w:tr>
      <w:tr>
        <w:trPr>
          <w:cantSplit/>
        </w:trPr>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bl>
    <w:p/>
    <w:p>
      <w:pPr>
        <w:pStyle w:val="Heading1"/>
      </w:pPr>
      <w:r>
        <w:t>Annex C — Architecture Decision Record Template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Field</w:t>
            </w:r>
          </w:p>
        </w:tc>
        <w:tc>
          <w:tcPr>
            <w:tcW w:type="dxa" w:w="6624"/>
            <w:vAlign w:val="center"/>
            <w:shd w:fill="17324D"/>
          </w:tcPr>
          <w:p>
            <w:pPr>
              <w:spacing w:after="0"/>
            </w:pPr>
            <w:r/>
            <w:r>
              <w:rPr>
                <w:rFonts w:ascii="Aptos" w:hAnsi="Aptos"/>
                <w:b/>
                <w:color w:val="FFFFFF"/>
                <w:sz w:val="15"/>
              </w:rPr>
              <w:t>Entry</w:t>
            </w:r>
          </w:p>
        </w:tc>
      </w:tr>
      <w:tr>
        <w:trPr>
          <w:cantSplit/>
        </w:trPr>
        <w:tc>
          <w:tcPr>
            <w:tcW w:type="dxa" w:w="3024"/>
            <w:vAlign w:val="center"/>
          </w:tcPr>
          <w:p>
            <w:pPr>
              <w:spacing w:after="0"/>
            </w:pPr>
            <w:r/>
            <w:r>
              <w:rPr>
                <w:rFonts w:ascii="Aptos" w:hAnsi="Aptos"/>
                <w:b w:val="0"/>
                <w:sz w:val="15"/>
              </w:rPr>
              <w:t>Decision ID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Title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Context</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Decision</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Alternatives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Rationale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GAISSF controls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Assumptions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Consequences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Evidence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Approval</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Review trigger</w:t>
            </w:r>
          </w:p>
        </w:tc>
        <w:tc>
          <w:tcPr>
            <w:tcW w:type="dxa" w:w="6624"/>
            <w:vAlign w:val="center"/>
            <w:shd w:fill="F3F6F7"/>
          </w:tcPr>
          <w:p>
            <w:pPr>
              <w:spacing w:after="0"/>
            </w:pPr>
            <w:r/>
            <w:r>
              <w:rPr>
                <w:rFonts w:ascii="Aptos" w:hAnsi="Aptos"/>
                <w:b w:val="0"/>
                <w:sz w:val="15"/>
              </w:rPr>
            </w:r>
          </w:p>
        </w:tc>
      </w:tr>
    </w:tbl>
    <w:p/>
    <w:p>
      <w:pPr>
        <w:pStyle w:val="Heading1"/>
      </w:pPr>
      <w:r>
        <w:t>Annex D — Architecture Review Checklist</w:t>
      </w:r>
    </w:p>
    <w:p>
      <w:r>
        <w:t>☐ Scope and component inventory complete</w:t>
      </w:r>
    </w:p>
    <w:p>
      <w:r>
        <w:t>☐ Trust boundaries documented</w:t>
      </w:r>
    </w:p>
    <w:p>
      <w:r>
        <w:t>☐ Model and provider versions controlled</w:t>
      </w:r>
    </w:p>
    <w:p>
      <w:r>
        <w:t>☐ Data lineage and access enforced</w:t>
      </w:r>
    </w:p>
    <w:p>
      <w:r>
        <w:t>☐ Agent and tool permissions bounded</w:t>
      </w:r>
    </w:p>
    <w:p>
      <w:r>
        <w:t>☐ Human approval and override defined</w:t>
      </w:r>
    </w:p>
    <w:p>
      <w:r>
        <w:t>☐ Failure and rollback paths tested</w:t>
      </w:r>
    </w:p>
    <w:p>
      <w:r>
        <w:t>☐ Physical safe state defined where applicable</w:t>
      </w:r>
    </w:p>
    <w:p>
      <w:r>
        <w:t>☐ Telemetry supports incident reconstruction</w:t>
      </w:r>
    </w:p>
    <w:p>
      <w:r>
        <w:t>☐ Evidence repository protected</w:t>
      </w:r>
    </w:p>
    <w:p>
      <w:r>
        <w:t>☐ Supplier boundaries and assumptions recorded</w:t>
      </w:r>
    </w:p>
    <w:p>
      <w:r>
        <w:t>☐ Architecture decisions approved</w:t>
      </w:r>
    </w:p>
    <w:p>
      <w:pPr>
        <w:pStyle w:val="Heading1"/>
      </w:pPr>
      <w:r>
        <w:t>Annex E — Source Traceability</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4320"/>
            <w:vAlign w:val="center"/>
            <w:shd w:fill="17324D"/>
          </w:tcPr>
          <w:p>
            <w:pPr>
              <w:spacing w:after="0"/>
            </w:pPr>
            <w:r/>
            <w:r>
              <w:rPr>
                <w:rFonts w:ascii="Aptos" w:hAnsi="Aptos"/>
                <w:b/>
                <w:color w:val="FFFFFF"/>
                <w:sz w:val="15"/>
              </w:rPr>
              <w:t>Architecture subject</w:t>
            </w:r>
          </w:p>
        </w:tc>
        <w:tc>
          <w:tcPr>
            <w:tcW w:type="dxa" w:w="5040"/>
            <w:vAlign w:val="center"/>
            <w:shd w:fill="17324D"/>
          </w:tcPr>
          <w:p>
            <w:pPr>
              <w:spacing w:after="0"/>
            </w:pPr>
            <w:r/>
            <w:r>
              <w:rPr>
                <w:rFonts w:ascii="Aptos" w:hAnsi="Aptos"/>
                <w:b/>
                <w:color w:val="FFFFFF"/>
                <w:sz w:val="15"/>
              </w:rPr>
              <w:t>Controlled source</w:t>
            </w:r>
          </w:p>
        </w:tc>
      </w:tr>
      <w:tr>
        <w:trPr>
          <w:cantSplit/>
        </w:trPr>
        <w:tc>
          <w:tcPr>
            <w:tcW w:type="dxa" w:w="4320"/>
            <w:vAlign w:val="center"/>
          </w:tcPr>
          <w:p>
            <w:pPr>
              <w:spacing w:after="0"/>
            </w:pPr>
            <w:r/>
            <w:r>
              <w:rPr>
                <w:rFonts w:ascii="Aptos" w:hAnsi="Aptos"/>
                <w:b w:val="0"/>
                <w:sz w:val="15"/>
              </w:rPr>
              <w:t>Normative requirements</w:t>
            </w:r>
          </w:p>
        </w:tc>
        <w:tc>
          <w:tcPr>
            <w:tcW w:type="dxa" w:w="5040"/>
            <w:vAlign w:val="center"/>
          </w:tcPr>
          <w:p>
            <w:pPr>
              <w:spacing w:after="0"/>
            </w:pPr>
            <w:r/>
            <w:r>
              <w:rPr>
                <w:rFonts w:ascii="Aptos" w:hAnsi="Aptos"/>
                <w:b w:val="0"/>
                <w:sz w:val="15"/>
              </w:rPr>
              <w:t>GAISSF-NOR-001</w:t>
            </w:r>
          </w:p>
        </w:tc>
      </w:tr>
      <w:tr>
        <w:trPr>
          <w:cantSplit/>
        </w:trPr>
        <w:tc>
          <w:tcPr>
            <w:tcW w:type="dxa" w:w="4320"/>
            <w:vAlign w:val="center"/>
            <w:shd w:fill="F3F6F7"/>
          </w:tcPr>
          <w:p>
            <w:pPr>
              <w:spacing w:after="0"/>
            </w:pPr>
            <w:r/>
            <w:r>
              <w:rPr>
                <w:rFonts w:ascii="Aptos" w:hAnsi="Aptos"/>
                <w:b w:val="0"/>
                <w:sz w:val="15"/>
              </w:rPr>
              <w:t>Control records</w:t>
            </w:r>
          </w:p>
        </w:tc>
        <w:tc>
          <w:tcPr>
            <w:tcW w:type="dxa" w:w="5040"/>
            <w:vAlign w:val="center"/>
            <w:shd w:fill="F3F6F7"/>
          </w:tcPr>
          <w:p>
            <w:pPr>
              <w:spacing w:after="0"/>
            </w:pPr>
            <w:r/>
            <w:r>
              <w:rPr>
                <w:rFonts w:ascii="Aptos" w:hAnsi="Aptos"/>
                <w:b w:val="0"/>
                <w:sz w:val="15"/>
              </w:rPr>
              <w:t>GAISSF-NOR-004</w:t>
            </w:r>
          </w:p>
        </w:tc>
      </w:tr>
      <w:tr>
        <w:trPr>
          <w:cantSplit/>
        </w:trPr>
        <w:tc>
          <w:tcPr>
            <w:tcW w:type="dxa" w:w="4320"/>
            <w:vAlign w:val="center"/>
          </w:tcPr>
          <w:p>
            <w:pPr>
              <w:spacing w:after="0"/>
            </w:pPr>
            <w:r/>
            <w:r>
              <w:rPr>
                <w:rFonts w:ascii="Aptos" w:hAnsi="Aptos"/>
                <w:b w:val="0"/>
                <w:sz w:val="15"/>
              </w:rPr>
              <w:t>Terminology</w:t>
            </w:r>
          </w:p>
        </w:tc>
        <w:tc>
          <w:tcPr>
            <w:tcW w:type="dxa" w:w="5040"/>
            <w:vAlign w:val="center"/>
          </w:tcPr>
          <w:p>
            <w:pPr>
              <w:spacing w:after="0"/>
            </w:pPr>
            <w:r/>
            <w:r>
              <w:rPr>
                <w:rFonts w:ascii="Aptos" w:hAnsi="Aptos"/>
                <w:b w:val="0"/>
                <w:sz w:val="15"/>
              </w:rPr>
              <w:t>GAISSF-NOR-005</w:t>
            </w:r>
          </w:p>
        </w:tc>
      </w:tr>
      <w:tr>
        <w:trPr>
          <w:cantSplit/>
        </w:trPr>
        <w:tc>
          <w:tcPr>
            <w:tcW w:type="dxa" w:w="4320"/>
            <w:vAlign w:val="center"/>
            <w:shd w:fill="F3F6F7"/>
          </w:tcPr>
          <w:p>
            <w:pPr>
              <w:spacing w:after="0"/>
            </w:pPr>
            <w:r/>
            <w:r>
              <w:rPr>
                <w:rFonts w:ascii="Aptos" w:hAnsi="Aptos"/>
                <w:b w:val="0"/>
                <w:sz w:val="15"/>
              </w:rPr>
              <w:t>References</w:t>
            </w:r>
          </w:p>
        </w:tc>
        <w:tc>
          <w:tcPr>
            <w:tcW w:type="dxa" w:w="5040"/>
            <w:vAlign w:val="center"/>
            <w:shd w:fill="F3F6F7"/>
          </w:tcPr>
          <w:p>
            <w:pPr>
              <w:spacing w:after="0"/>
            </w:pPr>
            <w:r/>
            <w:r>
              <w:rPr>
                <w:rFonts w:ascii="Aptos" w:hAnsi="Aptos"/>
                <w:b w:val="0"/>
                <w:sz w:val="15"/>
              </w:rPr>
              <w:t>GAISSF-NOR-006</w:t>
            </w:r>
          </w:p>
        </w:tc>
      </w:tr>
      <w:tr>
        <w:trPr>
          <w:cantSplit/>
        </w:trPr>
        <w:tc>
          <w:tcPr>
            <w:tcW w:type="dxa" w:w="4320"/>
            <w:vAlign w:val="center"/>
          </w:tcPr>
          <w:p>
            <w:pPr>
              <w:spacing w:after="0"/>
            </w:pPr>
            <w:r/>
            <w:r>
              <w:rPr>
                <w:rFonts w:ascii="Aptos" w:hAnsi="Aptos"/>
                <w:b w:val="0"/>
                <w:sz w:val="15"/>
              </w:rPr>
              <w:t>Release and decisions</w:t>
            </w:r>
          </w:p>
        </w:tc>
        <w:tc>
          <w:tcPr>
            <w:tcW w:type="dxa" w:w="5040"/>
            <w:vAlign w:val="center"/>
          </w:tcPr>
          <w:p>
            <w:pPr>
              <w:spacing w:after="0"/>
            </w:pPr>
            <w:r/>
            <w:r>
              <w:rPr>
                <w:rFonts w:ascii="Aptos" w:hAnsi="Aptos"/>
                <w:b w:val="0"/>
                <w:sz w:val="15"/>
              </w:rPr>
              <w:t>GAISSF-NOR-007 and GAISSF-NOR-008</w:t>
            </w:r>
          </w:p>
        </w:tc>
      </w:tr>
      <w:tr>
        <w:trPr>
          <w:cantSplit/>
        </w:trPr>
        <w:tc>
          <w:tcPr>
            <w:tcW w:type="dxa" w:w="4320"/>
            <w:vAlign w:val="center"/>
            <w:shd w:fill="F3F6F7"/>
          </w:tcPr>
          <w:p>
            <w:pPr>
              <w:spacing w:after="0"/>
            </w:pPr>
            <w:r/>
            <w:r>
              <w:rPr>
                <w:rFonts w:ascii="Aptos" w:hAnsi="Aptos"/>
                <w:b w:val="0"/>
                <w:sz w:val="15"/>
              </w:rPr>
              <w:t>Adoption planning</w:t>
            </w:r>
          </w:p>
        </w:tc>
        <w:tc>
          <w:tcPr>
            <w:tcW w:type="dxa" w:w="5040"/>
            <w:vAlign w:val="center"/>
            <w:shd w:fill="F3F6F7"/>
          </w:tcPr>
          <w:p>
            <w:pPr>
              <w:spacing w:after="0"/>
            </w:pPr>
            <w:r/>
            <w:r>
              <w:rPr>
                <w:rFonts w:ascii="Aptos" w:hAnsi="Aptos"/>
                <w:b w:val="0"/>
                <w:sz w:val="15"/>
              </w:rPr>
              <w:t>GAISSF-IMP-009</w:t>
            </w:r>
          </w:p>
        </w:tc>
      </w:tr>
      <w:tr>
        <w:trPr>
          <w:cantSplit/>
        </w:trPr>
        <w:tc>
          <w:tcPr>
            <w:tcW w:type="dxa" w:w="4320"/>
            <w:vAlign w:val="center"/>
          </w:tcPr>
          <w:p>
            <w:pPr>
              <w:spacing w:after="0"/>
            </w:pPr>
            <w:r/>
            <w:r>
              <w:rPr>
                <w:rFonts w:ascii="Aptos" w:hAnsi="Aptos"/>
                <w:b w:val="0"/>
                <w:sz w:val="15"/>
              </w:rPr>
              <w:t>Operational workflows and evidence</w:t>
            </w:r>
          </w:p>
        </w:tc>
        <w:tc>
          <w:tcPr>
            <w:tcW w:type="dxa" w:w="5040"/>
            <w:vAlign w:val="center"/>
          </w:tcPr>
          <w:p>
            <w:pPr>
              <w:spacing w:after="0"/>
            </w:pPr>
            <w:r/>
            <w:r>
              <w:rPr>
                <w:rFonts w:ascii="Aptos" w:hAnsi="Aptos"/>
                <w:b w:val="0"/>
                <w:sz w:val="15"/>
              </w:rPr>
              <w:t>GAISSF-IMP-010</w:t>
            </w:r>
          </w:p>
        </w:tc>
      </w:tr>
      <w:tr>
        <w:trPr>
          <w:cantSplit/>
        </w:trPr>
        <w:tc>
          <w:tcPr>
            <w:tcW w:type="dxa" w:w="4320"/>
            <w:vAlign w:val="center"/>
            <w:shd w:fill="F3F6F7"/>
          </w:tcPr>
          <w:p>
            <w:pPr>
              <w:spacing w:after="0"/>
            </w:pPr>
            <w:r/>
            <w:r>
              <w:rPr>
                <w:rFonts w:ascii="Aptos" w:hAnsi="Aptos"/>
                <w:b w:val="0"/>
                <w:sz w:val="15"/>
              </w:rPr>
              <w:t>Deployment and rollback</w:t>
            </w:r>
          </w:p>
        </w:tc>
        <w:tc>
          <w:tcPr>
            <w:tcW w:type="dxa" w:w="5040"/>
            <w:vAlign w:val="center"/>
            <w:shd w:fill="F3F6F7"/>
          </w:tcPr>
          <w:p>
            <w:pPr>
              <w:spacing w:after="0"/>
            </w:pPr>
            <w:r/>
            <w:r>
              <w:rPr>
                <w:rFonts w:ascii="Aptos" w:hAnsi="Aptos"/>
                <w:b w:val="0"/>
                <w:sz w:val="15"/>
              </w:rPr>
              <w:t>GAISSF-IMP-011</w:t>
            </w:r>
          </w:p>
        </w:tc>
      </w:tr>
      <w:tr>
        <w:trPr>
          <w:cantSplit/>
        </w:trPr>
        <w:tc>
          <w:tcPr>
            <w:tcW w:type="dxa" w:w="4320"/>
            <w:vAlign w:val="center"/>
          </w:tcPr>
          <w:p>
            <w:pPr>
              <w:spacing w:after="0"/>
            </w:pPr>
            <w:r/>
            <w:r>
              <w:rPr>
                <w:rFonts w:ascii="Aptos" w:hAnsi="Aptos"/>
                <w:b w:val="0"/>
                <w:sz w:val="15"/>
              </w:rPr>
              <w:t>Migration and crosswalk treatment</w:t>
            </w:r>
          </w:p>
        </w:tc>
        <w:tc>
          <w:tcPr>
            <w:tcW w:type="dxa" w:w="5040"/>
            <w:vAlign w:val="center"/>
          </w:tcPr>
          <w:p>
            <w:pPr>
              <w:spacing w:after="0"/>
            </w:pPr>
            <w:r/>
            <w:r>
              <w:rPr>
                <w:rFonts w:ascii="Aptos" w:hAnsi="Aptos"/>
                <w:b w:val="0"/>
                <w:sz w:val="15"/>
              </w:rPr>
              <w:t>GAISSF-IMP-012</w:t>
            </w:r>
          </w:p>
        </w:tc>
      </w:tr>
    </w:tbl>
    <w:p/>
    <w:p>
      <w:pPr>
        <w:pStyle w:val="Heading1"/>
      </w:pPr>
      <w:r>
        <w:t>Annex F — Publication Record</w:t>
      </w:r>
    </w:p>
    <w:tbl>
      <w:tblPr>
        <w:tblStyle w:val="TableGrid"/>
        <w:tblW w:type="auto" w:w="0"/>
        <w:jc w:val="center"/>
        <w:tblLook w:firstColumn="1" w:firstRow="1" w:lastColumn="0" w:lastRow="0" w:noHBand="0" w:noVBand="1" w:val="04A0"/>
      </w:tblPr>
      <w:tblGrid>
        <w:gridCol w:w="2570"/>
        <w:gridCol w:w="2570"/>
        <w:gridCol w:w="2570"/>
        <w:gridCol w:w="2570"/>
      </w:tblGrid>
      <w:tr>
        <w:trPr>
          <w:tblHeader w:val="true"/>
          <w:cantSplit/>
        </w:trPr>
        <w:tc>
          <w:tcPr>
            <w:tcW w:type="dxa" w:w="1152"/>
            <w:vAlign w:val="center"/>
            <w:shd w:fill="17324D"/>
          </w:tcPr>
          <w:p>
            <w:pPr>
              <w:spacing w:after="0"/>
            </w:pPr>
            <w:r/>
            <w:r>
              <w:rPr>
                <w:rFonts w:ascii="Aptos" w:hAnsi="Aptos"/>
                <w:b/>
                <w:color w:val="FFFFFF"/>
                <w:sz w:val="15"/>
              </w:rPr>
              <w:t>Version</w:t>
            </w:r>
          </w:p>
        </w:tc>
        <w:tc>
          <w:tcPr>
            <w:tcW w:type="dxa" w:w="1728"/>
            <w:vAlign w:val="center"/>
            <w:shd w:fill="17324D"/>
          </w:tcPr>
          <w:p>
            <w:pPr>
              <w:spacing w:after="0"/>
            </w:pPr>
            <w:r/>
            <w:r>
              <w:rPr>
                <w:rFonts w:ascii="Aptos" w:hAnsi="Aptos"/>
                <w:b/>
                <w:color w:val="FFFFFF"/>
                <w:sz w:val="15"/>
              </w:rPr>
              <w:t>Date</w:t>
            </w:r>
          </w:p>
        </w:tc>
        <w:tc>
          <w:tcPr>
            <w:tcW w:type="dxa" w:w="5184"/>
            <w:vAlign w:val="center"/>
            <w:shd w:fill="17324D"/>
          </w:tcPr>
          <w:p>
            <w:pPr>
              <w:spacing w:after="0"/>
            </w:pPr>
            <w:r/>
            <w:r>
              <w:rPr>
                <w:rFonts w:ascii="Aptos" w:hAnsi="Aptos"/>
                <w:b/>
                <w:color w:val="FFFFFF"/>
                <w:sz w:val="15"/>
              </w:rPr>
              <w:t>Change</w:t>
            </w:r>
          </w:p>
        </w:tc>
        <w:tc>
          <w:tcPr>
            <w:tcW w:type="dxa" w:w="1584"/>
            <w:vAlign w:val="center"/>
            <w:shd w:fill="17324D"/>
          </w:tcPr>
          <w:p>
            <w:pPr>
              <w:spacing w:after="0"/>
            </w:pPr>
            <w:r/>
            <w:r>
              <w:rPr>
                <w:rFonts w:ascii="Aptos" w:hAnsi="Aptos"/>
                <w:b/>
                <w:color w:val="FFFFFF"/>
                <w:sz w:val="15"/>
              </w:rPr>
              <w:t>Status</w:t>
            </w:r>
          </w:p>
        </w:tc>
      </w:tr>
      <w:tr>
        <w:trPr>
          <w:cantSplit/>
        </w:trPr>
        <w:tc>
          <w:tcPr>
            <w:tcW w:type="dxa" w:w="1152"/>
            <w:vAlign w:val="center"/>
          </w:tcPr>
          <w:p>
            <w:pPr>
              <w:spacing w:after="0"/>
            </w:pPr>
            <w:r/>
            <w:r>
              <w:rPr>
                <w:rFonts w:ascii="Aptos" w:hAnsi="Aptos"/>
                <w:b w:val="0"/>
                <w:sz w:val="15"/>
              </w:rPr>
              <w:t>1.0</w:t>
            </w:r>
          </w:p>
        </w:tc>
        <w:tc>
          <w:tcPr>
            <w:tcW w:type="dxa" w:w="1728"/>
            <w:vAlign w:val="center"/>
          </w:tcPr>
          <w:p>
            <w:pPr>
              <w:spacing w:after="0"/>
            </w:pPr>
            <w:r/>
            <w:r>
              <w:rPr>
                <w:rFonts w:ascii="Aptos" w:hAnsi="Aptos"/>
                <w:b w:val="0"/>
                <w:sz w:val="15"/>
              </w:rPr>
              <w:t>29 June 2026</w:t>
            </w:r>
          </w:p>
        </w:tc>
        <w:tc>
          <w:tcPr>
            <w:tcW w:type="dxa" w:w="5184"/>
            <w:vAlign w:val="center"/>
          </w:tcPr>
          <w:p>
            <w:pPr>
              <w:spacing w:after="0"/>
            </w:pPr>
            <w:r/>
            <w:r>
              <w:rPr>
                <w:rFonts w:ascii="Aptos" w:hAnsi="Aptos"/>
                <w:b w:val="0"/>
                <w:sz w:val="15"/>
              </w:rPr>
              <w:t>Initial reference architecture for GAISSF v1.0</w:t>
            </w:r>
          </w:p>
        </w:tc>
        <w:tc>
          <w:tcPr>
            <w:tcW w:type="dxa" w:w="1584"/>
            <w:vAlign w:val="center"/>
          </w:tcPr>
          <w:p>
            <w:r>
              <w:t>Final Publication Edition</w:t>
            </w:r>
          </w:p>
        </w:tc>
      </w:tr>
    </w:tbl>
    <w:p/>
    <w:p>
      <w:pPr>
        <w:pStyle w:val="Heading1"/>
      </w:pPr>
      <w:r>
        <w:t>Controlled Profile Reconciliation Notice</w:t>
      </w:r>
    </w:p>
    <w:p>
      <w:r>
        <w:t>The Foundational profile comprises 52 controls across all nine domains, as enumerated in the controlled conformance profile. Seven controls are excluded from that profile; the exclusions are not equivalent to excluding the D9 domain.</w:t>
      </w:r>
    </w:p>
    <w:p>
      <w:r>
        <w:t>Any earlier wording that described the Foundational profile as D1-D8 only or treated the entire D9 domain as excluded is superseded by this statement and the controlled conformance profile.</w:t>
      </w:r>
    </w:p>
    <w:p>
      <w:pPr>
        <w:pStyle w:val="Heading1"/>
      </w:pPr>
      <w:r>
        <w:t>Architecture Control Catalogue</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3427"/>
            <w:vAlign w:val="center"/>
            <w:shd w:fill="17324D"/>
          </w:tcPr>
          <w:p>
            <w:pPr>
              <w:spacing w:after="0"/>
            </w:pPr>
            <w:r/>
            <w:r>
              <w:rPr>
                <w:rFonts w:ascii="Aptos" w:hAnsi="Aptos"/>
                <w:b/>
                <w:color w:val="FFFFFF"/>
                <w:sz w:val="15"/>
              </w:rPr>
              <w:t>Control plane</w:t>
            </w:r>
          </w:p>
        </w:tc>
        <w:tc>
          <w:tcPr>
            <w:tcW w:type="dxa" w:w="3427"/>
            <w:vAlign w:val="center"/>
            <w:shd w:fill="17324D"/>
          </w:tcPr>
          <w:p>
            <w:pPr>
              <w:spacing w:after="0"/>
            </w:pPr>
            <w:r/>
            <w:r>
              <w:rPr>
                <w:rFonts w:ascii="Aptos" w:hAnsi="Aptos"/>
                <w:b/>
                <w:color w:val="FFFFFF"/>
                <w:sz w:val="15"/>
              </w:rPr>
              <w:t>Required capabilities</w:t>
            </w:r>
          </w:p>
        </w:tc>
        <w:tc>
          <w:tcPr>
            <w:tcW w:type="dxa" w:w="3427"/>
            <w:vAlign w:val="center"/>
            <w:shd w:fill="17324D"/>
          </w:tcPr>
          <w:p>
            <w:pPr>
              <w:spacing w:after="0"/>
            </w:pPr>
            <w:r/>
            <w:r>
              <w:rPr>
                <w:rFonts w:ascii="Aptos" w:hAnsi="Aptos"/>
                <w:b/>
                <w:color w:val="FFFFFF"/>
                <w:sz w:val="15"/>
              </w:rPr>
              <w:t>Failure considerations</w:t>
            </w:r>
          </w:p>
        </w:tc>
      </w:tr>
      <w:tr>
        <w:trPr>
          <w:cantSplit/>
        </w:trPr>
        <w:tc>
          <w:tcPr>
            <w:tcW w:type="dxa" w:w="3427"/>
            <w:vAlign w:val="center"/>
            <w:shd w:fill="FFFFFF"/>
          </w:tcPr>
          <w:p>
            <w:pPr>
              <w:spacing w:after="0"/>
            </w:pPr>
            <w:r/>
            <w:r>
              <w:rPr>
                <w:rFonts w:ascii="Aptos" w:hAnsi="Aptos"/>
                <w:b w:val="0"/>
                <w:sz w:val="15"/>
              </w:rPr>
              <w:t>Identity</w:t>
            </w:r>
          </w:p>
        </w:tc>
        <w:tc>
          <w:tcPr>
            <w:tcW w:type="dxa" w:w="3427"/>
            <w:vAlign w:val="center"/>
            <w:shd w:fill="FFFFFF"/>
          </w:tcPr>
          <w:p>
            <w:pPr>
              <w:spacing w:after="0"/>
            </w:pPr>
            <w:r/>
            <w:r>
              <w:rPr>
                <w:rFonts w:ascii="Aptos" w:hAnsi="Aptos"/>
                <w:b w:val="0"/>
                <w:sz w:val="15"/>
              </w:rPr>
              <w:t>User, service, agent and administrator identity; strong authentication</w:t>
            </w:r>
          </w:p>
        </w:tc>
        <w:tc>
          <w:tcPr>
            <w:tcW w:type="dxa" w:w="3427"/>
            <w:vAlign w:val="center"/>
            <w:shd w:fill="FFFFFF"/>
          </w:tcPr>
          <w:p>
            <w:pPr>
              <w:spacing w:after="0"/>
            </w:pPr>
            <w:r/>
            <w:r>
              <w:rPr>
                <w:rFonts w:ascii="Aptos" w:hAnsi="Aptos"/>
                <w:b w:val="0"/>
                <w:sz w:val="15"/>
              </w:rPr>
              <w:t>Credential theft, shared identity, orphaned access</w:t>
            </w:r>
          </w:p>
        </w:tc>
      </w:tr>
      <w:tr>
        <w:trPr>
          <w:cantSplit/>
        </w:trPr>
        <w:tc>
          <w:tcPr>
            <w:tcW w:type="dxa" w:w="3427"/>
            <w:vAlign w:val="center"/>
            <w:shd w:fill="F3F6F7"/>
          </w:tcPr>
          <w:p>
            <w:pPr>
              <w:spacing w:after="0"/>
            </w:pPr>
            <w:r/>
            <w:r>
              <w:rPr>
                <w:rFonts w:ascii="Aptos" w:hAnsi="Aptos"/>
                <w:b w:val="0"/>
                <w:sz w:val="15"/>
              </w:rPr>
              <w:t>Authorization</w:t>
            </w:r>
          </w:p>
        </w:tc>
        <w:tc>
          <w:tcPr>
            <w:tcW w:type="dxa" w:w="3427"/>
            <w:vAlign w:val="center"/>
            <w:shd w:fill="F3F6F7"/>
          </w:tcPr>
          <w:p>
            <w:pPr>
              <w:spacing w:after="0"/>
            </w:pPr>
            <w:r/>
            <w:r>
              <w:rPr>
                <w:rFonts w:ascii="Aptos" w:hAnsi="Aptos"/>
                <w:b w:val="0"/>
                <w:sz w:val="15"/>
              </w:rPr>
              <w:t>Contextual policy for model, data, tool and transaction</w:t>
            </w:r>
          </w:p>
        </w:tc>
        <w:tc>
          <w:tcPr>
            <w:tcW w:type="dxa" w:w="3427"/>
            <w:vAlign w:val="center"/>
            <w:shd w:fill="F3F6F7"/>
          </w:tcPr>
          <w:p>
            <w:pPr>
              <w:spacing w:after="0"/>
            </w:pPr>
            <w:r/>
            <w:r>
              <w:rPr>
                <w:rFonts w:ascii="Aptos" w:hAnsi="Aptos"/>
                <w:b w:val="0"/>
                <w:sz w:val="15"/>
              </w:rPr>
              <w:t>Privilege escalation, policy bypass</w:t>
            </w:r>
          </w:p>
        </w:tc>
      </w:tr>
      <w:tr>
        <w:trPr>
          <w:cantSplit/>
        </w:trPr>
        <w:tc>
          <w:tcPr>
            <w:tcW w:type="dxa" w:w="3427"/>
            <w:vAlign w:val="center"/>
            <w:shd w:fill="FFFFFF"/>
          </w:tcPr>
          <w:p>
            <w:pPr>
              <w:spacing w:after="0"/>
            </w:pPr>
            <w:r/>
            <w:r>
              <w:rPr>
                <w:rFonts w:ascii="Aptos" w:hAnsi="Aptos"/>
                <w:b w:val="0"/>
                <w:sz w:val="15"/>
              </w:rPr>
              <w:t>AI mediation</w:t>
            </w:r>
          </w:p>
        </w:tc>
        <w:tc>
          <w:tcPr>
            <w:tcW w:type="dxa" w:w="3427"/>
            <w:vAlign w:val="center"/>
            <w:shd w:fill="FFFFFF"/>
          </w:tcPr>
          <w:p>
            <w:pPr>
              <w:spacing w:after="0"/>
            </w:pPr>
            <w:r/>
            <w:r>
              <w:rPr>
                <w:rFonts w:ascii="Aptos" w:hAnsi="Aptos"/>
                <w:b w:val="0"/>
                <w:sz w:val="15"/>
              </w:rPr>
              <w:t>Input, model routing, output and usage policy</w:t>
            </w:r>
          </w:p>
        </w:tc>
        <w:tc>
          <w:tcPr>
            <w:tcW w:type="dxa" w:w="3427"/>
            <w:vAlign w:val="center"/>
            <w:shd w:fill="FFFFFF"/>
          </w:tcPr>
          <w:p>
            <w:pPr>
              <w:spacing w:after="0"/>
            </w:pPr>
            <w:r/>
            <w:r>
              <w:rPr>
                <w:rFonts w:ascii="Aptos" w:hAnsi="Aptos"/>
                <w:b w:val="0"/>
                <w:sz w:val="15"/>
              </w:rPr>
              <w:t>Direct endpoint bypass, policy drift</w:t>
            </w:r>
          </w:p>
        </w:tc>
      </w:tr>
      <w:tr>
        <w:trPr>
          <w:cantSplit/>
        </w:trPr>
        <w:tc>
          <w:tcPr>
            <w:tcW w:type="dxa" w:w="3427"/>
            <w:vAlign w:val="center"/>
            <w:shd w:fill="F3F6F7"/>
          </w:tcPr>
          <w:p>
            <w:pPr>
              <w:spacing w:after="0"/>
            </w:pPr>
            <w:r/>
            <w:r>
              <w:rPr>
                <w:rFonts w:ascii="Aptos" w:hAnsi="Aptos"/>
                <w:b w:val="0"/>
                <w:sz w:val="15"/>
              </w:rPr>
              <w:t>Data protection</w:t>
            </w:r>
          </w:p>
        </w:tc>
        <w:tc>
          <w:tcPr>
            <w:tcW w:type="dxa" w:w="3427"/>
            <w:vAlign w:val="center"/>
            <w:shd w:fill="F3F6F7"/>
          </w:tcPr>
          <w:p>
            <w:pPr>
              <w:spacing w:after="0"/>
            </w:pPr>
            <w:r/>
            <w:r>
              <w:rPr>
                <w:rFonts w:ascii="Aptos" w:hAnsi="Aptos"/>
                <w:b w:val="0"/>
                <w:sz w:val="15"/>
              </w:rPr>
              <w:t>Classification, lineage, access, retention and leakage prevention</w:t>
            </w:r>
          </w:p>
        </w:tc>
        <w:tc>
          <w:tcPr>
            <w:tcW w:type="dxa" w:w="3427"/>
            <w:vAlign w:val="center"/>
            <w:shd w:fill="F3F6F7"/>
          </w:tcPr>
          <w:p>
            <w:pPr>
              <w:spacing w:after="0"/>
            </w:pPr>
            <w:r/>
            <w:r>
              <w:rPr>
                <w:rFonts w:ascii="Aptos" w:hAnsi="Aptos"/>
                <w:b w:val="0"/>
                <w:sz w:val="15"/>
              </w:rPr>
              <w:t>Poisoning, unauthorized retrieval, cross-tenant leakage</w:t>
            </w:r>
          </w:p>
        </w:tc>
      </w:tr>
      <w:tr>
        <w:trPr>
          <w:cantSplit/>
        </w:trPr>
        <w:tc>
          <w:tcPr>
            <w:tcW w:type="dxa" w:w="3427"/>
            <w:vAlign w:val="center"/>
            <w:shd w:fill="FFFFFF"/>
          </w:tcPr>
          <w:p>
            <w:pPr>
              <w:spacing w:after="0"/>
            </w:pPr>
            <w:r/>
            <w:r>
              <w:rPr>
                <w:rFonts w:ascii="Aptos" w:hAnsi="Aptos"/>
                <w:b w:val="0"/>
                <w:sz w:val="15"/>
              </w:rPr>
              <w:t>Execution isolation</w:t>
            </w:r>
          </w:p>
        </w:tc>
        <w:tc>
          <w:tcPr>
            <w:tcW w:type="dxa" w:w="3427"/>
            <w:vAlign w:val="center"/>
            <w:shd w:fill="FFFFFF"/>
          </w:tcPr>
          <w:p>
            <w:pPr>
              <w:spacing w:after="0"/>
            </w:pPr>
            <w:r/>
            <w:r>
              <w:rPr>
                <w:rFonts w:ascii="Aptos" w:hAnsi="Aptos"/>
                <w:b w:val="0"/>
                <w:sz w:val="15"/>
              </w:rPr>
              <w:t>Sandboxing, network restrictions and resource limits</w:t>
            </w:r>
          </w:p>
        </w:tc>
        <w:tc>
          <w:tcPr>
            <w:tcW w:type="dxa" w:w="3427"/>
            <w:vAlign w:val="center"/>
            <w:shd w:fill="FFFFFF"/>
          </w:tcPr>
          <w:p>
            <w:pPr>
              <w:spacing w:after="0"/>
            </w:pPr>
            <w:r/>
            <w:r>
              <w:rPr>
                <w:rFonts w:ascii="Aptos" w:hAnsi="Aptos"/>
                <w:b w:val="0"/>
                <w:sz w:val="15"/>
              </w:rPr>
              <w:t>Escape, lateral movement, uncontrolled code</w:t>
            </w:r>
          </w:p>
        </w:tc>
      </w:tr>
      <w:tr>
        <w:trPr>
          <w:cantSplit/>
        </w:trPr>
        <w:tc>
          <w:tcPr>
            <w:tcW w:type="dxa" w:w="3427"/>
            <w:vAlign w:val="center"/>
            <w:shd w:fill="F3F6F7"/>
          </w:tcPr>
          <w:p>
            <w:pPr>
              <w:spacing w:after="0"/>
            </w:pPr>
            <w:r/>
            <w:r>
              <w:rPr>
                <w:rFonts w:ascii="Aptos" w:hAnsi="Aptos"/>
                <w:b w:val="0"/>
                <w:sz w:val="15"/>
              </w:rPr>
              <w:t>Safety</w:t>
            </w:r>
          </w:p>
        </w:tc>
        <w:tc>
          <w:tcPr>
            <w:tcW w:type="dxa" w:w="3427"/>
            <w:vAlign w:val="center"/>
            <w:shd w:fill="F3F6F7"/>
          </w:tcPr>
          <w:p>
            <w:pPr>
              <w:spacing w:after="0"/>
            </w:pPr>
            <w:r/>
            <w:r>
              <w:rPr>
                <w:rFonts w:ascii="Aptos" w:hAnsi="Aptos"/>
                <w:b w:val="0"/>
                <w:sz w:val="15"/>
              </w:rPr>
              <w:t>Independent constraints, override and safe state</w:t>
            </w:r>
          </w:p>
        </w:tc>
        <w:tc>
          <w:tcPr>
            <w:tcW w:type="dxa" w:w="3427"/>
            <w:vAlign w:val="center"/>
            <w:shd w:fill="F3F6F7"/>
          </w:tcPr>
          <w:p>
            <w:pPr>
              <w:spacing w:after="0"/>
            </w:pPr>
            <w:r/>
            <w:r>
              <w:rPr>
                <w:rFonts w:ascii="Aptos" w:hAnsi="Aptos"/>
                <w:b w:val="0"/>
                <w:sz w:val="15"/>
              </w:rPr>
              <w:t>Common-mode failure, unavailable override</w:t>
            </w:r>
          </w:p>
        </w:tc>
      </w:tr>
      <w:tr>
        <w:trPr>
          <w:cantSplit/>
        </w:trPr>
        <w:tc>
          <w:tcPr>
            <w:tcW w:type="dxa" w:w="3427"/>
            <w:vAlign w:val="center"/>
            <w:shd w:fill="FFFFFF"/>
          </w:tcPr>
          <w:p>
            <w:pPr>
              <w:spacing w:after="0"/>
            </w:pPr>
            <w:r/>
            <w:r>
              <w:rPr>
                <w:rFonts w:ascii="Aptos" w:hAnsi="Aptos"/>
                <w:b w:val="0"/>
                <w:sz w:val="15"/>
              </w:rPr>
              <w:t>Observability</w:t>
            </w:r>
          </w:p>
        </w:tc>
        <w:tc>
          <w:tcPr>
            <w:tcW w:type="dxa" w:w="3427"/>
            <w:vAlign w:val="center"/>
            <w:shd w:fill="FFFFFF"/>
          </w:tcPr>
          <w:p>
            <w:pPr>
              <w:spacing w:after="0"/>
            </w:pPr>
            <w:r/>
            <w:r>
              <w:rPr>
                <w:rFonts w:ascii="Aptos" w:hAnsi="Aptos"/>
                <w:b w:val="0"/>
                <w:sz w:val="15"/>
              </w:rPr>
              <w:t>Protected logs, traces, state and decisions</w:t>
            </w:r>
          </w:p>
        </w:tc>
        <w:tc>
          <w:tcPr>
            <w:tcW w:type="dxa" w:w="3427"/>
            <w:vAlign w:val="center"/>
            <w:shd w:fill="FFFFFF"/>
          </w:tcPr>
          <w:p>
            <w:pPr>
              <w:spacing w:after="0"/>
            </w:pPr>
            <w:r/>
            <w:r>
              <w:rPr>
                <w:rFonts w:ascii="Aptos" w:hAnsi="Aptos"/>
                <w:b w:val="0"/>
                <w:sz w:val="15"/>
              </w:rPr>
              <w:t>Blind spots, tampering, missing context</w:t>
            </w:r>
          </w:p>
        </w:tc>
      </w:tr>
      <w:tr>
        <w:trPr>
          <w:cantSplit/>
        </w:trPr>
        <w:tc>
          <w:tcPr>
            <w:tcW w:type="dxa" w:w="3427"/>
            <w:vAlign w:val="center"/>
            <w:shd w:fill="F3F6F7"/>
          </w:tcPr>
          <w:p>
            <w:pPr>
              <w:spacing w:after="0"/>
            </w:pPr>
            <w:r/>
            <w:r>
              <w:rPr>
                <w:rFonts w:ascii="Aptos" w:hAnsi="Aptos"/>
                <w:b w:val="0"/>
                <w:sz w:val="15"/>
              </w:rPr>
              <w:t>Resilience</w:t>
            </w:r>
          </w:p>
        </w:tc>
        <w:tc>
          <w:tcPr>
            <w:tcW w:type="dxa" w:w="3427"/>
            <w:vAlign w:val="center"/>
            <w:shd w:fill="F3F6F7"/>
          </w:tcPr>
          <w:p>
            <w:pPr>
              <w:spacing w:after="0"/>
            </w:pPr>
            <w:r/>
            <w:r>
              <w:rPr>
                <w:rFonts w:ascii="Aptos" w:hAnsi="Aptos"/>
                <w:b w:val="0"/>
                <w:sz w:val="15"/>
              </w:rPr>
              <w:t>Fallback, degradation, rollback and continuity</w:t>
            </w:r>
          </w:p>
        </w:tc>
        <w:tc>
          <w:tcPr>
            <w:tcW w:type="dxa" w:w="3427"/>
            <w:vAlign w:val="center"/>
            <w:shd w:fill="F3F6F7"/>
          </w:tcPr>
          <w:p>
            <w:pPr>
              <w:spacing w:after="0"/>
            </w:pPr>
            <w:r/>
            <w:r>
              <w:rPr>
                <w:rFonts w:ascii="Aptos" w:hAnsi="Aptos"/>
                <w:b w:val="0"/>
                <w:sz w:val="15"/>
              </w:rPr>
              <w:t>Unsafe fallback, stale recovery state</w:t>
            </w:r>
          </w:p>
        </w:tc>
      </w:tr>
    </w:tbl>
    <w:p/>
    <w:p>
      <w:pPr>
        <w:pStyle w:val="Heading1"/>
      </w:pPr>
      <w:r>
        <w:t>Deployment Topology Variants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3427"/>
            <w:vAlign w:val="center"/>
            <w:shd w:fill="17324D"/>
          </w:tcPr>
          <w:p>
            <w:pPr>
              <w:spacing w:after="0"/>
            </w:pPr>
            <w:r/>
            <w:r>
              <w:rPr>
                <w:rFonts w:ascii="Aptos" w:hAnsi="Aptos"/>
                <w:b/>
                <w:color w:val="FFFFFF"/>
                <w:sz w:val="15"/>
              </w:rPr>
              <w:t>Topology</w:t>
            </w:r>
          </w:p>
        </w:tc>
        <w:tc>
          <w:tcPr>
            <w:tcW w:type="dxa" w:w="3427"/>
            <w:vAlign w:val="center"/>
            <w:shd w:fill="17324D"/>
          </w:tcPr>
          <w:p>
            <w:pPr>
              <w:spacing w:after="0"/>
            </w:pPr>
            <w:r/>
            <w:r>
              <w:rPr>
                <w:rFonts w:ascii="Aptos" w:hAnsi="Aptos"/>
                <w:b/>
                <w:color w:val="FFFFFF"/>
                <w:sz w:val="15"/>
              </w:rPr>
              <w:t>Advantages</w:t>
            </w:r>
          </w:p>
        </w:tc>
        <w:tc>
          <w:tcPr>
            <w:tcW w:type="dxa" w:w="3427"/>
            <w:vAlign w:val="center"/>
            <w:shd w:fill="17324D"/>
          </w:tcPr>
          <w:p>
            <w:pPr>
              <w:spacing w:after="0"/>
            </w:pPr>
            <w:r/>
            <w:r>
              <w:rPr>
                <w:rFonts w:ascii="Aptos" w:hAnsi="Aptos"/>
                <w:b/>
                <w:color w:val="FFFFFF"/>
                <w:sz w:val="15"/>
              </w:rPr>
              <w:t>Risks and controls</w:t>
            </w:r>
          </w:p>
        </w:tc>
      </w:tr>
      <w:tr>
        <w:trPr>
          <w:cantSplit/>
        </w:trPr>
        <w:tc>
          <w:tcPr>
            <w:tcW w:type="dxa" w:w="3427"/>
            <w:vAlign w:val="center"/>
            <w:shd w:fill="FFFFFF"/>
          </w:tcPr>
          <w:p>
            <w:pPr>
              <w:spacing w:after="0"/>
            </w:pPr>
            <w:r/>
            <w:r>
              <w:rPr>
                <w:rFonts w:ascii="Aptos" w:hAnsi="Aptos"/>
                <w:b w:val="0"/>
                <w:sz w:val="15"/>
              </w:rPr>
              <w:t>Centralized gateway</w:t>
            </w:r>
          </w:p>
        </w:tc>
        <w:tc>
          <w:tcPr>
            <w:tcW w:type="dxa" w:w="3427"/>
            <w:vAlign w:val="center"/>
            <w:shd w:fill="FFFFFF"/>
          </w:tcPr>
          <w:p>
            <w:pPr>
              <w:spacing w:after="0"/>
            </w:pPr>
            <w:r/>
            <w:r>
              <w:rPr>
                <w:rFonts w:ascii="Aptos" w:hAnsi="Aptos"/>
                <w:b w:val="0"/>
                <w:sz w:val="15"/>
              </w:rPr>
              <w:t>Consistent policy and evidence</w:t>
            </w:r>
          </w:p>
        </w:tc>
        <w:tc>
          <w:tcPr>
            <w:tcW w:type="dxa" w:w="3427"/>
            <w:vAlign w:val="center"/>
            <w:shd w:fill="FFFFFF"/>
          </w:tcPr>
          <w:p>
            <w:pPr>
              <w:spacing w:after="0"/>
            </w:pPr>
            <w:r/>
            <w:r>
              <w:rPr>
                <w:rFonts w:ascii="Aptos" w:hAnsi="Aptos"/>
                <w:b w:val="0"/>
                <w:sz w:val="15"/>
              </w:rPr>
              <w:t>Concentration risk; require HA and bypass prevention</w:t>
            </w:r>
          </w:p>
        </w:tc>
      </w:tr>
      <w:tr>
        <w:trPr>
          <w:cantSplit/>
        </w:trPr>
        <w:tc>
          <w:tcPr>
            <w:tcW w:type="dxa" w:w="3427"/>
            <w:vAlign w:val="center"/>
            <w:shd w:fill="F3F6F7"/>
          </w:tcPr>
          <w:p>
            <w:pPr>
              <w:spacing w:after="0"/>
            </w:pPr>
            <w:r/>
            <w:r>
              <w:rPr>
                <w:rFonts w:ascii="Aptos" w:hAnsi="Aptos"/>
                <w:b w:val="0"/>
                <w:sz w:val="15"/>
              </w:rPr>
              <w:t>Federated gateways</w:t>
            </w:r>
          </w:p>
        </w:tc>
        <w:tc>
          <w:tcPr>
            <w:tcW w:type="dxa" w:w="3427"/>
            <w:vAlign w:val="center"/>
            <w:shd w:fill="F3F6F7"/>
          </w:tcPr>
          <w:p>
            <w:pPr>
              <w:spacing w:after="0"/>
            </w:pPr>
            <w:r/>
            <w:r>
              <w:rPr>
                <w:rFonts w:ascii="Aptos" w:hAnsi="Aptos"/>
                <w:b w:val="0"/>
                <w:sz w:val="15"/>
              </w:rPr>
              <w:t>Local autonomy and jurisdiction fit</w:t>
            </w:r>
          </w:p>
        </w:tc>
        <w:tc>
          <w:tcPr>
            <w:tcW w:type="dxa" w:w="3427"/>
            <w:vAlign w:val="center"/>
            <w:shd w:fill="F3F6F7"/>
          </w:tcPr>
          <w:p>
            <w:pPr>
              <w:spacing w:after="0"/>
            </w:pPr>
            <w:r/>
            <w:r>
              <w:rPr>
                <w:rFonts w:ascii="Aptos" w:hAnsi="Aptos"/>
                <w:b w:val="0"/>
                <w:sz w:val="15"/>
              </w:rPr>
              <w:t>Policy drift; require common standards and assurance</w:t>
            </w:r>
          </w:p>
        </w:tc>
      </w:tr>
      <w:tr>
        <w:trPr>
          <w:cantSplit/>
        </w:trPr>
        <w:tc>
          <w:tcPr>
            <w:tcW w:type="dxa" w:w="3427"/>
            <w:vAlign w:val="center"/>
            <w:shd w:fill="FFFFFF"/>
          </w:tcPr>
          <w:p>
            <w:pPr>
              <w:spacing w:after="0"/>
            </w:pPr>
            <w:r/>
            <w:r>
              <w:rPr>
                <w:rFonts w:ascii="Aptos" w:hAnsi="Aptos"/>
                <w:b w:val="0"/>
                <w:sz w:val="15"/>
              </w:rPr>
              <w:t>Private isolated platform</w:t>
            </w:r>
          </w:p>
        </w:tc>
        <w:tc>
          <w:tcPr>
            <w:tcW w:type="dxa" w:w="3427"/>
            <w:vAlign w:val="center"/>
            <w:shd w:fill="FFFFFF"/>
          </w:tcPr>
          <w:p>
            <w:pPr>
              <w:spacing w:after="0"/>
            </w:pPr>
            <w:r/>
            <w:r>
              <w:rPr>
                <w:rFonts w:ascii="Aptos" w:hAnsi="Aptos"/>
                <w:b w:val="0"/>
                <w:sz w:val="15"/>
              </w:rPr>
              <w:t>Data and model control</w:t>
            </w:r>
          </w:p>
        </w:tc>
        <w:tc>
          <w:tcPr>
            <w:tcW w:type="dxa" w:w="3427"/>
            <w:vAlign w:val="center"/>
            <w:shd w:fill="FFFFFF"/>
          </w:tcPr>
          <w:p>
            <w:pPr>
              <w:spacing w:after="0"/>
            </w:pPr>
            <w:r/>
            <w:r>
              <w:rPr>
                <w:rFonts w:ascii="Aptos" w:hAnsi="Aptos"/>
                <w:b w:val="0"/>
                <w:sz w:val="15"/>
              </w:rPr>
              <w:t>Operational complexity; require specialist competence</w:t>
            </w:r>
          </w:p>
        </w:tc>
      </w:tr>
      <w:tr>
        <w:trPr>
          <w:cantSplit/>
        </w:trPr>
        <w:tc>
          <w:tcPr>
            <w:tcW w:type="dxa" w:w="3427"/>
            <w:vAlign w:val="center"/>
            <w:shd w:fill="F3F6F7"/>
          </w:tcPr>
          <w:p>
            <w:pPr>
              <w:spacing w:after="0"/>
            </w:pPr>
            <w:r/>
            <w:r>
              <w:rPr>
                <w:rFonts w:ascii="Aptos" w:hAnsi="Aptos"/>
                <w:b w:val="0"/>
                <w:sz w:val="15"/>
              </w:rPr>
              <w:t>Managed external service</w:t>
            </w:r>
          </w:p>
        </w:tc>
        <w:tc>
          <w:tcPr>
            <w:tcW w:type="dxa" w:w="3427"/>
            <w:vAlign w:val="center"/>
            <w:shd w:fill="F3F6F7"/>
          </w:tcPr>
          <w:p>
            <w:pPr>
              <w:spacing w:after="0"/>
            </w:pPr>
            <w:r/>
            <w:r>
              <w:rPr>
                <w:rFonts w:ascii="Aptos" w:hAnsi="Aptos"/>
                <w:b w:val="0"/>
                <w:sz w:val="15"/>
              </w:rPr>
              <w:t>Speed and scalability</w:t>
            </w:r>
          </w:p>
        </w:tc>
        <w:tc>
          <w:tcPr>
            <w:tcW w:type="dxa" w:w="3427"/>
            <w:vAlign w:val="center"/>
            <w:shd w:fill="F3F6F7"/>
          </w:tcPr>
          <w:p>
            <w:pPr>
              <w:spacing w:after="0"/>
            </w:pPr>
            <w:r/>
            <w:r>
              <w:rPr>
                <w:rFonts w:ascii="Aptos" w:hAnsi="Aptos"/>
                <w:b w:val="0"/>
                <w:sz w:val="15"/>
              </w:rPr>
              <w:t>Supplier opacity; require contracts, monitoring and exit</w:t>
            </w:r>
          </w:p>
        </w:tc>
      </w:tr>
      <w:tr>
        <w:trPr>
          <w:cantSplit/>
        </w:trPr>
        <w:tc>
          <w:tcPr>
            <w:tcW w:type="dxa" w:w="3427"/>
            <w:vAlign w:val="center"/>
            <w:shd w:fill="FFFFFF"/>
          </w:tcPr>
          <w:p>
            <w:pPr>
              <w:spacing w:after="0"/>
            </w:pPr>
            <w:r/>
            <w:r>
              <w:rPr>
                <w:rFonts w:ascii="Aptos" w:hAnsi="Aptos"/>
                <w:b w:val="0"/>
                <w:sz w:val="15"/>
              </w:rPr>
              <w:t>Edge/embedded</w:t>
            </w:r>
          </w:p>
        </w:tc>
        <w:tc>
          <w:tcPr>
            <w:tcW w:type="dxa" w:w="3427"/>
            <w:vAlign w:val="center"/>
            <w:shd w:fill="FFFFFF"/>
          </w:tcPr>
          <w:p>
            <w:pPr>
              <w:spacing w:after="0"/>
            </w:pPr>
            <w:r/>
            <w:r>
              <w:rPr>
                <w:rFonts w:ascii="Aptos" w:hAnsi="Aptos"/>
                <w:b w:val="0"/>
                <w:sz w:val="15"/>
              </w:rPr>
              <w:t>Low latency and offline operation</w:t>
            </w:r>
          </w:p>
        </w:tc>
        <w:tc>
          <w:tcPr>
            <w:tcW w:type="dxa" w:w="3427"/>
            <w:vAlign w:val="center"/>
            <w:shd w:fill="FFFFFF"/>
          </w:tcPr>
          <w:p>
            <w:pPr>
              <w:spacing w:after="0"/>
            </w:pPr>
            <w:r/>
            <w:r>
              <w:rPr>
                <w:rFonts w:ascii="Aptos" w:hAnsi="Aptos"/>
                <w:b w:val="0"/>
                <w:sz w:val="15"/>
              </w:rPr>
              <w:t>Update, physical access and telemetry constraints</w:t>
            </w:r>
          </w:p>
        </w:tc>
      </w:tr>
      <w:tr>
        <w:trPr>
          <w:cantSplit/>
        </w:trPr>
        <w:tc>
          <w:tcPr>
            <w:tcW w:type="dxa" w:w="3427"/>
            <w:vAlign w:val="center"/>
            <w:shd w:fill="F3F6F7"/>
          </w:tcPr>
          <w:p>
            <w:pPr>
              <w:spacing w:after="0"/>
            </w:pPr>
            <w:r/>
            <w:r>
              <w:rPr>
                <w:rFonts w:ascii="Aptos" w:hAnsi="Aptos"/>
                <w:b w:val="0"/>
                <w:sz w:val="15"/>
              </w:rPr>
              <w:t>Hybrid physical AI</w:t>
            </w:r>
          </w:p>
        </w:tc>
        <w:tc>
          <w:tcPr>
            <w:tcW w:type="dxa" w:w="3427"/>
            <w:vAlign w:val="center"/>
            <w:shd w:fill="F3F6F7"/>
          </w:tcPr>
          <w:p>
            <w:pPr>
              <w:spacing w:after="0"/>
            </w:pPr>
            <w:r/>
            <w:r>
              <w:rPr>
                <w:rFonts w:ascii="Aptos" w:hAnsi="Aptos"/>
                <w:b w:val="0"/>
                <w:sz w:val="15"/>
              </w:rPr>
              <w:t>Integrated decision and actuation</w:t>
            </w:r>
          </w:p>
        </w:tc>
        <w:tc>
          <w:tcPr>
            <w:tcW w:type="dxa" w:w="3427"/>
            <w:vAlign w:val="center"/>
            <w:shd w:fill="F3F6F7"/>
          </w:tcPr>
          <w:p>
            <w:pPr>
              <w:spacing w:after="0"/>
            </w:pPr>
            <w:r/>
            <w:r>
              <w:rPr>
                <w:rFonts w:ascii="Aptos" w:hAnsi="Aptos"/>
                <w:b w:val="0"/>
                <w:sz w:val="15"/>
              </w:rPr>
              <w:t>Safety separation and deterministic supervisor required</w:t>
            </w:r>
          </w:p>
        </w:tc>
      </w:tr>
    </w:tbl>
    <w:p/>
    <w:p>
      <w:pPr>
        <w:pStyle w:val="Heading1"/>
      </w:pPr>
      <w:r>
        <w:t>Threat Modelling Procedure</w:t>
      </w:r>
    </w:p>
    <w:p>
      <w:pPr>
        <w:pStyle w:val="ListBullet"/>
      </w:pPr>
      <w:r>
        <w:t>Define assets, users, affected persons and unacceptable outcomes.</w:t>
      </w:r>
    </w:p>
    <w:p>
      <w:pPr>
        <w:pStyle w:val="ListBullet"/>
      </w:pPr>
      <w:r>
        <w:t>Map components, data flows, trust boundaries and suppliers.</w:t>
      </w:r>
    </w:p>
    <w:p>
      <w:pPr>
        <w:pStyle w:val="ListBullet"/>
      </w:pPr>
      <w:r>
        <w:t>Identify misuse, attack, failure and hazard scenarios.</w:t>
      </w:r>
    </w:p>
    <w:p>
      <w:pPr>
        <w:pStyle w:val="ListBullet"/>
      </w:pPr>
      <w:r>
        <w:t>Place preventive, detective, corrective and recovery controls.</w:t>
      </w:r>
    </w:p>
    <w:p>
      <w:pPr>
        <w:pStyle w:val="ListBullet"/>
      </w:pPr>
      <w:r>
        <w:t>Define evidence and monitoring for each material scenario.</w:t>
      </w:r>
    </w:p>
    <w:p>
      <w:pPr>
        <w:pStyle w:val="ListBullet"/>
      </w:pPr>
      <w:r>
        <w:t>Review after material change and incident.</w:t>
      </w:r>
    </w:p>
    <w:p>
      <w:pPr>
        <w:pStyle w:val="Heading1"/>
      </w:pPr>
      <w:r>
        <w:t>Nonfunctional Requirements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5141"/>
            <w:vAlign w:val="center"/>
            <w:shd w:fill="17324D"/>
          </w:tcPr>
          <w:p>
            <w:pPr>
              <w:spacing w:after="0"/>
            </w:pPr>
            <w:r/>
            <w:r>
              <w:rPr>
                <w:rFonts w:ascii="Aptos" w:hAnsi="Aptos"/>
                <w:b/>
                <w:color w:val="FFFFFF"/>
                <w:sz w:val="15"/>
              </w:rPr>
              <w:t>Quality</w:t>
            </w:r>
          </w:p>
        </w:tc>
        <w:tc>
          <w:tcPr>
            <w:tcW w:type="dxa" w:w="5141"/>
            <w:vAlign w:val="center"/>
            <w:shd w:fill="17324D"/>
          </w:tcPr>
          <w:p>
            <w:pPr>
              <w:spacing w:after="0"/>
            </w:pPr>
            <w:r/>
            <w:r>
              <w:rPr>
                <w:rFonts w:ascii="Aptos" w:hAnsi="Aptos"/>
                <w:b/>
                <w:color w:val="FFFFFF"/>
                <w:sz w:val="15"/>
              </w:rPr>
              <w:t>Architecture requirement</w:t>
            </w:r>
          </w:p>
        </w:tc>
      </w:tr>
      <w:tr>
        <w:trPr>
          <w:cantSplit/>
        </w:trPr>
        <w:tc>
          <w:tcPr>
            <w:tcW w:type="dxa" w:w="5141"/>
            <w:vAlign w:val="center"/>
            <w:shd w:fill="FFFFFF"/>
          </w:tcPr>
          <w:p>
            <w:pPr>
              <w:spacing w:after="0"/>
            </w:pPr>
            <w:r/>
            <w:r>
              <w:rPr>
                <w:rFonts w:ascii="Aptos" w:hAnsi="Aptos"/>
                <w:b w:val="0"/>
                <w:sz w:val="15"/>
              </w:rPr>
              <w:t>Security</w:t>
            </w:r>
          </w:p>
        </w:tc>
        <w:tc>
          <w:tcPr>
            <w:tcW w:type="dxa" w:w="5141"/>
            <w:vAlign w:val="center"/>
            <w:shd w:fill="FFFFFF"/>
          </w:tcPr>
          <w:p>
            <w:pPr>
              <w:spacing w:after="0"/>
            </w:pPr>
            <w:r/>
            <w:r>
              <w:rPr>
                <w:rFonts w:ascii="Aptos" w:hAnsi="Aptos"/>
                <w:b w:val="0"/>
                <w:sz w:val="15"/>
              </w:rPr>
              <w:t>Least privilege, isolation, integrity and attack resistance</w:t>
            </w:r>
          </w:p>
        </w:tc>
      </w:tr>
      <w:tr>
        <w:trPr>
          <w:cantSplit/>
        </w:trPr>
        <w:tc>
          <w:tcPr>
            <w:tcW w:type="dxa" w:w="5141"/>
            <w:vAlign w:val="center"/>
            <w:shd w:fill="F3F6F7"/>
          </w:tcPr>
          <w:p>
            <w:pPr>
              <w:spacing w:after="0"/>
            </w:pPr>
            <w:r/>
            <w:r>
              <w:rPr>
                <w:rFonts w:ascii="Aptos" w:hAnsi="Aptos"/>
                <w:b w:val="0"/>
                <w:sz w:val="15"/>
              </w:rPr>
              <w:t>Safety</w:t>
            </w:r>
          </w:p>
        </w:tc>
        <w:tc>
          <w:tcPr>
            <w:tcW w:type="dxa" w:w="5141"/>
            <w:vAlign w:val="center"/>
            <w:shd w:fill="F3F6F7"/>
          </w:tcPr>
          <w:p>
            <w:pPr>
              <w:spacing w:after="0"/>
            </w:pPr>
            <w:r/>
            <w:r>
              <w:rPr>
                <w:rFonts w:ascii="Aptos" w:hAnsi="Aptos"/>
                <w:b w:val="0"/>
                <w:sz w:val="15"/>
              </w:rPr>
              <w:t>Bounded behavior, independent constraints and safe state</w:t>
            </w:r>
          </w:p>
        </w:tc>
      </w:tr>
      <w:tr>
        <w:trPr>
          <w:cantSplit/>
        </w:trPr>
        <w:tc>
          <w:tcPr>
            <w:tcW w:type="dxa" w:w="5141"/>
            <w:vAlign w:val="center"/>
            <w:shd w:fill="FFFFFF"/>
          </w:tcPr>
          <w:p>
            <w:pPr>
              <w:spacing w:after="0"/>
            </w:pPr>
            <w:r/>
            <w:r>
              <w:rPr>
                <w:rFonts w:ascii="Aptos" w:hAnsi="Aptos"/>
                <w:b w:val="0"/>
                <w:sz w:val="15"/>
              </w:rPr>
              <w:t>Privacy</w:t>
            </w:r>
          </w:p>
        </w:tc>
        <w:tc>
          <w:tcPr>
            <w:tcW w:type="dxa" w:w="5141"/>
            <w:vAlign w:val="center"/>
            <w:shd w:fill="FFFFFF"/>
          </w:tcPr>
          <w:p>
            <w:pPr>
              <w:spacing w:after="0"/>
            </w:pPr>
            <w:r/>
            <w:r>
              <w:rPr>
                <w:rFonts w:ascii="Aptos" w:hAnsi="Aptos"/>
                <w:b w:val="0"/>
                <w:sz w:val="15"/>
              </w:rPr>
              <w:t>Minimization, separation, retention and user rights</w:t>
            </w:r>
          </w:p>
        </w:tc>
      </w:tr>
      <w:tr>
        <w:trPr>
          <w:cantSplit/>
        </w:trPr>
        <w:tc>
          <w:tcPr>
            <w:tcW w:type="dxa" w:w="5141"/>
            <w:vAlign w:val="center"/>
            <w:shd w:fill="F3F6F7"/>
          </w:tcPr>
          <w:p>
            <w:pPr>
              <w:spacing w:after="0"/>
            </w:pPr>
            <w:r/>
            <w:r>
              <w:rPr>
                <w:rFonts w:ascii="Aptos" w:hAnsi="Aptos"/>
                <w:b w:val="0"/>
                <w:sz w:val="15"/>
              </w:rPr>
              <w:t>Reliability</w:t>
            </w:r>
          </w:p>
        </w:tc>
        <w:tc>
          <w:tcPr>
            <w:tcW w:type="dxa" w:w="5141"/>
            <w:vAlign w:val="center"/>
            <w:shd w:fill="F3F6F7"/>
          </w:tcPr>
          <w:p>
            <w:pPr>
              <w:spacing w:after="0"/>
            </w:pPr>
            <w:r/>
            <w:r>
              <w:rPr>
                <w:rFonts w:ascii="Aptos" w:hAnsi="Aptos"/>
                <w:b w:val="0"/>
                <w:sz w:val="15"/>
              </w:rPr>
              <w:t>Defined availability, error handling and recovery</w:t>
            </w:r>
          </w:p>
        </w:tc>
      </w:tr>
      <w:tr>
        <w:trPr>
          <w:cantSplit/>
        </w:trPr>
        <w:tc>
          <w:tcPr>
            <w:tcW w:type="dxa" w:w="5141"/>
            <w:vAlign w:val="center"/>
            <w:shd w:fill="FFFFFF"/>
          </w:tcPr>
          <w:p>
            <w:pPr>
              <w:spacing w:after="0"/>
            </w:pPr>
            <w:r/>
            <w:r>
              <w:rPr>
                <w:rFonts w:ascii="Aptos" w:hAnsi="Aptos"/>
                <w:b w:val="0"/>
                <w:sz w:val="15"/>
              </w:rPr>
              <w:t>Observability</w:t>
            </w:r>
          </w:p>
        </w:tc>
        <w:tc>
          <w:tcPr>
            <w:tcW w:type="dxa" w:w="5141"/>
            <w:vAlign w:val="center"/>
            <w:shd w:fill="FFFFFF"/>
          </w:tcPr>
          <w:p>
            <w:pPr>
              <w:spacing w:after="0"/>
            </w:pPr>
            <w:r/>
            <w:r>
              <w:rPr>
                <w:rFonts w:ascii="Aptos" w:hAnsi="Aptos"/>
                <w:b w:val="0"/>
                <w:sz w:val="15"/>
              </w:rPr>
              <w:t>Attributable and protected decision/event records</w:t>
            </w:r>
          </w:p>
        </w:tc>
      </w:tr>
      <w:tr>
        <w:trPr>
          <w:cantSplit/>
        </w:trPr>
        <w:tc>
          <w:tcPr>
            <w:tcW w:type="dxa" w:w="5141"/>
            <w:vAlign w:val="center"/>
            <w:shd w:fill="F3F6F7"/>
          </w:tcPr>
          <w:p>
            <w:pPr>
              <w:spacing w:after="0"/>
            </w:pPr>
            <w:r/>
            <w:r>
              <w:rPr>
                <w:rFonts w:ascii="Aptos" w:hAnsi="Aptos"/>
                <w:b w:val="0"/>
                <w:sz w:val="15"/>
              </w:rPr>
              <w:t>Portability</w:t>
            </w:r>
          </w:p>
        </w:tc>
        <w:tc>
          <w:tcPr>
            <w:tcW w:type="dxa" w:w="5141"/>
            <w:vAlign w:val="center"/>
            <w:shd w:fill="F3F6F7"/>
          </w:tcPr>
          <w:p>
            <w:pPr>
              <w:spacing w:after="0"/>
            </w:pPr>
            <w:r/>
            <w:r>
              <w:rPr>
                <w:rFonts w:ascii="Aptos" w:hAnsi="Aptos"/>
                <w:b w:val="0"/>
                <w:sz w:val="15"/>
              </w:rPr>
              <w:t>Controlled exit from suppliers and model substitution</w:t>
            </w:r>
          </w:p>
        </w:tc>
      </w:tr>
      <w:tr>
        <w:trPr>
          <w:cantSplit/>
        </w:trPr>
        <w:tc>
          <w:tcPr>
            <w:tcW w:type="dxa" w:w="5141"/>
            <w:vAlign w:val="center"/>
            <w:shd w:fill="FFFFFF"/>
          </w:tcPr>
          <w:p>
            <w:pPr>
              <w:spacing w:after="0"/>
            </w:pPr>
            <w:r/>
            <w:r>
              <w:rPr>
                <w:rFonts w:ascii="Aptos" w:hAnsi="Aptos"/>
                <w:b w:val="0"/>
                <w:sz w:val="15"/>
              </w:rPr>
              <w:t>Maintainability</w:t>
            </w:r>
          </w:p>
        </w:tc>
        <w:tc>
          <w:tcPr>
            <w:tcW w:type="dxa" w:w="5141"/>
            <w:vAlign w:val="center"/>
            <w:shd w:fill="FFFFFF"/>
          </w:tcPr>
          <w:p>
            <w:pPr>
              <w:spacing w:after="0"/>
            </w:pPr>
            <w:r/>
            <w:r>
              <w:rPr>
                <w:rFonts w:ascii="Aptos" w:hAnsi="Aptos"/>
                <w:b w:val="0"/>
                <w:sz w:val="15"/>
              </w:rPr>
              <w:t>Versioned components, automated tests and documented dependencies</w:t>
            </w:r>
          </w:p>
        </w:tc>
      </w:tr>
    </w:tbl>
    <w:p/>
    <w:p>
      <w:pPr>
        <w:pStyle w:val="Heading1"/>
      </w:pPr>
      <w:r>
        <w:t>Sample Architecture Review Findings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3427"/>
            <w:vAlign w:val="center"/>
            <w:shd w:fill="17324D"/>
          </w:tcPr>
          <w:p>
            <w:pPr>
              <w:spacing w:after="0"/>
            </w:pPr>
            <w:r/>
            <w:r>
              <w:rPr>
                <w:rFonts w:ascii="Aptos" w:hAnsi="Aptos"/>
                <w:b/>
                <w:color w:val="FFFFFF"/>
                <w:sz w:val="15"/>
              </w:rPr>
              <w:t>Finding</w:t>
            </w:r>
          </w:p>
        </w:tc>
        <w:tc>
          <w:tcPr>
            <w:tcW w:type="dxa" w:w="3427"/>
            <w:vAlign w:val="center"/>
            <w:shd w:fill="17324D"/>
          </w:tcPr>
          <w:p>
            <w:pPr>
              <w:spacing w:after="0"/>
            </w:pPr>
            <w:r/>
            <w:r>
              <w:rPr>
                <w:rFonts w:ascii="Aptos" w:hAnsi="Aptos"/>
                <w:b/>
                <w:color w:val="FFFFFF"/>
                <w:sz w:val="15"/>
              </w:rPr>
              <w:t>Risk</w:t>
            </w:r>
          </w:p>
        </w:tc>
        <w:tc>
          <w:tcPr>
            <w:tcW w:type="dxa" w:w="3427"/>
            <w:vAlign w:val="center"/>
            <w:shd w:fill="17324D"/>
          </w:tcPr>
          <w:p>
            <w:pPr>
              <w:spacing w:after="0"/>
            </w:pPr>
            <w:r/>
            <w:r>
              <w:rPr>
                <w:rFonts w:ascii="Aptos" w:hAnsi="Aptos"/>
                <w:b/>
                <w:color w:val="FFFFFF"/>
                <w:sz w:val="15"/>
              </w:rPr>
              <w:t>Recommended treatment</w:t>
            </w:r>
          </w:p>
        </w:tc>
      </w:tr>
      <w:tr>
        <w:trPr>
          <w:cantSplit/>
        </w:trPr>
        <w:tc>
          <w:tcPr>
            <w:tcW w:type="dxa" w:w="3427"/>
            <w:vAlign w:val="center"/>
            <w:shd w:fill="FFFFFF"/>
          </w:tcPr>
          <w:p>
            <w:pPr>
              <w:spacing w:after="0"/>
            </w:pPr>
            <w:r/>
            <w:r>
              <w:rPr>
                <w:rFonts w:ascii="Aptos" w:hAnsi="Aptos"/>
                <w:b w:val="0"/>
                <w:sz w:val="15"/>
              </w:rPr>
              <w:t>Applications call provider directly</w:t>
            </w:r>
          </w:p>
        </w:tc>
        <w:tc>
          <w:tcPr>
            <w:tcW w:type="dxa" w:w="3427"/>
            <w:vAlign w:val="center"/>
            <w:shd w:fill="FFFFFF"/>
          </w:tcPr>
          <w:p>
            <w:pPr>
              <w:spacing w:after="0"/>
            </w:pPr>
            <w:r/>
            <w:r>
              <w:rPr>
                <w:rFonts w:ascii="Aptos" w:hAnsi="Aptos"/>
                <w:b w:val="0"/>
                <w:sz w:val="15"/>
              </w:rPr>
              <w:t>Policy and evidence bypass</w:t>
            </w:r>
          </w:p>
        </w:tc>
        <w:tc>
          <w:tcPr>
            <w:tcW w:type="dxa" w:w="3427"/>
            <w:vAlign w:val="center"/>
            <w:shd w:fill="FFFFFF"/>
          </w:tcPr>
          <w:p>
            <w:pPr>
              <w:spacing w:after="0"/>
            </w:pPr>
            <w:r/>
            <w:r>
              <w:rPr>
                <w:rFonts w:ascii="Aptos" w:hAnsi="Aptos"/>
                <w:b w:val="0"/>
                <w:sz w:val="15"/>
              </w:rPr>
              <w:t>Route through approved mediation or enforce endpoint policy</w:t>
            </w:r>
          </w:p>
        </w:tc>
      </w:tr>
      <w:tr>
        <w:trPr>
          <w:cantSplit/>
        </w:trPr>
        <w:tc>
          <w:tcPr>
            <w:tcW w:type="dxa" w:w="3427"/>
            <w:vAlign w:val="center"/>
            <w:shd w:fill="F3F6F7"/>
          </w:tcPr>
          <w:p>
            <w:pPr>
              <w:spacing w:after="0"/>
            </w:pPr>
            <w:r/>
            <w:r>
              <w:rPr>
                <w:rFonts w:ascii="Aptos" w:hAnsi="Aptos"/>
                <w:b w:val="0"/>
                <w:sz w:val="15"/>
              </w:rPr>
              <w:t>Agent uses shared admin token</w:t>
            </w:r>
          </w:p>
        </w:tc>
        <w:tc>
          <w:tcPr>
            <w:tcW w:type="dxa" w:w="3427"/>
            <w:vAlign w:val="center"/>
            <w:shd w:fill="F3F6F7"/>
          </w:tcPr>
          <w:p>
            <w:pPr>
              <w:spacing w:after="0"/>
            </w:pPr>
            <w:r/>
            <w:r>
              <w:rPr>
                <w:rFonts w:ascii="Aptos" w:hAnsi="Aptos"/>
                <w:b w:val="0"/>
                <w:sz w:val="15"/>
              </w:rPr>
              <w:t>Unbounded actions and poor attribution</w:t>
            </w:r>
          </w:p>
        </w:tc>
        <w:tc>
          <w:tcPr>
            <w:tcW w:type="dxa" w:w="3427"/>
            <w:vAlign w:val="center"/>
            <w:shd w:fill="F3F6F7"/>
          </w:tcPr>
          <w:p>
            <w:pPr>
              <w:spacing w:after="0"/>
            </w:pPr>
            <w:r/>
            <w:r>
              <w:rPr>
                <w:rFonts w:ascii="Aptos" w:hAnsi="Aptos"/>
                <w:b w:val="0"/>
                <w:sz w:val="15"/>
              </w:rPr>
              <w:t>Issue scoped per-agent credentials</w:t>
            </w:r>
          </w:p>
        </w:tc>
      </w:tr>
      <w:tr>
        <w:trPr>
          <w:cantSplit/>
        </w:trPr>
        <w:tc>
          <w:tcPr>
            <w:tcW w:type="dxa" w:w="3427"/>
            <w:vAlign w:val="center"/>
            <w:shd w:fill="FFFFFF"/>
          </w:tcPr>
          <w:p>
            <w:pPr>
              <w:spacing w:after="0"/>
            </w:pPr>
            <w:r/>
            <w:r>
              <w:rPr>
                <w:rFonts w:ascii="Aptos" w:hAnsi="Aptos"/>
                <w:b w:val="0"/>
                <w:sz w:val="15"/>
              </w:rPr>
              <w:t>RAG filter applied after retrieval</w:t>
            </w:r>
          </w:p>
        </w:tc>
        <w:tc>
          <w:tcPr>
            <w:tcW w:type="dxa" w:w="3427"/>
            <w:vAlign w:val="center"/>
            <w:shd w:fill="FFFFFF"/>
          </w:tcPr>
          <w:p>
            <w:pPr>
              <w:spacing w:after="0"/>
            </w:pPr>
            <w:r/>
            <w:r>
              <w:rPr>
                <w:rFonts w:ascii="Aptos" w:hAnsi="Aptos"/>
                <w:b w:val="0"/>
                <w:sz w:val="15"/>
              </w:rPr>
              <w:t>Unauthorized data enters context</w:t>
            </w:r>
          </w:p>
        </w:tc>
        <w:tc>
          <w:tcPr>
            <w:tcW w:type="dxa" w:w="3427"/>
            <w:vAlign w:val="center"/>
            <w:shd w:fill="FFFFFF"/>
          </w:tcPr>
          <w:p>
            <w:pPr>
              <w:spacing w:after="0"/>
            </w:pPr>
            <w:r/>
            <w:r>
              <w:rPr>
                <w:rFonts w:ascii="Aptos" w:hAnsi="Aptos"/>
                <w:b w:val="0"/>
                <w:sz w:val="15"/>
              </w:rPr>
              <w:t>Authorize before retrieval</w:t>
            </w:r>
          </w:p>
        </w:tc>
      </w:tr>
      <w:tr>
        <w:trPr>
          <w:cantSplit/>
        </w:trPr>
        <w:tc>
          <w:tcPr>
            <w:tcW w:type="dxa" w:w="3427"/>
            <w:vAlign w:val="center"/>
            <w:shd w:fill="F3F6F7"/>
          </w:tcPr>
          <w:p>
            <w:pPr>
              <w:spacing w:after="0"/>
            </w:pPr>
            <w:r/>
            <w:r>
              <w:rPr>
                <w:rFonts w:ascii="Aptos" w:hAnsi="Aptos"/>
                <w:b w:val="0"/>
                <w:sz w:val="15"/>
              </w:rPr>
              <w:t>Safety override depends on AI controller</w:t>
            </w:r>
          </w:p>
        </w:tc>
        <w:tc>
          <w:tcPr>
            <w:tcW w:type="dxa" w:w="3427"/>
            <w:vAlign w:val="center"/>
            <w:shd w:fill="F3F6F7"/>
          </w:tcPr>
          <w:p>
            <w:pPr>
              <w:spacing w:after="0"/>
            </w:pPr>
            <w:r/>
            <w:r>
              <w:rPr>
                <w:rFonts w:ascii="Aptos" w:hAnsi="Aptos"/>
                <w:b w:val="0"/>
                <w:sz w:val="15"/>
              </w:rPr>
              <w:t>Common-mode failure</w:t>
            </w:r>
          </w:p>
        </w:tc>
        <w:tc>
          <w:tcPr>
            <w:tcW w:type="dxa" w:w="3427"/>
            <w:vAlign w:val="center"/>
            <w:shd w:fill="F3F6F7"/>
          </w:tcPr>
          <w:p>
            <w:pPr>
              <w:spacing w:after="0"/>
            </w:pPr>
            <w:r/>
            <w:r>
              <w:rPr>
                <w:rFonts w:ascii="Aptos" w:hAnsi="Aptos"/>
                <w:b w:val="0"/>
                <w:sz w:val="15"/>
              </w:rPr>
              <w:t>Implement independent override path</w:t>
            </w:r>
          </w:p>
        </w:tc>
      </w:tr>
      <w:tr>
        <w:trPr>
          <w:cantSplit/>
        </w:trPr>
        <w:tc>
          <w:tcPr>
            <w:tcW w:type="dxa" w:w="3427"/>
            <w:vAlign w:val="center"/>
            <w:shd w:fill="FFFFFF"/>
          </w:tcPr>
          <w:p>
            <w:pPr>
              <w:spacing w:after="0"/>
            </w:pPr>
            <w:r/>
            <w:r>
              <w:rPr>
                <w:rFonts w:ascii="Aptos" w:hAnsi="Aptos"/>
                <w:b w:val="0"/>
                <w:sz w:val="15"/>
              </w:rPr>
              <w:t>Monitoring logs are editable by operators</w:t>
            </w:r>
          </w:p>
        </w:tc>
        <w:tc>
          <w:tcPr>
            <w:tcW w:type="dxa" w:w="3427"/>
            <w:vAlign w:val="center"/>
            <w:shd w:fill="FFFFFF"/>
          </w:tcPr>
          <w:p>
            <w:pPr>
              <w:spacing w:after="0"/>
            </w:pPr>
            <w:r/>
            <w:r>
              <w:rPr>
                <w:rFonts w:ascii="Aptos" w:hAnsi="Aptos"/>
                <w:b w:val="0"/>
                <w:sz w:val="15"/>
              </w:rPr>
              <w:t>Evidence tampering</w:t>
            </w:r>
          </w:p>
        </w:tc>
        <w:tc>
          <w:tcPr>
            <w:tcW w:type="dxa" w:w="3427"/>
            <w:vAlign w:val="center"/>
            <w:shd w:fill="FFFFFF"/>
          </w:tcPr>
          <w:p>
            <w:pPr>
              <w:spacing w:after="0"/>
            </w:pPr>
            <w:r/>
            <w:r>
              <w:rPr>
                <w:rFonts w:ascii="Aptos" w:hAnsi="Aptos"/>
                <w:b w:val="0"/>
                <w:sz w:val="15"/>
              </w:rPr>
              <w:t>Use segregated protected telemetry store</w:t>
            </w:r>
          </w:p>
        </w:tc>
      </w:tr>
    </w:tbl>
    <w:p/>
    <w:p>
      <w:r/>
    </w:p>
    <w:p>
      <w:pPr>
        <w:pStyle w:val="Heading1"/>
      </w:pPr>
      <w:r>
        <w:t>Publication Completeness and Intended Use</w:t>
      </w:r>
    </w:p>
    <w:p>
      <w:r>
        <w:t>This full publication edition of GAISSF-IMP-013 is designed to stand on its own for its stated role: comprehensive implementation-independent architecture blueprint. It includes purpose, scope, governance, operating guidance, evidence expectations, limitations, decision criteria and reusable records appropriate to that role.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5141"/>
            <w:vAlign w:val="center"/>
            <w:shd w:fill="17324D"/>
          </w:tcPr>
          <w:p>
            <w:pPr>
              <w:spacing w:after="0"/>
            </w:pPr>
            <w:r/>
            <w:r>
              <w:rPr>
                <w:rFonts w:ascii="Aptos" w:hAnsi="Aptos"/>
                <w:b/>
                <w:color w:val="FFFFFF"/>
                <w:sz w:val="15"/>
              </w:rPr>
              <w:t>Completeness dimension</w:t>
            </w:r>
          </w:p>
        </w:tc>
        <w:tc>
          <w:tcPr>
            <w:tcW w:type="dxa" w:w="5141"/>
            <w:vAlign w:val="center"/>
            <w:shd w:fill="17324D"/>
          </w:tcPr>
          <w:p>
            <w:pPr>
              <w:spacing w:after="0"/>
            </w:pPr>
            <w:r/>
            <w:r>
              <w:rPr>
                <w:rFonts w:ascii="Aptos" w:hAnsi="Aptos"/>
                <w:b/>
                <w:color w:val="FFFFFF"/>
                <w:sz w:val="15"/>
              </w:rPr>
              <w:t>Treatment in this edition</w:t>
            </w:r>
          </w:p>
        </w:tc>
      </w:tr>
      <w:tr>
        <w:trPr>
          <w:cantSplit/>
        </w:trPr>
        <w:tc>
          <w:tcPr>
            <w:tcW w:type="dxa" w:w="5141"/>
            <w:vAlign w:val="center"/>
            <w:shd w:fill="FFFFFF"/>
          </w:tcPr>
          <w:p>
            <w:pPr>
              <w:spacing w:after="0"/>
            </w:pPr>
            <w:r/>
            <w:r>
              <w:rPr>
                <w:rFonts w:ascii="Aptos" w:hAnsi="Aptos"/>
                <w:b w:val="0"/>
                <w:sz w:val="15"/>
              </w:rPr>
              <w:t>Normative alignment</w:t>
            </w:r>
          </w:p>
        </w:tc>
        <w:tc>
          <w:tcPr>
            <w:tcW w:type="dxa" w:w="5141"/>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5141"/>
            <w:vAlign w:val="center"/>
            <w:shd w:fill="F3F6F7"/>
          </w:tcPr>
          <w:p>
            <w:pPr>
              <w:spacing w:after="0"/>
            </w:pPr>
            <w:r/>
            <w:r>
              <w:rPr>
                <w:rFonts w:ascii="Aptos" w:hAnsi="Aptos"/>
                <w:b w:val="0"/>
                <w:sz w:val="15"/>
              </w:rPr>
              <w:t>Operational usability</w:t>
            </w:r>
          </w:p>
        </w:tc>
        <w:tc>
          <w:tcPr>
            <w:tcW w:type="dxa" w:w="5141"/>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5141"/>
            <w:vAlign w:val="center"/>
            <w:shd w:fill="FFFFFF"/>
          </w:tcPr>
          <w:p>
            <w:pPr>
              <w:spacing w:after="0"/>
            </w:pPr>
            <w:r/>
            <w:r>
              <w:rPr>
                <w:rFonts w:ascii="Aptos" w:hAnsi="Aptos"/>
                <w:b w:val="0"/>
                <w:sz w:val="15"/>
              </w:rPr>
              <w:t>Traceability</w:t>
            </w:r>
          </w:p>
        </w:tc>
        <w:tc>
          <w:tcPr>
            <w:tcW w:type="dxa" w:w="5141"/>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5141"/>
            <w:vAlign w:val="center"/>
            <w:shd w:fill="F3F6F7"/>
          </w:tcPr>
          <w:p>
            <w:pPr>
              <w:spacing w:after="0"/>
            </w:pPr>
            <w:r/>
            <w:r>
              <w:rPr>
                <w:rFonts w:ascii="Aptos" w:hAnsi="Aptos"/>
                <w:b w:val="0"/>
                <w:sz w:val="15"/>
              </w:rPr>
              <w:t>Limitations</w:t>
            </w:r>
          </w:p>
        </w:tc>
        <w:tc>
          <w:tcPr>
            <w:tcW w:type="dxa" w:w="5141"/>
            <w:vAlign w:val="center"/>
            <w:shd w:fill="F3F6F7"/>
          </w:tcPr>
          <w:p>
            <w:pPr>
              <w:spacing w:after="0"/>
            </w:pPr>
            <w:r/>
            <w:r>
              <w:rPr>
                <w:rFonts w:ascii="Aptos" w:hAnsi="Aptos"/>
                <w:b w:val="0"/>
                <w:sz w:val="15"/>
              </w:rPr>
              <w:t>States what the document does not establish or guarantee.</w:t>
            </w:r>
          </w:p>
        </w:tc>
      </w:tr>
      <w:tr>
        <w:trPr>
          <w:cantSplit/>
        </w:trPr>
        <w:tc>
          <w:tcPr>
            <w:tcW w:type="dxa" w:w="5141"/>
            <w:vAlign w:val="center"/>
            <w:shd w:fill="FFFFFF"/>
          </w:tcPr>
          <w:p>
            <w:pPr>
              <w:spacing w:after="0"/>
            </w:pPr>
            <w:r/>
            <w:r>
              <w:rPr>
                <w:rFonts w:ascii="Aptos" w:hAnsi="Aptos"/>
                <w:b w:val="0"/>
                <w:sz w:val="15"/>
              </w:rPr>
              <w:t>Maintenance</w:t>
            </w:r>
          </w:p>
        </w:tc>
        <w:tc>
          <w:tcPr>
            <w:tcW w:type="dxa" w:w="5141"/>
            <w:vAlign w:val="center"/>
            <w:shd w:fill="FFFFFF"/>
          </w:tcPr>
          <w:p>
            <w:pPr>
              <w:spacing w:after="0"/>
            </w:pPr>
            <w:r/>
            <w:r>
              <w:rPr>
                <w:rFonts w:ascii="Aptos" w:hAnsi="Aptos"/>
                <w:b w:val="0"/>
                <w:sz w:val="15"/>
              </w:rPr>
              <w:t>Includes review triggers, change control and publication status.</w:t>
            </w:r>
          </w:p>
        </w:tc>
      </w:tr>
    </w:tbl>
    <w:p/>
    <w:p>
      <w:r>
        <w:br w:type="page"/>
      </w:r>
    </w:p>
    <w:p>
      <w:pPr>
        <w:pStyle w:val="Heading1"/>
      </w:pPr>
      <w:r>
        <w:t>Legal and Regulatory Integration</w:t>
      </w:r>
    </w:p>
    <w:p>
      <w:r>
        <w:t>GAISSF provides an operational security, safety, governance and evidence framework. It does not determine which laws apply, establish statutory compliance, create a legal safe harbour, define a legal standard of care, replace competent legal advice, or guarantee that evidence collected for GAISSF purposes will satisfy a regulator, court or other authority. Organizations should maintain a jurisdiction-specific legal and regulatory obligations register and map applicable obligations to their GAISSF scope, controls, evidence, reporting processes and decision authorities.</w:t>
      </w:r>
    </w:p>
    <w:p>
      <w:pPr>
        <w:pStyle w:val="Heading2"/>
      </w:pPr>
      <w:r>
        <w:t>Legal and regulatory interface requirements</w:t>
      </w:r>
    </w:p>
    <w:p>
      <w:pPr>
        <w:pStyle w:val="ListBullet"/>
      </w:pPr>
      <w:r>
        <w:t>Identify applicable jurisdictions, regulators, sector rules, contractual duties and internal legal authorities before relying on this guide.</w:t>
      </w:r>
    </w:p>
    <w:p>
      <w:pPr>
        <w:pStyle w:val="ListBullet"/>
      </w:pPr>
      <w:r>
        <w:t>Maintain a controlled obligations register, reporting-clock register, retention schedule, legal-hold process and conflicts-of-obligation procedure.</w:t>
      </w:r>
    </w:p>
    <w:p>
      <w:pPr>
        <w:pStyle w:val="ListBullet"/>
      </w:pPr>
      <w:r>
        <w:t>Treat statutory, regulatory and contractual analysis as a parallel workstream to GAISSF implementation and assurance.</w:t>
      </w:r>
    </w:p>
    <w:p>
      <w:pPr>
        <w:pStyle w:val="ListBullet"/>
      </w:pPr>
      <w:r>
        <w:t>Record the legal basis, responsible owner, scope, decision, evidence, deadline and review date for each material obligation.</w:t>
      </w:r>
    </w:p>
    <w:p>
      <w:pPr>
        <w:pStyle w:val="ListBullet"/>
      </w:pPr>
      <w:r>
        <w:t>Do not represent GAISSF conformance, maturity or certification as legal approval, permission to operate, immunity from enforcement or proof that harm cannot occur.</w:t>
      </w:r>
    </w:p>
    <w:p>
      <w:pPr>
        <w:pStyle w:val="Heading1"/>
      </w:pPr>
      <w:r>
        <w:t>How to use this document</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Reader</w:t>
            </w:r>
          </w:p>
        </w:tc>
        <w:tc>
          <w:tcPr>
            <w:tcW w:type="dxa" w:w="5141"/>
            <w:shd w:fill="17324D"/>
            <w:vAlign w:val="center"/>
          </w:tcPr>
          <w:p>
            <w:r>
              <w:rPr>
                <w:b/>
              </w:rPr>
              <w:t>Recommended use</w:t>
            </w:r>
          </w:p>
        </w:tc>
      </w:tr>
      <w:tr>
        <w:tc>
          <w:tcPr>
            <w:tcW w:type="dxa" w:w="5141"/>
          </w:tcPr>
          <w:p>
            <w:r>
              <w:t>Executive or board reader</w:t>
            </w:r>
          </w:p>
        </w:tc>
        <w:tc>
          <w:tcPr>
            <w:tcW w:type="dxa" w:w="5141"/>
          </w:tcPr>
          <w:p>
            <w:r>
              <w:t>Review purpose, decision rights, legal and regulatory integration, limitations and Notably Absent sections.</w:t>
            </w:r>
          </w:p>
        </w:tc>
      </w:tr>
      <w:tr>
        <w:tc>
          <w:tcPr>
            <w:tcW w:type="dxa" w:w="5141"/>
          </w:tcPr>
          <w:p>
            <w:r>
              <w:t>Program or control owner</w:t>
            </w:r>
          </w:p>
        </w:tc>
        <w:tc>
          <w:tcPr>
            <w:tcW w:type="dxa" w:w="5141"/>
          </w:tcPr>
          <w:p>
            <w:r>
              <w:t>Use workflows, templates, gates, evidence fields and escalation criteria as implementation aids.</w:t>
            </w:r>
          </w:p>
        </w:tc>
      </w:tr>
      <w:tr>
        <w:tc>
          <w:tcPr>
            <w:tcW w:type="dxa" w:w="5141"/>
          </w:tcPr>
          <w:p>
            <w:r>
              <w:t>Engineering or operations team</w:t>
            </w:r>
          </w:p>
        </w:tc>
        <w:tc>
          <w:tcPr>
            <w:tcW w:type="dxa" w:w="5141"/>
          </w:tcPr>
          <w:p>
            <w:r>
              <w:t>Translate guidance into system-specific procedures, configurations, runbooks and testable acceptance criteria.</w:t>
            </w:r>
          </w:p>
        </w:tc>
      </w:tr>
      <w:tr>
        <w:tc>
          <w:tcPr>
            <w:tcW w:type="dxa" w:w="5141"/>
          </w:tcPr>
          <w:p>
            <w:r>
              <w:t>Legal, privacy or compliance team</w:t>
            </w:r>
          </w:p>
        </w:tc>
        <w:tc>
          <w:tcPr>
            <w:tcW w:type="dxa" w:w="5141"/>
          </w:tcPr>
          <w:p>
            <w:r>
              <w:t>Validate jurisdiction-specific obligations, deadlines, retention, disclosure, privilege and regulator-facing requirements.</w:t>
            </w:r>
          </w:p>
        </w:tc>
      </w:tr>
      <w:tr>
        <w:tc>
          <w:tcPr>
            <w:tcW w:type="dxa" w:w="5141"/>
          </w:tcPr>
          <w:p>
            <w:r>
              <w:t>Assessor or auditor</w:t>
            </w:r>
          </w:p>
        </w:tc>
        <w:tc>
          <w:tcPr>
            <w:tcW w:type="dxa" w:w="5141"/>
          </w:tcPr>
          <w:p>
            <w:r>
              <w:t>Use the document as informative context only; test claims against the authoritative normative sources and applicable assessment criteria.</w:t>
            </w:r>
          </w:p>
        </w:tc>
      </w:tr>
    </w:tbl>
    <w:p>
      <w:pPr>
        <w:pStyle w:val="Heading1"/>
      </w:pPr>
      <w:r>
        <w:t>See Also</w:t>
      </w:r>
    </w:p>
    <w:p>
      <w:pPr>
        <w:pStyle w:val="ListBullet"/>
      </w:pPr>
      <w:r>
        <w:t>GAISSF-IMP-010 for implementation workflows.</w:t>
      </w:r>
    </w:p>
    <w:p>
      <w:pPr>
        <w:pStyle w:val="ListBullet"/>
      </w:pPr>
      <w:r>
        <w:t>GAISSF-IMP-011 for deployment.</w:t>
      </w:r>
    </w:p>
    <w:p>
      <w:pPr>
        <w:pStyle w:val="ListBullet"/>
      </w:pPr>
      <w:r>
        <w:t>GAISSF-IMP-017 for evidence architecture.</w:t>
      </w:r>
    </w:p>
    <w:p>
      <w:pPr>
        <w:pStyle w:val="Heading1"/>
      </w:pPr>
      <w:r>
        <w:t>Architecture-specific regulatory enhancements</w:t>
      </w:r>
    </w:p>
    <w:p>
      <w:pPr>
        <w:pStyle w:val="Heading2"/>
      </w:pPr>
      <w:r>
        <w:t>Data residency and cross-border transfer control pattern</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Control point</w:t>
            </w:r>
          </w:p>
        </w:tc>
        <w:tc>
          <w:tcPr>
            <w:tcW w:type="dxa" w:w="5141"/>
            <w:shd w:fill="17324D"/>
            <w:vAlign w:val="center"/>
          </w:tcPr>
          <w:p>
            <w:r>
              <w:rPr>
                <w:b/>
              </w:rPr>
              <w:t>Architectural capability</w:t>
            </w:r>
          </w:p>
        </w:tc>
      </w:tr>
      <w:tr>
        <w:tc>
          <w:tcPr>
            <w:tcW w:type="dxa" w:w="5141"/>
          </w:tcPr>
          <w:p>
            <w:r>
              <w:t>Classification</w:t>
            </w:r>
          </w:p>
        </w:tc>
        <w:tc>
          <w:tcPr>
            <w:tcW w:type="dxa" w:w="5141"/>
          </w:tcPr>
          <w:p>
            <w:r>
              <w:t>Data category, subject, jurisdiction and restriction attributes.</w:t>
            </w:r>
          </w:p>
        </w:tc>
      </w:tr>
      <w:tr>
        <w:tc>
          <w:tcPr>
            <w:tcW w:type="dxa" w:w="5141"/>
          </w:tcPr>
          <w:p>
            <w:r>
              <w:t>Policy</w:t>
            </w:r>
          </w:p>
        </w:tc>
        <w:tc>
          <w:tcPr>
            <w:tcW w:type="dxa" w:w="5141"/>
          </w:tcPr>
          <w:p>
            <w:r>
              <w:t>Approved processing regions, transfer mechanisms and supplier locations.</w:t>
            </w:r>
          </w:p>
        </w:tc>
      </w:tr>
      <w:tr>
        <w:tc>
          <w:tcPr>
            <w:tcW w:type="dxa" w:w="5141"/>
          </w:tcPr>
          <w:p>
            <w:r>
              <w:t>Routing</w:t>
            </w:r>
          </w:p>
        </w:tc>
        <w:tc>
          <w:tcPr>
            <w:tcW w:type="dxa" w:w="5141"/>
          </w:tcPr>
          <w:p>
            <w:r>
              <w:t>Region-aware allow, deny, redact, tokenize or local-process decisions.</w:t>
            </w:r>
          </w:p>
        </w:tc>
      </w:tr>
      <w:tr>
        <w:tc>
          <w:tcPr>
            <w:tcW w:type="dxa" w:w="5141"/>
          </w:tcPr>
          <w:p>
            <w:r>
              <w:t>Key custody</w:t>
            </w:r>
          </w:p>
        </w:tc>
        <w:tc>
          <w:tcPr>
            <w:tcW w:type="dxa" w:w="5141"/>
          </w:tcPr>
          <w:p>
            <w:r>
              <w:t>Region-appropriate encryption and controlled key access.</w:t>
            </w:r>
          </w:p>
        </w:tc>
      </w:tr>
      <w:tr>
        <w:tc>
          <w:tcPr>
            <w:tcW w:type="dxa" w:w="5141"/>
          </w:tcPr>
          <w:p>
            <w:r>
              <w:t>Telemetry</w:t>
            </w:r>
          </w:p>
        </w:tc>
        <w:tc>
          <w:tcPr>
            <w:tcW w:type="dxa" w:w="5141"/>
          </w:tcPr>
          <w:p>
            <w:r>
              <w:t>Regional stores, minimized fields and controlled cross-region aggregation.</w:t>
            </w:r>
          </w:p>
        </w:tc>
      </w:tr>
      <w:tr>
        <w:tc>
          <w:tcPr>
            <w:tcW w:type="dxa" w:w="5141"/>
          </w:tcPr>
          <w:p>
            <w:r>
              <w:t>Support access</w:t>
            </w:r>
          </w:p>
        </w:tc>
        <w:tc>
          <w:tcPr>
            <w:tcW w:type="dxa" w:w="5141"/>
          </w:tcPr>
          <w:p>
            <w:r>
              <w:t>Time-bound, approved and logged cross-border administrative access.</w:t>
            </w:r>
          </w:p>
        </w:tc>
      </w:tr>
      <w:tr>
        <w:tc>
          <w:tcPr>
            <w:tcW w:type="dxa" w:w="5141"/>
          </w:tcPr>
          <w:p>
            <w:r>
              <w:t>Evidence</w:t>
            </w:r>
          </w:p>
        </w:tc>
        <w:tc>
          <w:tcPr>
            <w:tcW w:type="dxa" w:w="5141"/>
          </w:tcPr>
          <w:p>
            <w:r>
              <w:t>Transfer decision, policy version, destination, legal basis and exception record.</w:t>
            </w:r>
          </w:p>
        </w:tc>
      </w:tr>
    </w:tbl>
    <w:p>
      <w:r>
        <w:t>The architecture shall enforce the organization’s approved transfer policy. It shall not assume that every transfer to a non-adequate jurisdiction is prohibited or that one jurisdiction’s localization rule applies universally.</w:t>
      </w:r>
    </w:p>
    <w:p>
      <w:pPr>
        <w:pStyle w:val="Heading2"/>
      </w:pPr>
      <w:r>
        <w:t>Deterministic legal-policy gateway</w:t>
      </w:r>
    </w:p>
    <w:p>
      <w:r>
        <w:t>Consequential agentic and physical actions should pass through an auditable policy decision point capable of deny, allow, require approval, restrict data, substitute a permitted route, log and escalate, or place the system in a safe state.</w:t>
      </w:r>
    </w:p>
    <w:p>
      <w:pPr>
        <w:pStyle w:val="Heading2"/>
      </w:pPr>
      <w:r>
        <w:t>Decision-record and explanation telemetry</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Record element</w:t>
            </w:r>
          </w:p>
        </w:tc>
        <w:tc>
          <w:tcPr>
            <w:tcW w:type="dxa" w:w="5141"/>
            <w:shd w:fill="17324D"/>
            <w:vAlign w:val="center"/>
          </w:tcPr>
          <w:p>
            <w:r>
              <w:rPr>
                <w:b/>
              </w:rPr>
              <w:t>Content</w:t>
            </w:r>
          </w:p>
        </w:tc>
      </w:tr>
      <w:tr>
        <w:tc>
          <w:tcPr>
            <w:tcW w:type="dxa" w:w="5141"/>
          </w:tcPr>
          <w:p>
            <w:r>
              <w:t>Identity</w:t>
            </w:r>
          </w:p>
        </w:tc>
        <w:tc>
          <w:tcPr>
            <w:tcW w:type="dxa" w:w="5141"/>
          </w:tcPr>
          <w:p>
            <w:r>
              <w:t>System, model, policy, tool and transaction identifiers.</w:t>
            </w:r>
          </w:p>
        </w:tc>
      </w:tr>
      <w:tr>
        <w:tc>
          <w:tcPr>
            <w:tcW w:type="dxa" w:w="5141"/>
          </w:tcPr>
          <w:p>
            <w:r>
              <w:t>Context</w:t>
            </w:r>
          </w:p>
        </w:tc>
        <w:tc>
          <w:tcPr>
            <w:tcW w:type="dxa" w:w="5141"/>
          </w:tcPr>
          <w:p>
            <w:r>
              <w:t>Input, relevant retrieved sources and approved context.</w:t>
            </w:r>
          </w:p>
        </w:tc>
      </w:tr>
      <w:tr>
        <w:tc>
          <w:tcPr>
            <w:tcW w:type="dxa" w:w="5141"/>
          </w:tcPr>
          <w:p>
            <w:r>
              <w:t>Decision basis</w:t>
            </w:r>
          </w:p>
        </w:tc>
        <w:tc>
          <w:tcPr>
            <w:tcW w:type="dxa" w:w="5141"/>
          </w:tcPr>
          <w:p>
            <w:r>
              <w:t>Material rules, factors, reason codes or explanation artifact where appropriate.</w:t>
            </w:r>
          </w:p>
        </w:tc>
      </w:tr>
      <w:tr>
        <w:tc>
          <w:tcPr>
            <w:tcW w:type="dxa" w:w="5141"/>
          </w:tcPr>
          <w:p>
            <w:r>
              <w:t>Action</w:t>
            </w:r>
          </w:p>
        </w:tc>
        <w:tc>
          <w:tcPr>
            <w:tcW w:type="dxa" w:w="5141"/>
          </w:tcPr>
          <w:p>
            <w:r>
              <w:t>Output, tool call, physical command and downstream effect.</w:t>
            </w:r>
          </w:p>
        </w:tc>
      </w:tr>
      <w:tr>
        <w:tc>
          <w:tcPr>
            <w:tcW w:type="dxa" w:w="5141"/>
          </w:tcPr>
          <w:p>
            <w:r>
              <w:t>Human involvement</w:t>
            </w:r>
          </w:p>
        </w:tc>
        <w:tc>
          <w:tcPr>
            <w:tcW w:type="dxa" w:w="5141"/>
          </w:tcPr>
          <w:p>
            <w:r>
              <w:t>Review, override, approval and escalation.</w:t>
            </w:r>
          </w:p>
        </w:tc>
      </w:tr>
      <w:tr>
        <w:tc>
          <w:tcPr>
            <w:tcW w:type="dxa" w:w="5141"/>
          </w:tcPr>
          <w:p>
            <w:r>
              <w:t>Limitations</w:t>
            </w:r>
          </w:p>
        </w:tc>
        <w:tc>
          <w:tcPr>
            <w:tcW w:type="dxa" w:w="5141"/>
          </w:tcPr>
          <w:p>
            <w:r>
              <w:t>Confidence, unavailable telemetry, protected fields and withholding rationale.</w:t>
            </w:r>
          </w:p>
        </w:tc>
      </w:tr>
      <w:tr>
        <w:tc>
          <w:tcPr>
            <w:tcW w:type="dxa" w:w="5141"/>
          </w:tcPr>
          <w:p>
            <w:r>
              <w:t>Integrity</w:t>
            </w:r>
          </w:p>
        </w:tc>
        <w:tc>
          <w:tcPr>
            <w:tcW w:type="dxa" w:w="5141"/>
          </w:tcPr>
          <w:p>
            <w:r>
              <w:t>Timestamp, provenance, version linkage and tamper evidence.</w:t>
            </w:r>
          </w:p>
        </w:tc>
      </w:tr>
    </w:tbl>
    <w:p>
      <w:pPr>
        <w:pStyle w:val="Heading2"/>
      </w:pPr>
      <w:r>
        <w:t>Threat model and technology categories</w:t>
      </w:r>
    </w:p>
    <w:p>
      <w:r>
        <w:t>Threat modelling may use STRIDE, PASTA or another documented method appropriate to the system. The minimum record should include component, asset, threat, attack or failure path, consequence, control, evidence, owner and residual risk. Technology examples shall remain illustrative and non-endorsing.</w:t>
      </w:r>
    </w:p>
    <w:p>
      <w:pPr>
        <w:pStyle w:val="Heading2"/>
      </w:pPr>
      <w:r>
        <w:t>Notably Absent — legal and regulatory boundary</w:t>
      </w:r>
    </w:p>
    <w:p>
      <w:pPr>
        <w:pStyle w:val="ListBullet"/>
      </w:pPr>
      <w:r>
        <w:t>No universal prohibition on all cross-border data transfers.</w:t>
      </w:r>
    </w:p>
    <w:p>
      <w:pPr>
        <w:pStyle w:val="ListBullet"/>
      </w:pPr>
      <w:r>
        <w:t>No requirement to expose raw model internals where a meaningful and lawful decision record can be provided by other means.</w:t>
      </w:r>
    </w:p>
    <w:p>
      <w:pPr>
        <w:pStyle w:val="ListBullet"/>
      </w:pPr>
      <w:r>
        <w:t>No claim that a logical architecture or named technology establishes conformance.</w:t>
      </w:r>
    </w:p>
    <w:p>
      <w:pPr>
        <w:pStyle w:val="Heading1"/>
      </w:pPr>
      <w:r>
        <w:t>Publication revision record</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Revision</w:t>
            </w:r>
          </w:p>
        </w:tc>
        <w:tc>
          <w:tcPr>
            <w:tcW w:type="dxa" w:w="5141"/>
            <w:shd w:fill="17324D"/>
            <w:vAlign w:val="center"/>
          </w:tcPr>
          <w:p>
            <w:r>
              <w:rPr>
                <w:b/>
              </w:rPr>
              <w:t>Disposition</w:t>
            </w:r>
          </w:p>
        </w:tc>
      </w:tr>
      <w:tr>
        <w:tc>
          <w:tcPr>
            <w:tcW w:type="dxa" w:w="5141"/>
          </w:tcPr>
          <w:p>
            <w:r>
              <w:t>R2 — Regulatory and practitioner refinement</w:t>
            </w:r>
          </w:p>
        </w:tc>
        <w:tc>
          <w:tcPr>
            <w:tcW w:type="dxa" w:w="5141"/>
          </w:tcPr>
          <w:p>
            <w:r>
              <w:t>Added legal and regulatory integration, preservation, reporting, decision-record, public-claim and usability guidance. No normative GAISSF control was added, removed, renamed or amended.</w:t>
            </w:r>
          </w:p>
        </w:tc>
      </w:tr>
      <w:tr>
        <w:tc>
          <w:tcPr>
            <w:tcW w:type="dxa" w:w="5141"/>
          </w:tcPr>
          <w:p>
            <w:r>
              <w:t>Authority boundary</w:t>
            </w:r>
          </w:p>
        </w:tc>
        <w:tc>
          <w:tcPr>
            <w:tcW w:type="dxa" w:w="5141"/>
          </w:tcPr>
          <w:p>
            <w:r>
              <w:t>GAISSF-NOR-001, GAISSF-NOR-004 and controlled profile records remain authoritative.</w:t>
            </w:r>
          </w:p>
        </w:tc>
      </w:tr>
    </w:tbl>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Implementation guidance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GAISSF-IMP-013 | GAISSF® v1.0 Reference Architecture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4A55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Reference Architecture</dc:title>
  <dc:subject>Reference designs and architectural patterns for GAISSF implementation | Full final edition</dc:subject>
  <dc:creator>ODA3 Institute</dc:creator>
  <cp:keywords>GAISSF, AI security, AI safety, implementation guidance, ODA3 Institute</cp:keywords>
  <dc:description>Verified and revised publication edition aligned to GAISSF v1.0 authoritative normative sources.</dc:description>
  <cp:lastModifiedBy>ODA3 Institute</cp:lastModifiedBy>
  <cp:revision>1</cp:revision>
  <dcterms:created xsi:type="dcterms:W3CDTF">2013-12-23T23:15:00Z</dcterms:created>
  <dcterms:modified xsi:type="dcterms:W3CDTF">2013-12-23T23:15:00Z</dcterms:modified>
  <cp:category/>
</cp:coreProperties>
</file>