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60"/>
        <w:jc w:val="center"/>
      </w:pPr>
      <w:r>
        <w:rPr>
          <w:b/>
          <w:color w:val="17324D"/>
          <w:sz w:val="60"/>
        </w:rPr>
        <w:t>GAISSF® v1.0</w:t>
      </w:r>
    </w:p>
    <w:p>
      <w:pPr>
        <w:jc w:val="center"/>
      </w:pPr>
      <w:r>
        <w:rPr>
          <w:b/>
          <w:color w:val="205B65"/>
          <w:sz w:val="48"/>
        </w:rPr>
        <w:t>Operational Handbook</w:t>
      </w:r>
    </w:p>
    <w:p>
      <w:pPr>
        <w:jc w:val="center"/>
      </w:pPr>
      <w:r>
        <w:rPr>
          <w:color w:val="4C6B7A"/>
          <w:sz w:val="23"/>
        </w:rPr>
        <w:t>Run-State Operations, Monitoring, Assurance and Continuous Improvement</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736"/>
            <w:vAlign w:val="center"/>
            <w:shd w:fill="17324D"/>
          </w:tcPr>
          <w:p>
            <w:pPr>
              <w:spacing w:after="0"/>
            </w:pPr>
            <w:r/>
            <w:r>
              <w:rPr>
                <w:rFonts w:ascii="Aptos" w:hAnsi="Aptos"/>
                <w:b/>
                <w:color w:val="FFFFFF"/>
                <w:sz w:val="15"/>
              </w:rPr>
              <w:t>Field</w:t>
            </w:r>
          </w:p>
        </w:tc>
        <w:tc>
          <w:tcPr>
            <w:tcW w:type="dxa" w:w="6912"/>
            <w:vAlign w:val="center"/>
            <w:shd w:fill="17324D"/>
          </w:tcPr>
          <w:p>
            <w:pPr>
              <w:spacing w:after="0"/>
            </w:pPr>
            <w:r/>
            <w:r>
              <w:rPr>
                <w:rFonts w:ascii="Aptos" w:hAnsi="Aptos"/>
                <w:b/>
                <w:color w:val="FFFFFF"/>
                <w:sz w:val="15"/>
              </w:rPr>
              <w:t>Value</w:t>
            </w:r>
          </w:p>
        </w:tc>
      </w:tr>
      <w:tr>
        <w:trPr>
          <w:cantSplit/>
        </w:trPr>
        <w:tc>
          <w:tcPr>
            <w:tcW w:type="dxa" w:w="2736"/>
            <w:vAlign w:val="center"/>
          </w:tcPr>
          <w:p>
            <w:pPr>
              <w:spacing w:after="0"/>
            </w:pPr>
            <w:r/>
            <w:r>
              <w:rPr>
                <w:rFonts w:ascii="Aptos" w:hAnsi="Aptos"/>
                <w:b w:val="0"/>
                <w:sz w:val="15"/>
              </w:rPr>
              <w:t>Document ID</w:t>
            </w:r>
          </w:p>
        </w:tc>
        <w:tc>
          <w:tcPr>
            <w:tcW w:type="dxa" w:w="6912"/>
            <w:vAlign w:val="center"/>
          </w:tcPr>
          <w:p>
            <w:pPr>
              <w:spacing w:after="0"/>
            </w:pPr>
            <w:r/>
            <w:r>
              <w:rPr>
                <w:rFonts w:ascii="Aptos" w:hAnsi="Aptos"/>
                <w:b w:val="0"/>
                <w:sz w:val="15"/>
              </w:rPr>
              <w:t>GAISSF-IMP-014</w:t>
            </w:r>
          </w:p>
        </w:tc>
      </w:tr>
      <w:tr>
        <w:trPr>
          <w:cantSplit/>
        </w:trPr>
        <w:tc>
          <w:tcPr>
            <w:tcW w:type="dxa" w:w="2736"/>
            <w:vAlign w:val="center"/>
            <w:shd w:fill="F3F6F7"/>
          </w:tcPr>
          <w:p>
            <w:pPr>
              <w:spacing w:after="0"/>
            </w:pPr>
            <w:r/>
            <w:r>
              <w:rPr>
                <w:rFonts w:ascii="Aptos" w:hAnsi="Aptos"/>
                <w:b w:val="0"/>
                <w:sz w:val="15"/>
              </w:rPr>
              <w:t>Version</w:t>
            </w:r>
          </w:p>
        </w:tc>
        <w:tc>
          <w:tcPr>
            <w:tcW w:type="dxa" w:w="6912"/>
            <w:vAlign w:val="center"/>
            <w:shd w:fill="F3F6F7"/>
          </w:tcPr>
          <w:p>
            <w:pPr>
              <w:spacing w:after="0"/>
            </w:pPr>
            <w:r/>
            <w:r>
              <w:rPr>
                <w:rFonts w:ascii="Aptos" w:hAnsi="Aptos"/>
                <w:b w:val="0"/>
                <w:sz w:val="15"/>
              </w:rPr>
              <w:t>1.0</w:t>
            </w:r>
          </w:p>
        </w:tc>
      </w:tr>
      <w:tr>
        <w:trPr>
          <w:cantSplit/>
        </w:trPr>
        <w:tc>
          <w:tcPr>
            <w:tcW w:type="dxa" w:w="2736"/>
            <w:vAlign w:val="center"/>
          </w:tcPr>
          <w:p>
            <w:pPr>
              <w:spacing w:after="0"/>
            </w:pPr>
            <w:r/>
            <w:r>
              <w:rPr>
                <w:rFonts w:ascii="Aptos" w:hAnsi="Aptos"/>
                <w:b w:val="0"/>
                <w:sz w:val="15"/>
              </w:rPr>
              <w:t>Status</w:t>
            </w:r>
          </w:p>
        </w:tc>
        <w:tc>
          <w:tcPr>
            <w:tcW w:type="dxa" w:w="6912"/>
            <w:vAlign w:val="center"/>
          </w:tcPr>
          <w:p>
            <w:r>
              <w:t>Final Publication Edition</w:t>
            </w:r>
          </w:p>
        </w:tc>
      </w:tr>
      <w:tr>
        <w:trPr>
          <w:cantSplit/>
        </w:trPr>
        <w:tc>
          <w:tcPr>
            <w:tcW w:type="dxa" w:w="2736"/>
            <w:vAlign w:val="center"/>
            <w:shd w:fill="F3F6F7"/>
          </w:tcPr>
          <w:p>
            <w:pPr>
              <w:spacing w:after="0"/>
            </w:pPr>
            <w:r/>
            <w:r>
              <w:rPr>
                <w:rFonts w:ascii="Aptos" w:hAnsi="Aptos"/>
                <w:b w:val="0"/>
                <w:sz w:val="15"/>
              </w:rPr>
              <w:t>Classification</w:t>
            </w:r>
          </w:p>
        </w:tc>
        <w:tc>
          <w:tcPr>
            <w:tcW w:type="dxa" w:w="6912"/>
            <w:vAlign w:val="center"/>
            <w:shd w:fill="F3F6F7"/>
          </w:tcPr>
          <w:p>
            <w:pPr>
              <w:spacing w:after="0"/>
            </w:pPr>
            <w:r/>
            <w:r>
              <w:rPr>
                <w:rFonts w:ascii="Aptos" w:hAnsi="Aptos"/>
                <w:b w:val="0"/>
                <w:sz w:val="15"/>
              </w:rPr>
              <w:t>Implementation guidance — informative</w:t>
            </w:r>
          </w:p>
        </w:tc>
      </w:tr>
      <w:tr>
        <w:trPr>
          <w:cantSplit/>
        </w:trPr>
        <w:tc>
          <w:tcPr>
            <w:tcW w:type="dxa" w:w="2736"/>
            <w:vAlign w:val="center"/>
          </w:tcPr>
          <w:p>
            <w:pPr>
              <w:spacing w:after="0"/>
            </w:pPr>
            <w:r/>
            <w:r>
              <w:rPr>
                <w:rFonts w:ascii="Aptos" w:hAnsi="Aptos"/>
                <w:b w:val="0"/>
                <w:sz w:val="15"/>
              </w:rPr>
              <w:t>Publisher</w:t>
            </w:r>
          </w:p>
        </w:tc>
        <w:tc>
          <w:tcPr>
            <w:tcW w:type="dxa" w:w="6912"/>
            <w:vAlign w:val="center"/>
          </w:tcPr>
          <w:p>
            <w:pPr>
              <w:spacing w:after="0"/>
            </w:pPr>
            <w:r/>
            <w:r>
              <w:rPr>
                <w:rFonts w:ascii="Aptos" w:hAnsi="Aptos"/>
                <w:b w:val="0"/>
                <w:sz w:val="15"/>
              </w:rPr>
              <w:t>ODA3 Institute</w:t>
            </w:r>
          </w:p>
        </w:tc>
      </w:tr>
      <w:tr>
        <w:trPr>
          <w:cantSplit/>
        </w:trPr>
        <w:tc>
          <w:tcPr>
            <w:tcW w:type="dxa" w:w="2736"/>
            <w:vAlign w:val="center"/>
            <w:shd w:fill="F3F6F7"/>
          </w:tcPr>
          <w:p>
            <w:pPr>
              <w:spacing w:after="0"/>
            </w:pPr>
            <w:r/>
            <w:r>
              <w:rPr>
                <w:rFonts w:ascii="Aptos" w:hAnsi="Aptos"/>
                <w:b w:val="0"/>
                <w:sz w:val="15"/>
              </w:rPr>
              <w:t>Legal entity</w:t>
            </w:r>
          </w:p>
        </w:tc>
        <w:tc>
          <w:tcPr>
            <w:tcW w:type="dxa" w:w="6912"/>
            <w:vAlign w:val="center"/>
            <w:shd w:fill="F3F6F7"/>
          </w:tcPr>
          <w:p>
            <w:pPr>
              <w:spacing w:after="0"/>
            </w:pPr>
            <w:r/>
            <w:r>
              <w:rPr>
                <w:rFonts w:ascii="Aptos" w:hAnsi="Aptos"/>
                <w:b w:val="0"/>
                <w:sz w:val="15"/>
              </w:rPr>
              <w:t>ODA3 Pvt Ltd</w:t>
            </w:r>
          </w:p>
        </w:tc>
      </w:tr>
      <w:tr>
        <w:trPr>
          <w:cantSplit/>
        </w:trPr>
        <w:tc>
          <w:tcPr>
            <w:tcW w:type="dxa" w:w="2736"/>
            <w:vAlign w:val="center"/>
          </w:tcPr>
          <w:p>
            <w:pPr>
              <w:spacing w:after="0"/>
            </w:pPr>
            <w:r/>
            <w:r>
              <w:rPr>
                <w:rFonts w:ascii="Aptos" w:hAnsi="Aptos"/>
                <w:b w:val="0"/>
                <w:sz w:val="15"/>
              </w:rPr>
              <w:t>Authoritative normative source</w:t>
            </w:r>
          </w:p>
        </w:tc>
        <w:tc>
          <w:tcPr>
            <w:tcW w:type="dxa" w:w="6912"/>
            <w:vAlign w:val="center"/>
          </w:tcPr>
          <w:p>
            <w:pPr>
              <w:spacing w:after="0"/>
            </w:pPr>
            <w:r/>
            <w:r>
              <w:rPr>
                <w:rFonts w:ascii="Aptos" w:hAnsi="Aptos"/>
                <w:b w:val="0"/>
                <w:sz w:val="15"/>
              </w:rPr>
              <w:t>GAISSF-NOR-001</w:t>
            </w:r>
          </w:p>
        </w:tc>
      </w:tr>
      <w:tr>
        <w:trPr>
          <w:cantSplit/>
        </w:trPr>
        <w:tc>
          <w:tcPr>
            <w:tcW w:type="dxa" w:w="2736"/>
            <w:vAlign w:val="center"/>
            <w:shd w:fill="F3F6F7"/>
          </w:tcPr>
          <w:p>
            <w:pPr>
              <w:spacing w:after="0"/>
            </w:pPr>
            <w:r/>
            <w:r>
              <w:rPr>
                <w:rFonts w:ascii="Aptos" w:hAnsi="Aptos"/>
                <w:b w:val="0"/>
                <w:sz w:val="15"/>
              </w:rPr>
              <w:t>Control baseline</w:t>
            </w:r>
          </w:p>
        </w:tc>
        <w:tc>
          <w:tcPr>
            <w:tcW w:type="dxa" w:w="6912"/>
            <w:vAlign w:val="center"/>
            <w:shd w:fill="F3F6F7"/>
          </w:tcPr>
          <w:p>
            <w:pPr>
              <w:spacing w:after="0"/>
            </w:pPr>
            <w:r/>
            <w:r>
              <w:rPr>
                <w:rFonts w:ascii="Aptos" w:hAnsi="Aptos"/>
                <w:b w:val="0"/>
                <w:sz w:val="15"/>
              </w:rPr>
              <w:t>59 controls across nine domains</w:t>
            </w:r>
          </w:p>
        </w:tc>
      </w:tr>
      <w:tr>
        <w:trPr>
          <w:cantSplit/>
        </w:trPr>
        <w:tc>
          <w:tcPr>
            <w:tcW w:type="dxa" w:w="2736"/>
            <w:vAlign w:val="center"/>
          </w:tcPr>
          <w:p>
            <w:pPr>
              <w:spacing w:after="0"/>
            </w:pPr>
            <w:r/>
            <w:r>
              <w:rPr>
                <w:rFonts w:ascii="Aptos" w:hAnsi="Aptos"/>
                <w:b w:val="0"/>
                <w:sz w:val="15"/>
              </w:rPr>
              <w:t>Publication date</w:t>
            </w:r>
          </w:p>
        </w:tc>
        <w:tc>
          <w:tcPr>
            <w:tcW w:type="dxa" w:w="6912"/>
            <w:vAlign w:val="center"/>
          </w:tcPr>
          <w:p>
            <w:pPr>
              <w:spacing w:after="0"/>
            </w:pPr>
            <w:r/>
            <w:r>
              <w:rPr>
                <w:rFonts w:ascii="Aptos" w:hAnsi="Aptos"/>
                <w:b w:val="0"/>
                <w:sz w:val="15"/>
              </w:rPr>
              <w:t>29 June 2026</w:t>
            </w:r>
          </w:p>
        </w:tc>
      </w:tr>
    </w:tbl>
    <w:p/>
    <w:p>
      <w:pPr>
        <w:pStyle w:val="SmallNote"/>
        <w:jc w:val="center"/>
      </w:pPr>
      <w:r>
        <w:t>This handbook supports run-state operations. It does not replace the normative framework, system-specific runbooks, incident procedures, safety case, legal obligations or approved risk decisions.</w:t>
      </w:r>
    </w:p>
    <w:p>
      <w:r/>
    </w:p>
    <w:p>
      <w:pPr>
        <w:pStyle w:val="Heading1"/>
      </w:pPr>
      <w:r>
        <w:t>Document Control</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592"/>
            <w:vAlign w:val="center"/>
            <w:shd w:fill="17324D"/>
          </w:tcPr>
          <w:p>
            <w:pPr>
              <w:spacing w:after="0"/>
            </w:pPr>
            <w:r/>
            <w:r>
              <w:rPr>
                <w:rFonts w:ascii="Aptos" w:hAnsi="Aptos"/>
                <w:b/>
                <w:color w:val="FFFFFF"/>
                <w:sz w:val="15"/>
              </w:rPr>
              <w:t>Attribute</w:t>
            </w:r>
          </w:p>
        </w:tc>
        <w:tc>
          <w:tcPr>
            <w:tcW w:type="dxa" w:w="7056"/>
            <w:vAlign w:val="center"/>
            <w:shd w:fill="17324D"/>
          </w:tcPr>
          <w:p>
            <w:pPr>
              <w:spacing w:after="0"/>
            </w:pPr>
            <w:r/>
            <w:r>
              <w:rPr>
                <w:rFonts w:ascii="Aptos" w:hAnsi="Aptos"/>
                <w:b/>
                <w:color w:val="FFFFFF"/>
                <w:sz w:val="15"/>
              </w:rPr>
              <w:t>Controlled value</w:t>
            </w:r>
          </w:p>
        </w:tc>
      </w:tr>
      <w:tr>
        <w:trPr>
          <w:cantSplit/>
        </w:trPr>
        <w:tc>
          <w:tcPr>
            <w:tcW w:type="dxa" w:w="2592"/>
            <w:vAlign w:val="center"/>
          </w:tcPr>
          <w:p>
            <w:pPr>
              <w:spacing w:after="0"/>
            </w:pPr>
            <w:r/>
            <w:r>
              <w:rPr>
                <w:rFonts w:ascii="Aptos" w:hAnsi="Aptos"/>
                <w:b w:val="0"/>
                <w:sz w:val="15"/>
              </w:rPr>
              <w:t>Title</w:t>
            </w:r>
          </w:p>
        </w:tc>
        <w:tc>
          <w:tcPr>
            <w:tcW w:type="dxa" w:w="7056"/>
            <w:vAlign w:val="center"/>
          </w:tcPr>
          <w:p>
            <w:pPr>
              <w:spacing w:after="0"/>
            </w:pPr>
            <w:r/>
            <w:r>
              <w:rPr>
                <w:rFonts w:ascii="Aptos" w:hAnsi="Aptos"/>
                <w:b w:val="0"/>
                <w:sz w:val="15"/>
              </w:rPr>
              <w:t>GAISSF® v1.0 Operational Handbook</w:t>
            </w:r>
          </w:p>
        </w:tc>
      </w:tr>
      <w:tr>
        <w:trPr>
          <w:cantSplit/>
        </w:trPr>
        <w:tc>
          <w:tcPr>
            <w:tcW w:type="dxa" w:w="2592"/>
            <w:vAlign w:val="center"/>
            <w:shd w:fill="F3F6F7"/>
          </w:tcPr>
          <w:p>
            <w:pPr>
              <w:spacing w:after="0"/>
            </w:pPr>
            <w:r/>
            <w:r>
              <w:rPr>
                <w:rFonts w:ascii="Aptos" w:hAnsi="Aptos"/>
                <w:b w:val="0"/>
                <w:sz w:val="15"/>
              </w:rPr>
              <w:t>Document ID</w:t>
            </w:r>
          </w:p>
        </w:tc>
        <w:tc>
          <w:tcPr>
            <w:tcW w:type="dxa" w:w="7056"/>
            <w:vAlign w:val="center"/>
            <w:shd w:fill="F3F6F7"/>
          </w:tcPr>
          <w:p>
            <w:pPr>
              <w:spacing w:after="0"/>
            </w:pPr>
            <w:r/>
            <w:r>
              <w:rPr>
                <w:rFonts w:ascii="Aptos" w:hAnsi="Aptos"/>
                <w:b w:val="0"/>
                <w:sz w:val="15"/>
              </w:rPr>
              <w:t>GAISSF-IMP-014</w:t>
            </w:r>
          </w:p>
        </w:tc>
      </w:tr>
      <w:tr>
        <w:trPr>
          <w:cantSplit/>
        </w:trPr>
        <w:tc>
          <w:tcPr>
            <w:tcW w:type="dxa" w:w="2592"/>
            <w:vAlign w:val="center"/>
          </w:tcPr>
          <w:p>
            <w:pPr>
              <w:spacing w:after="0"/>
            </w:pPr>
            <w:r/>
            <w:r>
              <w:rPr>
                <w:rFonts w:ascii="Aptos" w:hAnsi="Aptos"/>
                <w:b w:val="0"/>
                <w:sz w:val="15"/>
              </w:rPr>
              <w:t>Purpose</w:t>
            </w:r>
          </w:p>
        </w:tc>
        <w:tc>
          <w:tcPr>
            <w:tcW w:type="dxa" w:w="7056"/>
            <w:vAlign w:val="center"/>
          </w:tcPr>
          <w:p>
            <w:pPr>
              <w:spacing w:after="0"/>
            </w:pPr>
            <w:r/>
            <w:r>
              <w:rPr>
                <w:rFonts w:ascii="Aptos" w:hAnsi="Aptos"/>
                <w:b w:val="0"/>
                <w:sz w:val="15"/>
              </w:rPr>
              <w:t>Provide a repeatable operating model for monitoring, maintaining and improving GAISSF controls after deployment</w:t>
            </w:r>
          </w:p>
        </w:tc>
      </w:tr>
      <w:tr>
        <w:trPr>
          <w:cantSplit/>
        </w:trPr>
        <w:tc>
          <w:tcPr>
            <w:tcW w:type="dxa" w:w="2592"/>
            <w:vAlign w:val="center"/>
            <w:shd w:fill="F3F6F7"/>
          </w:tcPr>
          <w:p>
            <w:pPr>
              <w:spacing w:after="0"/>
            </w:pPr>
            <w:r/>
            <w:r>
              <w:rPr>
                <w:rFonts w:ascii="Aptos" w:hAnsi="Aptos"/>
                <w:b w:val="0"/>
                <w:sz w:val="15"/>
              </w:rPr>
              <w:t>Primary audience</w:t>
            </w:r>
          </w:p>
        </w:tc>
        <w:tc>
          <w:tcPr>
            <w:tcW w:type="dxa" w:w="7056"/>
            <w:vAlign w:val="center"/>
            <w:shd w:fill="F3F6F7"/>
          </w:tcPr>
          <w:p>
            <w:pPr>
              <w:spacing w:after="0"/>
            </w:pPr>
            <w:r/>
            <w:r>
              <w:rPr>
                <w:rFonts w:ascii="Aptos" w:hAnsi="Aptos"/>
                <w:b w:val="0"/>
                <w:sz w:val="15"/>
              </w:rPr>
              <w:t>System owners, security operations, AI operations, MLOps, platform teams, risk, compliance, safety, incident response, internal audit and control owners</w:t>
            </w:r>
          </w:p>
        </w:tc>
      </w:tr>
      <w:tr>
        <w:trPr>
          <w:cantSplit/>
        </w:trPr>
        <w:tc>
          <w:tcPr>
            <w:tcW w:type="dxa" w:w="2592"/>
            <w:vAlign w:val="center"/>
          </w:tcPr>
          <w:p>
            <w:pPr>
              <w:spacing w:after="0"/>
            </w:pPr>
            <w:r/>
            <w:r>
              <w:rPr>
                <w:rFonts w:ascii="Aptos" w:hAnsi="Aptos"/>
                <w:b w:val="0"/>
                <w:sz w:val="15"/>
              </w:rPr>
              <w:t>Dependencies</w:t>
            </w:r>
          </w:p>
        </w:tc>
        <w:tc>
          <w:tcPr>
            <w:tcW w:type="dxa" w:w="7056"/>
            <w:vAlign w:val="center"/>
          </w:tcPr>
          <w:p>
            <w:pPr>
              <w:spacing w:after="0"/>
            </w:pPr>
            <w:r/>
            <w:r>
              <w:rPr>
                <w:rFonts w:ascii="Aptos" w:hAnsi="Aptos"/>
                <w:b w:val="0"/>
                <w:sz w:val="15"/>
              </w:rPr>
              <w:t>GAISSF-NOR-001 through GAISSF-NOR-008 and GAISSF-IMP-009 through GAISSF-IMP-013</w:t>
            </w:r>
          </w:p>
        </w:tc>
      </w:tr>
      <w:tr>
        <w:trPr>
          <w:cantSplit/>
        </w:trPr>
        <w:tc>
          <w:tcPr>
            <w:tcW w:type="dxa" w:w="2592"/>
            <w:vAlign w:val="center"/>
            <w:shd w:fill="F3F6F7"/>
          </w:tcPr>
          <w:p>
            <w:pPr>
              <w:spacing w:after="0"/>
            </w:pPr>
            <w:r/>
            <w:r>
              <w:rPr>
                <w:rFonts w:ascii="Aptos" w:hAnsi="Aptos"/>
                <w:b w:val="0"/>
                <w:sz w:val="15"/>
              </w:rPr>
              <w:t>Classification</w:t>
            </w:r>
          </w:p>
        </w:tc>
        <w:tc>
          <w:tcPr>
            <w:tcW w:type="dxa" w:w="7056"/>
            <w:vAlign w:val="center"/>
            <w:shd w:fill="F3F6F7"/>
          </w:tcPr>
          <w:p>
            <w:pPr>
              <w:spacing w:after="0"/>
            </w:pPr>
            <w:r/>
            <w:r>
              <w:rPr>
                <w:rFonts w:ascii="Aptos" w:hAnsi="Aptos"/>
                <w:b w:val="0"/>
                <w:sz w:val="15"/>
              </w:rPr>
              <w:t>Informative implementation guidance</w:t>
            </w:r>
          </w:p>
        </w:tc>
      </w:tr>
      <w:tr>
        <w:trPr>
          <w:cantSplit/>
        </w:trPr>
        <w:tc>
          <w:tcPr>
            <w:tcW w:type="dxa" w:w="2592"/>
            <w:vAlign w:val="center"/>
          </w:tcPr>
          <w:p>
            <w:pPr>
              <w:spacing w:after="0"/>
            </w:pPr>
            <w:r/>
            <w:r>
              <w:rPr>
                <w:rFonts w:ascii="Aptos" w:hAnsi="Aptos"/>
                <w:b w:val="0"/>
                <w:sz w:val="15"/>
              </w:rPr>
              <w:t>Precedence</w:t>
            </w:r>
          </w:p>
        </w:tc>
        <w:tc>
          <w:tcPr>
            <w:tcW w:type="dxa" w:w="7056"/>
            <w:vAlign w:val="center"/>
          </w:tcPr>
          <w:p>
            <w:pPr>
              <w:spacing w:after="0"/>
            </w:pPr>
            <w:r/>
            <w:r>
              <w:rPr>
                <w:rFonts w:ascii="Aptos" w:hAnsi="Aptos"/>
                <w:b w:val="0"/>
                <w:sz w:val="15"/>
              </w:rPr>
              <w:t>GAISSF-NOR-001, GAISSF-NOR-004 and controlled conformance profiles prevail</w:t>
            </w:r>
          </w:p>
        </w:tc>
      </w:tr>
      <w:tr>
        <w:trPr>
          <w:cantSplit/>
        </w:trPr>
        <w:tc>
          <w:tcPr>
            <w:tcW w:type="dxa" w:w="2592"/>
            <w:vAlign w:val="center"/>
            <w:shd w:fill="F3F6F7"/>
          </w:tcPr>
          <w:p>
            <w:pPr>
              <w:spacing w:after="0"/>
            </w:pPr>
            <w:r/>
            <w:r>
              <w:rPr>
                <w:rFonts w:ascii="Aptos" w:hAnsi="Aptos"/>
                <w:b w:val="0"/>
                <w:sz w:val="15"/>
              </w:rPr>
              <w:t>Distribution</w:t>
            </w:r>
          </w:p>
        </w:tc>
        <w:tc>
          <w:tcPr>
            <w:tcW w:type="dxa" w:w="7056"/>
            <w:vAlign w:val="center"/>
            <w:shd w:fill="F3F6F7"/>
          </w:tcPr>
          <w:p>
            <w:pPr>
              <w:spacing w:after="0"/>
            </w:pPr>
            <w:r/>
            <w:r>
              <w:rPr>
                <w:rFonts w:ascii="Aptos" w:hAnsi="Aptos"/>
                <w:b w:val="0"/>
                <w:sz w:val="15"/>
              </w:rPr>
              <w:t>Public — Website and GitHub</w:t>
            </w:r>
          </w:p>
        </w:tc>
      </w:tr>
    </w:tbl>
    <w:p/>
    <w:p>
      <w:pPr>
        <w:pStyle w:val="Heading1"/>
      </w:pPr>
      <w:r>
        <w:t>Legal and Reliance Notice</w:t>
      </w:r>
    </w:p>
    <w:p>
      <w:r>
        <w:t>© 2026 ODA3 Pvt Ltd. Published market-facing by ODA3 Institute.</w:t>
      </w:r>
    </w:p>
    <w:p>
      <w:r>
        <w:t>GAISSF® is used as a framework mark. Third-party names and marks remain the property of their respective owners.</w:t>
      </w:r>
    </w:p>
    <w:p>
      <w:r>
        <w:t>This handbook does not constitute legal, regulatory, safety, engineering, certification or audit advice.</w:t>
      </w:r>
      <w:r>
        <w:t xml:space="preserve"> It does not create a legal safe harbour, establish a legal standard of care, or determine statutory compliance in any jurisdiction.</w:t>
      </w:r>
    </w:p>
    <w:p>
      <w:r>
        <w:t>Operational monitoring reduces uncertainty but cannot prove the absence of unknown threats, emergent behavior, rare failures or harmful outcomes.</w:t>
      </w:r>
    </w:p>
    <w:p>
      <w:pPr>
        <w:pStyle w:val="Heading1"/>
      </w:pPr>
      <w:r>
        <w:t>Foreword</w:t>
      </w:r>
    </w:p>
    <w:p>
      <w:r>
        <w:t>Deployment is the beginning of operational assurance, not its conclusion. AI systems, data, suppliers, users, threats and legal obligations change continuously. This handbook defines a practical operating rhythm for control health, monitoring, incident response, evidence maintenance, management review and improvement.</w:t>
      </w:r>
    </w:p>
    <w:p>
      <w:pPr>
        <w:pStyle w:val="Heading1"/>
      </w:pPr>
      <w:r>
        <w:t>1. Purpose and Scope</w:t>
      </w:r>
    </w:p>
    <w:p>
      <w:r>
        <w:t>This handbook applies to AI systems in pilot, limited-production and general-production states. It covers daily operations, control monitoring, service management, change detection, incidents, exceptions, supplier oversight, evidence refresh, assurance, management review and retirement.</w:t>
      </w:r>
    </w:p>
    <w:p>
      <w:r>
        <w:t>Organizations should tailor the operating model according to system criticality, autonomy, physical consequences, data sensitivity, user population, regulatory exposure and conformance profile.</w:t>
      </w:r>
    </w:p>
    <w:p>
      <w:pPr>
        <w:pStyle w:val="Heading1"/>
      </w:pPr>
      <w:r>
        <w:t>2. Operational Objectives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024"/>
            <w:vAlign w:val="center"/>
            <w:shd w:fill="17324D"/>
          </w:tcPr>
          <w:p>
            <w:pPr>
              <w:spacing w:after="0"/>
            </w:pPr>
            <w:r/>
            <w:r>
              <w:rPr>
                <w:rFonts w:ascii="Aptos" w:hAnsi="Aptos"/>
                <w:b/>
                <w:color w:val="FFFFFF"/>
                <w:sz w:val="15"/>
              </w:rPr>
              <w:t>Objective</w:t>
            </w:r>
          </w:p>
        </w:tc>
        <w:tc>
          <w:tcPr>
            <w:tcW w:type="dxa" w:w="6624"/>
            <w:vAlign w:val="center"/>
            <w:shd w:fill="17324D"/>
          </w:tcPr>
          <w:p>
            <w:pPr>
              <w:spacing w:after="0"/>
            </w:pPr>
            <w:r/>
            <w:r>
              <w:rPr>
                <w:rFonts w:ascii="Aptos" w:hAnsi="Aptos"/>
                <w:b/>
                <w:color w:val="FFFFFF"/>
                <w:sz w:val="15"/>
              </w:rPr>
              <w:t>Expected operating outcome</w:t>
            </w:r>
          </w:p>
        </w:tc>
      </w:tr>
      <w:tr>
        <w:trPr>
          <w:cantSplit/>
        </w:trPr>
        <w:tc>
          <w:tcPr>
            <w:tcW w:type="dxa" w:w="3024"/>
            <w:vAlign w:val="center"/>
          </w:tcPr>
          <w:p>
            <w:pPr>
              <w:spacing w:after="0"/>
            </w:pPr>
            <w:r/>
            <w:r>
              <w:rPr>
                <w:rFonts w:ascii="Aptos" w:hAnsi="Aptos"/>
                <w:b w:val="0"/>
                <w:sz w:val="15"/>
              </w:rPr>
              <w:t>Maintain control effectiveness</w:t>
            </w:r>
          </w:p>
        </w:tc>
        <w:tc>
          <w:tcPr>
            <w:tcW w:type="dxa" w:w="6624"/>
            <w:vAlign w:val="center"/>
          </w:tcPr>
          <w:p>
            <w:pPr>
              <w:spacing w:after="0"/>
            </w:pPr>
            <w:r/>
            <w:r>
              <w:rPr>
                <w:rFonts w:ascii="Aptos" w:hAnsi="Aptos"/>
                <w:b w:val="0"/>
                <w:sz w:val="15"/>
              </w:rPr>
              <w:t>Controls continue to operate as designed across the assessed scope.</w:t>
            </w:r>
          </w:p>
        </w:tc>
      </w:tr>
      <w:tr>
        <w:trPr>
          <w:cantSplit/>
        </w:trPr>
        <w:tc>
          <w:tcPr>
            <w:tcW w:type="dxa" w:w="3024"/>
            <w:vAlign w:val="center"/>
            <w:shd w:fill="F3F6F7"/>
          </w:tcPr>
          <w:p>
            <w:pPr>
              <w:spacing w:after="0"/>
            </w:pPr>
            <w:r/>
            <w:r>
              <w:rPr>
                <w:rFonts w:ascii="Aptos" w:hAnsi="Aptos"/>
                <w:b w:val="0"/>
                <w:sz w:val="15"/>
              </w:rPr>
              <w:t>Detect material change</w:t>
            </w:r>
          </w:p>
        </w:tc>
        <w:tc>
          <w:tcPr>
            <w:tcW w:type="dxa" w:w="6624"/>
            <w:vAlign w:val="center"/>
            <w:shd w:fill="F3F6F7"/>
          </w:tcPr>
          <w:p>
            <w:pPr>
              <w:spacing w:after="0"/>
            </w:pPr>
            <w:r/>
            <w:r>
              <w:rPr>
                <w:rFonts w:ascii="Aptos" w:hAnsi="Aptos"/>
                <w:b w:val="0"/>
                <w:sz w:val="15"/>
              </w:rPr>
              <w:t>Model, data, architecture, supplier, user and threat changes trigger review.</w:t>
            </w:r>
          </w:p>
        </w:tc>
      </w:tr>
      <w:tr>
        <w:trPr>
          <w:cantSplit/>
        </w:trPr>
        <w:tc>
          <w:tcPr>
            <w:tcW w:type="dxa" w:w="3024"/>
            <w:vAlign w:val="center"/>
          </w:tcPr>
          <w:p>
            <w:pPr>
              <w:spacing w:after="0"/>
            </w:pPr>
            <w:r/>
            <w:r>
              <w:rPr>
                <w:rFonts w:ascii="Aptos" w:hAnsi="Aptos"/>
                <w:b w:val="0"/>
                <w:sz w:val="15"/>
              </w:rPr>
              <w:t>Detect degradation and misuse</w:t>
            </w:r>
          </w:p>
        </w:tc>
        <w:tc>
          <w:tcPr>
            <w:tcW w:type="dxa" w:w="6624"/>
            <w:vAlign w:val="center"/>
          </w:tcPr>
          <w:p>
            <w:pPr>
              <w:spacing w:after="0"/>
            </w:pPr>
            <w:r/>
            <w:r>
              <w:rPr>
                <w:rFonts w:ascii="Aptos" w:hAnsi="Aptos"/>
                <w:b w:val="0"/>
                <w:sz w:val="15"/>
              </w:rPr>
              <w:t>Behavior, security, safety and service anomalies are identified and triaged.</w:t>
            </w:r>
          </w:p>
        </w:tc>
      </w:tr>
      <w:tr>
        <w:trPr>
          <w:cantSplit/>
        </w:trPr>
        <w:tc>
          <w:tcPr>
            <w:tcW w:type="dxa" w:w="3024"/>
            <w:vAlign w:val="center"/>
            <w:shd w:fill="F3F6F7"/>
          </w:tcPr>
          <w:p>
            <w:pPr>
              <w:spacing w:after="0"/>
            </w:pPr>
            <w:r/>
            <w:r>
              <w:rPr>
                <w:rFonts w:ascii="Aptos" w:hAnsi="Aptos"/>
                <w:b w:val="0"/>
                <w:sz w:val="15"/>
              </w:rPr>
              <w:t>Preserve evidence</w:t>
            </w:r>
          </w:p>
        </w:tc>
        <w:tc>
          <w:tcPr>
            <w:tcW w:type="dxa" w:w="6624"/>
            <w:vAlign w:val="center"/>
            <w:shd w:fill="F3F6F7"/>
          </w:tcPr>
          <w:p>
            <w:pPr>
              <w:spacing w:after="0"/>
            </w:pPr>
            <w:r/>
            <w:r>
              <w:rPr>
                <w:rFonts w:ascii="Aptos" w:hAnsi="Aptos"/>
                <w:b w:val="0"/>
                <w:sz w:val="15"/>
              </w:rPr>
              <w:t>Operating records remain current, attributable, complete and reviewable.</w:t>
            </w:r>
          </w:p>
        </w:tc>
      </w:tr>
      <w:tr>
        <w:trPr>
          <w:cantSplit/>
        </w:trPr>
        <w:tc>
          <w:tcPr>
            <w:tcW w:type="dxa" w:w="3024"/>
            <w:vAlign w:val="center"/>
          </w:tcPr>
          <w:p>
            <w:pPr>
              <w:spacing w:after="0"/>
            </w:pPr>
            <w:r/>
            <w:r>
              <w:rPr>
                <w:rFonts w:ascii="Aptos" w:hAnsi="Aptos"/>
                <w:b w:val="0"/>
                <w:sz w:val="15"/>
              </w:rPr>
              <w:t>Respond proportionately</w:t>
            </w:r>
          </w:p>
        </w:tc>
        <w:tc>
          <w:tcPr>
            <w:tcW w:type="dxa" w:w="6624"/>
            <w:vAlign w:val="center"/>
          </w:tcPr>
          <w:p>
            <w:pPr>
              <w:spacing w:after="0"/>
            </w:pPr>
            <w:r/>
            <w:r>
              <w:rPr>
                <w:rFonts w:ascii="Aptos" w:hAnsi="Aptos"/>
                <w:b w:val="0"/>
                <w:sz w:val="15"/>
              </w:rPr>
              <w:t>Incidents, exceptions and nonconformities receive risk-based treatment.</w:t>
            </w:r>
          </w:p>
        </w:tc>
      </w:tr>
      <w:tr>
        <w:trPr>
          <w:cantSplit/>
        </w:trPr>
        <w:tc>
          <w:tcPr>
            <w:tcW w:type="dxa" w:w="3024"/>
            <w:vAlign w:val="center"/>
            <w:shd w:fill="F3F6F7"/>
          </w:tcPr>
          <w:p>
            <w:pPr>
              <w:spacing w:after="0"/>
            </w:pPr>
            <w:r/>
            <w:r>
              <w:rPr>
                <w:rFonts w:ascii="Aptos" w:hAnsi="Aptos"/>
                <w:b w:val="0"/>
                <w:sz w:val="15"/>
              </w:rPr>
              <w:t>Sustain accountability</w:t>
            </w:r>
          </w:p>
        </w:tc>
        <w:tc>
          <w:tcPr>
            <w:tcW w:type="dxa" w:w="6624"/>
            <w:vAlign w:val="center"/>
            <w:shd w:fill="F3F6F7"/>
          </w:tcPr>
          <w:p>
            <w:pPr>
              <w:spacing w:after="0"/>
            </w:pPr>
            <w:r/>
            <w:r>
              <w:rPr>
                <w:rFonts w:ascii="Aptos" w:hAnsi="Aptos"/>
                <w:b w:val="0"/>
                <w:sz w:val="15"/>
              </w:rPr>
              <w:t>Owners, approvers and escalation routes remain active.</w:t>
            </w:r>
          </w:p>
        </w:tc>
      </w:tr>
      <w:tr>
        <w:trPr>
          <w:cantSplit/>
        </w:trPr>
        <w:tc>
          <w:tcPr>
            <w:tcW w:type="dxa" w:w="3024"/>
            <w:vAlign w:val="center"/>
          </w:tcPr>
          <w:p>
            <w:pPr>
              <w:spacing w:after="0"/>
            </w:pPr>
            <w:r/>
            <w:r>
              <w:rPr>
                <w:rFonts w:ascii="Aptos" w:hAnsi="Aptos"/>
                <w:b w:val="0"/>
                <w:sz w:val="15"/>
              </w:rPr>
              <w:t>Improve systematically</w:t>
            </w:r>
          </w:p>
        </w:tc>
        <w:tc>
          <w:tcPr>
            <w:tcW w:type="dxa" w:w="6624"/>
            <w:vAlign w:val="center"/>
          </w:tcPr>
          <w:p>
            <w:pPr>
              <w:spacing w:after="0"/>
            </w:pPr>
            <w:r/>
            <w:r>
              <w:rPr>
                <w:rFonts w:ascii="Aptos" w:hAnsi="Aptos"/>
                <w:b w:val="0"/>
                <w:sz w:val="15"/>
              </w:rPr>
              <w:t>Incidents, findings, metrics and near misses drive corrective and preventive action.</w:t>
            </w:r>
          </w:p>
        </w:tc>
      </w:tr>
    </w:tbl>
    <w:p/>
    <w:p>
      <w:pPr>
        <w:pStyle w:val="Heading1"/>
      </w:pPr>
      <w:r>
        <w:t>3. Operational Governance Model</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592"/>
            <w:vAlign w:val="center"/>
            <w:shd w:fill="17324D"/>
          </w:tcPr>
          <w:p>
            <w:pPr>
              <w:spacing w:after="0"/>
            </w:pPr>
            <w:r/>
            <w:r>
              <w:rPr>
                <w:rFonts w:ascii="Aptos" w:hAnsi="Aptos"/>
                <w:b/>
                <w:color w:val="FFFFFF"/>
                <w:sz w:val="15"/>
              </w:rPr>
              <w:t>Role</w:t>
            </w:r>
          </w:p>
        </w:tc>
        <w:tc>
          <w:tcPr>
            <w:tcW w:type="dxa" w:w="7056"/>
            <w:vAlign w:val="center"/>
            <w:shd w:fill="17324D"/>
          </w:tcPr>
          <w:p>
            <w:pPr>
              <w:spacing w:after="0"/>
            </w:pPr>
            <w:r/>
            <w:r>
              <w:rPr>
                <w:rFonts w:ascii="Aptos" w:hAnsi="Aptos"/>
                <w:b/>
                <w:color w:val="FFFFFF"/>
                <w:sz w:val="15"/>
              </w:rPr>
              <w:t>Run-state accountability</w:t>
            </w:r>
          </w:p>
        </w:tc>
      </w:tr>
      <w:tr>
        <w:trPr>
          <w:cantSplit/>
        </w:trPr>
        <w:tc>
          <w:tcPr>
            <w:tcW w:type="dxa" w:w="2592"/>
            <w:vAlign w:val="center"/>
          </w:tcPr>
          <w:p>
            <w:pPr>
              <w:spacing w:after="0"/>
            </w:pPr>
            <w:r/>
            <w:r>
              <w:rPr>
                <w:rFonts w:ascii="Aptos" w:hAnsi="Aptos"/>
                <w:b w:val="0"/>
                <w:sz w:val="15"/>
              </w:rPr>
              <w:t>Executive sponsor</w:t>
            </w:r>
          </w:p>
        </w:tc>
        <w:tc>
          <w:tcPr>
            <w:tcW w:type="dxa" w:w="7056"/>
            <w:vAlign w:val="center"/>
          </w:tcPr>
          <w:p>
            <w:pPr>
              <w:spacing w:after="0"/>
            </w:pPr>
            <w:r/>
            <w:r>
              <w:rPr>
                <w:rFonts w:ascii="Aptos" w:hAnsi="Aptos"/>
                <w:b w:val="0"/>
                <w:sz w:val="15"/>
              </w:rPr>
              <w:t>Resolve material risk, funding and scope issues</w:t>
            </w:r>
          </w:p>
        </w:tc>
      </w:tr>
      <w:tr>
        <w:trPr>
          <w:cantSplit/>
        </w:trPr>
        <w:tc>
          <w:tcPr>
            <w:tcW w:type="dxa" w:w="2592"/>
            <w:vAlign w:val="center"/>
            <w:shd w:fill="F3F6F7"/>
          </w:tcPr>
          <w:p>
            <w:pPr>
              <w:spacing w:after="0"/>
            </w:pPr>
            <w:r/>
            <w:r>
              <w:rPr>
                <w:rFonts w:ascii="Aptos" w:hAnsi="Aptos"/>
                <w:b w:val="0"/>
                <w:sz w:val="15"/>
              </w:rPr>
              <w:t>System owner</w:t>
            </w:r>
          </w:p>
        </w:tc>
        <w:tc>
          <w:tcPr>
            <w:tcW w:type="dxa" w:w="7056"/>
            <w:vAlign w:val="center"/>
            <w:shd w:fill="F3F6F7"/>
          </w:tcPr>
          <w:p>
            <w:pPr>
              <w:spacing w:after="0"/>
            </w:pPr>
            <w:r/>
            <w:r>
              <w:rPr>
                <w:rFonts w:ascii="Aptos" w:hAnsi="Aptos"/>
                <w:b w:val="0"/>
                <w:sz w:val="15"/>
              </w:rPr>
              <w:t>Own approved use, service risk and operational acceptance</w:t>
            </w:r>
          </w:p>
        </w:tc>
      </w:tr>
      <w:tr>
        <w:trPr>
          <w:cantSplit/>
        </w:trPr>
        <w:tc>
          <w:tcPr>
            <w:tcW w:type="dxa" w:w="2592"/>
            <w:vAlign w:val="center"/>
          </w:tcPr>
          <w:p>
            <w:pPr>
              <w:spacing w:after="0"/>
            </w:pPr>
            <w:r/>
            <w:r>
              <w:rPr>
                <w:rFonts w:ascii="Aptos" w:hAnsi="Aptos"/>
                <w:b w:val="0"/>
                <w:sz w:val="15"/>
              </w:rPr>
              <w:t>Control owner</w:t>
            </w:r>
          </w:p>
        </w:tc>
        <w:tc>
          <w:tcPr>
            <w:tcW w:type="dxa" w:w="7056"/>
            <w:vAlign w:val="center"/>
          </w:tcPr>
          <w:p>
            <w:pPr>
              <w:spacing w:after="0"/>
            </w:pPr>
            <w:r/>
            <w:r>
              <w:rPr>
                <w:rFonts w:ascii="Aptos" w:hAnsi="Aptos"/>
                <w:b w:val="0"/>
                <w:sz w:val="15"/>
              </w:rPr>
              <w:t>Maintain control design and effectiveness</w:t>
            </w:r>
          </w:p>
        </w:tc>
      </w:tr>
      <w:tr>
        <w:trPr>
          <w:cantSplit/>
        </w:trPr>
        <w:tc>
          <w:tcPr>
            <w:tcW w:type="dxa" w:w="2592"/>
            <w:vAlign w:val="center"/>
            <w:shd w:fill="F3F6F7"/>
          </w:tcPr>
          <w:p>
            <w:pPr>
              <w:spacing w:after="0"/>
            </w:pPr>
            <w:r/>
            <w:r>
              <w:rPr>
                <w:rFonts w:ascii="Aptos" w:hAnsi="Aptos"/>
                <w:b w:val="0"/>
                <w:sz w:val="15"/>
              </w:rPr>
              <w:t>Control operator</w:t>
            </w:r>
          </w:p>
        </w:tc>
        <w:tc>
          <w:tcPr>
            <w:tcW w:type="dxa" w:w="7056"/>
            <w:vAlign w:val="center"/>
            <w:shd w:fill="F3F6F7"/>
          </w:tcPr>
          <w:p>
            <w:pPr>
              <w:spacing w:after="0"/>
            </w:pPr>
            <w:r/>
            <w:r>
              <w:rPr>
                <w:rFonts w:ascii="Aptos" w:hAnsi="Aptos"/>
                <w:b w:val="0"/>
                <w:sz w:val="15"/>
              </w:rPr>
              <w:t>Execute recurring control activities and create evidence</w:t>
            </w:r>
          </w:p>
        </w:tc>
      </w:tr>
      <w:tr>
        <w:trPr>
          <w:cantSplit/>
        </w:trPr>
        <w:tc>
          <w:tcPr>
            <w:tcW w:type="dxa" w:w="2592"/>
            <w:vAlign w:val="center"/>
          </w:tcPr>
          <w:p>
            <w:pPr>
              <w:spacing w:after="0"/>
            </w:pPr>
            <w:r/>
            <w:r>
              <w:rPr>
                <w:rFonts w:ascii="Aptos" w:hAnsi="Aptos"/>
                <w:b w:val="0"/>
                <w:sz w:val="15"/>
              </w:rPr>
              <w:t>AI operations / MLOps</w:t>
            </w:r>
          </w:p>
        </w:tc>
        <w:tc>
          <w:tcPr>
            <w:tcW w:type="dxa" w:w="7056"/>
            <w:vAlign w:val="center"/>
          </w:tcPr>
          <w:p>
            <w:pPr>
              <w:spacing w:after="0"/>
            </w:pPr>
            <w:r/>
            <w:r>
              <w:rPr>
                <w:rFonts w:ascii="Aptos" w:hAnsi="Aptos"/>
                <w:b w:val="0"/>
                <w:sz w:val="15"/>
              </w:rPr>
              <w:t>Maintain models, data pipelines, evaluations and deployment state</w:t>
            </w:r>
          </w:p>
        </w:tc>
      </w:tr>
      <w:tr>
        <w:trPr>
          <w:cantSplit/>
        </w:trPr>
        <w:tc>
          <w:tcPr>
            <w:tcW w:type="dxa" w:w="2592"/>
            <w:vAlign w:val="center"/>
            <w:shd w:fill="F3F6F7"/>
          </w:tcPr>
          <w:p>
            <w:pPr>
              <w:spacing w:after="0"/>
            </w:pPr>
            <w:r/>
            <w:r>
              <w:rPr>
                <w:rFonts w:ascii="Aptos" w:hAnsi="Aptos"/>
                <w:b w:val="0"/>
                <w:sz w:val="15"/>
              </w:rPr>
              <w:t>Security operations</w:t>
            </w:r>
          </w:p>
        </w:tc>
        <w:tc>
          <w:tcPr>
            <w:tcW w:type="dxa" w:w="7056"/>
            <w:vAlign w:val="center"/>
            <w:shd w:fill="F3F6F7"/>
          </w:tcPr>
          <w:p>
            <w:pPr>
              <w:spacing w:after="0"/>
            </w:pPr>
            <w:r/>
            <w:r>
              <w:rPr>
                <w:rFonts w:ascii="Aptos" w:hAnsi="Aptos"/>
                <w:b w:val="0"/>
                <w:sz w:val="15"/>
              </w:rPr>
              <w:t>Monitor threats, alerts, abuse and compromise</w:t>
            </w:r>
          </w:p>
        </w:tc>
      </w:tr>
      <w:tr>
        <w:trPr>
          <w:cantSplit/>
        </w:trPr>
        <w:tc>
          <w:tcPr>
            <w:tcW w:type="dxa" w:w="2592"/>
            <w:vAlign w:val="center"/>
          </w:tcPr>
          <w:p>
            <w:pPr>
              <w:spacing w:after="0"/>
            </w:pPr>
            <w:r/>
            <w:r>
              <w:rPr>
                <w:rFonts w:ascii="Aptos" w:hAnsi="Aptos"/>
                <w:b w:val="0"/>
                <w:sz w:val="15"/>
              </w:rPr>
              <w:t>Safety authority</w:t>
            </w:r>
          </w:p>
        </w:tc>
        <w:tc>
          <w:tcPr>
            <w:tcW w:type="dxa" w:w="7056"/>
            <w:vAlign w:val="center"/>
          </w:tcPr>
          <w:p>
            <w:pPr>
              <w:spacing w:after="0"/>
            </w:pPr>
            <w:r/>
            <w:r>
              <w:rPr>
                <w:rFonts w:ascii="Aptos" w:hAnsi="Aptos"/>
                <w:b w:val="0"/>
                <w:sz w:val="15"/>
              </w:rPr>
              <w:t>Oversee hazards, safe state and physical-AI constraints</w:t>
            </w:r>
          </w:p>
        </w:tc>
      </w:tr>
      <w:tr>
        <w:trPr>
          <w:cantSplit/>
        </w:trPr>
        <w:tc>
          <w:tcPr>
            <w:tcW w:type="dxa" w:w="2592"/>
            <w:vAlign w:val="center"/>
            <w:shd w:fill="F3F6F7"/>
          </w:tcPr>
          <w:p>
            <w:pPr>
              <w:spacing w:after="0"/>
            </w:pPr>
            <w:r/>
            <w:r>
              <w:rPr>
                <w:rFonts w:ascii="Aptos" w:hAnsi="Aptos"/>
                <w:b w:val="0"/>
                <w:sz w:val="15"/>
              </w:rPr>
              <w:t>Data/privacy owner</w:t>
            </w:r>
          </w:p>
        </w:tc>
        <w:tc>
          <w:tcPr>
            <w:tcW w:type="dxa" w:w="7056"/>
            <w:vAlign w:val="center"/>
            <w:shd w:fill="F3F6F7"/>
          </w:tcPr>
          <w:p>
            <w:pPr>
              <w:spacing w:after="0"/>
            </w:pPr>
            <w:r/>
            <w:r>
              <w:rPr>
                <w:rFonts w:ascii="Aptos" w:hAnsi="Aptos"/>
                <w:b w:val="0"/>
                <w:sz w:val="15"/>
              </w:rPr>
              <w:t>Maintain data use, retention, rights and leakage controls</w:t>
            </w:r>
          </w:p>
        </w:tc>
      </w:tr>
      <w:tr>
        <w:trPr>
          <w:cantSplit/>
        </w:trPr>
        <w:tc>
          <w:tcPr>
            <w:tcW w:type="dxa" w:w="2592"/>
            <w:vAlign w:val="center"/>
          </w:tcPr>
          <w:p>
            <w:pPr>
              <w:spacing w:after="0"/>
            </w:pPr>
            <w:r/>
            <w:r>
              <w:rPr>
                <w:rFonts w:ascii="Aptos" w:hAnsi="Aptos"/>
                <w:b w:val="0"/>
                <w:sz w:val="15"/>
              </w:rPr>
              <w:t>Supplier manager</w:t>
            </w:r>
          </w:p>
        </w:tc>
        <w:tc>
          <w:tcPr>
            <w:tcW w:type="dxa" w:w="7056"/>
            <w:vAlign w:val="center"/>
          </w:tcPr>
          <w:p>
            <w:pPr>
              <w:spacing w:after="0"/>
            </w:pPr>
            <w:r/>
            <w:r>
              <w:rPr>
                <w:rFonts w:ascii="Aptos" w:hAnsi="Aptos"/>
                <w:b w:val="0"/>
                <w:sz w:val="15"/>
              </w:rPr>
              <w:t>Track provider status, changes, incidents and inherited controls</w:t>
            </w:r>
          </w:p>
        </w:tc>
      </w:tr>
      <w:tr>
        <w:trPr>
          <w:cantSplit/>
        </w:trPr>
        <w:tc>
          <w:tcPr>
            <w:tcW w:type="dxa" w:w="2592"/>
            <w:vAlign w:val="center"/>
            <w:shd w:fill="F3F6F7"/>
          </w:tcPr>
          <w:p>
            <w:pPr>
              <w:spacing w:after="0"/>
            </w:pPr>
            <w:r/>
            <w:r>
              <w:rPr>
                <w:rFonts w:ascii="Aptos" w:hAnsi="Aptos"/>
                <w:b w:val="0"/>
                <w:sz w:val="15"/>
              </w:rPr>
              <w:t>Internal assurance</w:t>
            </w:r>
          </w:p>
        </w:tc>
        <w:tc>
          <w:tcPr>
            <w:tcW w:type="dxa" w:w="7056"/>
            <w:vAlign w:val="center"/>
            <w:shd w:fill="F3F6F7"/>
          </w:tcPr>
          <w:p>
            <w:pPr>
              <w:spacing w:after="0"/>
            </w:pPr>
            <w:r/>
            <w:r>
              <w:rPr>
                <w:rFonts w:ascii="Aptos" w:hAnsi="Aptos"/>
                <w:b w:val="0"/>
                <w:sz w:val="15"/>
              </w:rPr>
              <w:t>Independently test control operation and evidence</w:t>
            </w:r>
          </w:p>
        </w:tc>
      </w:tr>
      <w:tr>
        <w:trPr>
          <w:cantSplit/>
        </w:trPr>
        <w:tc>
          <w:tcPr>
            <w:tcW w:type="dxa" w:w="2592"/>
            <w:vAlign w:val="center"/>
          </w:tcPr>
          <w:p>
            <w:pPr>
              <w:spacing w:after="0"/>
            </w:pPr>
            <w:r/>
            <w:r>
              <w:rPr>
                <w:rFonts w:ascii="Aptos" w:hAnsi="Aptos"/>
                <w:b w:val="0"/>
                <w:sz w:val="15"/>
              </w:rPr>
              <w:t>Risk authority</w:t>
            </w:r>
          </w:p>
        </w:tc>
        <w:tc>
          <w:tcPr>
            <w:tcW w:type="dxa" w:w="7056"/>
            <w:vAlign w:val="center"/>
          </w:tcPr>
          <w:p>
            <w:pPr>
              <w:spacing w:after="0"/>
            </w:pPr>
            <w:r/>
            <w:r>
              <w:rPr>
                <w:rFonts w:ascii="Aptos" w:hAnsi="Aptos"/>
                <w:b w:val="0"/>
                <w:sz w:val="15"/>
              </w:rPr>
              <w:t>Approve exceptions and residual risk within delegated authority</w:t>
            </w:r>
          </w:p>
        </w:tc>
      </w:tr>
    </w:tbl>
    <w:p/>
    <w:p>
      <w:pPr>
        <w:pStyle w:val="Heading1"/>
      </w:pPr>
      <w:r>
        <w:t>4. Operating Cadence</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016"/>
            <w:vAlign w:val="center"/>
            <w:shd w:fill="17324D"/>
          </w:tcPr>
          <w:p>
            <w:pPr>
              <w:spacing w:after="0"/>
            </w:pPr>
            <w:r/>
            <w:r>
              <w:rPr>
                <w:rFonts w:ascii="Aptos" w:hAnsi="Aptos"/>
                <w:b/>
                <w:color w:val="FFFFFF"/>
                <w:sz w:val="15"/>
              </w:rPr>
              <w:t>Cadence</w:t>
            </w:r>
          </w:p>
        </w:tc>
        <w:tc>
          <w:tcPr>
            <w:tcW w:type="dxa" w:w="7632"/>
            <w:vAlign w:val="center"/>
            <w:shd w:fill="17324D"/>
          </w:tcPr>
          <w:p>
            <w:pPr>
              <w:spacing w:after="0"/>
            </w:pPr>
            <w:r/>
            <w:r>
              <w:rPr>
                <w:rFonts w:ascii="Aptos" w:hAnsi="Aptos"/>
                <w:b/>
                <w:color w:val="FFFFFF"/>
                <w:sz w:val="15"/>
              </w:rPr>
              <w:t>Minimum activities</w:t>
            </w:r>
          </w:p>
        </w:tc>
      </w:tr>
      <w:tr>
        <w:trPr>
          <w:cantSplit/>
        </w:trPr>
        <w:tc>
          <w:tcPr>
            <w:tcW w:type="dxa" w:w="2016"/>
            <w:vAlign w:val="center"/>
          </w:tcPr>
          <w:p>
            <w:pPr>
              <w:spacing w:after="0"/>
            </w:pPr>
            <w:r/>
            <w:r>
              <w:rPr>
                <w:rFonts w:ascii="Aptos" w:hAnsi="Aptos"/>
                <w:b w:val="0"/>
                <w:sz w:val="15"/>
              </w:rPr>
              <w:t>Continuous</w:t>
            </w:r>
          </w:p>
        </w:tc>
        <w:tc>
          <w:tcPr>
            <w:tcW w:type="dxa" w:w="7632"/>
            <w:vAlign w:val="center"/>
          </w:tcPr>
          <w:p>
            <w:pPr>
              <w:spacing w:after="0"/>
            </w:pPr>
            <w:r/>
            <w:r>
              <w:rPr>
                <w:rFonts w:ascii="Aptos" w:hAnsi="Aptos"/>
                <w:b w:val="0"/>
                <w:sz w:val="15"/>
              </w:rPr>
              <w:t>Security telemetry, safety alerts, control-health signals, abuse detection, service availability and physical operating constraints</w:t>
            </w:r>
          </w:p>
        </w:tc>
      </w:tr>
      <w:tr>
        <w:trPr>
          <w:cantSplit/>
        </w:trPr>
        <w:tc>
          <w:tcPr>
            <w:tcW w:type="dxa" w:w="2016"/>
            <w:vAlign w:val="center"/>
            <w:shd w:fill="F3F6F7"/>
          </w:tcPr>
          <w:p>
            <w:pPr>
              <w:spacing w:after="0"/>
            </w:pPr>
            <w:r/>
            <w:r>
              <w:rPr>
                <w:rFonts w:ascii="Aptos" w:hAnsi="Aptos"/>
                <w:b w:val="0"/>
                <w:sz w:val="15"/>
              </w:rPr>
              <w:t>Per transaction/action</w:t>
            </w:r>
          </w:p>
        </w:tc>
        <w:tc>
          <w:tcPr>
            <w:tcW w:type="dxa" w:w="7632"/>
            <w:vAlign w:val="center"/>
            <w:shd w:fill="F3F6F7"/>
          </w:tcPr>
          <w:p>
            <w:pPr>
              <w:spacing w:after="0"/>
            </w:pPr>
            <w:r/>
            <w:r>
              <w:rPr>
                <w:rFonts w:ascii="Aptos" w:hAnsi="Aptos"/>
                <w:b w:val="0"/>
                <w:sz w:val="15"/>
              </w:rPr>
              <w:t>Authorization, policy decision, tool approval, safety gate and evidence capture</w:t>
            </w:r>
          </w:p>
        </w:tc>
      </w:tr>
      <w:tr>
        <w:trPr>
          <w:cantSplit/>
        </w:trPr>
        <w:tc>
          <w:tcPr>
            <w:tcW w:type="dxa" w:w="2016"/>
            <w:vAlign w:val="center"/>
          </w:tcPr>
          <w:p>
            <w:pPr>
              <w:spacing w:after="0"/>
            </w:pPr>
            <w:r/>
            <w:r>
              <w:rPr>
                <w:rFonts w:ascii="Aptos" w:hAnsi="Aptos"/>
                <w:b w:val="0"/>
                <w:sz w:val="15"/>
              </w:rPr>
              <w:t>Daily</w:t>
            </w:r>
          </w:p>
        </w:tc>
        <w:tc>
          <w:tcPr>
            <w:tcW w:type="dxa" w:w="7632"/>
            <w:vAlign w:val="center"/>
          </w:tcPr>
          <w:p>
            <w:pPr>
              <w:spacing w:after="0"/>
            </w:pPr>
            <w:r/>
            <w:r>
              <w:rPr>
                <w:rFonts w:ascii="Aptos" w:hAnsi="Aptos"/>
                <w:b w:val="0"/>
                <w:sz w:val="15"/>
              </w:rPr>
              <w:t>Alert triage, incident review, failed-control follow-up and high-risk exception review</w:t>
            </w:r>
          </w:p>
        </w:tc>
      </w:tr>
      <w:tr>
        <w:trPr>
          <w:cantSplit/>
        </w:trPr>
        <w:tc>
          <w:tcPr>
            <w:tcW w:type="dxa" w:w="2016"/>
            <w:vAlign w:val="center"/>
            <w:shd w:fill="F3F6F7"/>
          </w:tcPr>
          <w:p>
            <w:pPr>
              <w:spacing w:after="0"/>
            </w:pPr>
            <w:r/>
            <w:r>
              <w:rPr>
                <w:rFonts w:ascii="Aptos" w:hAnsi="Aptos"/>
                <w:b w:val="0"/>
                <w:sz w:val="15"/>
              </w:rPr>
              <w:t>Weekly</w:t>
            </w:r>
          </w:p>
        </w:tc>
        <w:tc>
          <w:tcPr>
            <w:tcW w:type="dxa" w:w="7632"/>
            <w:vAlign w:val="center"/>
            <w:shd w:fill="F3F6F7"/>
          </w:tcPr>
          <w:p>
            <w:pPr>
              <w:spacing w:after="0"/>
            </w:pPr>
            <w:r/>
            <w:r>
              <w:rPr>
                <w:rFonts w:ascii="Aptos" w:hAnsi="Aptos"/>
                <w:b w:val="0"/>
                <w:sz w:val="15"/>
              </w:rPr>
              <w:t>Model/data drift review, unresolved alerts, supplier status and deployment changes</w:t>
            </w:r>
          </w:p>
        </w:tc>
      </w:tr>
      <w:tr>
        <w:trPr>
          <w:cantSplit/>
        </w:trPr>
        <w:tc>
          <w:tcPr>
            <w:tcW w:type="dxa" w:w="2016"/>
            <w:vAlign w:val="center"/>
          </w:tcPr>
          <w:p>
            <w:pPr>
              <w:spacing w:after="0"/>
            </w:pPr>
            <w:r/>
            <w:r>
              <w:rPr>
                <w:rFonts w:ascii="Aptos" w:hAnsi="Aptos"/>
                <w:b w:val="0"/>
                <w:sz w:val="15"/>
              </w:rPr>
              <w:t>Monthly</w:t>
            </w:r>
          </w:p>
        </w:tc>
        <w:tc>
          <w:tcPr>
            <w:tcW w:type="dxa" w:w="7632"/>
            <w:vAlign w:val="center"/>
          </w:tcPr>
          <w:p>
            <w:pPr>
              <w:spacing w:after="0"/>
            </w:pPr>
            <w:r/>
            <w:r>
              <w:rPr>
                <w:rFonts w:ascii="Aptos" w:hAnsi="Aptos"/>
                <w:b w:val="0"/>
                <w:sz w:val="15"/>
              </w:rPr>
              <w:t>Control-owner review, evidence expiry, overdue findings, exception status and metric trends</w:t>
            </w:r>
          </w:p>
        </w:tc>
      </w:tr>
      <w:tr>
        <w:trPr>
          <w:cantSplit/>
        </w:trPr>
        <w:tc>
          <w:tcPr>
            <w:tcW w:type="dxa" w:w="2016"/>
            <w:vAlign w:val="center"/>
            <w:shd w:fill="F3F6F7"/>
          </w:tcPr>
          <w:p>
            <w:pPr>
              <w:spacing w:after="0"/>
            </w:pPr>
            <w:r/>
            <w:r>
              <w:rPr>
                <w:rFonts w:ascii="Aptos" w:hAnsi="Aptos"/>
                <w:b w:val="0"/>
                <w:sz w:val="15"/>
              </w:rPr>
              <w:t>Quarterly</w:t>
            </w:r>
          </w:p>
        </w:tc>
        <w:tc>
          <w:tcPr>
            <w:tcW w:type="dxa" w:w="7632"/>
            <w:vAlign w:val="center"/>
            <w:shd w:fill="F3F6F7"/>
          </w:tcPr>
          <w:p>
            <w:pPr>
              <w:spacing w:after="0"/>
            </w:pPr>
            <w:r/>
            <w:r>
              <w:rPr>
                <w:rFonts w:ascii="Aptos" w:hAnsi="Aptos"/>
                <w:b w:val="0"/>
                <w:sz w:val="15"/>
              </w:rPr>
              <w:t>Control attestation, risk review, technical reassessment and management reporting</w:t>
            </w:r>
          </w:p>
        </w:tc>
      </w:tr>
      <w:tr>
        <w:trPr>
          <w:cantSplit/>
        </w:trPr>
        <w:tc>
          <w:tcPr>
            <w:tcW w:type="dxa" w:w="2016"/>
            <w:vAlign w:val="center"/>
          </w:tcPr>
          <w:p>
            <w:pPr>
              <w:spacing w:after="0"/>
            </w:pPr>
            <w:r/>
            <w:r>
              <w:rPr>
                <w:rFonts w:ascii="Aptos" w:hAnsi="Aptos"/>
                <w:b w:val="0"/>
                <w:sz w:val="15"/>
              </w:rPr>
              <w:t>Semiannual</w:t>
            </w:r>
          </w:p>
        </w:tc>
        <w:tc>
          <w:tcPr>
            <w:tcW w:type="dxa" w:w="7632"/>
            <w:vAlign w:val="center"/>
          </w:tcPr>
          <w:p>
            <w:pPr>
              <w:spacing w:after="0"/>
            </w:pPr>
            <w:r/>
            <w:r>
              <w:rPr>
                <w:rFonts w:ascii="Aptos" w:hAnsi="Aptos"/>
                <w:b w:val="0"/>
                <w:sz w:val="15"/>
              </w:rPr>
              <w:t>Scenario exercise, independent assurance and supplier deep review</w:t>
            </w:r>
          </w:p>
        </w:tc>
      </w:tr>
      <w:tr>
        <w:trPr>
          <w:cantSplit/>
        </w:trPr>
        <w:tc>
          <w:tcPr>
            <w:tcW w:type="dxa" w:w="2016"/>
            <w:vAlign w:val="center"/>
            <w:shd w:fill="F3F6F7"/>
          </w:tcPr>
          <w:p>
            <w:pPr>
              <w:spacing w:after="0"/>
            </w:pPr>
            <w:r/>
            <w:r>
              <w:rPr>
                <w:rFonts w:ascii="Aptos" w:hAnsi="Aptos"/>
                <w:b w:val="0"/>
                <w:sz w:val="15"/>
              </w:rPr>
              <w:t>Annual</w:t>
            </w:r>
          </w:p>
        </w:tc>
        <w:tc>
          <w:tcPr>
            <w:tcW w:type="dxa" w:w="7632"/>
            <w:vAlign w:val="center"/>
            <w:shd w:fill="F3F6F7"/>
          </w:tcPr>
          <w:p>
            <w:pPr>
              <w:spacing w:after="0"/>
            </w:pPr>
            <w:r/>
            <w:r>
              <w:rPr>
                <w:rFonts w:ascii="Aptos" w:hAnsi="Aptos"/>
                <w:b w:val="0"/>
                <w:sz w:val="15"/>
              </w:rPr>
              <w:t>Scope confirmation, full profile review, internal audit, management review and release-impact assessment</w:t>
            </w:r>
          </w:p>
        </w:tc>
      </w:tr>
      <w:tr>
        <w:trPr>
          <w:cantSplit/>
        </w:trPr>
        <w:tc>
          <w:tcPr>
            <w:tcW w:type="dxa" w:w="2016"/>
            <w:vAlign w:val="center"/>
          </w:tcPr>
          <w:p>
            <w:pPr>
              <w:spacing w:after="0"/>
            </w:pPr>
            <w:r/>
            <w:r>
              <w:rPr>
                <w:rFonts w:ascii="Aptos" w:hAnsi="Aptos"/>
                <w:b w:val="0"/>
                <w:sz w:val="15"/>
              </w:rPr>
              <w:t>Event-driven</w:t>
            </w:r>
          </w:p>
        </w:tc>
        <w:tc>
          <w:tcPr>
            <w:tcW w:type="dxa" w:w="7632"/>
            <w:vAlign w:val="center"/>
          </w:tcPr>
          <w:p>
            <w:pPr>
              <w:spacing w:after="0"/>
            </w:pPr>
            <w:r/>
            <w:r>
              <w:rPr>
                <w:rFonts w:ascii="Aptos" w:hAnsi="Aptos"/>
                <w:b w:val="0"/>
                <w:sz w:val="15"/>
              </w:rPr>
              <w:t>Incident, major change, legal change, supplier change, new threat or GAISSF release</w:t>
            </w:r>
          </w:p>
        </w:tc>
      </w:tr>
    </w:tbl>
    <w:p/>
    <w:p>
      <w:pPr>
        <w:pStyle w:val="Heading1"/>
      </w:pPr>
      <w:r>
        <w:t>5. Operational Inventory and Baseline</w:t>
      </w:r>
    </w:p>
    <w:p>
      <w:r>
        <w:t>Run-state operations require an authoritative baseline describing what is approved and currently deployed.</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448"/>
            <w:vAlign w:val="center"/>
            <w:shd w:fill="17324D"/>
          </w:tcPr>
          <w:p>
            <w:pPr>
              <w:spacing w:after="0"/>
            </w:pPr>
            <w:r/>
            <w:r>
              <w:rPr>
                <w:rFonts w:ascii="Aptos" w:hAnsi="Aptos"/>
                <w:b/>
                <w:color w:val="FFFFFF"/>
                <w:sz w:val="15"/>
              </w:rPr>
              <w:t>Baseline item</w:t>
            </w:r>
          </w:p>
        </w:tc>
        <w:tc>
          <w:tcPr>
            <w:tcW w:type="dxa" w:w="7200"/>
            <w:vAlign w:val="center"/>
            <w:shd w:fill="17324D"/>
          </w:tcPr>
          <w:p>
            <w:pPr>
              <w:spacing w:after="0"/>
            </w:pPr>
            <w:r/>
            <w:r>
              <w:rPr>
                <w:rFonts w:ascii="Aptos" w:hAnsi="Aptos"/>
                <w:b/>
                <w:color w:val="FFFFFF"/>
                <w:sz w:val="15"/>
              </w:rPr>
              <w:t>Minimum record</w:t>
            </w:r>
          </w:p>
        </w:tc>
      </w:tr>
      <w:tr>
        <w:trPr>
          <w:cantSplit/>
        </w:trPr>
        <w:tc>
          <w:tcPr>
            <w:tcW w:type="dxa" w:w="2448"/>
            <w:vAlign w:val="center"/>
          </w:tcPr>
          <w:p>
            <w:pPr>
              <w:spacing w:after="0"/>
            </w:pPr>
            <w:r/>
            <w:r>
              <w:rPr>
                <w:rFonts w:ascii="Aptos" w:hAnsi="Aptos"/>
                <w:b w:val="0"/>
                <w:sz w:val="15"/>
              </w:rPr>
              <w:t>System</w:t>
            </w:r>
          </w:p>
        </w:tc>
        <w:tc>
          <w:tcPr>
            <w:tcW w:type="dxa" w:w="7200"/>
            <w:vAlign w:val="center"/>
          </w:tcPr>
          <w:p>
            <w:pPr>
              <w:spacing w:after="0"/>
            </w:pPr>
            <w:r/>
            <w:r>
              <w:rPr>
                <w:rFonts w:ascii="Aptos" w:hAnsi="Aptos"/>
                <w:b w:val="0"/>
                <w:sz w:val="15"/>
              </w:rPr>
              <w:t>Name, purpose, owner, users, criticality and lifecycle state</w:t>
            </w:r>
          </w:p>
        </w:tc>
      </w:tr>
      <w:tr>
        <w:trPr>
          <w:cantSplit/>
        </w:trPr>
        <w:tc>
          <w:tcPr>
            <w:tcW w:type="dxa" w:w="2448"/>
            <w:vAlign w:val="center"/>
            <w:shd w:fill="F3F6F7"/>
          </w:tcPr>
          <w:p>
            <w:pPr>
              <w:spacing w:after="0"/>
            </w:pPr>
            <w:r/>
            <w:r>
              <w:rPr>
                <w:rFonts w:ascii="Aptos" w:hAnsi="Aptos"/>
                <w:b w:val="0"/>
                <w:sz w:val="15"/>
              </w:rPr>
              <w:t>Model</w:t>
            </w:r>
          </w:p>
        </w:tc>
        <w:tc>
          <w:tcPr>
            <w:tcW w:type="dxa" w:w="7200"/>
            <w:vAlign w:val="center"/>
            <w:shd w:fill="F3F6F7"/>
          </w:tcPr>
          <w:p>
            <w:pPr>
              <w:spacing w:after="0"/>
            </w:pPr>
            <w:r/>
            <w:r>
              <w:rPr>
                <w:rFonts w:ascii="Aptos" w:hAnsi="Aptos"/>
                <w:b w:val="0"/>
                <w:sz w:val="15"/>
              </w:rPr>
              <w:t>Provider, model/version, configuration and approval status</w:t>
            </w:r>
          </w:p>
        </w:tc>
      </w:tr>
      <w:tr>
        <w:trPr>
          <w:cantSplit/>
        </w:trPr>
        <w:tc>
          <w:tcPr>
            <w:tcW w:type="dxa" w:w="2448"/>
            <w:vAlign w:val="center"/>
          </w:tcPr>
          <w:p>
            <w:pPr>
              <w:spacing w:after="0"/>
            </w:pPr>
            <w:r/>
            <w:r>
              <w:rPr>
                <w:rFonts w:ascii="Aptos" w:hAnsi="Aptos"/>
                <w:b w:val="0"/>
                <w:sz w:val="15"/>
              </w:rPr>
              <w:t>Data</w:t>
            </w:r>
          </w:p>
        </w:tc>
        <w:tc>
          <w:tcPr>
            <w:tcW w:type="dxa" w:w="7200"/>
            <w:vAlign w:val="center"/>
          </w:tcPr>
          <w:p>
            <w:pPr>
              <w:spacing w:after="0"/>
            </w:pPr>
            <w:r/>
            <w:r>
              <w:rPr>
                <w:rFonts w:ascii="Aptos" w:hAnsi="Aptos"/>
                <w:b w:val="0"/>
                <w:sz w:val="15"/>
              </w:rPr>
              <w:t>Sources, classifications, lineage, retention and locations</w:t>
            </w:r>
          </w:p>
        </w:tc>
      </w:tr>
      <w:tr>
        <w:trPr>
          <w:cantSplit/>
        </w:trPr>
        <w:tc>
          <w:tcPr>
            <w:tcW w:type="dxa" w:w="2448"/>
            <w:vAlign w:val="center"/>
            <w:shd w:fill="F3F6F7"/>
          </w:tcPr>
          <w:p>
            <w:pPr>
              <w:spacing w:after="0"/>
            </w:pPr>
            <w:r/>
            <w:r>
              <w:rPr>
                <w:rFonts w:ascii="Aptos" w:hAnsi="Aptos"/>
                <w:b w:val="0"/>
                <w:sz w:val="15"/>
              </w:rPr>
              <w:t>Prompts/policies</w:t>
            </w:r>
          </w:p>
        </w:tc>
        <w:tc>
          <w:tcPr>
            <w:tcW w:type="dxa" w:w="7200"/>
            <w:vAlign w:val="center"/>
            <w:shd w:fill="F3F6F7"/>
          </w:tcPr>
          <w:p>
            <w:pPr>
              <w:spacing w:after="0"/>
            </w:pPr>
            <w:r/>
            <w:r>
              <w:rPr>
                <w:rFonts w:ascii="Aptos" w:hAnsi="Aptos"/>
                <w:b w:val="0"/>
                <w:sz w:val="15"/>
              </w:rPr>
              <w:t>Approved versions and release identifiers</w:t>
            </w:r>
          </w:p>
        </w:tc>
      </w:tr>
      <w:tr>
        <w:trPr>
          <w:cantSplit/>
        </w:trPr>
        <w:tc>
          <w:tcPr>
            <w:tcW w:type="dxa" w:w="2448"/>
            <w:vAlign w:val="center"/>
          </w:tcPr>
          <w:p>
            <w:pPr>
              <w:spacing w:after="0"/>
            </w:pPr>
            <w:r/>
            <w:r>
              <w:rPr>
                <w:rFonts w:ascii="Aptos" w:hAnsi="Aptos"/>
                <w:b w:val="0"/>
                <w:sz w:val="15"/>
              </w:rPr>
              <w:t>Agents/tools</w:t>
            </w:r>
          </w:p>
        </w:tc>
        <w:tc>
          <w:tcPr>
            <w:tcW w:type="dxa" w:w="7200"/>
            <w:vAlign w:val="center"/>
          </w:tcPr>
          <w:p>
            <w:pPr>
              <w:spacing w:after="0"/>
            </w:pPr>
            <w:r/>
            <w:r>
              <w:rPr>
                <w:rFonts w:ascii="Aptos" w:hAnsi="Aptos"/>
                <w:b w:val="0"/>
                <w:sz w:val="15"/>
              </w:rPr>
              <w:t>Capabilities, permissions, limits and sponsoring identity</w:t>
            </w:r>
          </w:p>
        </w:tc>
      </w:tr>
      <w:tr>
        <w:trPr>
          <w:cantSplit/>
        </w:trPr>
        <w:tc>
          <w:tcPr>
            <w:tcW w:type="dxa" w:w="2448"/>
            <w:vAlign w:val="center"/>
            <w:shd w:fill="F3F6F7"/>
          </w:tcPr>
          <w:p>
            <w:pPr>
              <w:spacing w:after="0"/>
            </w:pPr>
            <w:r/>
            <w:r>
              <w:rPr>
                <w:rFonts w:ascii="Aptos" w:hAnsi="Aptos"/>
                <w:b w:val="0"/>
                <w:sz w:val="15"/>
              </w:rPr>
              <w:t>Infrastructure</w:t>
            </w:r>
          </w:p>
        </w:tc>
        <w:tc>
          <w:tcPr>
            <w:tcW w:type="dxa" w:w="7200"/>
            <w:vAlign w:val="center"/>
            <w:shd w:fill="F3F6F7"/>
          </w:tcPr>
          <w:p>
            <w:pPr>
              <w:spacing w:after="0"/>
            </w:pPr>
            <w:r/>
            <w:r>
              <w:rPr>
                <w:rFonts w:ascii="Aptos" w:hAnsi="Aptos"/>
                <w:b w:val="0"/>
                <w:sz w:val="15"/>
              </w:rPr>
              <w:t>Environment, network, secrets, compute and regions</w:t>
            </w:r>
          </w:p>
        </w:tc>
      </w:tr>
      <w:tr>
        <w:trPr>
          <w:cantSplit/>
        </w:trPr>
        <w:tc>
          <w:tcPr>
            <w:tcW w:type="dxa" w:w="2448"/>
            <w:vAlign w:val="center"/>
          </w:tcPr>
          <w:p>
            <w:pPr>
              <w:spacing w:after="0"/>
            </w:pPr>
            <w:r/>
            <w:r>
              <w:rPr>
                <w:rFonts w:ascii="Aptos" w:hAnsi="Aptos"/>
                <w:b w:val="0"/>
                <w:sz w:val="15"/>
              </w:rPr>
              <w:t>Suppliers</w:t>
            </w:r>
          </w:p>
        </w:tc>
        <w:tc>
          <w:tcPr>
            <w:tcW w:type="dxa" w:w="7200"/>
            <w:vAlign w:val="center"/>
          </w:tcPr>
          <w:p>
            <w:pPr>
              <w:spacing w:after="0"/>
            </w:pPr>
            <w:r/>
            <w:r>
              <w:rPr>
                <w:rFonts w:ascii="Aptos" w:hAnsi="Aptos"/>
                <w:b w:val="0"/>
                <w:sz w:val="15"/>
              </w:rPr>
              <w:t>Critical services, contracts, contacts and inherited controls</w:t>
            </w:r>
          </w:p>
        </w:tc>
      </w:tr>
      <w:tr>
        <w:trPr>
          <w:cantSplit/>
        </w:trPr>
        <w:tc>
          <w:tcPr>
            <w:tcW w:type="dxa" w:w="2448"/>
            <w:vAlign w:val="center"/>
            <w:shd w:fill="F3F6F7"/>
          </w:tcPr>
          <w:p>
            <w:pPr>
              <w:spacing w:after="0"/>
            </w:pPr>
            <w:r/>
            <w:r>
              <w:rPr>
                <w:rFonts w:ascii="Aptos" w:hAnsi="Aptos"/>
                <w:b w:val="0"/>
                <w:sz w:val="15"/>
              </w:rPr>
              <w:t>Control profile</w:t>
            </w:r>
          </w:p>
        </w:tc>
        <w:tc>
          <w:tcPr>
            <w:tcW w:type="dxa" w:w="7200"/>
            <w:vAlign w:val="center"/>
            <w:shd w:fill="F3F6F7"/>
          </w:tcPr>
          <w:p>
            <w:pPr>
              <w:spacing w:after="0"/>
            </w:pPr>
            <w:r/>
            <w:r>
              <w:rPr>
                <w:rFonts w:ascii="Aptos" w:hAnsi="Aptos"/>
                <w:b w:val="0"/>
                <w:sz w:val="15"/>
              </w:rPr>
              <w:t>Applicable GAISSF controls and exceptions</w:t>
            </w:r>
          </w:p>
        </w:tc>
      </w:tr>
      <w:tr>
        <w:trPr>
          <w:cantSplit/>
        </w:trPr>
        <w:tc>
          <w:tcPr>
            <w:tcW w:type="dxa" w:w="2448"/>
            <w:vAlign w:val="center"/>
          </w:tcPr>
          <w:p>
            <w:pPr>
              <w:spacing w:after="0"/>
            </w:pPr>
            <w:r/>
            <w:r>
              <w:rPr>
                <w:rFonts w:ascii="Aptos" w:hAnsi="Aptos"/>
                <w:b w:val="0"/>
                <w:sz w:val="15"/>
              </w:rPr>
              <w:t>Evidence period</w:t>
            </w:r>
          </w:p>
        </w:tc>
        <w:tc>
          <w:tcPr>
            <w:tcW w:type="dxa" w:w="7200"/>
            <w:vAlign w:val="center"/>
          </w:tcPr>
          <w:p>
            <w:pPr>
              <w:spacing w:after="0"/>
            </w:pPr>
            <w:r/>
            <w:r>
              <w:rPr>
                <w:rFonts w:ascii="Aptos" w:hAnsi="Aptos"/>
                <w:b w:val="0"/>
                <w:sz w:val="15"/>
              </w:rPr>
              <w:t>Start, end and repository status</w:t>
            </w:r>
          </w:p>
        </w:tc>
      </w:tr>
      <w:tr>
        <w:trPr>
          <w:cantSplit/>
        </w:trPr>
        <w:tc>
          <w:tcPr>
            <w:tcW w:type="dxa" w:w="2448"/>
            <w:vAlign w:val="center"/>
            <w:shd w:fill="F3F6F7"/>
          </w:tcPr>
          <w:p>
            <w:pPr>
              <w:spacing w:after="0"/>
            </w:pPr>
            <w:r/>
            <w:r>
              <w:rPr>
                <w:rFonts w:ascii="Aptos" w:hAnsi="Aptos"/>
                <w:b w:val="0"/>
                <w:sz w:val="15"/>
              </w:rPr>
              <w:t>Public claims</w:t>
            </w:r>
          </w:p>
        </w:tc>
        <w:tc>
          <w:tcPr>
            <w:tcW w:type="dxa" w:w="7200"/>
            <w:vAlign w:val="center"/>
            <w:shd w:fill="F3F6F7"/>
          </w:tcPr>
          <w:p>
            <w:pPr>
              <w:spacing w:after="0"/>
            </w:pPr>
            <w:r/>
            <w:r>
              <w:rPr>
                <w:rFonts w:ascii="Aptos" w:hAnsi="Aptos"/>
                <w:b w:val="0"/>
                <w:sz w:val="15"/>
              </w:rPr>
              <w:t>Approved scope and representations</w:t>
            </w:r>
          </w:p>
        </w:tc>
      </w:tr>
    </w:tbl>
    <w:p/>
    <w:p>
      <w:pPr>
        <w:pStyle w:val="Heading1"/>
      </w:pPr>
      <w:r>
        <w:t>6. Control-Health Monitoring</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1728"/>
            <w:vAlign w:val="center"/>
            <w:shd w:fill="17324D"/>
          </w:tcPr>
          <w:p>
            <w:pPr>
              <w:spacing w:after="0"/>
            </w:pPr>
            <w:r/>
            <w:r>
              <w:rPr>
                <w:rFonts w:ascii="Aptos" w:hAnsi="Aptos"/>
                <w:b/>
                <w:color w:val="FFFFFF"/>
                <w:sz w:val="15"/>
              </w:rPr>
              <w:t>Health state</w:t>
            </w:r>
          </w:p>
        </w:tc>
        <w:tc>
          <w:tcPr>
            <w:tcW w:type="dxa" w:w="4320"/>
            <w:vAlign w:val="center"/>
            <w:shd w:fill="17324D"/>
          </w:tcPr>
          <w:p>
            <w:pPr>
              <w:spacing w:after="0"/>
            </w:pPr>
            <w:r/>
            <w:r>
              <w:rPr>
                <w:rFonts w:ascii="Aptos" w:hAnsi="Aptos"/>
                <w:b/>
                <w:color w:val="FFFFFF"/>
                <w:sz w:val="15"/>
              </w:rPr>
              <w:t>Meaning</w:t>
            </w:r>
          </w:p>
        </w:tc>
        <w:tc>
          <w:tcPr>
            <w:tcW w:type="dxa" w:w="3600"/>
            <w:vAlign w:val="center"/>
            <w:shd w:fill="17324D"/>
          </w:tcPr>
          <w:p>
            <w:pPr>
              <w:spacing w:after="0"/>
            </w:pPr>
            <w:r/>
            <w:r>
              <w:rPr>
                <w:rFonts w:ascii="Aptos" w:hAnsi="Aptos"/>
                <w:b/>
                <w:color w:val="FFFFFF"/>
                <w:sz w:val="15"/>
              </w:rPr>
              <w:t>Required response</w:t>
            </w:r>
          </w:p>
        </w:tc>
      </w:tr>
      <w:tr>
        <w:trPr>
          <w:cantSplit/>
        </w:trPr>
        <w:tc>
          <w:tcPr>
            <w:tcW w:type="dxa" w:w="1728"/>
            <w:vAlign w:val="center"/>
          </w:tcPr>
          <w:p>
            <w:pPr>
              <w:spacing w:after="0"/>
            </w:pPr>
            <w:r/>
            <w:r>
              <w:rPr>
                <w:rFonts w:ascii="Aptos" w:hAnsi="Aptos"/>
                <w:b w:val="0"/>
                <w:sz w:val="15"/>
              </w:rPr>
              <w:t>Green</w:t>
            </w:r>
          </w:p>
        </w:tc>
        <w:tc>
          <w:tcPr>
            <w:tcW w:type="dxa" w:w="4320"/>
            <w:vAlign w:val="center"/>
          </w:tcPr>
          <w:p>
            <w:pPr>
              <w:spacing w:after="0"/>
            </w:pPr>
            <w:r/>
            <w:r>
              <w:rPr>
                <w:rFonts w:ascii="Aptos" w:hAnsi="Aptos"/>
                <w:b w:val="0"/>
                <w:sz w:val="15"/>
              </w:rPr>
              <w:t>Control operates within approved thresholds</w:t>
            </w:r>
          </w:p>
        </w:tc>
        <w:tc>
          <w:tcPr>
            <w:tcW w:type="dxa" w:w="3600"/>
            <w:vAlign w:val="center"/>
          </w:tcPr>
          <w:p>
            <w:pPr>
              <w:spacing w:after="0"/>
            </w:pPr>
            <w:r/>
            <w:r>
              <w:rPr>
                <w:rFonts w:ascii="Aptos" w:hAnsi="Aptos"/>
                <w:b w:val="0"/>
                <w:sz w:val="15"/>
              </w:rPr>
              <w:t>Continue monitoring</w:t>
            </w:r>
          </w:p>
        </w:tc>
      </w:tr>
      <w:tr>
        <w:trPr>
          <w:cantSplit/>
        </w:trPr>
        <w:tc>
          <w:tcPr>
            <w:tcW w:type="dxa" w:w="1728"/>
            <w:vAlign w:val="center"/>
            <w:shd w:fill="F3F6F7"/>
          </w:tcPr>
          <w:p>
            <w:pPr>
              <w:spacing w:after="0"/>
            </w:pPr>
            <w:r/>
            <w:r>
              <w:rPr>
                <w:rFonts w:ascii="Aptos" w:hAnsi="Aptos"/>
                <w:b w:val="0"/>
                <w:sz w:val="15"/>
              </w:rPr>
              <w:t>Amber</w:t>
            </w:r>
          </w:p>
        </w:tc>
        <w:tc>
          <w:tcPr>
            <w:tcW w:type="dxa" w:w="4320"/>
            <w:vAlign w:val="center"/>
            <w:shd w:fill="F3F6F7"/>
          </w:tcPr>
          <w:p>
            <w:pPr>
              <w:spacing w:after="0"/>
            </w:pPr>
            <w:r/>
            <w:r>
              <w:rPr>
                <w:rFonts w:ascii="Aptos" w:hAnsi="Aptos"/>
                <w:b w:val="0"/>
                <w:sz w:val="15"/>
              </w:rPr>
              <w:t>Degradation, evidence weakness or repeated minor failure</w:t>
            </w:r>
          </w:p>
        </w:tc>
        <w:tc>
          <w:tcPr>
            <w:tcW w:type="dxa" w:w="3600"/>
            <w:vAlign w:val="center"/>
            <w:shd w:fill="F3F6F7"/>
          </w:tcPr>
          <w:p>
            <w:pPr>
              <w:spacing w:after="0"/>
            </w:pPr>
            <w:r/>
            <w:r>
              <w:rPr>
                <w:rFonts w:ascii="Aptos" w:hAnsi="Aptos"/>
                <w:b w:val="0"/>
                <w:sz w:val="15"/>
              </w:rPr>
              <w:t>Investigate and implement time-bound action</w:t>
            </w:r>
          </w:p>
        </w:tc>
      </w:tr>
      <w:tr>
        <w:trPr>
          <w:cantSplit/>
        </w:trPr>
        <w:tc>
          <w:tcPr>
            <w:tcW w:type="dxa" w:w="1728"/>
            <w:vAlign w:val="center"/>
          </w:tcPr>
          <w:p>
            <w:pPr>
              <w:spacing w:after="0"/>
            </w:pPr>
            <w:r/>
            <w:r>
              <w:rPr>
                <w:rFonts w:ascii="Aptos" w:hAnsi="Aptos"/>
                <w:b w:val="0"/>
                <w:sz w:val="15"/>
              </w:rPr>
              <w:t>Red</w:t>
            </w:r>
          </w:p>
        </w:tc>
        <w:tc>
          <w:tcPr>
            <w:tcW w:type="dxa" w:w="4320"/>
            <w:vAlign w:val="center"/>
          </w:tcPr>
          <w:p>
            <w:pPr>
              <w:spacing w:after="0"/>
            </w:pPr>
            <w:r/>
            <w:r>
              <w:rPr>
                <w:rFonts w:ascii="Aptos" w:hAnsi="Aptos"/>
                <w:b w:val="0"/>
                <w:sz w:val="15"/>
              </w:rPr>
              <w:t>Material failure, missing evidence or control bypass</w:t>
            </w:r>
          </w:p>
        </w:tc>
        <w:tc>
          <w:tcPr>
            <w:tcW w:type="dxa" w:w="3600"/>
            <w:vAlign w:val="center"/>
          </w:tcPr>
          <w:p>
            <w:pPr>
              <w:spacing w:after="0"/>
            </w:pPr>
            <w:r/>
            <w:r>
              <w:rPr>
                <w:rFonts w:ascii="Aptos" w:hAnsi="Aptos"/>
                <w:b w:val="0"/>
                <w:sz w:val="15"/>
              </w:rPr>
              <w:t>Contain, escalate and assess nonconformity</w:t>
            </w:r>
          </w:p>
        </w:tc>
      </w:tr>
      <w:tr>
        <w:trPr>
          <w:cantSplit/>
        </w:trPr>
        <w:tc>
          <w:tcPr>
            <w:tcW w:type="dxa" w:w="1728"/>
            <w:vAlign w:val="center"/>
            <w:shd w:fill="F3F6F7"/>
          </w:tcPr>
          <w:p>
            <w:pPr>
              <w:spacing w:after="0"/>
            </w:pPr>
            <w:r/>
            <w:r>
              <w:rPr>
                <w:rFonts w:ascii="Aptos" w:hAnsi="Aptos"/>
                <w:b w:val="0"/>
                <w:sz w:val="15"/>
              </w:rPr>
              <w:t>Unknown</w:t>
            </w:r>
          </w:p>
        </w:tc>
        <w:tc>
          <w:tcPr>
            <w:tcW w:type="dxa" w:w="4320"/>
            <w:vAlign w:val="center"/>
            <w:shd w:fill="F3F6F7"/>
          </w:tcPr>
          <w:p>
            <w:pPr>
              <w:spacing w:after="0"/>
            </w:pPr>
            <w:r/>
            <w:r>
              <w:rPr>
                <w:rFonts w:ascii="Aptos" w:hAnsi="Aptos"/>
                <w:b w:val="0"/>
                <w:sz w:val="15"/>
              </w:rPr>
              <w:t>Telemetry or evidence is unavailable</w:t>
            </w:r>
          </w:p>
        </w:tc>
        <w:tc>
          <w:tcPr>
            <w:tcW w:type="dxa" w:w="3600"/>
            <w:vAlign w:val="center"/>
            <w:shd w:fill="F3F6F7"/>
          </w:tcPr>
          <w:p>
            <w:pPr>
              <w:spacing w:after="0"/>
            </w:pPr>
            <w:r/>
            <w:r>
              <w:rPr>
                <w:rFonts w:ascii="Aptos" w:hAnsi="Aptos"/>
                <w:b w:val="0"/>
                <w:sz w:val="15"/>
              </w:rPr>
              <w:t>Treat according to risk; restrict operation where necessary</w:t>
            </w:r>
          </w:p>
        </w:tc>
      </w:tr>
    </w:tbl>
    <w:p/>
    <w:p>
      <w:pPr>
        <w:pStyle w:val="Heading2"/>
      </w:pPr>
      <w:r>
        <w:t>6.1 Control-health record</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448"/>
            <w:vAlign w:val="center"/>
            <w:shd w:fill="17324D"/>
          </w:tcPr>
          <w:p>
            <w:pPr>
              <w:spacing w:after="0"/>
            </w:pPr>
            <w:r/>
            <w:r>
              <w:rPr>
                <w:rFonts w:ascii="Aptos" w:hAnsi="Aptos"/>
                <w:b/>
                <w:color w:val="FFFFFF"/>
                <w:sz w:val="15"/>
              </w:rPr>
              <w:t>Field</w:t>
            </w:r>
          </w:p>
        </w:tc>
        <w:tc>
          <w:tcPr>
            <w:tcW w:type="dxa" w:w="7200"/>
            <w:vAlign w:val="center"/>
            <w:shd w:fill="17324D"/>
          </w:tcPr>
          <w:p>
            <w:pPr>
              <w:spacing w:after="0"/>
            </w:pPr>
            <w:r/>
            <w:r>
              <w:rPr>
                <w:rFonts w:ascii="Aptos" w:hAnsi="Aptos"/>
                <w:b/>
                <w:color w:val="FFFFFF"/>
                <w:sz w:val="15"/>
              </w:rPr>
              <w:t>Required content</w:t>
            </w:r>
          </w:p>
        </w:tc>
      </w:tr>
      <w:tr>
        <w:trPr>
          <w:cantSplit/>
        </w:trPr>
        <w:tc>
          <w:tcPr>
            <w:tcW w:type="dxa" w:w="2448"/>
            <w:vAlign w:val="center"/>
          </w:tcPr>
          <w:p>
            <w:pPr>
              <w:spacing w:after="0"/>
            </w:pPr>
            <w:r/>
            <w:r>
              <w:rPr>
                <w:rFonts w:ascii="Aptos" w:hAnsi="Aptos"/>
                <w:b w:val="0"/>
                <w:sz w:val="15"/>
              </w:rPr>
              <w:t>Control ID</w:t>
            </w:r>
          </w:p>
        </w:tc>
        <w:tc>
          <w:tcPr>
            <w:tcW w:type="dxa" w:w="7200"/>
            <w:vAlign w:val="center"/>
          </w:tcPr>
          <w:p>
            <w:pPr>
              <w:spacing w:after="0"/>
            </w:pPr>
            <w:r/>
            <w:r>
              <w:rPr>
                <w:rFonts w:ascii="Aptos" w:hAnsi="Aptos"/>
                <w:b w:val="0"/>
                <w:sz w:val="15"/>
              </w:rPr>
              <w:t>Exact GAISSF identifier</w:t>
            </w:r>
          </w:p>
        </w:tc>
      </w:tr>
      <w:tr>
        <w:trPr>
          <w:cantSplit/>
        </w:trPr>
        <w:tc>
          <w:tcPr>
            <w:tcW w:type="dxa" w:w="2448"/>
            <w:vAlign w:val="center"/>
            <w:shd w:fill="F3F6F7"/>
          </w:tcPr>
          <w:p>
            <w:pPr>
              <w:spacing w:after="0"/>
            </w:pPr>
            <w:r/>
            <w:r>
              <w:rPr>
                <w:rFonts w:ascii="Aptos" w:hAnsi="Aptos"/>
                <w:b w:val="0"/>
                <w:sz w:val="15"/>
              </w:rPr>
              <w:t>System/scope</w:t>
            </w:r>
          </w:p>
        </w:tc>
        <w:tc>
          <w:tcPr>
            <w:tcW w:type="dxa" w:w="7200"/>
            <w:vAlign w:val="center"/>
            <w:shd w:fill="F3F6F7"/>
          </w:tcPr>
          <w:p>
            <w:pPr>
              <w:spacing w:after="0"/>
            </w:pPr>
            <w:r/>
            <w:r>
              <w:rPr>
                <w:rFonts w:ascii="Aptos" w:hAnsi="Aptos"/>
                <w:b w:val="0"/>
                <w:sz w:val="15"/>
              </w:rPr>
              <w:t>Affected component or population</w:t>
            </w:r>
          </w:p>
        </w:tc>
      </w:tr>
      <w:tr>
        <w:trPr>
          <w:cantSplit/>
        </w:trPr>
        <w:tc>
          <w:tcPr>
            <w:tcW w:type="dxa" w:w="2448"/>
            <w:vAlign w:val="center"/>
          </w:tcPr>
          <w:p>
            <w:pPr>
              <w:spacing w:after="0"/>
            </w:pPr>
            <w:r/>
            <w:r>
              <w:rPr>
                <w:rFonts w:ascii="Aptos" w:hAnsi="Aptos"/>
                <w:b w:val="0"/>
                <w:sz w:val="15"/>
              </w:rPr>
              <w:t>Signal</w:t>
            </w:r>
          </w:p>
        </w:tc>
        <w:tc>
          <w:tcPr>
            <w:tcW w:type="dxa" w:w="7200"/>
            <w:vAlign w:val="center"/>
          </w:tcPr>
          <w:p>
            <w:pPr>
              <w:spacing w:after="0"/>
            </w:pPr>
            <w:r/>
            <w:r>
              <w:rPr>
                <w:rFonts w:ascii="Aptos" w:hAnsi="Aptos"/>
                <w:b w:val="0"/>
                <w:sz w:val="15"/>
              </w:rPr>
              <w:t>Metric, alert, test or observation</w:t>
            </w:r>
          </w:p>
        </w:tc>
      </w:tr>
      <w:tr>
        <w:trPr>
          <w:cantSplit/>
        </w:trPr>
        <w:tc>
          <w:tcPr>
            <w:tcW w:type="dxa" w:w="2448"/>
            <w:vAlign w:val="center"/>
            <w:shd w:fill="F3F6F7"/>
          </w:tcPr>
          <w:p>
            <w:pPr>
              <w:spacing w:after="0"/>
            </w:pPr>
            <w:r/>
            <w:r>
              <w:rPr>
                <w:rFonts w:ascii="Aptos" w:hAnsi="Aptos"/>
                <w:b w:val="0"/>
                <w:sz w:val="15"/>
              </w:rPr>
              <w:t>Threshold</w:t>
            </w:r>
          </w:p>
        </w:tc>
        <w:tc>
          <w:tcPr>
            <w:tcW w:type="dxa" w:w="7200"/>
            <w:vAlign w:val="center"/>
            <w:shd w:fill="F3F6F7"/>
          </w:tcPr>
          <w:p>
            <w:pPr>
              <w:spacing w:after="0"/>
            </w:pPr>
            <w:r/>
            <w:r>
              <w:rPr>
                <w:rFonts w:ascii="Aptos" w:hAnsi="Aptos"/>
                <w:b w:val="0"/>
                <w:sz w:val="15"/>
              </w:rPr>
              <w:t>Approved expected range</w:t>
            </w:r>
          </w:p>
        </w:tc>
      </w:tr>
      <w:tr>
        <w:trPr>
          <w:cantSplit/>
        </w:trPr>
        <w:tc>
          <w:tcPr>
            <w:tcW w:type="dxa" w:w="2448"/>
            <w:vAlign w:val="center"/>
          </w:tcPr>
          <w:p>
            <w:pPr>
              <w:spacing w:after="0"/>
            </w:pPr>
            <w:r/>
            <w:r>
              <w:rPr>
                <w:rFonts w:ascii="Aptos" w:hAnsi="Aptos"/>
                <w:b w:val="0"/>
                <w:sz w:val="15"/>
              </w:rPr>
              <w:t>State</w:t>
            </w:r>
          </w:p>
        </w:tc>
        <w:tc>
          <w:tcPr>
            <w:tcW w:type="dxa" w:w="7200"/>
            <w:vAlign w:val="center"/>
          </w:tcPr>
          <w:p>
            <w:pPr>
              <w:spacing w:after="0"/>
            </w:pPr>
            <w:r/>
            <w:r>
              <w:rPr>
                <w:rFonts w:ascii="Aptos" w:hAnsi="Aptos"/>
                <w:b w:val="0"/>
                <w:sz w:val="15"/>
              </w:rPr>
              <w:t>Green, amber, red or unknown</w:t>
            </w:r>
          </w:p>
        </w:tc>
      </w:tr>
      <w:tr>
        <w:trPr>
          <w:cantSplit/>
        </w:trPr>
        <w:tc>
          <w:tcPr>
            <w:tcW w:type="dxa" w:w="2448"/>
            <w:vAlign w:val="center"/>
            <w:shd w:fill="F3F6F7"/>
          </w:tcPr>
          <w:p>
            <w:pPr>
              <w:spacing w:after="0"/>
            </w:pPr>
            <w:r/>
            <w:r>
              <w:rPr>
                <w:rFonts w:ascii="Aptos" w:hAnsi="Aptos"/>
                <w:b w:val="0"/>
                <w:sz w:val="15"/>
              </w:rPr>
              <w:t>Owner</w:t>
            </w:r>
          </w:p>
        </w:tc>
        <w:tc>
          <w:tcPr>
            <w:tcW w:type="dxa" w:w="7200"/>
            <w:vAlign w:val="center"/>
            <w:shd w:fill="F3F6F7"/>
          </w:tcPr>
          <w:p>
            <w:pPr>
              <w:spacing w:after="0"/>
            </w:pPr>
            <w:r/>
            <w:r>
              <w:rPr>
                <w:rFonts w:ascii="Aptos" w:hAnsi="Aptos"/>
                <w:b w:val="0"/>
                <w:sz w:val="15"/>
              </w:rPr>
              <w:t>Accountable control owner</w:t>
            </w:r>
          </w:p>
        </w:tc>
      </w:tr>
      <w:tr>
        <w:trPr>
          <w:cantSplit/>
        </w:trPr>
        <w:tc>
          <w:tcPr>
            <w:tcW w:type="dxa" w:w="2448"/>
            <w:vAlign w:val="center"/>
          </w:tcPr>
          <w:p>
            <w:pPr>
              <w:spacing w:after="0"/>
            </w:pPr>
            <w:r/>
            <w:r>
              <w:rPr>
                <w:rFonts w:ascii="Aptos" w:hAnsi="Aptos"/>
                <w:b w:val="0"/>
                <w:sz w:val="15"/>
              </w:rPr>
              <w:t>Action</w:t>
            </w:r>
          </w:p>
        </w:tc>
        <w:tc>
          <w:tcPr>
            <w:tcW w:type="dxa" w:w="7200"/>
            <w:vAlign w:val="center"/>
          </w:tcPr>
          <w:p>
            <w:pPr>
              <w:spacing w:after="0"/>
            </w:pPr>
            <w:r/>
            <w:r>
              <w:rPr>
                <w:rFonts w:ascii="Aptos" w:hAnsi="Aptos"/>
                <w:b w:val="0"/>
                <w:sz w:val="15"/>
              </w:rPr>
              <w:t>Investigation, containment or improvement</w:t>
            </w:r>
          </w:p>
        </w:tc>
      </w:tr>
      <w:tr>
        <w:trPr>
          <w:cantSplit/>
        </w:trPr>
        <w:tc>
          <w:tcPr>
            <w:tcW w:type="dxa" w:w="2448"/>
            <w:vAlign w:val="center"/>
            <w:shd w:fill="F3F6F7"/>
          </w:tcPr>
          <w:p>
            <w:pPr>
              <w:spacing w:after="0"/>
            </w:pPr>
            <w:r/>
            <w:r>
              <w:rPr>
                <w:rFonts w:ascii="Aptos" w:hAnsi="Aptos"/>
                <w:b w:val="0"/>
                <w:sz w:val="15"/>
              </w:rPr>
              <w:t>Evidence</w:t>
            </w:r>
          </w:p>
        </w:tc>
        <w:tc>
          <w:tcPr>
            <w:tcW w:type="dxa" w:w="7200"/>
            <w:vAlign w:val="center"/>
            <w:shd w:fill="F3F6F7"/>
          </w:tcPr>
          <w:p>
            <w:pPr>
              <w:spacing w:after="0"/>
            </w:pPr>
            <w:r/>
            <w:r>
              <w:rPr>
                <w:rFonts w:ascii="Aptos" w:hAnsi="Aptos"/>
                <w:b w:val="0"/>
                <w:sz w:val="15"/>
              </w:rPr>
              <w:t>Linked artifact or event</w:t>
            </w:r>
          </w:p>
        </w:tc>
      </w:tr>
      <w:tr>
        <w:trPr>
          <w:cantSplit/>
        </w:trPr>
        <w:tc>
          <w:tcPr>
            <w:tcW w:type="dxa" w:w="2448"/>
            <w:vAlign w:val="center"/>
          </w:tcPr>
          <w:p>
            <w:pPr>
              <w:spacing w:after="0"/>
            </w:pPr>
            <w:r/>
            <w:r>
              <w:rPr>
                <w:rFonts w:ascii="Aptos" w:hAnsi="Aptos"/>
                <w:b w:val="0"/>
                <w:sz w:val="15"/>
              </w:rPr>
              <w:t>Review date</w:t>
            </w:r>
          </w:p>
        </w:tc>
        <w:tc>
          <w:tcPr>
            <w:tcW w:type="dxa" w:w="7200"/>
            <w:vAlign w:val="center"/>
          </w:tcPr>
          <w:p>
            <w:pPr>
              <w:spacing w:after="0"/>
            </w:pPr>
            <w:r/>
            <w:r>
              <w:rPr>
                <w:rFonts w:ascii="Aptos" w:hAnsi="Aptos"/>
                <w:b w:val="0"/>
                <w:sz w:val="15"/>
              </w:rPr>
              <w:t>Next review or expiry</w:t>
            </w:r>
          </w:p>
        </w:tc>
      </w:tr>
    </w:tbl>
    <w:p/>
    <w:p>
      <w:pPr>
        <w:pStyle w:val="Heading1"/>
      </w:pPr>
      <w:r>
        <w:t>7. Monitoring Architecture</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592"/>
            <w:vAlign w:val="center"/>
            <w:shd w:fill="17324D"/>
          </w:tcPr>
          <w:p>
            <w:pPr>
              <w:spacing w:after="0"/>
            </w:pPr>
            <w:r/>
            <w:r>
              <w:rPr>
                <w:rFonts w:ascii="Aptos" w:hAnsi="Aptos"/>
                <w:b/>
                <w:color w:val="FFFFFF"/>
                <w:sz w:val="15"/>
              </w:rPr>
              <w:t>Monitoring plane</w:t>
            </w:r>
          </w:p>
        </w:tc>
        <w:tc>
          <w:tcPr>
            <w:tcW w:type="dxa" w:w="7056"/>
            <w:vAlign w:val="center"/>
            <w:shd w:fill="17324D"/>
          </w:tcPr>
          <w:p>
            <w:pPr>
              <w:spacing w:after="0"/>
            </w:pPr>
            <w:r/>
            <w:r>
              <w:rPr>
                <w:rFonts w:ascii="Aptos" w:hAnsi="Aptos"/>
                <w:b/>
                <w:color w:val="FFFFFF"/>
                <w:sz w:val="15"/>
              </w:rPr>
              <w:t>Signals</w:t>
            </w:r>
          </w:p>
        </w:tc>
      </w:tr>
      <w:tr>
        <w:trPr>
          <w:cantSplit/>
        </w:trPr>
        <w:tc>
          <w:tcPr>
            <w:tcW w:type="dxa" w:w="2592"/>
            <w:vAlign w:val="center"/>
          </w:tcPr>
          <w:p>
            <w:pPr>
              <w:spacing w:after="0"/>
            </w:pPr>
            <w:r/>
            <w:r>
              <w:rPr>
                <w:rFonts w:ascii="Aptos" w:hAnsi="Aptos"/>
                <w:b w:val="0"/>
                <w:sz w:val="15"/>
              </w:rPr>
              <w:t>Security</w:t>
            </w:r>
          </w:p>
        </w:tc>
        <w:tc>
          <w:tcPr>
            <w:tcW w:type="dxa" w:w="7056"/>
            <w:vAlign w:val="center"/>
          </w:tcPr>
          <w:p>
            <w:pPr>
              <w:spacing w:after="0"/>
            </w:pPr>
            <w:r/>
            <w:r>
              <w:rPr>
                <w:rFonts w:ascii="Aptos" w:hAnsi="Aptos"/>
                <w:b w:val="0"/>
                <w:sz w:val="15"/>
              </w:rPr>
              <w:t>Authentication, authorization, exploit attempts, abuse, secrets, dependency and infrastructure events</w:t>
            </w:r>
          </w:p>
        </w:tc>
      </w:tr>
      <w:tr>
        <w:trPr>
          <w:cantSplit/>
        </w:trPr>
        <w:tc>
          <w:tcPr>
            <w:tcW w:type="dxa" w:w="2592"/>
            <w:vAlign w:val="center"/>
            <w:shd w:fill="F3F6F7"/>
          </w:tcPr>
          <w:p>
            <w:pPr>
              <w:spacing w:after="0"/>
            </w:pPr>
            <w:r/>
            <w:r>
              <w:rPr>
                <w:rFonts w:ascii="Aptos" w:hAnsi="Aptos"/>
                <w:b w:val="0"/>
                <w:sz w:val="15"/>
              </w:rPr>
              <w:t>Model behavior</w:t>
            </w:r>
          </w:p>
        </w:tc>
        <w:tc>
          <w:tcPr>
            <w:tcW w:type="dxa" w:w="7056"/>
            <w:vAlign w:val="center"/>
            <w:shd w:fill="F3F6F7"/>
          </w:tcPr>
          <w:p>
            <w:pPr>
              <w:spacing w:after="0"/>
            </w:pPr>
            <w:r/>
            <w:r>
              <w:rPr>
                <w:rFonts w:ascii="Aptos" w:hAnsi="Aptos"/>
                <w:b w:val="0"/>
                <w:sz w:val="15"/>
              </w:rPr>
              <w:t>Output distribution, refusal, harmful-output, robustness and performance changes</w:t>
            </w:r>
          </w:p>
        </w:tc>
      </w:tr>
      <w:tr>
        <w:trPr>
          <w:cantSplit/>
        </w:trPr>
        <w:tc>
          <w:tcPr>
            <w:tcW w:type="dxa" w:w="2592"/>
            <w:vAlign w:val="center"/>
          </w:tcPr>
          <w:p>
            <w:pPr>
              <w:spacing w:after="0"/>
            </w:pPr>
            <w:r/>
            <w:r>
              <w:rPr>
                <w:rFonts w:ascii="Aptos" w:hAnsi="Aptos"/>
                <w:b w:val="0"/>
                <w:sz w:val="15"/>
              </w:rPr>
              <w:t>Data</w:t>
            </w:r>
          </w:p>
        </w:tc>
        <w:tc>
          <w:tcPr>
            <w:tcW w:type="dxa" w:w="7056"/>
            <w:vAlign w:val="center"/>
          </w:tcPr>
          <w:p>
            <w:pPr>
              <w:spacing w:after="0"/>
            </w:pPr>
            <w:r/>
            <w:r>
              <w:rPr>
                <w:rFonts w:ascii="Aptos" w:hAnsi="Aptos"/>
                <w:b w:val="0"/>
                <w:sz w:val="15"/>
              </w:rPr>
              <w:t>Source change, lineage, quality, drift, poisoning indicators, leakage and retention</w:t>
            </w:r>
          </w:p>
        </w:tc>
      </w:tr>
      <w:tr>
        <w:trPr>
          <w:cantSplit/>
        </w:trPr>
        <w:tc>
          <w:tcPr>
            <w:tcW w:type="dxa" w:w="2592"/>
            <w:vAlign w:val="center"/>
            <w:shd w:fill="F3F6F7"/>
          </w:tcPr>
          <w:p>
            <w:pPr>
              <w:spacing w:after="0"/>
            </w:pPr>
            <w:r/>
            <w:r>
              <w:rPr>
                <w:rFonts w:ascii="Aptos" w:hAnsi="Aptos"/>
                <w:b w:val="0"/>
                <w:sz w:val="15"/>
              </w:rPr>
              <w:t>Agentic activity</w:t>
            </w:r>
          </w:p>
        </w:tc>
        <w:tc>
          <w:tcPr>
            <w:tcW w:type="dxa" w:w="7056"/>
            <w:vAlign w:val="center"/>
            <w:shd w:fill="F3F6F7"/>
          </w:tcPr>
          <w:p>
            <w:pPr>
              <w:spacing w:after="0"/>
            </w:pPr>
            <w:r/>
            <w:r>
              <w:rPr>
                <w:rFonts w:ascii="Aptos" w:hAnsi="Aptos"/>
                <w:b w:val="0"/>
                <w:sz w:val="15"/>
              </w:rPr>
              <w:t>Plans, tool calls, delegation, transaction limits, loop behavior and approvals</w:t>
            </w:r>
          </w:p>
        </w:tc>
      </w:tr>
      <w:tr>
        <w:trPr>
          <w:cantSplit/>
        </w:trPr>
        <w:tc>
          <w:tcPr>
            <w:tcW w:type="dxa" w:w="2592"/>
            <w:vAlign w:val="center"/>
          </w:tcPr>
          <w:p>
            <w:pPr>
              <w:spacing w:after="0"/>
            </w:pPr>
            <w:r/>
            <w:r>
              <w:rPr>
                <w:rFonts w:ascii="Aptos" w:hAnsi="Aptos"/>
                <w:b w:val="0"/>
                <w:sz w:val="15"/>
              </w:rPr>
              <w:t>User and human factors</w:t>
            </w:r>
          </w:p>
        </w:tc>
        <w:tc>
          <w:tcPr>
            <w:tcW w:type="dxa" w:w="7056"/>
            <w:vAlign w:val="center"/>
          </w:tcPr>
          <w:p>
            <w:pPr>
              <w:spacing w:after="0"/>
            </w:pPr>
            <w:r/>
            <w:r>
              <w:rPr>
                <w:rFonts w:ascii="Aptos" w:hAnsi="Aptos"/>
                <w:b w:val="0"/>
                <w:sz w:val="15"/>
              </w:rPr>
              <w:t>Complaints, overrides, confusion, recourse, misuse and accessibility</w:t>
            </w:r>
          </w:p>
        </w:tc>
      </w:tr>
      <w:tr>
        <w:trPr>
          <w:cantSplit/>
        </w:trPr>
        <w:tc>
          <w:tcPr>
            <w:tcW w:type="dxa" w:w="2592"/>
            <w:vAlign w:val="center"/>
            <w:shd w:fill="F3F6F7"/>
          </w:tcPr>
          <w:p>
            <w:pPr>
              <w:spacing w:after="0"/>
            </w:pPr>
            <w:r/>
            <w:r>
              <w:rPr>
                <w:rFonts w:ascii="Aptos" w:hAnsi="Aptos"/>
                <w:b w:val="0"/>
                <w:sz w:val="15"/>
              </w:rPr>
              <w:t>Supplier</w:t>
            </w:r>
          </w:p>
        </w:tc>
        <w:tc>
          <w:tcPr>
            <w:tcW w:type="dxa" w:w="7056"/>
            <w:vAlign w:val="center"/>
            <w:shd w:fill="F3F6F7"/>
          </w:tcPr>
          <w:p>
            <w:pPr>
              <w:spacing w:after="0"/>
            </w:pPr>
            <w:r/>
            <w:r>
              <w:rPr>
                <w:rFonts w:ascii="Aptos" w:hAnsi="Aptos"/>
                <w:b w:val="0"/>
                <w:sz w:val="15"/>
              </w:rPr>
              <w:t>Availability, model changes, incidents, contract notifications and assurance reports</w:t>
            </w:r>
          </w:p>
        </w:tc>
      </w:tr>
      <w:tr>
        <w:trPr>
          <w:cantSplit/>
        </w:trPr>
        <w:tc>
          <w:tcPr>
            <w:tcW w:type="dxa" w:w="2592"/>
            <w:vAlign w:val="center"/>
          </w:tcPr>
          <w:p>
            <w:pPr>
              <w:spacing w:after="0"/>
            </w:pPr>
            <w:r/>
            <w:r>
              <w:rPr>
                <w:rFonts w:ascii="Aptos" w:hAnsi="Aptos"/>
                <w:b w:val="0"/>
                <w:sz w:val="15"/>
              </w:rPr>
              <w:t>Physical safety</w:t>
            </w:r>
          </w:p>
        </w:tc>
        <w:tc>
          <w:tcPr>
            <w:tcW w:type="dxa" w:w="7056"/>
            <w:vAlign w:val="center"/>
          </w:tcPr>
          <w:p>
            <w:pPr>
              <w:spacing w:after="0"/>
            </w:pPr>
            <w:r/>
            <w:r>
              <w:rPr>
                <w:rFonts w:ascii="Aptos" w:hAnsi="Aptos"/>
                <w:b w:val="0"/>
                <w:sz w:val="15"/>
              </w:rPr>
              <w:t>Sensor faults, actuation bounds, override, emergency stop, near miss and safe-state events</w:t>
            </w:r>
          </w:p>
        </w:tc>
      </w:tr>
      <w:tr>
        <w:trPr>
          <w:cantSplit/>
        </w:trPr>
        <w:tc>
          <w:tcPr>
            <w:tcW w:type="dxa" w:w="2592"/>
            <w:vAlign w:val="center"/>
            <w:shd w:fill="F3F6F7"/>
          </w:tcPr>
          <w:p>
            <w:pPr>
              <w:spacing w:after="0"/>
            </w:pPr>
            <w:r/>
            <w:r>
              <w:rPr>
                <w:rFonts w:ascii="Aptos" w:hAnsi="Aptos"/>
                <w:b w:val="0"/>
                <w:sz w:val="15"/>
              </w:rPr>
              <w:t>Control evidence</w:t>
            </w:r>
          </w:p>
        </w:tc>
        <w:tc>
          <w:tcPr>
            <w:tcW w:type="dxa" w:w="7056"/>
            <w:vAlign w:val="center"/>
            <w:shd w:fill="F3F6F7"/>
          </w:tcPr>
          <w:p>
            <w:pPr>
              <w:spacing w:after="0"/>
            </w:pPr>
            <w:r/>
            <w:r>
              <w:rPr>
                <w:rFonts w:ascii="Aptos" w:hAnsi="Aptos"/>
                <w:b w:val="0"/>
                <w:sz w:val="15"/>
              </w:rPr>
              <w:t>Missing, stale, incomplete or inconsistent artifacts</w:t>
            </w:r>
          </w:p>
        </w:tc>
      </w:tr>
    </w:tbl>
    <w:p/>
    <w:p>
      <w:pPr>
        <w:pStyle w:val="Heading2"/>
      </w:pPr>
      <w:r>
        <w:t>7.1 Alert design</w:t>
      </w:r>
    </w:p>
    <w:p>
      <w:pPr>
        <w:pStyle w:val="ListNumber"/>
      </w:pPr>
      <w:r>
        <w:t>Define the risk condition represented by each alert.</w:t>
      </w:r>
    </w:p>
    <w:p>
      <w:pPr>
        <w:pStyle w:val="ListNumber"/>
      </w:pPr>
      <w:r>
        <w:t>Specify source, threshold, severity, owner and response time.</w:t>
      </w:r>
    </w:p>
    <w:p>
      <w:pPr>
        <w:pStyle w:val="ListNumber"/>
      </w:pPr>
      <w:r>
        <w:t>Distinguish informational signals from actionable alerts.</w:t>
      </w:r>
    </w:p>
    <w:p>
      <w:pPr>
        <w:pStyle w:val="ListNumber"/>
      </w:pPr>
      <w:r>
        <w:t>Test alert generation, routing, acknowledgement and escalation.</w:t>
      </w:r>
    </w:p>
    <w:p>
      <w:pPr>
        <w:pStyle w:val="ListNumber"/>
      </w:pPr>
      <w:r>
        <w:t>Monitor false positives, false negatives and unreviewed alerts.</w:t>
      </w:r>
    </w:p>
    <w:p>
      <w:pPr>
        <w:pStyle w:val="ListNumber"/>
      </w:pPr>
      <w:r>
        <w:t>Retain alert decisions and closure evidence.</w:t>
      </w:r>
    </w:p>
    <w:p>
      <w:pPr>
        <w:pStyle w:val="Heading1"/>
      </w:pPr>
      <w:r>
        <w:t>8. Model and Data Operations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448"/>
            <w:vAlign w:val="center"/>
            <w:shd w:fill="17324D"/>
          </w:tcPr>
          <w:p>
            <w:pPr>
              <w:spacing w:after="0"/>
            </w:pPr>
            <w:r/>
            <w:r>
              <w:rPr>
                <w:rFonts w:ascii="Aptos" w:hAnsi="Aptos"/>
                <w:b/>
                <w:color w:val="FFFFFF"/>
                <w:sz w:val="15"/>
              </w:rPr>
              <w:t>Operational area</w:t>
            </w:r>
          </w:p>
        </w:tc>
        <w:tc>
          <w:tcPr>
            <w:tcW w:type="dxa" w:w="7200"/>
            <w:vAlign w:val="center"/>
            <w:shd w:fill="17324D"/>
          </w:tcPr>
          <w:p>
            <w:pPr>
              <w:spacing w:after="0"/>
            </w:pPr>
            <w:r/>
            <w:r>
              <w:rPr>
                <w:rFonts w:ascii="Aptos" w:hAnsi="Aptos"/>
                <w:b/>
                <w:color w:val="FFFFFF"/>
                <w:sz w:val="15"/>
              </w:rPr>
              <w:t>Required practices</w:t>
            </w:r>
          </w:p>
        </w:tc>
      </w:tr>
      <w:tr>
        <w:trPr>
          <w:cantSplit/>
        </w:trPr>
        <w:tc>
          <w:tcPr>
            <w:tcW w:type="dxa" w:w="2448"/>
            <w:vAlign w:val="center"/>
          </w:tcPr>
          <w:p>
            <w:pPr>
              <w:spacing w:after="0"/>
            </w:pPr>
            <w:r/>
            <w:r>
              <w:rPr>
                <w:rFonts w:ascii="Aptos" w:hAnsi="Aptos"/>
                <w:b w:val="0"/>
                <w:sz w:val="15"/>
              </w:rPr>
              <w:t>Model version</w:t>
            </w:r>
          </w:p>
        </w:tc>
        <w:tc>
          <w:tcPr>
            <w:tcW w:type="dxa" w:w="7200"/>
            <w:vAlign w:val="center"/>
          </w:tcPr>
          <w:p>
            <w:pPr>
              <w:spacing w:after="0"/>
            </w:pPr>
            <w:r/>
            <w:r>
              <w:rPr>
                <w:rFonts w:ascii="Aptos" w:hAnsi="Aptos"/>
                <w:b w:val="0"/>
                <w:sz w:val="15"/>
              </w:rPr>
              <w:t>Pin approved version; detect provider or package changes</w:t>
            </w:r>
          </w:p>
        </w:tc>
      </w:tr>
      <w:tr>
        <w:trPr>
          <w:cantSplit/>
        </w:trPr>
        <w:tc>
          <w:tcPr>
            <w:tcW w:type="dxa" w:w="2448"/>
            <w:vAlign w:val="center"/>
            <w:shd w:fill="F3F6F7"/>
          </w:tcPr>
          <w:p>
            <w:pPr>
              <w:spacing w:after="0"/>
            </w:pPr>
            <w:r/>
            <w:r>
              <w:rPr>
                <w:rFonts w:ascii="Aptos" w:hAnsi="Aptos"/>
                <w:b w:val="0"/>
                <w:sz w:val="15"/>
              </w:rPr>
              <w:t>Evaluation baseline</w:t>
            </w:r>
          </w:p>
        </w:tc>
        <w:tc>
          <w:tcPr>
            <w:tcW w:type="dxa" w:w="7200"/>
            <w:vAlign w:val="center"/>
            <w:shd w:fill="F3F6F7"/>
          </w:tcPr>
          <w:p>
            <w:pPr>
              <w:spacing w:after="0"/>
            </w:pPr>
            <w:r/>
            <w:r>
              <w:rPr>
                <w:rFonts w:ascii="Aptos" w:hAnsi="Aptos"/>
                <w:b w:val="0"/>
                <w:sz w:val="15"/>
              </w:rPr>
              <w:t>Maintain comparable security, safety and performance tests</w:t>
            </w:r>
          </w:p>
        </w:tc>
      </w:tr>
      <w:tr>
        <w:trPr>
          <w:cantSplit/>
        </w:trPr>
        <w:tc>
          <w:tcPr>
            <w:tcW w:type="dxa" w:w="2448"/>
            <w:vAlign w:val="center"/>
          </w:tcPr>
          <w:p>
            <w:pPr>
              <w:spacing w:after="0"/>
            </w:pPr>
            <w:r/>
            <w:r>
              <w:rPr>
                <w:rFonts w:ascii="Aptos" w:hAnsi="Aptos"/>
                <w:b w:val="0"/>
                <w:sz w:val="15"/>
              </w:rPr>
              <w:t>Drift</w:t>
            </w:r>
          </w:p>
        </w:tc>
        <w:tc>
          <w:tcPr>
            <w:tcW w:type="dxa" w:w="7200"/>
            <w:vAlign w:val="center"/>
          </w:tcPr>
          <w:p>
            <w:pPr>
              <w:spacing w:after="0"/>
            </w:pPr>
            <w:r/>
            <w:r>
              <w:rPr>
                <w:rFonts w:ascii="Aptos" w:hAnsi="Aptos"/>
                <w:b w:val="0"/>
                <w:sz w:val="15"/>
              </w:rPr>
              <w:t>Monitor input, embedding, output, error and outcome distributions</w:t>
            </w:r>
          </w:p>
        </w:tc>
      </w:tr>
      <w:tr>
        <w:trPr>
          <w:cantSplit/>
        </w:trPr>
        <w:tc>
          <w:tcPr>
            <w:tcW w:type="dxa" w:w="2448"/>
            <w:vAlign w:val="center"/>
            <w:shd w:fill="F3F6F7"/>
          </w:tcPr>
          <w:p>
            <w:pPr>
              <w:spacing w:after="0"/>
            </w:pPr>
            <w:r/>
            <w:r>
              <w:rPr>
                <w:rFonts w:ascii="Aptos" w:hAnsi="Aptos"/>
                <w:b w:val="0"/>
                <w:sz w:val="15"/>
              </w:rPr>
              <w:t>Data source</w:t>
            </w:r>
          </w:p>
        </w:tc>
        <w:tc>
          <w:tcPr>
            <w:tcW w:type="dxa" w:w="7200"/>
            <w:vAlign w:val="center"/>
            <w:shd w:fill="F3F6F7"/>
          </w:tcPr>
          <w:p>
            <w:pPr>
              <w:spacing w:after="0"/>
            </w:pPr>
            <w:r/>
            <w:r>
              <w:rPr>
                <w:rFonts w:ascii="Aptos" w:hAnsi="Aptos"/>
                <w:b w:val="0"/>
                <w:sz w:val="15"/>
              </w:rPr>
              <w:t>Review source additions, changes, licence, quality and integrity</w:t>
            </w:r>
          </w:p>
        </w:tc>
      </w:tr>
      <w:tr>
        <w:trPr>
          <w:cantSplit/>
        </w:trPr>
        <w:tc>
          <w:tcPr>
            <w:tcW w:type="dxa" w:w="2448"/>
            <w:vAlign w:val="center"/>
          </w:tcPr>
          <w:p>
            <w:pPr>
              <w:spacing w:after="0"/>
            </w:pPr>
            <w:r/>
            <w:r>
              <w:rPr>
                <w:rFonts w:ascii="Aptos" w:hAnsi="Aptos"/>
                <w:b w:val="0"/>
                <w:sz w:val="15"/>
              </w:rPr>
              <w:t>Retrieval</w:t>
            </w:r>
          </w:p>
        </w:tc>
        <w:tc>
          <w:tcPr>
            <w:tcW w:type="dxa" w:w="7200"/>
            <w:vAlign w:val="center"/>
          </w:tcPr>
          <w:p>
            <w:pPr>
              <w:spacing w:after="0"/>
            </w:pPr>
            <w:r/>
            <w:r>
              <w:rPr>
                <w:rFonts w:ascii="Aptos" w:hAnsi="Aptos"/>
                <w:b w:val="0"/>
                <w:sz w:val="15"/>
              </w:rPr>
              <w:t>Monitor index freshness, unauthorized access and poisoned content</w:t>
            </w:r>
          </w:p>
        </w:tc>
      </w:tr>
      <w:tr>
        <w:trPr>
          <w:cantSplit/>
        </w:trPr>
        <w:tc>
          <w:tcPr>
            <w:tcW w:type="dxa" w:w="2448"/>
            <w:vAlign w:val="center"/>
            <w:shd w:fill="F3F6F7"/>
          </w:tcPr>
          <w:p>
            <w:pPr>
              <w:spacing w:after="0"/>
            </w:pPr>
            <w:r/>
            <w:r>
              <w:rPr>
                <w:rFonts w:ascii="Aptos" w:hAnsi="Aptos"/>
                <w:b w:val="0"/>
                <w:sz w:val="15"/>
              </w:rPr>
              <w:t>Memory</w:t>
            </w:r>
          </w:p>
        </w:tc>
        <w:tc>
          <w:tcPr>
            <w:tcW w:type="dxa" w:w="7200"/>
            <w:vAlign w:val="center"/>
            <w:shd w:fill="F3F6F7"/>
          </w:tcPr>
          <w:p>
            <w:pPr>
              <w:spacing w:after="0"/>
            </w:pPr>
            <w:r/>
            <w:r>
              <w:rPr>
                <w:rFonts w:ascii="Aptos" w:hAnsi="Aptos"/>
                <w:b w:val="0"/>
                <w:sz w:val="15"/>
              </w:rPr>
              <w:t>Review retention, tenant isolation, contamination and deletion</w:t>
            </w:r>
          </w:p>
        </w:tc>
      </w:tr>
      <w:tr>
        <w:trPr>
          <w:cantSplit/>
        </w:trPr>
        <w:tc>
          <w:tcPr>
            <w:tcW w:type="dxa" w:w="2448"/>
            <w:vAlign w:val="center"/>
          </w:tcPr>
          <w:p>
            <w:pPr>
              <w:spacing w:after="0"/>
            </w:pPr>
            <w:r/>
            <w:r>
              <w:rPr>
                <w:rFonts w:ascii="Aptos" w:hAnsi="Aptos"/>
                <w:b w:val="0"/>
                <w:sz w:val="15"/>
              </w:rPr>
              <w:t>Feedback</w:t>
            </w:r>
          </w:p>
        </w:tc>
        <w:tc>
          <w:tcPr>
            <w:tcW w:type="dxa" w:w="7200"/>
            <w:vAlign w:val="center"/>
          </w:tcPr>
          <w:p>
            <w:pPr>
              <w:spacing w:after="0"/>
            </w:pPr>
            <w:r/>
            <w:r>
              <w:rPr>
                <w:rFonts w:ascii="Aptos" w:hAnsi="Aptos"/>
                <w:b w:val="0"/>
                <w:sz w:val="15"/>
              </w:rPr>
              <w:t>Control human and automated feedback used for adaptation</w:t>
            </w:r>
          </w:p>
        </w:tc>
      </w:tr>
      <w:tr>
        <w:trPr>
          <w:cantSplit/>
        </w:trPr>
        <w:tc>
          <w:tcPr>
            <w:tcW w:type="dxa" w:w="2448"/>
            <w:vAlign w:val="center"/>
            <w:shd w:fill="F3F6F7"/>
          </w:tcPr>
          <w:p>
            <w:pPr>
              <w:spacing w:after="0"/>
            </w:pPr>
            <w:r/>
            <w:r>
              <w:rPr>
                <w:rFonts w:ascii="Aptos" w:hAnsi="Aptos"/>
                <w:b w:val="0"/>
                <w:sz w:val="15"/>
              </w:rPr>
              <w:t>Rollback</w:t>
            </w:r>
          </w:p>
        </w:tc>
        <w:tc>
          <w:tcPr>
            <w:tcW w:type="dxa" w:w="7200"/>
            <w:vAlign w:val="center"/>
            <w:shd w:fill="F3F6F7"/>
          </w:tcPr>
          <w:p>
            <w:pPr>
              <w:spacing w:after="0"/>
            </w:pPr>
            <w:r/>
            <w:r>
              <w:rPr>
                <w:rFonts w:ascii="Aptos" w:hAnsi="Aptos"/>
                <w:b w:val="0"/>
                <w:sz w:val="15"/>
              </w:rPr>
              <w:t>Maintain known-good model, data and configuration states</w:t>
            </w:r>
          </w:p>
        </w:tc>
      </w:tr>
    </w:tbl>
    <w:p/>
    <w:p>
      <w:pPr>
        <w:pStyle w:val="Heading2"/>
      </w:pPr>
      <w:r>
        <w:t>8.1 Re-evaluation triggers</w:t>
      </w:r>
    </w:p>
    <w:p>
      <w:pPr>
        <w:pStyle w:val="ListBullet"/>
      </w:pPr>
      <w:r>
        <w:t>Model or provider version change</w:t>
      </w:r>
    </w:p>
    <w:p>
      <w:pPr>
        <w:pStyle w:val="ListBullet"/>
      </w:pPr>
      <w:r>
        <w:t>Material prompt, orchestration or policy change</w:t>
      </w:r>
    </w:p>
    <w:p>
      <w:pPr>
        <w:pStyle w:val="ListBullet"/>
      </w:pPr>
      <w:r>
        <w:t>New data source or material data distribution change</w:t>
      </w:r>
    </w:p>
    <w:p>
      <w:pPr>
        <w:pStyle w:val="ListBullet"/>
      </w:pPr>
      <w:r>
        <w:t>New agent, tool or external action</w:t>
      </w:r>
    </w:p>
    <w:p>
      <w:pPr>
        <w:pStyle w:val="ListBullet"/>
      </w:pPr>
      <w:r>
        <w:t>New jurisdiction, user group or high-impact use</w:t>
      </w:r>
    </w:p>
    <w:p>
      <w:pPr>
        <w:pStyle w:val="ListBullet"/>
      </w:pPr>
      <w:r>
        <w:t>Incident, near miss or repeated harmful output</w:t>
      </w:r>
    </w:p>
    <w:p>
      <w:pPr>
        <w:pStyle w:val="ListBullet"/>
      </w:pPr>
      <w:r>
        <w:t>Supplier notification or assurance deterioration</w:t>
      </w:r>
    </w:p>
    <w:p>
      <w:pPr>
        <w:pStyle w:val="ListBullet"/>
      </w:pPr>
      <w:r>
        <w:t>Material threat-intelligence update</w:t>
      </w:r>
    </w:p>
    <w:p>
      <w:pPr>
        <w:pStyle w:val="Heading1"/>
      </w:pPr>
      <w:r>
        <w:t>9. Agentic AI Operations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448"/>
            <w:vAlign w:val="center"/>
            <w:shd w:fill="17324D"/>
          </w:tcPr>
          <w:p>
            <w:pPr>
              <w:spacing w:after="0"/>
            </w:pPr>
            <w:r/>
            <w:r>
              <w:rPr>
                <w:rFonts w:ascii="Aptos" w:hAnsi="Aptos"/>
                <w:b/>
                <w:color w:val="FFFFFF"/>
                <w:sz w:val="15"/>
              </w:rPr>
              <w:t>Operational control</w:t>
            </w:r>
          </w:p>
        </w:tc>
        <w:tc>
          <w:tcPr>
            <w:tcW w:type="dxa" w:w="7200"/>
            <w:vAlign w:val="center"/>
            <w:shd w:fill="17324D"/>
          </w:tcPr>
          <w:p>
            <w:pPr>
              <w:spacing w:after="0"/>
            </w:pPr>
            <w:r/>
            <w:r>
              <w:rPr>
                <w:rFonts w:ascii="Aptos" w:hAnsi="Aptos"/>
                <w:b/>
                <w:color w:val="FFFFFF"/>
                <w:sz w:val="15"/>
              </w:rPr>
              <w:t>Run-state activity</w:t>
            </w:r>
          </w:p>
        </w:tc>
      </w:tr>
      <w:tr>
        <w:trPr>
          <w:cantSplit/>
        </w:trPr>
        <w:tc>
          <w:tcPr>
            <w:tcW w:type="dxa" w:w="2448"/>
            <w:vAlign w:val="center"/>
          </w:tcPr>
          <w:p>
            <w:pPr>
              <w:spacing w:after="0"/>
            </w:pPr>
            <w:r/>
            <w:r>
              <w:rPr>
                <w:rFonts w:ascii="Aptos" w:hAnsi="Aptos"/>
                <w:b w:val="0"/>
                <w:sz w:val="15"/>
              </w:rPr>
              <w:t>Identity</w:t>
            </w:r>
          </w:p>
        </w:tc>
        <w:tc>
          <w:tcPr>
            <w:tcW w:type="dxa" w:w="7200"/>
            <w:vAlign w:val="center"/>
          </w:tcPr>
          <w:p>
            <w:pPr>
              <w:spacing w:after="0"/>
            </w:pPr>
            <w:r/>
            <w:r>
              <w:rPr>
                <w:rFonts w:ascii="Aptos" w:hAnsi="Aptos"/>
                <w:b w:val="0"/>
                <w:sz w:val="15"/>
              </w:rPr>
              <w:t>Track each agent instance and sponsoring principal</w:t>
            </w:r>
          </w:p>
        </w:tc>
      </w:tr>
      <w:tr>
        <w:trPr>
          <w:cantSplit/>
        </w:trPr>
        <w:tc>
          <w:tcPr>
            <w:tcW w:type="dxa" w:w="2448"/>
            <w:vAlign w:val="center"/>
            <w:shd w:fill="F3F6F7"/>
          </w:tcPr>
          <w:p>
            <w:pPr>
              <w:spacing w:after="0"/>
            </w:pPr>
            <w:r/>
            <w:r>
              <w:rPr>
                <w:rFonts w:ascii="Aptos" w:hAnsi="Aptos"/>
                <w:b w:val="0"/>
                <w:sz w:val="15"/>
              </w:rPr>
              <w:t>Goals</w:t>
            </w:r>
          </w:p>
        </w:tc>
        <w:tc>
          <w:tcPr>
            <w:tcW w:type="dxa" w:w="7200"/>
            <w:vAlign w:val="center"/>
            <w:shd w:fill="F3F6F7"/>
          </w:tcPr>
          <w:p>
            <w:pPr>
              <w:spacing w:after="0"/>
            </w:pPr>
            <w:r/>
            <w:r>
              <w:rPr>
                <w:rFonts w:ascii="Aptos" w:hAnsi="Aptos"/>
                <w:b w:val="0"/>
                <w:sz w:val="15"/>
              </w:rPr>
              <w:t>Review approved objective classes and prohibited objectives</w:t>
            </w:r>
          </w:p>
        </w:tc>
      </w:tr>
      <w:tr>
        <w:trPr>
          <w:cantSplit/>
        </w:trPr>
        <w:tc>
          <w:tcPr>
            <w:tcW w:type="dxa" w:w="2448"/>
            <w:vAlign w:val="center"/>
          </w:tcPr>
          <w:p>
            <w:pPr>
              <w:spacing w:after="0"/>
            </w:pPr>
            <w:r/>
            <w:r>
              <w:rPr>
                <w:rFonts w:ascii="Aptos" w:hAnsi="Aptos"/>
                <w:b w:val="0"/>
                <w:sz w:val="15"/>
              </w:rPr>
              <w:t>Plans</w:t>
            </w:r>
          </w:p>
        </w:tc>
        <w:tc>
          <w:tcPr>
            <w:tcW w:type="dxa" w:w="7200"/>
            <w:vAlign w:val="center"/>
          </w:tcPr>
          <w:p>
            <w:pPr>
              <w:spacing w:after="0"/>
            </w:pPr>
            <w:r/>
            <w:r>
              <w:rPr>
                <w:rFonts w:ascii="Aptos" w:hAnsi="Aptos"/>
                <w:b w:val="0"/>
                <w:sz w:val="15"/>
              </w:rPr>
              <w:t>Monitor step count, plan depth, loops and unexpected delegation</w:t>
            </w:r>
          </w:p>
        </w:tc>
      </w:tr>
      <w:tr>
        <w:trPr>
          <w:cantSplit/>
        </w:trPr>
        <w:tc>
          <w:tcPr>
            <w:tcW w:type="dxa" w:w="2448"/>
            <w:vAlign w:val="center"/>
            <w:shd w:fill="F3F6F7"/>
          </w:tcPr>
          <w:p>
            <w:pPr>
              <w:spacing w:after="0"/>
            </w:pPr>
            <w:r/>
            <w:r>
              <w:rPr>
                <w:rFonts w:ascii="Aptos" w:hAnsi="Aptos"/>
                <w:b w:val="0"/>
                <w:sz w:val="15"/>
              </w:rPr>
              <w:t>Tools</w:t>
            </w:r>
          </w:p>
        </w:tc>
        <w:tc>
          <w:tcPr>
            <w:tcW w:type="dxa" w:w="7200"/>
            <w:vAlign w:val="center"/>
            <w:shd w:fill="F3F6F7"/>
          </w:tcPr>
          <w:p>
            <w:pPr>
              <w:spacing w:after="0"/>
            </w:pPr>
            <w:r/>
            <w:r>
              <w:rPr>
                <w:rFonts w:ascii="Aptos" w:hAnsi="Aptos"/>
                <w:b w:val="0"/>
                <w:sz w:val="15"/>
              </w:rPr>
              <w:t>Review allowlists, permissions, parameters and denied actions</w:t>
            </w:r>
          </w:p>
        </w:tc>
      </w:tr>
      <w:tr>
        <w:trPr>
          <w:cantSplit/>
        </w:trPr>
        <w:tc>
          <w:tcPr>
            <w:tcW w:type="dxa" w:w="2448"/>
            <w:vAlign w:val="center"/>
          </w:tcPr>
          <w:p>
            <w:pPr>
              <w:spacing w:after="0"/>
            </w:pPr>
            <w:r/>
            <w:r>
              <w:rPr>
                <w:rFonts w:ascii="Aptos" w:hAnsi="Aptos"/>
                <w:b w:val="0"/>
                <w:sz w:val="15"/>
              </w:rPr>
              <w:t>Transactions</w:t>
            </w:r>
          </w:p>
        </w:tc>
        <w:tc>
          <w:tcPr>
            <w:tcW w:type="dxa" w:w="7200"/>
            <w:vAlign w:val="center"/>
          </w:tcPr>
          <w:p>
            <w:pPr>
              <w:spacing w:after="0"/>
            </w:pPr>
            <w:r/>
            <w:r>
              <w:rPr>
                <w:rFonts w:ascii="Aptos" w:hAnsi="Aptos"/>
                <w:b w:val="0"/>
                <w:sz w:val="15"/>
              </w:rPr>
              <w:t>Monitor value, frequency, destination and approval thresholds</w:t>
            </w:r>
          </w:p>
        </w:tc>
      </w:tr>
      <w:tr>
        <w:trPr>
          <w:cantSplit/>
        </w:trPr>
        <w:tc>
          <w:tcPr>
            <w:tcW w:type="dxa" w:w="2448"/>
            <w:vAlign w:val="center"/>
            <w:shd w:fill="F3F6F7"/>
          </w:tcPr>
          <w:p>
            <w:pPr>
              <w:spacing w:after="0"/>
            </w:pPr>
            <w:r/>
            <w:r>
              <w:rPr>
                <w:rFonts w:ascii="Aptos" w:hAnsi="Aptos"/>
                <w:b w:val="0"/>
                <w:sz w:val="15"/>
              </w:rPr>
              <w:t>Memory</w:t>
            </w:r>
          </w:p>
        </w:tc>
        <w:tc>
          <w:tcPr>
            <w:tcW w:type="dxa" w:w="7200"/>
            <w:vAlign w:val="center"/>
            <w:shd w:fill="F3F6F7"/>
          </w:tcPr>
          <w:p>
            <w:pPr>
              <w:spacing w:after="0"/>
            </w:pPr>
            <w:r/>
            <w:r>
              <w:rPr>
                <w:rFonts w:ascii="Aptos" w:hAnsi="Aptos"/>
                <w:b w:val="0"/>
                <w:sz w:val="15"/>
              </w:rPr>
              <w:t>Review contamination, retention and cross-user leakage</w:t>
            </w:r>
          </w:p>
        </w:tc>
      </w:tr>
      <w:tr>
        <w:trPr>
          <w:cantSplit/>
        </w:trPr>
        <w:tc>
          <w:tcPr>
            <w:tcW w:type="dxa" w:w="2448"/>
            <w:vAlign w:val="center"/>
          </w:tcPr>
          <w:p>
            <w:pPr>
              <w:spacing w:after="0"/>
            </w:pPr>
            <w:r/>
            <w:r>
              <w:rPr>
                <w:rFonts w:ascii="Aptos" w:hAnsi="Aptos"/>
                <w:b w:val="0"/>
                <w:sz w:val="15"/>
              </w:rPr>
              <w:t>Containment</w:t>
            </w:r>
          </w:p>
        </w:tc>
        <w:tc>
          <w:tcPr>
            <w:tcW w:type="dxa" w:w="7200"/>
            <w:vAlign w:val="center"/>
          </w:tcPr>
          <w:p>
            <w:pPr>
              <w:spacing w:after="0"/>
            </w:pPr>
            <w:r/>
            <w:r>
              <w:rPr>
                <w:rFonts w:ascii="Aptos" w:hAnsi="Aptos"/>
                <w:b w:val="0"/>
                <w:sz w:val="15"/>
              </w:rPr>
              <w:t>Test circuit breaker, kill switch and credential revocation</w:t>
            </w:r>
          </w:p>
        </w:tc>
      </w:tr>
      <w:tr>
        <w:trPr>
          <w:cantSplit/>
        </w:trPr>
        <w:tc>
          <w:tcPr>
            <w:tcW w:type="dxa" w:w="2448"/>
            <w:vAlign w:val="center"/>
            <w:shd w:fill="F3F6F7"/>
          </w:tcPr>
          <w:p>
            <w:pPr>
              <w:spacing w:after="0"/>
            </w:pPr>
            <w:r/>
            <w:r>
              <w:rPr>
                <w:rFonts w:ascii="Aptos" w:hAnsi="Aptos"/>
                <w:b w:val="0"/>
                <w:sz w:val="15"/>
              </w:rPr>
              <w:t>Evidence</w:t>
            </w:r>
          </w:p>
        </w:tc>
        <w:tc>
          <w:tcPr>
            <w:tcW w:type="dxa" w:w="7200"/>
            <w:vAlign w:val="center"/>
            <w:shd w:fill="F3F6F7"/>
          </w:tcPr>
          <w:p>
            <w:pPr>
              <w:spacing w:after="0"/>
            </w:pPr>
            <w:r/>
            <w:r>
              <w:rPr>
                <w:rFonts w:ascii="Aptos" w:hAnsi="Aptos"/>
                <w:b w:val="0"/>
                <w:sz w:val="15"/>
              </w:rPr>
              <w:t>Retain plans, tool calls, approvals, state changes and outcomes</w:t>
            </w:r>
          </w:p>
        </w:tc>
      </w:tr>
    </w:tbl>
    <w:p/>
    <w:p>
      <w:pPr>
        <w:pStyle w:val="Heading1"/>
      </w:pPr>
      <w:r>
        <w:t>10. Physical AI Operations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592"/>
            <w:vAlign w:val="center"/>
            <w:shd w:fill="17324D"/>
          </w:tcPr>
          <w:p>
            <w:pPr>
              <w:spacing w:after="0"/>
            </w:pPr>
            <w:r/>
            <w:r>
              <w:rPr>
                <w:rFonts w:ascii="Aptos" w:hAnsi="Aptos"/>
                <w:b/>
                <w:color w:val="FFFFFF"/>
                <w:sz w:val="15"/>
              </w:rPr>
              <w:t>Area</w:t>
            </w:r>
          </w:p>
        </w:tc>
        <w:tc>
          <w:tcPr>
            <w:tcW w:type="dxa" w:w="7056"/>
            <w:vAlign w:val="center"/>
            <w:shd w:fill="17324D"/>
          </w:tcPr>
          <w:p>
            <w:pPr>
              <w:spacing w:after="0"/>
            </w:pPr>
            <w:r/>
            <w:r>
              <w:rPr>
                <w:rFonts w:ascii="Aptos" w:hAnsi="Aptos"/>
                <w:b/>
                <w:color w:val="FFFFFF"/>
                <w:sz w:val="15"/>
              </w:rPr>
              <w:t>Run-state requirement</w:t>
            </w:r>
          </w:p>
        </w:tc>
      </w:tr>
      <w:tr>
        <w:trPr>
          <w:cantSplit/>
        </w:trPr>
        <w:tc>
          <w:tcPr>
            <w:tcW w:type="dxa" w:w="2592"/>
            <w:vAlign w:val="center"/>
          </w:tcPr>
          <w:p>
            <w:pPr>
              <w:spacing w:after="0"/>
            </w:pPr>
            <w:r/>
            <w:r>
              <w:rPr>
                <w:rFonts w:ascii="Aptos" w:hAnsi="Aptos"/>
                <w:b w:val="0"/>
                <w:sz w:val="15"/>
              </w:rPr>
              <w:t>Operational envelope</w:t>
            </w:r>
          </w:p>
        </w:tc>
        <w:tc>
          <w:tcPr>
            <w:tcW w:type="dxa" w:w="7056"/>
            <w:vAlign w:val="center"/>
          </w:tcPr>
          <w:p>
            <w:pPr>
              <w:spacing w:after="0"/>
            </w:pPr>
            <w:r/>
            <w:r>
              <w:rPr>
                <w:rFonts w:ascii="Aptos" w:hAnsi="Aptos"/>
                <w:b w:val="0"/>
                <w:sz w:val="15"/>
              </w:rPr>
              <w:t>Monitor speed, load, location, proximity and environmental limits</w:t>
            </w:r>
          </w:p>
        </w:tc>
      </w:tr>
      <w:tr>
        <w:trPr>
          <w:cantSplit/>
        </w:trPr>
        <w:tc>
          <w:tcPr>
            <w:tcW w:type="dxa" w:w="2592"/>
            <w:vAlign w:val="center"/>
            <w:shd w:fill="F3F6F7"/>
          </w:tcPr>
          <w:p>
            <w:pPr>
              <w:spacing w:after="0"/>
            </w:pPr>
            <w:r/>
            <w:r>
              <w:rPr>
                <w:rFonts w:ascii="Aptos" w:hAnsi="Aptos"/>
                <w:b w:val="0"/>
                <w:sz w:val="15"/>
              </w:rPr>
              <w:t>Sensor health</w:t>
            </w:r>
          </w:p>
        </w:tc>
        <w:tc>
          <w:tcPr>
            <w:tcW w:type="dxa" w:w="7056"/>
            <w:vAlign w:val="center"/>
            <w:shd w:fill="F3F6F7"/>
          </w:tcPr>
          <w:p>
            <w:pPr>
              <w:spacing w:after="0"/>
            </w:pPr>
            <w:r/>
            <w:r>
              <w:rPr>
                <w:rFonts w:ascii="Aptos" w:hAnsi="Aptos"/>
                <w:b w:val="0"/>
                <w:sz w:val="15"/>
              </w:rPr>
              <w:t>Track calibration, disagreement, degradation and missing signals</w:t>
            </w:r>
          </w:p>
        </w:tc>
      </w:tr>
      <w:tr>
        <w:trPr>
          <w:cantSplit/>
        </w:trPr>
        <w:tc>
          <w:tcPr>
            <w:tcW w:type="dxa" w:w="2592"/>
            <w:vAlign w:val="center"/>
          </w:tcPr>
          <w:p>
            <w:pPr>
              <w:spacing w:after="0"/>
            </w:pPr>
            <w:r/>
            <w:r>
              <w:rPr>
                <w:rFonts w:ascii="Aptos" w:hAnsi="Aptos"/>
                <w:b w:val="0"/>
                <w:sz w:val="15"/>
              </w:rPr>
              <w:t>Safety supervisor</w:t>
            </w:r>
          </w:p>
        </w:tc>
        <w:tc>
          <w:tcPr>
            <w:tcW w:type="dxa" w:w="7056"/>
            <w:vAlign w:val="center"/>
          </w:tcPr>
          <w:p>
            <w:pPr>
              <w:spacing w:after="0"/>
            </w:pPr>
            <w:r/>
            <w:r>
              <w:rPr>
                <w:rFonts w:ascii="Aptos" w:hAnsi="Aptos"/>
                <w:b w:val="0"/>
                <w:sz w:val="15"/>
              </w:rPr>
              <w:t>Verify independent constraints and blocked-command records</w:t>
            </w:r>
          </w:p>
        </w:tc>
      </w:tr>
      <w:tr>
        <w:trPr>
          <w:cantSplit/>
        </w:trPr>
        <w:tc>
          <w:tcPr>
            <w:tcW w:type="dxa" w:w="2592"/>
            <w:vAlign w:val="center"/>
            <w:shd w:fill="F3F6F7"/>
          </w:tcPr>
          <w:p>
            <w:pPr>
              <w:spacing w:after="0"/>
            </w:pPr>
            <w:r/>
            <w:r>
              <w:rPr>
                <w:rFonts w:ascii="Aptos" w:hAnsi="Aptos"/>
                <w:b w:val="0"/>
                <w:sz w:val="15"/>
              </w:rPr>
              <w:t>Override</w:t>
            </w:r>
          </w:p>
        </w:tc>
        <w:tc>
          <w:tcPr>
            <w:tcW w:type="dxa" w:w="7056"/>
            <w:vAlign w:val="center"/>
            <w:shd w:fill="F3F6F7"/>
          </w:tcPr>
          <w:p>
            <w:pPr>
              <w:spacing w:after="0"/>
            </w:pPr>
            <w:r/>
            <w:r>
              <w:rPr>
                <w:rFonts w:ascii="Aptos" w:hAnsi="Aptos"/>
                <w:b w:val="0"/>
                <w:sz w:val="15"/>
              </w:rPr>
              <w:t>Test accessibility, response time and independent operation</w:t>
            </w:r>
          </w:p>
        </w:tc>
      </w:tr>
      <w:tr>
        <w:trPr>
          <w:cantSplit/>
        </w:trPr>
        <w:tc>
          <w:tcPr>
            <w:tcW w:type="dxa" w:w="2592"/>
            <w:vAlign w:val="center"/>
          </w:tcPr>
          <w:p>
            <w:pPr>
              <w:spacing w:after="0"/>
            </w:pPr>
            <w:r/>
            <w:r>
              <w:rPr>
                <w:rFonts w:ascii="Aptos" w:hAnsi="Aptos"/>
                <w:b w:val="0"/>
                <w:sz w:val="15"/>
              </w:rPr>
              <w:t>Safe state</w:t>
            </w:r>
          </w:p>
        </w:tc>
        <w:tc>
          <w:tcPr>
            <w:tcW w:type="dxa" w:w="7056"/>
            <w:vAlign w:val="center"/>
          </w:tcPr>
          <w:p>
            <w:pPr>
              <w:spacing w:after="0"/>
            </w:pPr>
            <w:r/>
            <w:r>
              <w:rPr>
                <w:rFonts w:ascii="Aptos" w:hAnsi="Aptos"/>
                <w:b w:val="0"/>
                <w:sz w:val="15"/>
              </w:rPr>
              <w:t>Exercise transition and recovery procedures</w:t>
            </w:r>
          </w:p>
        </w:tc>
      </w:tr>
      <w:tr>
        <w:trPr>
          <w:cantSplit/>
        </w:trPr>
        <w:tc>
          <w:tcPr>
            <w:tcW w:type="dxa" w:w="2592"/>
            <w:vAlign w:val="center"/>
            <w:shd w:fill="F3F6F7"/>
          </w:tcPr>
          <w:p>
            <w:pPr>
              <w:spacing w:after="0"/>
            </w:pPr>
            <w:r/>
            <w:r>
              <w:rPr>
                <w:rFonts w:ascii="Aptos" w:hAnsi="Aptos"/>
                <w:b w:val="0"/>
                <w:sz w:val="15"/>
              </w:rPr>
              <w:t>Maintenance</w:t>
            </w:r>
          </w:p>
        </w:tc>
        <w:tc>
          <w:tcPr>
            <w:tcW w:type="dxa" w:w="7056"/>
            <w:vAlign w:val="center"/>
            <w:shd w:fill="F3F6F7"/>
          </w:tcPr>
          <w:p>
            <w:pPr>
              <w:spacing w:after="0"/>
            </w:pPr>
            <w:r/>
            <w:r>
              <w:rPr>
                <w:rFonts w:ascii="Aptos" w:hAnsi="Aptos"/>
                <w:b w:val="0"/>
                <w:sz w:val="15"/>
              </w:rPr>
              <w:t>Control software, model, sensor and actuator changes</w:t>
            </w:r>
          </w:p>
        </w:tc>
      </w:tr>
      <w:tr>
        <w:trPr>
          <w:cantSplit/>
        </w:trPr>
        <w:tc>
          <w:tcPr>
            <w:tcW w:type="dxa" w:w="2592"/>
            <w:vAlign w:val="center"/>
          </w:tcPr>
          <w:p>
            <w:pPr>
              <w:spacing w:after="0"/>
            </w:pPr>
            <w:r/>
            <w:r>
              <w:rPr>
                <w:rFonts w:ascii="Aptos" w:hAnsi="Aptos"/>
                <w:b w:val="0"/>
                <w:sz w:val="15"/>
              </w:rPr>
              <w:t>Near misses</w:t>
            </w:r>
          </w:p>
        </w:tc>
        <w:tc>
          <w:tcPr>
            <w:tcW w:type="dxa" w:w="7056"/>
            <w:vAlign w:val="center"/>
          </w:tcPr>
          <w:p>
            <w:pPr>
              <w:spacing w:after="0"/>
            </w:pPr>
            <w:r/>
            <w:r>
              <w:rPr>
                <w:rFonts w:ascii="Aptos" w:hAnsi="Aptos"/>
                <w:b w:val="0"/>
                <w:sz w:val="15"/>
              </w:rPr>
              <w:t>Capture and investigate events before harm occurs</w:t>
            </w:r>
          </w:p>
        </w:tc>
      </w:tr>
      <w:tr>
        <w:trPr>
          <w:cantSplit/>
        </w:trPr>
        <w:tc>
          <w:tcPr>
            <w:tcW w:type="dxa" w:w="2592"/>
            <w:vAlign w:val="center"/>
            <w:shd w:fill="F3F6F7"/>
          </w:tcPr>
          <w:p>
            <w:pPr>
              <w:spacing w:after="0"/>
            </w:pPr>
            <w:r/>
            <w:r>
              <w:rPr>
                <w:rFonts w:ascii="Aptos" w:hAnsi="Aptos"/>
                <w:b w:val="0"/>
                <w:sz w:val="15"/>
              </w:rPr>
              <w:t>Incident reconstruction</w:t>
            </w:r>
          </w:p>
        </w:tc>
        <w:tc>
          <w:tcPr>
            <w:tcW w:type="dxa" w:w="7056"/>
            <w:vAlign w:val="center"/>
            <w:shd w:fill="F3F6F7"/>
          </w:tcPr>
          <w:p>
            <w:pPr>
              <w:spacing w:after="0"/>
            </w:pPr>
            <w:r/>
            <w:r>
              <w:rPr>
                <w:rFonts w:ascii="Aptos" w:hAnsi="Aptos"/>
                <w:b w:val="0"/>
                <w:sz w:val="15"/>
              </w:rPr>
              <w:t>Preserve synchronized telemetry and command history</w:t>
            </w:r>
          </w:p>
        </w:tc>
      </w:tr>
    </w:tbl>
    <w:p/>
    <w:p>
      <w:pPr>
        <w:pStyle w:val="Heading1"/>
      </w:pPr>
      <w:r>
        <w:t>11. Incident and Near-Miss Operations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1728"/>
            <w:vAlign w:val="center"/>
            <w:shd w:fill="17324D"/>
          </w:tcPr>
          <w:p>
            <w:pPr>
              <w:spacing w:after="0"/>
            </w:pPr>
            <w:r/>
            <w:r>
              <w:rPr>
                <w:rFonts w:ascii="Aptos" w:hAnsi="Aptos"/>
                <w:b/>
                <w:color w:val="FFFFFF"/>
                <w:sz w:val="15"/>
              </w:rPr>
              <w:t>Stage</w:t>
            </w:r>
          </w:p>
        </w:tc>
        <w:tc>
          <w:tcPr>
            <w:tcW w:type="dxa" w:w="7920"/>
            <w:vAlign w:val="center"/>
            <w:shd w:fill="17324D"/>
          </w:tcPr>
          <w:p>
            <w:pPr>
              <w:spacing w:after="0"/>
            </w:pPr>
            <w:r/>
            <w:r>
              <w:rPr>
                <w:rFonts w:ascii="Aptos" w:hAnsi="Aptos"/>
                <w:b/>
                <w:color w:val="FFFFFF"/>
                <w:sz w:val="15"/>
              </w:rPr>
              <w:t>Operational action</w:t>
            </w:r>
          </w:p>
        </w:tc>
      </w:tr>
      <w:tr>
        <w:trPr>
          <w:cantSplit/>
        </w:trPr>
        <w:tc>
          <w:tcPr>
            <w:tcW w:type="dxa" w:w="1728"/>
            <w:vAlign w:val="center"/>
          </w:tcPr>
          <w:p>
            <w:pPr>
              <w:spacing w:after="0"/>
            </w:pPr>
            <w:r/>
            <w:r>
              <w:rPr>
                <w:rFonts w:ascii="Aptos" w:hAnsi="Aptos"/>
                <w:b w:val="0"/>
                <w:sz w:val="15"/>
              </w:rPr>
              <w:t>Detect</w:t>
            </w:r>
          </w:p>
        </w:tc>
        <w:tc>
          <w:tcPr>
            <w:tcW w:type="dxa" w:w="7920"/>
            <w:vAlign w:val="center"/>
          </w:tcPr>
          <w:p>
            <w:pPr>
              <w:spacing w:after="0"/>
            </w:pPr>
            <w:r/>
            <w:r>
              <w:rPr>
                <w:rFonts w:ascii="Aptos" w:hAnsi="Aptos"/>
                <w:b w:val="0"/>
                <w:sz w:val="15"/>
              </w:rPr>
              <w:t>Receive alert, report or observed abnormal behavior</w:t>
            </w:r>
          </w:p>
        </w:tc>
      </w:tr>
      <w:tr>
        <w:trPr>
          <w:cantSplit/>
        </w:trPr>
        <w:tc>
          <w:tcPr>
            <w:tcW w:type="dxa" w:w="1728"/>
            <w:vAlign w:val="center"/>
            <w:shd w:fill="F3F6F7"/>
          </w:tcPr>
          <w:p>
            <w:pPr>
              <w:spacing w:after="0"/>
            </w:pPr>
            <w:r/>
            <w:r>
              <w:rPr>
                <w:rFonts w:ascii="Aptos" w:hAnsi="Aptos"/>
                <w:b w:val="0"/>
                <w:sz w:val="15"/>
              </w:rPr>
              <w:t>Triage</w:t>
            </w:r>
          </w:p>
        </w:tc>
        <w:tc>
          <w:tcPr>
            <w:tcW w:type="dxa" w:w="7920"/>
            <w:vAlign w:val="center"/>
            <w:shd w:fill="F3F6F7"/>
          </w:tcPr>
          <w:p>
            <w:pPr>
              <w:spacing w:after="0"/>
            </w:pPr>
            <w:r/>
            <w:r>
              <w:rPr>
                <w:rFonts w:ascii="Aptos" w:hAnsi="Aptos"/>
                <w:b w:val="0"/>
                <w:sz w:val="15"/>
              </w:rPr>
              <w:t>Classify severity, scope, safety, legal and service impact</w:t>
            </w:r>
          </w:p>
        </w:tc>
      </w:tr>
      <w:tr>
        <w:trPr>
          <w:cantSplit/>
        </w:trPr>
        <w:tc>
          <w:tcPr>
            <w:tcW w:type="dxa" w:w="1728"/>
            <w:vAlign w:val="center"/>
          </w:tcPr>
          <w:p>
            <w:pPr>
              <w:spacing w:after="0"/>
            </w:pPr>
            <w:r/>
            <w:r>
              <w:rPr>
                <w:rFonts w:ascii="Aptos" w:hAnsi="Aptos"/>
                <w:b w:val="0"/>
                <w:sz w:val="15"/>
              </w:rPr>
              <w:t>Contain</w:t>
            </w:r>
          </w:p>
        </w:tc>
        <w:tc>
          <w:tcPr>
            <w:tcW w:type="dxa" w:w="7920"/>
            <w:vAlign w:val="center"/>
          </w:tcPr>
          <w:p>
            <w:pPr>
              <w:spacing w:after="0"/>
            </w:pPr>
            <w:r/>
            <w:r>
              <w:rPr>
                <w:rFonts w:ascii="Aptos" w:hAnsi="Aptos"/>
                <w:b w:val="0"/>
                <w:sz w:val="15"/>
              </w:rPr>
              <w:t>Restrict capability, revoke access, isolate, roll back or enter safe state</w:t>
            </w:r>
          </w:p>
        </w:tc>
      </w:tr>
      <w:tr>
        <w:trPr>
          <w:cantSplit/>
        </w:trPr>
        <w:tc>
          <w:tcPr>
            <w:tcW w:type="dxa" w:w="1728"/>
            <w:vAlign w:val="center"/>
            <w:shd w:fill="F3F6F7"/>
          </w:tcPr>
          <w:p>
            <w:pPr>
              <w:spacing w:after="0"/>
            </w:pPr>
            <w:r/>
            <w:r>
              <w:rPr>
                <w:rFonts w:ascii="Aptos" w:hAnsi="Aptos"/>
                <w:b w:val="0"/>
                <w:sz w:val="15"/>
              </w:rPr>
              <w:t>Preserve</w:t>
            </w:r>
          </w:p>
        </w:tc>
        <w:tc>
          <w:tcPr>
            <w:tcW w:type="dxa" w:w="7920"/>
            <w:vAlign w:val="center"/>
            <w:shd w:fill="F3F6F7"/>
          </w:tcPr>
          <w:p>
            <w:pPr>
              <w:spacing w:after="0"/>
            </w:pPr>
            <w:r/>
            <w:r>
              <w:rPr>
                <w:rFonts w:ascii="Aptos" w:hAnsi="Aptos"/>
                <w:b w:val="0"/>
                <w:sz w:val="15"/>
              </w:rPr>
              <w:t>Protect prompts, outputs, state, logs, model/data versions and physical telemetry</w:t>
            </w:r>
          </w:p>
        </w:tc>
      </w:tr>
      <w:tr>
        <w:trPr>
          <w:cantSplit/>
        </w:trPr>
        <w:tc>
          <w:tcPr>
            <w:tcW w:type="dxa" w:w="1728"/>
            <w:vAlign w:val="center"/>
          </w:tcPr>
          <w:p>
            <w:pPr>
              <w:spacing w:after="0"/>
            </w:pPr>
            <w:r/>
            <w:r>
              <w:rPr>
                <w:rFonts w:ascii="Aptos" w:hAnsi="Aptos"/>
                <w:b w:val="0"/>
                <w:sz w:val="15"/>
              </w:rPr>
              <w:t>Investigate</w:t>
            </w:r>
          </w:p>
        </w:tc>
        <w:tc>
          <w:tcPr>
            <w:tcW w:type="dxa" w:w="7920"/>
            <w:vAlign w:val="center"/>
          </w:tcPr>
          <w:p>
            <w:pPr>
              <w:spacing w:after="0"/>
            </w:pPr>
            <w:r/>
            <w:r>
              <w:rPr>
                <w:rFonts w:ascii="Aptos" w:hAnsi="Aptos"/>
                <w:b w:val="0"/>
                <w:sz w:val="15"/>
              </w:rPr>
              <w:t>Reconstruct sequence, cause, control failure and affected parties</w:t>
            </w:r>
          </w:p>
        </w:tc>
      </w:tr>
      <w:tr>
        <w:trPr>
          <w:cantSplit/>
        </w:trPr>
        <w:tc>
          <w:tcPr>
            <w:tcW w:type="dxa" w:w="1728"/>
            <w:vAlign w:val="center"/>
            <w:shd w:fill="F3F6F7"/>
          </w:tcPr>
          <w:p>
            <w:pPr>
              <w:spacing w:after="0"/>
            </w:pPr>
            <w:r/>
            <w:r>
              <w:rPr>
                <w:rFonts w:ascii="Aptos" w:hAnsi="Aptos"/>
                <w:b w:val="0"/>
                <w:sz w:val="15"/>
              </w:rPr>
              <w:t>Communicate</w:t>
            </w:r>
          </w:p>
        </w:tc>
        <w:tc>
          <w:tcPr>
            <w:tcW w:type="dxa" w:w="7920"/>
            <w:vAlign w:val="center"/>
            <w:shd w:fill="F3F6F7"/>
          </w:tcPr>
          <w:p>
            <w:pPr>
              <w:spacing w:after="0"/>
            </w:pPr>
            <w:r/>
            <w:r>
              <w:rPr>
                <w:rFonts w:ascii="Aptos" w:hAnsi="Aptos"/>
                <w:b w:val="0"/>
                <w:sz w:val="15"/>
              </w:rPr>
              <w:t>Notify internal and external stakeholders as required</w:t>
            </w:r>
          </w:p>
        </w:tc>
      </w:tr>
      <w:tr>
        <w:trPr>
          <w:cantSplit/>
        </w:trPr>
        <w:tc>
          <w:tcPr>
            <w:tcW w:type="dxa" w:w="1728"/>
            <w:vAlign w:val="center"/>
          </w:tcPr>
          <w:p>
            <w:pPr>
              <w:spacing w:after="0"/>
            </w:pPr>
            <w:r/>
            <w:r>
              <w:rPr>
                <w:rFonts w:ascii="Aptos" w:hAnsi="Aptos"/>
                <w:b w:val="0"/>
                <w:sz w:val="15"/>
              </w:rPr>
              <w:t>Recover</w:t>
            </w:r>
          </w:p>
        </w:tc>
        <w:tc>
          <w:tcPr>
            <w:tcW w:type="dxa" w:w="7920"/>
            <w:vAlign w:val="center"/>
          </w:tcPr>
          <w:p>
            <w:pPr>
              <w:spacing w:after="0"/>
            </w:pPr>
            <w:r/>
            <w:r>
              <w:rPr>
                <w:rFonts w:ascii="Aptos" w:hAnsi="Aptos"/>
                <w:b w:val="0"/>
                <w:sz w:val="15"/>
              </w:rPr>
              <w:t>Validate safe and secure restoration</w:t>
            </w:r>
          </w:p>
        </w:tc>
      </w:tr>
      <w:tr>
        <w:trPr>
          <w:cantSplit/>
        </w:trPr>
        <w:tc>
          <w:tcPr>
            <w:tcW w:type="dxa" w:w="1728"/>
            <w:vAlign w:val="center"/>
            <w:shd w:fill="F3F6F7"/>
          </w:tcPr>
          <w:p>
            <w:pPr>
              <w:spacing w:after="0"/>
            </w:pPr>
            <w:r/>
            <w:r>
              <w:rPr>
                <w:rFonts w:ascii="Aptos" w:hAnsi="Aptos"/>
                <w:b w:val="0"/>
                <w:sz w:val="15"/>
              </w:rPr>
              <w:t>Improve</w:t>
            </w:r>
          </w:p>
        </w:tc>
        <w:tc>
          <w:tcPr>
            <w:tcW w:type="dxa" w:w="7920"/>
            <w:vAlign w:val="center"/>
            <w:shd w:fill="F3F6F7"/>
          </w:tcPr>
          <w:p>
            <w:pPr>
              <w:spacing w:after="0"/>
            </w:pPr>
            <w:r/>
            <w:r>
              <w:rPr>
                <w:rFonts w:ascii="Aptos" w:hAnsi="Aptos"/>
                <w:b w:val="0"/>
                <w:sz w:val="15"/>
              </w:rPr>
              <w:t>Complete root cause, corrective action and control retest</w:t>
            </w:r>
          </w:p>
        </w:tc>
      </w:tr>
    </w:tbl>
    <w:p/>
    <w:p>
      <w:pPr>
        <w:pStyle w:val="Heading2"/>
      </w:pPr>
      <w:r>
        <w:t>11.1 AI-specific incident categories</w:t>
      </w:r>
    </w:p>
    <w:p>
      <w:pPr>
        <w:pStyle w:val="ListBullet"/>
      </w:pPr>
      <w:r>
        <w:t>Prompt injection, model extraction or model compromise</w:t>
      </w:r>
    </w:p>
    <w:p>
      <w:pPr>
        <w:pStyle w:val="ListBullet"/>
      </w:pPr>
      <w:r>
        <w:t>Data poisoning, unauthorized retrieval or sensitive-data leakage</w:t>
      </w:r>
    </w:p>
    <w:p>
      <w:pPr>
        <w:pStyle w:val="ListBullet"/>
      </w:pPr>
      <w:r>
        <w:t>Harmful, discriminatory, deceptive or materially incorrect output</w:t>
      </w:r>
    </w:p>
    <w:p>
      <w:pPr>
        <w:pStyle w:val="ListBullet"/>
      </w:pPr>
      <w:r>
        <w:t>Agent action outside approved authority</w:t>
      </w:r>
    </w:p>
    <w:p>
      <w:pPr>
        <w:pStyle w:val="ListBullet"/>
      </w:pPr>
      <w:r>
        <w:t>Unapproved model, prompt, data or supplier change</w:t>
      </w:r>
    </w:p>
    <w:p>
      <w:pPr>
        <w:pStyle w:val="ListBullet"/>
      </w:pPr>
      <w:r>
        <w:t>Loss of human oversight or override capability</w:t>
      </w:r>
    </w:p>
    <w:p>
      <w:pPr>
        <w:pStyle w:val="ListBullet"/>
      </w:pPr>
      <w:r>
        <w:t>Unsafe physical actuation or safety-envelope breach</w:t>
      </w:r>
    </w:p>
    <w:p>
      <w:pPr>
        <w:pStyle w:val="ListBullet"/>
      </w:pPr>
      <w:r>
        <w:t>Evidence integrity failure or monitoring blind spot</w:t>
      </w:r>
    </w:p>
    <w:p>
      <w:pPr>
        <w:pStyle w:val="Heading1"/>
      </w:pPr>
      <w:r>
        <w:t>12. Exception and Residual-Risk Operations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160"/>
            <w:vAlign w:val="center"/>
            <w:shd w:fill="17324D"/>
          </w:tcPr>
          <w:p>
            <w:pPr>
              <w:spacing w:after="0"/>
            </w:pPr>
            <w:r/>
            <w:r>
              <w:rPr>
                <w:rFonts w:ascii="Aptos" w:hAnsi="Aptos"/>
                <w:b/>
                <w:color w:val="FFFFFF"/>
                <w:sz w:val="15"/>
              </w:rPr>
              <w:t>Lifecycle point</w:t>
            </w:r>
          </w:p>
        </w:tc>
        <w:tc>
          <w:tcPr>
            <w:tcW w:type="dxa" w:w="7488"/>
            <w:vAlign w:val="center"/>
            <w:shd w:fill="17324D"/>
          </w:tcPr>
          <w:p>
            <w:pPr>
              <w:spacing w:after="0"/>
            </w:pPr>
            <w:r/>
            <w:r>
              <w:rPr>
                <w:rFonts w:ascii="Aptos" w:hAnsi="Aptos"/>
                <w:b/>
                <w:color w:val="FFFFFF"/>
                <w:sz w:val="15"/>
              </w:rPr>
              <w:t>Operating requirement</w:t>
            </w:r>
          </w:p>
        </w:tc>
      </w:tr>
      <w:tr>
        <w:trPr>
          <w:cantSplit/>
        </w:trPr>
        <w:tc>
          <w:tcPr>
            <w:tcW w:type="dxa" w:w="2160"/>
            <w:vAlign w:val="center"/>
          </w:tcPr>
          <w:p>
            <w:pPr>
              <w:spacing w:after="0"/>
            </w:pPr>
            <w:r/>
            <w:r>
              <w:rPr>
                <w:rFonts w:ascii="Aptos" w:hAnsi="Aptos"/>
                <w:b w:val="0"/>
                <w:sz w:val="15"/>
              </w:rPr>
              <w:t>Request</w:t>
            </w:r>
          </w:p>
        </w:tc>
        <w:tc>
          <w:tcPr>
            <w:tcW w:type="dxa" w:w="7488"/>
            <w:vAlign w:val="center"/>
          </w:tcPr>
          <w:p>
            <w:pPr>
              <w:spacing w:after="0"/>
            </w:pPr>
            <w:r/>
            <w:r>
              <w:rPr>
                <w:rFonts w:ascii="Aptos" w:hAnsi="Aptos"/>
                <w:b w:val="0"/>
                <w:sz w:val="15"/>
              </w:rPr>
              <w:t>Identify control, scope, reason, duration and compensating measures</w:t>
            </w:r>
          </w:p>
        </w:tc>
      </w:tr>
      <w:tr>
        <w:trPr>
          <w:cantSplit/>
        </w:trPr>
        <w:tc>
          <w:tcPr>
            <w:tcW w:type="dxa" w:w="2160"/>
            <w:vAlign w:val="center"/>
            <w:shd w:fill="F3F6F7"/>
          </w:tcPr>
          <w:p>
            <w:pPr>
              <w:spacing w:after="0"/>
            </w:pPr>
            <w:r/>
            <w:r>
              <w:rPr>
                <w:rFonts w:ascii="Aptos" w:hAnsi="Aptos"/>
                <w:b w:val="0"/>
                <w:sz w:val="15"/>
              </w:rPr>
              <w:t>Assessment</w:t>
            </w:r>
          </w:p>
        </w:tc>
        <w:tc>
          <w:tcPr>
            <w:tcW w:type="dxa" w:w="7488"/>
            <w:vAlign w:val="center"/>
            <w:shd w:fill="F3F6F7"/>
          </w:tcPr>
          <w:p>
            <w:pPr>
              <w:spacing w:after="0"/>
            </w:pPr>
            <w:r/>
            <w:r>
              <w:rPr>
                <w:rFonts w:ascii="Aptos" w:hAnsi="Aptos"/>
                <w:b w:val="0"/>
                <w:sz w:val="15"/>
              </w:rPr>
              <w:t>Evaluate likelihood, impact, affected persons and dependencies</w:t>
            </w:r>
          </w:p>
        </w:tc>
      </w:tr>
      <w:tr>
        <w:trPr>
          <w:cantSplit/>
        </w:trPr>
        <w:tc>
          <w:tcPr>
            <w:tcW w:type="dxa" w:w="2160"/>
            <w:vAlign w:val="center"/>
          </w:tcPr>
          <w:p>
            <w:pPr>
              <w:spacing w:after="0"/>
            </w:pPr>
            <w:r/>
            <w:r>
              <w:rPr>
                <w:rFonts w:ascii="Aptos" w:hAnsi="Aptos"/>
                <w:b w:val="0"/>
                <w:sz w:val="15"/>
              </w:rPr>
              <w:t>Approval</w:t>
            </w:r>
          </w:p>
        </w:tc>
        <w:tc>
          <w:tcPr>
            <w:tcW w:type="dxa" w:w="7488"/>
            <w:vAlign w:val="center"/>
          </w:tcPr>
          <w:p>
            <w:pPr>
              <w:spacing w:after="0"/>
            </w:pPr>
            <w:r/>
            <w:r>
              <w:rPr>
                <w:rFonts w:ascii="Aptos" w:hAnsi="Aptos"/>
                <w:b w:val="0"/>
                <w:sz w:val="15"/>
              </w:rPr>
              <w:t>Use delegated authority appropriate to residual risk</w:t>
            </w:r>
          </w:p>
        </w:tc>
      </w:tr>
      <w:tr>
        <w:trPr>
          <w:cantSplit/>
        </w:trPr>
        <w:tc>
          <w:tcPr>
            <w:tcW w:type="dxa" w:w="2160"/>
            <w:vAlign w:val="center"/>
            <w:shd w:fill="F3F6F7"/>
          </w:tcPr>
          <w:p>
            <w:pPr>
              <w:spacing w:after="0"/>
            </w:pPr>
            <w:r/>
            <w:r>
              <w:rPr>
                <w:rFonts w:ascii="Aptos" w:hAnsi="Aptos"/>
                <w:b w:val="0"/>
                <w:sz w:val="15"/>
              </w:rPr>
              <w:t>Operation</w:t>
            </w:r>
          </w:p>
        </w:tc>
        <w:tc>
          <w:tcPr>
            <w:tcW w:type="dxa" w:w="7488"/>
            <w:vAlign w:val="center"/>
            <w:shd w:fill="F3F6F7"/>
          </w:tcPr>
          <w:p>
            <w:pPr>
              <w:spacing w:after="0"/>
            </w:pPr>
            <w:r/>
            <w:r>
              <w:rPr>
                <w:rFonts w:ascii="Aptos" w:hAnsi="Aptos"/>
                <w:b w:val="0"/>
                <w:sz w:val="15"/>
              </w:rPr>
              <w:t>Monitor compensating controls and risk indicators</w:t>
            </w:r>
          </w:p>
        </w:tc>
      </w:tr>
      <w:tr>
        <w:trPr>
          <w:cantSplit/>
        </w:trPr>
        <w:tc>
          <w:tcPr>
            <w:tcW w:type="dxa" w:w="2160"/>
            <w:vAlign w:val="center"/>
          </w:tcPr>
          <w:p>
            <w:pPr>
              <w:spacing w:after="0"/>
            </w:pPr>
            <w:r/>
            <w:r>
              <w:rPr>
                <w:rFonts w:ascii="Aptos" w:hAnsi="Aptos"/>
                <w:b w:val="0"/>
                <w:sz w:val="15"/>
              </w:rPr>
              <w:t>Review</w:t>
            </w:r>
          </w:p>
        </w:tc>
        <w:tc>
          <w:tcPr>
            <w:tcW w:type="dxa" w:w="7488"/>
            <w:vAlign w:val="center"/>
          </w:tcPr>
          <w:p>
            <w:pPr>
              <w:spacing w:after="0"/>
            </w:pPr>
            <w:r/>
            <w:r>
              <w:rPr>
                <w:rFonts w:ascii="Aptos" w:hAnsi="Aptos"/>
                <w:b w:val="0"/>
                <w:sz w:val="15"/>
              </w:rPr>
              <w:t>Reassess after change, incident or before expiry</w:t>
            </w:r>
          </w:p>
        </w:tc>
      </w:tr>
      <w:tr>
        <w:trPr>
          <w:cantSplit/>
        </w:trPr>
        <w:tc>
          <w:tcPr>
            <w:tcW w:type="dxa" w:w="2160"/>
            <w:vAlign w:val="center"/>
            <w:shd w:fill="F3F6F7"/>
          </w:tcPr>
          <w:p>
            <w:pPr>
              <w:spacing w:after="0"/>
            </w:pPr>
            <w:r/>
            <w:r>
              <w:rPr>
                <w:rFonts w:ascii="Aptos" w:hAnsi="Aptos"/>
                <w:b w:val="0"/>
                <w:sz w:val="15"/>
              </w:rPr>
              <w:t>Closure</w:t>
            </w:r>
          </w:p>
        </w:tc>
        <w:tc>
          <w:tcPr>
            <w:tcW w:type="dxa" w:w="7488"/>
            <w:vAlign w:val="center"/>
            <w:shd w:fill="F3F6F7"/>
          </w:tcPr>
          <w:p>
            <w:pPr>
              <w:spacing w:after="0"/>
            </w:pPr>
            <w:r/>
            <w:r>
              <w:rPr>
                <w:rFonts w:ascii="Aptos" w:hAnsi="Aptos"/>
                <w:b w:val="0"/>
                <w:sz w:val="15"/>
              </w:rPr>
              <w:t>Verify remediation or document new decision</w:t>
            </w:r>
          </w:p>
        </w:tc>
      </w:tr>
      <w:tr>
        <w:trPr>
          <w:cantSplit/>
        </w:trPr>
        <w:tc>
          <w:tcPr>
            <w:tcW w:type="dxa" w:w="2160"/>
            <w:vAlign w:val="center"/>
          </w:tcPr>
          <w:p>
            <w:pPr>
              <w:spacing w:after="0"/>
            </w:pPr>
            <w:r/>
            <w:r>
              <w:rPr>
                <w:rFonts w:ascii="Aptos" w:hAnsi="Aptos"/>
                <w:b w:val="0"/>
                <w:sz w:val="15"/>
              </w:rPr>
              <w:t>Reporting</w:t>
            </w:r>
          </w:p>
        </w:tc>
        <w:tc>
          <w:tcPr>
            <w:tcW w:type="dxa" w:w="7488"/>
            <w:vAlign w:val="center"/>
          </w:tcPr>
          <w:p>
            <w:pPr>
              <w:spacing w:after="0"/>
            </w:pPr>
            <w:r/>
            <w:r>
              <w:rPr>
                <w:rFonts w:ascii="Aptos" w:hAnsi="Aptos"/>
                <w:b w:val="0"/>
                <w:sz w:val="15"/>
              </w:rPr>
              <w:t>Escalate overdue, repeated and high-risk exceptions</w:t>
            </w:r>
          </w:p>
        </w:tc>
      </w:tr>
    </w:tbl>
    <w:p/>
    <w:p>
      <w:pPr>
        <w:pStyle w:val="Heading1"/>
      </w:pPr>
      <w:r>
        <w:t>13. Supplier Operations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024"/>
            <w:vAlign w:val="center"/>
            <w:shd w:fill="17324D"/>
          </w:tcPr>
          <w:p>
            <w:pPr>
              <w:spacing w:after="0"/>
            </w:pPr>
            <w:r/>
            <w:r>
              <w:rPr>
                <w:rFonts w:ascii="Aptos" w:hAnsi="Aptos"/>
                <w:b/>
                <w:color w:val="FFFFFF"/>
                <w:sz w:val="15"/>
              </w:rPr>
              <w:t>Supplier signal</w:t>
            </w:r>
          </w:p>
        </w:tc>
        <w:tc>
          <w:tcPr>
            <w:tcW w:type="dxa" w:w="6624"/>
            <w:vAlign w:val="center"/>
            <w:shd w:fill="17324D"/>
          </w:tcPr>
          <w:p>
            <w:pPr>
              <w:spacing w:after="0"/>
            </w:pPr>
            <w:r/>
            <w:r>
              <w:rPr>
                <w:rFonts w:ascii="Aptos" w:hAnsi="Aptos"/>
                <w:b/>
                <w:color w:val="FFFFFF"/>
                <w:sz w:val="15"/>
              </w:rPr>
              <w:t>Operational response</w:t>
            </w:r>
          </w:p>
        </w:tc>
      </w:tr>
      <w:tr>
        <w:trPr>
          <w:cantSplit/>
        </w:trPr>
        <w:tc>
          <w:tcPr>
            <w:tcW w:type="dxa" w:w="3024"/>
            <w:vAlign w:val="center"/>
          </w:tcPr>
          <w:p>
            <w:pPr>
              <w:spacing w:after="0"/>
            </w:pPr>
            <w:r/>
            <w:r>
              <w:rPr>
                <w:rFonts w:ascii="Aptos" w:hAnsi="Aptos"/>
                <w:b w:val="0"/>
                <w:sz w:val="15"/>
              </w:rPr>
              <w:t>Model or service change</w:t>
            </w:r>
          </w:p>
        </w:tc>
        <w:tc>
          <w:tcPr>
            <w:tcW w:type="dxa" w:w="6624"/>
            <w:vAlign w:val="center"/>
          </w:tcPr>
          <w:p>
            <w:pPr>
              <w:spacing w:after="0"/>
            </w:pPr>
            <w:r/>
            <w:r>
              <w:rPr>
                <w:rFonts w:ascii="Aptos" w:hAnsi="Aptos"/>
                <w:b w:val="0"/>
                <w:sz w:val="15"/>
              </w:rPr>
              <w:t>Reassess evaluation baseline, compatibility and control assumptions</w:t>
            </w:r>
          </w:p>
        </w:tc>
      </w:tr>
      <w:tr>
        <w:trPr>
          <w:cantSplit/>
        </w:trPr>
        <w:tc>
          <w:tcPr>
            <w:tcW w:type="dxa" w:w="3024"/>
            <w:vAlign w:val="center"/>
            <w:shd w:fill="F3F6F7"/>
          </w:tcPr>
          <w:p>
            <w:pPr>
              <w:spacing w:after="0"/>
            </w:pPr>
            <w:r/>
            <w:r>
              <w:rPr>
                <w:rFonts w:ascii="Aptos" w:hAnsi="Aptos"/>
                <w:b w:val="0"/>
                <w:sz w:val="15"/>
              </w:rPr>
              <w:t>Security incident</w:t>
            </w:r>
          </w:p>
        </w:tc>
        <w:tc>
          <w:tcPr>
            <w:tcW w:type="dxa" w:w="6624"/>
            <w:vAlign w:val="center"/>
            <w:shd w:fill="F3F6F7"/>
          </w:tcPr>
          <w:p>
            <w:pPr>
              <w:spacing w:after="0"/>
            </w:pPr>
            <w:r/>
            <w:r>
              <w:rPr>
                <w:rFonts w:ascii="Aptos" w:hAnsi="Aptos"/>
                <w:b w:val="0"/>
                <w:sz w:val="15"/>
              </w:rPr>
              <w:t>Assess exposure, activate contractual notification and collect evidence</w:t>
            </w:r>
          </w:p>
        </w:tc>
      </w:tr>
      <w:tr>
        <w:trPr>
          <w:cantSplit/>
        </w:trPr>
        <w:tc>
          <w:tcPr>
            <w:tcW w:type="dxa" w:w="3024"/>
            <w:vAlign w:val="center"/>
          </w:tcPr>
          <w:p>
            <w:pPr>
              <w:spacing w:after="0"/>
            </w:pPr>
            <w:r/>
            <w:r>
              <w:rPr>
                <w:rFonts w:ascii="Aptos" w:hAnsi="Aptos"/>
                <w:b w:val="0"/>
                <w:sz w:val="15"/>
              </w:rPr>
              <w:t>Availability degradation</w:t>
            </w:r>
          </w:p>
        </w:tc>
        <w:tc>
          <w:tcPr>
            <w:tcW w:type="dxa" w:w="6624"/>
            <w:vAlign w:val="center"/>
          </w:tcPr>
          <w:p>
            <w:pPr>
              <w:spacing w:after="0"/>
            </w:pPr>
            <w:r/>
            <w:r>
              <w:rPr>
                <w:rFonts w:ascii="Aptos" w:hAnsi="Aptos"/>
                <w:b w:val="0"/>
                <w:sz w:val="15"/>
              </w:rPr>
              <w:t>Use fallback, controlled degradation or suspension</w:t>
            </w:r>
          </w:p>
        </w:tc>
      </w:tr>
      <w:tr>
        <w:trPr>
          <w:cantSplit/>
        </w:trPr>
        <w:tc>
          <w:tcPr>
            <w:tcW w:type="dxa" w:w="3024"/>
            <w:vAlign w:val="center"/>
            <w:shd w:fill="F3F6F7"/>
          </w:tcPr>
          <w:p>
            <w:pPr>
              <w:spacing w:after="0"/>
            </w:pPr>
            <w:r/>
            <w:r>
              <w:rPr>
                <w:rFonts w:ascii="Aptos" w:hAnsi="Aptos"/>
                <w:b w:val="0"/>
                <w:sz w:val="15"/>
              </w:rPr>
              <w:t>Assurance expiry</w:t>
            </w:r>
          </w:p>
        </w:tc>
        <w:tc>
          <w:tcPr>
            <w:tcW w:type="dxa" w:w="6624"/>
            <w:vAlign w:val="center"/>
            <w:shd w:fill="F3F6F7"/>
          </w:tcPr>
          <w:p>
            <w:pPr>
              <w:spacing w:after="0"/>
            </w:pPr>
            <w:r/>
            <w:r>
              <w:rPr>
                <w:rFonts w:ascii="Aptos" w:hAnsi="Aptos"/>
                <w:b w:val="0"/>
                <w:sz w:val="15"/>
              </w:rPr>
              <w:t>Request updated evidence or increase monitoring</w:t>
            </w:r>
          </w:p>
        </w:tc>
      </w:tr>
      <w:tr>
        <w:trPr>
          <w:cantSplit/>
        </w:trPr>
        <w:tc>
          <w:tcPr>
            <w:tcW w:type="dxa" w:w="3024"/>
            <w:vAlign w:val="center"/>
          </w:tcPr>
          <w:p>
            <w:pPr>
              <w:spacing w:after="0"/>
            </w:pPr>
            <w:r/>
            <w:r>
              <w:rPr>
                <w:rFonts w:ascii="Aptos" w:hAnsi="Aptos"/>
                <w:b w:val="0"/>
                <w:sz w:val="15"/>
              </w:rPr>
              <w:t>Subprocessor change</w:t>
            </w:r>
          </w:p>
        </w:tc>
        <w:tc>
          <w:tcPr>
            <w:tcW w:type="dxa" w:w="6624"/>
            <w:vAlign w:val="center"/>
          </w:tcPr>
          <w:p>
            <w:pPr>
              <w:spacing w:after="0"/>
            </w:pPr>
            <w:r/>
            <w:r>
              <w:rPr>
                <w:rFonts w:ascii="Aptos" w:hAnsi="Aptos"/>
                <w:b w:val="0"/>
                <w:sz w:val="15"/>
              </w:rPr>
              <w:t>Review data, jurisdiction and dependency impact</w:t>
            </w:r>
          </w:p>
        </w:tc>
      </w:tr>
      <w:tr>
        <w:trPr>
          <w:cantSplit/>
        </w:trPr>
        <w:tc>
          <w:tcPr>
            <w:tcW w:type="dxa" w:w="3024"/>
            <w:vAlign w:val="center"/>
            <w:shd w:fill="F3F6F7"/>
          </w:tcPr>
          <w:p>
            <w:pPr>
              <w:spacing w:after="0"/>
            </w:pPr>
            <w:r/>
            <w:r>
              <w:rPr>
                <w:rFonts w:ascii="Aptos" w:hAnsi="Aptos"/>
                <w:b w:val="0"/>
                <w:sz w:val="15"/>
              </w:rPr>
              <w:t>Contract deviation</w:t>
            </w:r>
          </w:p>
        </w:tc>
        <w:tc>
          <w:tcPr>
            <w:tcW w:type="dxa" w:w="6624"/>
            <w:vAlign w:val="center"/>
            <w:shd w:fill="F3F6F7"/>
          </w:tcPr>
          <w:p>
            <w:pPr>
              <w:spacing w:after="0"/>
            </w:pPr>
            <w:r/>
            <w:r>
              <w:rPr>
                <w:rFonts w:ascii="Aptos" w:hAnsi="Aptos"/>
                <w:b w:val="0"/>
                <w:sz w:val="15"/>
              </w:rPr>
              <w:t>Escalate, remediate or execute exit plan</w:t>
            </w:r>
          </w:p>
        </w:tc>
      </w:tr>
      <w:tr>
        <w:trPr>
          <w:cantSplit/>
        </w:trPr>
        <w:tc>
          <w:tcPr>
            <w:tcW w:type="dxa" w:w="3024"/>
            <w:vAlign w:val="center"/>
          </w:tcPr>
          <w:p>
            <w:pPr>
              <w:spacing w:after="0"/>
            </w:pPr>
            <w:r/>
            <w:r>
              <w:rPr>
                <w:rFonts w:ascii="Aptos" w:hAnsi="Aptos"/>
                <w:b w:val="0"/>
                <w:sz w:val="15"/>
              </w:rPr>
              <w:t>Opaque failure</w:t>
            </w:r>
          </w:p>
        </w:tc>
        <w:tc>
          <w:tcPr>
            <w:tcW w:type="dxa" w:w="6624"/>
            <w:vAlign w:val="center"/>
          </w:tcPr>
          <w:p>
            <w:pPr>
              <w:spacing w:after="0"/>
            </w:pPr>
            <w:r/>
            <w:r>
              <w:rPr>
                <w:rFonts w:ascii="Aptos" w:hAnsi="Aptos"/>
                <w:b w:val="0"/>
                <w:sz w:val="15"/>
              </w:rPr>
              <w:t>Record evidence limitation and increase independent testing</w:t>
            </w:r>
          </w:p>
        </w:tc>
      </w:tr>
    </w:tbl>
    <w:p/>
    <w:p>
      <w:pPr>
        <w:pStyle w:val="Heading1"/>
      </w:pPr>
      <w:r>
        <w:t>14. Evidence Operations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160"/>
            <w:vAlign w:val="center"/>
            <w:shd w:fill="17324D"/>
          </w:tcPr>
          <w:p>
            <w:pPr>
              <w:spacing w:after="0"/>
            </w:pPr>
            <w:r/>
            <w:r>
              <w:rPr>
                <w:rFonts w:ascii="Aptos" w:hAnsi="Aptos"/>
                <w:b/>
                <w:color w:val="FFFFFF"/>
                <w:sz w:val="15"/>
              </w:rPr>
              <w:t>Activity</w:t>
            </w:r>
          </w:p>
        </w:tc>
        <w:tc>
          <w:tcPr>
            <w:tcW w:type="dxa" w:w="7488"/>
            <w:vAlign w:val="center"/>
            <w:shd w:fill="17324D"/>
          </w:tcPr>
          <w:p>
            <w:pPr>
              <w:spacing w:after="0"/>
            </w:pPr>
            <w:r/>
            <w:r>
              <w:rPr>
                <w:rFonts w:ascii="Aptos" w:hAnsi="Aptos"/>
                <w:b/>
                <w:color w:val="FFFFFF"/>
                <w:sz w:val="15"/>
              </w:rPr>
              <w:t>Operational requirement</w:t>
            </w:r>
          </w:p>
        </w:tc>
      </w:tr>
      <w:tr>
        <w:trPr>
          <w:cantSplit/>
        </w:trPr>
        <w:tc>
          <w:tcPr>
            <w:tcW w:type="dxa" w:w="2160"/>
            <w:vAlign w:val="center"/>
          </w:tcPr>
          <w:p>
            <w:pPr>
              <w:spacing w:after="0"/>
            </w:pPr>
            <w:r/>
            <w:r>
              <w:rPr>
                <w:rFonts w:ascii="Aptos" w:hAnsi="Aptos"/>
                <w:b w:val="0"/>
                <w:sz w:val="15"/>
              </w:rPr>
              <w:t>Capture</w:t>
            </w:r>
          </w:p>
        </w:tc>
        <w:tc>
          <w:tcPr>
            <w:tcW w:type="dxa" w:w="7488"/>
            <w:vAlign w:val="center"/>
          </w:tcPr>
          <w:p>
            <w:pPr>
              <w:spacing w:after="0"/>
            </w:pPr>
            <w:r/>
            <w:r>
              <w:rPr>
                <w:rFonts w:ascii="Aptos" w:hAnsi="Aptos"/>
                <w:b w:val="0"/>
                <w:sz w:val="15"/>
              </w:rPr>
              <w:t>Generate evidence as part of normal control operation</w:t>
            </w:r>
          </w:p>
        </w:tc>
      </w:tr>
      <w:tr>
        <w:trPr>
          <w:cantSplit/>
        </w:trPr>
        <w:tc>
          <w:tcPr>
            <w:tcW w:type="dxa" w:w="2160"/>
            <w:vAlign w:val="center"/>
            <w:shd w:fill="F3F6F7"/>
          </w:tcPr>
          <w:p>
            <w:pPr>
              <w:spacing w:after="0"/>
            </w:pPr>
            <w:r/>
            <w:r>
              <w:rPr>
                <w:rFonts w:ascii="Aptos" w:hAnsi="Aptos"/>
                <w:b w:val="0"/>
                <w:sz w:val="15"/>
              </w:rPr>
              <w:t>Index</w:t>
            </w:r>
          </w:p>
        </w:tc>
        <w:tc>
          <w:tcPr>
            <w:tcW w:type="dxa" w:w="7488"/>
            <w:vAlign w:val="center"/>
            <w:shd w:fill="F3F6F7"/>
          </w:tcPr>
          <w:p>
            <w:pPr>
              <w:spacing w:after="0"/>
            </w:pPr>
            <w:r/>
            <w:r>
              <w:rPr>
                <w:rFonts w:ascii="Aptos" w:hAnsi="Aptos"/>
                <w:b w:val="0"/>
                <w:sz w:val="15"/>
              </w:rPr>
              <w:t>Link artifact to control, system, period, owner and source</w:t>
            </w:r>
          </w:p>
        </w:tc>
      </w:tr>
      <w:tr>
        <w:trPr>
          <w:cantSplit/>
        </w:trPr>
        <w:tc>
          <w:tcPr>
            <w:tcW w:type="dxa" w:w="2160"/>
            <w:vAlign w:val="center"/>
          </w:tcPr>
          <w:p>
            <w:pPr>
              <w:spacing w:after="0"/>
            </w:pPr>
            <w:r/>
            <w:r>
              <w:rPr>
                <w:rFonts w:ascii="Aptos" w:hAnsi="Aptos"/>
                <w:b w:val="0"/>
                <w:sz w:val="15"/>
              </w:rPr>
              <w:t>Protect</w:t>
            </w:r>
          </w:p>
        </w:tc>
        <w:tc>
          <w:tcPr>
            <w:tcW w:type="dxa" w:w="7488"/>
            <w:vAlign w:val="center"/>
          </w:tcPr>
          <w:p>
            <w:pPr>
              <w:spacing w:after="0"/>
            </w:pPr>
            <w:r/>
            <w:r>
              <w:rPr>
                <w:rFonts w:ascii="Aptos" w:hAnsi="Aptos"/>
                <w:b w:val="0"/>
                <w:sz w:val="15"/>
              </w:rPr>
              <w:t>Use repository access, integrity and retention controls</w:t>
            </w:r>
          </w:p>
        </w:tc>
      </w:tr>
      <w:tr>
        <w:trPr>
          <w:cantSplit/>
        </w:trPr>
        <w:tc>
          <w:tcPr>
            <w:tcW w:type="dxa" w:w="2160"/>
            <w:vAlign w:val="center"/>
            <w:shd w:fill="F3F6F7"/>
          </w:tcPr>
          <w:p>
            <w:pPr>
              <w:spacing w:after="0"/>
            </w:pPr>
            <w:r/>
            <w:r>
              <w:rPr>
                <w:rFonts w:ascii="Aptos" w:hAnsi="Aptos"/>
                <w:b w:val="0"/>
                <w:sz w:val="15"/>
              </w:rPr>
              <w:t>Review</w:t>
            </w:r>
          </w:p>
        </w:tc>
        <w:tc>
          <w:tcPr>
            <w:tcW w:type="dxa" w:w="7488"/>
            <w:vAlign w:val="center"/>
            <w:shd w:fill="F3F6F7"/>
          </w:tcPr>
          <w:p>
            <w:pPr>
              <w:spacing w:after="0"/>
            </w:pPr>
            <w:r/>
            <w:r>
              <w:rPr>
                <w:rFonts w:ascii="Aptos" w:hAnsi="Aptos"/>
                <w:b w:val="0"/>
                <w:sz w:val="15"/>
              </w:rPr>
              <w:t>Check completeness, consistency, currency and limitations</w:t>
            </w:r>
          </w:p>
        </w:tc>
      </w:tr>
      <w:tr>
        <w:trPr>
          <w:cantSplit/>
        </w:trPr>
        <w:tc>
          <w:tcPr>
            <w:tcW w:type="dxa" w:w="2160"/>
            <w:vAlign w:val="center"/>
          </w:tcPr>
          <w:p>
            <w:pPr>
              <w:spacing w:after="0"/>
            </w:pPr>
            <w:r/>
            <w:r>
              <w:rPr>
                <w:rFonts w:ascii="Aptos" w:hAnsi="Aptos"/>
                <w:b w:val="0"/>
                <w:sz w:val="15"/>
              </w:rPr>
              <w:t>Refresh</w:t>
            </w:r>
          </w:p>
        </w:tc>
        <w:tc>
          <w:tcPr>
            <w:tcW w:type="dxa" w:w="7488"/>
            <w:vAlign w:val="center"/>
          </w:tcPr>
          <w:p>
            <w:pPr>
              <w:spacing w:after="0"/>
            </w:pPr>
            <w:r/>
            <w:r>
              <w:rPr>
                <w:rFonts w:ascii="Aptos" w:hAnsi="Aptos"/>
                <w:b w:val="0"/>
                <w:sz w:val="15"/>
              </w:rPr>
              <w:t>Replace expired or superseded evidence</w:t>
            </w:r>
          </w:p>
        </w:tc>
      </w:tr>
      <w:tr>
        <w:trPr>
          <w:cantSplit/>
        </w:trPr>
        <w:tc>
          <w:tcPr>
            <w:tcW w:type="dxa" w:w="2160"/>
            <w:vAlign w:val="center"/>
            <w:shd w:fill="F3F6F7"/>
          </w:tcPr>
          <w:p>
            <w:pPr>
              <w:spacing w:after="0"/>
            </w:pPr>
            <w:r/>
            <w:r>
              <w:rPr>
                <w:rFonts w:ascii="Aptos" w:hAnsi="Aptos"/>
                <w:b w:val="0"/>
                <w:sz w:val="15"/>
              </w:rPr>
              <w:t>Preserve failures</w:t>
            </w:r>
          </w:p>
        </w:tc>
        <w:tc>
          <w:tcPr>
            <w:tcW w:type="dxa" w:w="7488"/>
            <w:vAlign w:val="center"/>
            <w:shd w:fill="F3F6F7"/>
          </w:tcPr>
          <w:p>
            <w:pPr>
              <w:spacing w:after="0"/>
            </w:pPr>
            <w:r/>
            <w:r>
              <w:rPr>
                <w:rFonts w:ascii="Aptos" w:hAnsi="Aptos"/>
                <w:b w:val="0"/>
                <w:sz w:val="15"/>
              </w:rPr>
              <w:t>Retain negative, failed and inconclusive results</w:t>
            </w:r>
          </w:p>
        </w:tc>
      </w:tr>
      <w:tr>
        <w:trPr>
          <w:cantSplit/>
        </w:trPr>
        <w:tc>
          <w:tcPr>
            <w:tcW w:type="dxa" w:w="2160"/>
            <w:vAlign w:val="center"/>
          </w:tcPr>
          <w:p>
            <w:pPr>
              <w:spacing w:after="0"/>
            </w:pPr>
            <w:r/>
            <w:r>
              <w:rPr>
                <w:rFonts w:ascii="Aptos" w:hAnsi="Aptos"/>
                <w:b w:val="0"/>
                <w:sz w:val="15"/>
              </w:rPr>
              <w:t>Export</w:t>
            </w:r>
          </w:p>
        </w:tc>
        <w:tc>
          <w:tcPr>
            <w:tcW w:type="dxa" w:w="7488"/>
            <w:vAlign w:val="center"/>
          </w:tcPr>
          <w:p>
            <w:pPr>
              <w:spacing w:after="0"/>
            </w:pPr>
            <w:r/>
            <w:r>
              <w:rPr>
                <w:rFonts w:ascii="Aptos" w:hAnsi="Aptos"/>
                <w:b w:val="0"/>
                <w:sz w:val="15"/>
              </w:rPr>
              <w:t>Use controlled packages for audit or certification</w:t>
            </w:r>
          </w:p>
        </w:tc>
      </w:tr>
      <w:tr>
        <w:trPr>
          <w:cantSplit/>
        </w:trPr>
        <w:tc>
          <w:tcPr>
            <w:tcW w:type="dxa" w:w="2160"/>
            <w:vAlign w:val="center"/>
            <w:shd w:fill="F3F6F7"/>
          </w:tcPr>
          <w:p>
            <w:pPr>
              <w:spacing w:after="0"/>
            </w:pPr>
            <w:r/>
            <w:r>
              <w:rPr>
                <w:rFonts w:ascii="Aptos" w:hAnsi="Aptos"/>
                <w:b w:val="0"/>
                <w:sz w:val="15"/>
              </w:rPr>
              <w:t>Dispose</w:t>
            </w:r>
          </w:p>
        </w:tc>
        <w:tc>
          <w:tcPr>
            <w:tcW w:type="dxa" w:w="7488"/>
            <w:vAlign w:val="center"/>
            <w:shd w:fill="F3F6F7"/>
          </w:tcPr>
          <w:p>
            <w:pPr>
              <w:spacing w:after="0"/>
            </w:pPr>
            <w:r/>
            <w:r>
              <w:rPr>
                <w:rFonts w:ascii="Aptos" w:hAnsi="Aptos"/>
                <w:b w:val="0"/>
                <w:sz w:val="15"/>
              </w:rPr>
              <w:t>Follow legal, privacy and records requirements</w:t>
            </w:r>
          </w:p>
        </w:tc>
      </w:tr>
    </w:tbl>
    <w:p/>
    <w:p>
      <w:pPr>
        <w:pStyle w:val="Heading2"/>
      </w:pPr>
      <w:r>
        <w:t>14.1 Evidence freshness classes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016"/>
            <w:vAlign w:val="center"/>
            <w:shd w:fill="17324D"/>
          </w:tcPr>
          <w:p>
            <w:pPr>
              <w:spacing w:after="0"/>
            </w:pPr>
            <w:r/>
            <w:r>
              <w:rPr>
                <w:rFonts w:ascii="Aptos" w:hAnsi="Aptos"/>
                <w:b/>
                <w:color w:val="FFFFFF"/>
                <w:sz w:val="15"/>
              </w:rPr>
              <w:t>Class</w:t>
            </w:r>
          </w:p>
        </w:tc>
        <w:tc>
          <w:tcPr>
            <w:tcW w:type="dxa" w:w="4032"/>
            <w:vAlign w:val="center"/>
            <w:shd w:fill="17324D"/>
          </w:tcPr>
          <w:p>
            <w:pPr>
              <w:spacing w:after="0"/>
            </w:pPr>
            <w:r/>
            <w:r>
              <w:rPr>
                <w:rFonts w:ascii="Aptos" w:hAnsi="Aptos"/>
                <w:b/>
                <w:color w:val="FFFFFF"/>
                <w:sz w:val="15"/>
              </w:rPr>
              <w:t>Typical evidence</w:t>
            </w:r>
          </w:p>
        </w:tc>
        <w:tc>
          <w:tcPr>
            <w:tcW w:type="dxa" w:w="3600"/>
            <w:vAlign w:val="center"/>
            <w:shd w:fill="17324D"/>
          </w:tcPr>
          <w:p>
            <w:pPr>
              <w:spacing w:after="0"/>
            </w:pPr>
            <w:r/>
            <w:r>
              <w:rPr>
                <w:rFonts w:ascii="Aptos" w:hAnsi="Aptos"/>
                <w:b/>
                <w:color w:val="FFFFFF"/>
                <w:sz w:val="15"/>
              </w:rPr>
              <w:t>Refresh trigger</w:t>
            </w:r>
          </w:p>
        </w:tc>
      </w:tr>
      <w:tr>
        <w:trPr>
          <w:cantSplit/>
        </w:trPr>
        <w:tc>
          <w:tcPr>
            <w:tcW w:type="dxa" w:w="2016"/>
            <w:vAlign w:val="center"/>
          </w:tcPr>
          <w:p>
            <w:pPr>
              <w:spacing w:after="0"/>
            </w:pPr>
            <w:r/>
            <w:r>
              <w:rPr>
                <w:rFonts w:ascii="Aptos" w:hAnsi="Aptos"/>
                <w:b w:val="0"/>
                <w:sz w:val="15"/>
              </w:rPr>
              <w:t>Static design</w:t>
            </w:r>
          </w:p>
        </w:tc>
        <w:tc>
          <w:tcPr>
            <w:tcW w:type="dxa" w:w="4032"/>
            <w:vAlign w:val="center"/>
          </w:tcPr>
          <w:p>
            <w:pPr>
              <w:spacing w:after="0"/>
            </w:pPr>
            <w:r/>
            <w:r>
              <w:rPr>
                <w:rFonts w:ascii="Aptos" w:hAnsi="Aptos"/>
                <w:b w:val="0"/>
                <w:sz w:val="15"/>
              </w:rPr>
              <w:t>Approved architecture, policy or standard</w:t>
            </w:r>
          </w:p>
        </w:tc>
        <w:tc>
          <w:tcPr>
            <w:tcW w:type="dxa" w:w="3600"/>
            <w:vAlign w:val="center"/>
          </w:tcPr>
          <w:p>
            <w:pPr>
              <w:spacing w:after="0"/>
            </w:pPr>
            <w:r/>
            <w:r>
              <w:rPr>
                <w:rFonts w:ascii="Aptos" w:hAnsi="Aptos"/>
                <w:b w:val="0"/>
                <w:sz w:val="15"/>
              </w:rPr>
              <w:t>Material change or scheduled review</w:t>
            </w:r>
          </w:p>
        </w:tc>
      </w:tr>
      <w:tr>
        <w:trPr>
          <w:cantSplit/>
        </w:trPr>
        <w:tc>
          <w:tcPr>
            <w:tcW w:type="dxa" w:w="2016"/>
            <w:vAlign w:val="center"/>
            <w:shd w:fill="F3F6F7"/>
          </w:tcPr>
          <w:p>
            <w:pPr>
              <w:spacing w:after="0"/>
            </w:pPr>
            <w:r/>
            <w:r>
              <w:rPr>
                <w:rFonts w:ascii="Aptos" w:hAnsi="Aptos"/>
                <w:b w:val="0"/>
                <w:sz w:val="15"/>
              </w:rPr>
              <w:t>Periodic operating</w:t>
            </w:r>
          </w:p>
        </w:tc>
        <w:tc>
          <w:tcPr>
            <w:tcW w:type="dxa" w:w="4032"/>
            <w:vAlign w:val="center"/>
            <w:shd w:fill="F3F6F7"/>
          </w:tcPr>
          <w:p>
            <w:pPr>
              <w:spacing w:after="0"/>
            </w:pPr>
            <w:r/>
            <w:r>
              <w:rPr>
                <w:rFonts w:ascii="Aptos" w:hAnsi="Aptos"/>
                <w:b w:val="0"/>
                <w:sz w:val="15"/>
              </w:rPr>
              <w:t>Monthly/quarterly review or test</w:t>
            </w:r>
          </w:p>
        </w:tc>
        <w:tc>
          <w:tcPr>
            <w:tcW w:type="dxa" w:w="3600"/>
            <w:vAlign w:val="center"/>
            <w:shd w:fill="F3F6F7"/>
          </w:tcPr>
          <w:p>
            <w:pPr>
              <w:spacing w:after="0"/>
            </w:pPr>
            <w:r/>
            <w:r>
              <w:rPr>
                <w:rFonts w:ascii="Aptos" w:hAnsi="Aptos"/>
                <w:b w:val="0"/>
                <w:sz w:val="15"/>
              </w:rPr>
              <w:t>Next scheduled cycle</w:t>
            </w:r>
          </w:p>
        </w:tc>
      </w:tr>
      <w:tr>
        <w:trPr>
          <w:cantSplit/>
        </w:trPr>
        <w:tc>
          <w:tcPr>
            <w:tcW w:type="dxa" w:w="2016"/>
            <w:vAlign w:val="center"/>
          </w:tcPr>
          <w:p>
            <w:pPr>
              <w:spacing w:after="0"/>
            </w:pPr>
            <w:r/>
            <w:r>
              <w:rPr>
                <w:rFonts w:ascii="Aptos" w:hAnsi="Aptos"/>
                <w:b w:val="0"/>
                <w:sz w:val="15"/>
              </w:rPr>
              <w:t>Continuous</w:t>
            </w:r>
          </w:p>
        </w:tc>
        <w:tc>
          <w:tcPr>
            <w:tcW w:type="dxa" w:w="4032"/>
            <w:vAlign w:val="center"/>
          </w:tcPr>
          <w:p>
            <w:pPr>
              <w:spacing w:after="0"/>
            </w:pPr>
            <w:r/>
            <w:r>
              <w:rPr>
                <w:rFonts w:ascii="Aptos" w:hAnsi="Aptos"/>
                <w:b w:val="0"/>
                <w:sz w:val="15"/>
              </w:rPr>
              <w:t>Logs, alerts and telemetry</w:t>
            </w:r>
          </w:p>
        </w:tc>
        <w:tc>
          <w:tcPr>
            <w:tcW w:type="dxa" w:w="3600"/>
            <w:vAlign w:val="center"/>
          </w:tcPr>
          <w:p>
            <w:pPr>
              <w:spacing w:after="0"/>
            </w:pPr>
            <w:r/>
            <w:r>
              <w:rPr>
                <w:rFonts w:ascii="Aptos" w:hAnsi="Aptos"/>
                <w:b w:val="0"/>
                <w:sz w:val="15"/>
              </w:rPr>
              <w:t>Ongoing retention and integrity monitoring</w:t>
            </w:r>
          </w:p>
        </w:tc>
      </w:tr>
      <w:tr>
        <w:trPr>
          <w:cantSplit/>
        </w:trPr>
        <w:tc>
          <w:tcPr>
            <w:tcW w:type="dxa" w:w="2016"/>
            <w:vAlign w:val="center"/>
            <w:shd w:fill="F3F6F7"/>
          </w:tcPr>
          <w:p>
            <w:pPr>
              <w:spacing w:after="0"/>
            </w:pPr>
            <w:r/>
            <w:r>
              <w:rPr>
                <w:rFonts w:ascii="Aptos" w:hAnsi="Aptos"/>
                <w:b w:val="0"/>
                <w:sz w:val="15"/>
              </w:rPr>
              <w:t>Event-driven</w:t>
            </w:r>
          </w:p>
        </w:tc>
        <w:tc>
          <w:tcPr>
            <w:tcW w:type="dxa" w:w="4032"/>
            <w:vAlign w:val="center"/>
            <w:shd w:fill="F3F6F7"/>
          </w:tcPr>
          <w:p>
            <w:pPr>
              <w:spacing w:after="0"/>
            </w:pPr>
            <w:r/>
            <w:r>
              <w:rPr>
                <w:rFonts w:ascii="Aptos" w:hAnsi="Aptos"/>
                <w:b w:val="0"/>
                <w:sz w:val="15"/>
              </w:rPr>
              <w:t>Incident, exception or change evidence</w:t>
            </w:r>
          </w:p>
        </w:tc>
        <w:tc>
          <w:tcPr>
            <w:tcW w:type="dxa" w:w="3600"/>
            <w:vAlign w:val="center"/>
            <w:shd w:fill="F3F6F7"/>
          </w:tcPr>
          <w:p>
            <w:pPr>
              <w:spacing w:after="0"/>
            </w:pPr>
            <w:r/>
            <w:r>
              <w:rPr>
                <w:rFonts w:ascii="Aptos" w:hAnsi="Aptos"/>
                <w:b w:val="0"/>
                <w:sz w:val="15"/>
              </w:rPr>
              <w:t>Each relevant event</w:t>
            </w:r>
          </w:p>
        </w:tc>
      </w:tr>
      <w:tr>
        <w:trPr>
          <w:cantSplit/>
        </w:trPr>
        <w:tc>
          <w:tcPr>
            <w:tcW w:type="dxa" w:w="2016"/>
            <w:vAlign w:val="center"/>
          </w:tcPr>
          <w:p>
            <w:pPr>
              <w:spacing w:after="0"/>
            </w:pPr>
            <w:r/>
            <w:r>
              <w:rPr>
                <w:rFonts w:ascii="Aptos" w:hAnsi="Aptos"/>
                <w:b w:val="0"/>
                <w:sz w:val="15"/>
              </w:rPr>
              <w:t>Supplier</w:t>
            </w:r>
          </w:p>
        </w:tc>
        <w:tc>
          <w:tcPr>
            <w:tcW w:type="dxa" w:w="4032"/>
            <w:vAlign w:val="center"/>
          </w:tcPr>
          <w:p>
            <w:pPr>
              <w:spacing w:after="0"/>
            </w:pPr>
            <w:r/>
            <w:r>
              <w:rPr>
                <w:rFonts w:ascii="Aptos" w:hAnsi="Aptos"/>
                <w:b w:val="0"/>
                <w:sz w:val="15"/>
              </w:rPr>
              <w:t>Attestation, report or contract evidence</w:t>
            </w:r>
          </w:p>
        </w:tc>
        <w:tc>
          <w:tcPr>
            <w:tcW w:type="dxa" w:w="3600"/>
            <w:vAlign w:val="center"/>
          </w:tcPr>
          <w:p>
            <w:pPr>
              <w:spacing w:after="0"/>
            </w:pPr>
            <w:r/>
            <w:r>
              <w:rPr>
                <w:rFonts w:ascii="Aptos" w:hAnsi="Aptos"/>
                <w:b w:val="0"/>
                <w:sz w:val="15"/>
              </w:rPr>
              <w:t>Expiry, supplier change or incident</w:t>
            </w:r>
          </w:p>
        </w:tc>
      </w:tr>
    </w:tbl>
    <w:p/>
    <w:p>
      <w:pPr>
        <w:pStyle w:val="Heading1"/>
      </w:pPr>
      <w:r>
        <w:t>15. Change and Configuration Operations</w:t>
      </w:r>
    </w:p>
    <w:p>
      <w:pPr>
        <w:pStyle w:val="ListNumber"/>
      </w:pPr>
      <w:r>
        <w:t>Maintain an approved baseline for model, data, prompts, tools, policies and infrastructure.</w:t>
      </w:r>
    </w:p>
    <w:p>
      <w:pPr>
        <w:pStyle w:val="ListNumber"/>
      </w:pPr>
      <w:r>
        <w:t>Detect configuration drift and unauthorized changes.</w:t>
      </w:r>
    </w:p>
    <w:p>
      <w:pPr>
        <w:pStyle w:val="ListNumber"/>
      </w:pPr>
      <w:r>
        <w:t>Assess GAISSF control and evidence impact before material change.</w:t>
      </w:r>
    </w:p>
    <w:p>
      <w:pPr>
        <w:pStyle w:val="ListNumber"/>
      </w:pPr>
      <w:r>
        <w:t>Use tested rollback or safe-state capability.</w:t>
      </w:r>
    </w:p>
    <w:p>
      <w:pPr>
        <w:pStyle w:val="ListNumber"/>
      </w:pPr>
      <w:r>
        <w:t>Refresh affected evidence after deployment.</w:t>
      </w:r>
    </w:p>
    <w:p>
      <w:pPr>
        <w:pStyle w:val="ListNumber"/>
      </w:pPr>
      <w:r>
        <w:t>Update inventory, risk, SoA and public claims where necessary.</w:t>
      </w:r>
    </w:p>
    <w:p>
      <w:pPr>
        <w:pStyle w:val="Heading1"/>
      </w:pPr>
      <w:r>
        <w:t>16. Operational Metrics and Indicators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160"/>
            <w:vAlign w:val="center"/>
            <w:shd w:fill="17324D"/>
          </w:tcPr>
          <w:p>
            <w:pPr>
              <w:spacing w:after="0"/>
            </w:pPr>
            <w:r/>
            <w:r>
              <w:rPr>
                <w:rFonts w:ascii="Aptos" w:hAnsi="Aptos"/>
                <w:b/>
                <w:color w:val="FFFFFF"/>
                <w:sz w:val="15"/>
              </w:rPr>
              <w:t>Metric class</w:t>
            </w:r>
          </w:p>
        </w:tc>
        <w:tc>
          <w:tcPr>
            <w:tcW w:type="dxa" w:w="4320"/>
            <w:vAlign w:val="center"/>
            <w:shd w:fill="17324D"/>
          </w:tcPr>
          <w:p>
            <w:pPr>
              <w:spacing w:after="0"/>
            </w:pPr>
            <w:r/>
            <w:r>
              <w:rPr>
                <w:rFonts w:ascii="Aptos" w:hAnsi="Aptos"/>
                <w:b/>
                <w:color w:val="FFFFFF"/>
                <w:sz w:val="15"/>
              </w:rPr>
              <w:t>Examples</w:t>
            </w:r>
          </w:p>
        </w:tc>
        <w:tc>
          <w:tcPr>
            <w:tcW w:type="dxa" w:w="3168"/>
            <w:vAlign w:val="center"/>
            <w:shd w:fill="17324D"/>
          </w:tcPr>
          <w:p>
            <w:pPr>
              <w:spacing w:after="0"/>
            </w:pPr>
            <w:r/>
            <w:r>
              <w:rPr>
                <w:rFonts w:ascii="Aptos" w:hAnsi="Aptos"/>
                <w:b/>
                <w:color w:val="FFFFFF"/>
                <w:sz w:val="15"/>
              </w:rPr>
              <w:t>Interpretation caution</w:t>
            </w:r>
          </w:p>
        </w:tc>
      </w:tr>
      <w:tr>
        <w:trPr>
          <w:cantSplit/>
        </w:trPr>
        <w:tc>
          <w:tcPr>
            <w:tcW w:type="dxa" w:w="2160"/>
            <w:vAlign w:val="center"/>
          </w:tcPr>
          <w:p>
            <w:pPr>
              <w:spacing w:after="0"/>
            </w:pPr>
            <w:r/>
            <w:r>
              <w:rPr>
                <w:rFonts w:ascii="Aptos" w:hAnsi="Aptos"/>
                <w:b w:val="0"/>
                <w:sz w:val="15"/>
              </w:rPr>
              <w:t>Control coverage</w:t>
            </w:r>
          </w:p>
        </w:tc>
        <w:tc>
          <w:tcPr>
            <w:tcW w:type="dxa" w:w="4320"/>
            <w:vAlign w:val="center"/>
          </w:tcPr>
          <w:p>
            <w:pPr>
              <w:spacing w:after="0"/>
            </w:pPr>
            <w:r/>
            <w:r>
              <w:rPr>
                <w:rFonts w:ascii="Aptos" w:hAnsi="Aptos"/>
                <w:b w:val="0"/>
                <w:sz w:val="15"/>
              </w:rPr>
              <w:t>Controls with current evidence and active monitoring</w:t>
            </w:r>
          </w:p>
        </w:tc>
        <w:tc>
          <w:tcPr>
            <w:tcW w:type="dxa" w:w="3168"/>
            <w:vAlign w:val="center"/>
          </w:tcPr>
          <w:p>
            <w:pPr>
              <w:spacing w:after="0"/>
            </w:pPr>
            <w:r/>
            <w:r>
              <w:rPr>
                <w:rFonts w:ascii="Aptos" w:hAnsi="Aptos"/>
                <w:b w:val="0"/>
                <w:sz w:val="15"/>
              </w:rPr>
              <w:t>Coverage does not equal effectiveness</w:t>
            </w:r>
          </w:p>
        </w:tc>
      </w:tr>
      <w:tr>
        <w:trPr>
          <w:cantSplit/>
        </w:trPr>
        <w:tc>
          <w:tcPr>
            <w:tcW w:type="dxa" w:w="2160"/>
            <w:vAlign w:val="center"/>
            <w:shd w:fill="F3F6F7"/>
          </w:tcPr>
          <w:p>
            <w:pPr>
              <w:spacing w:after="0"/>
            </w:pPr>
            <w:r/>
            <w:r>
              <w:rPr>
                <w:rFonts w:ascii="Aptos" w:hAnsi="Aptos"/>
                <w:b w:val="0"/>
                <w:sz w:val="15"/>
              </w:rPr>
              <w:t>Control health</w:t>
            </w:r>
          </w:p>
        </w:tc>
        <w:tc>
          <w:tcPr>
            <w:tcW w:type="dxa" w:w="4320"/>
            <w:vAlign w:val="center"/>
            <w:shd w:fill="F3F6F7"/>
          </w:tcPr>
          <w:p>
            <w:pPr>
              <w:spacing w:after="0"/>
            </w:pPr>
            <w:r/>
            <w:r>
              <w:rPr>
                <w:rFonts w:ascii="Aptos" w:hAnsi="Aptos"/>
                <w:b w:val="0"/>
                <w:sz w:val="15"/>
              </w:rPr>
              <w:t>Green/amber/red/unknown distribution</w:t>
            </w:r>
          </w:p>
        </w:tc>
        <w:tc>
          <w:tcPr>
            <w:tcW w:type="dxa" w:w="3168"/>
            <w:vAlign w:val="center"/>
            <w:shd w:fill="F3F6F7"/>
          </w:tcPr>
          <w:p>
            <w:pPr>
              <w:spacing w:after="0"/>
            </w:pPr>
            <w:r/>
            <w:r>
              <w:rPr>
                <w:rFonts w:ascii="Aptos" w:hAnsi="Aptos"/>
                <w:b w:val="0"/>
                <w:sz w:val="15"/>
              </w:rPr>
              <w:t>Aggregate views can hide high-impact failures</w:t>
            </w:r>
          </w:p>
        </w:tc>
      </w:tr>
      <w:tr>
        <w:trPr>
          <w:cantSplit/>
        </w:trPr>
        <w:tc>
          <w:tcPr>
            <w:tcW w:type="dxa" w:w="2160"/>
            <w:vAlign w:val="center"/>
          </w:tcPr>
          <w:p>
            <w:pPr>
              <w:spacing w:after="0"/>
            </w:pPr>
            <w:r/>
            <w:r>
              <w:rPr>
                <w:rFonts w:ascii="Aptos" w:hAnsi="Aptos"/>
                <w:b w:val="0"/>
                <w:sz w:val="15"/>
              </w:rPr>
              <w:t>Security</w:t>
            </w:r>
          </w:p>
        </w:tc>
        <w:tc>
          <w:tcPr>
            <w:tcW w:type="dxa" w:w="4320"/>
            <w:vAlign w:val="center"/>
          </w:tcPr>
          <w:p>
            <w:pPr>
              <w:spacing w:after="0"/>
            </w:pPr>
            <w:r/>
            <w:r>
              <w:rPr>
                <w:rFonts w:ascii="Aptos" w:hAnsi="Aptos"/>
                <w:b w:val="0"/>
                <w:sz w:val="15"/>
              </w:rPr>
              <w:t>Attack detections, abuse, unauthorized actions and containment time</w:t>
            </w:r>
          </w:p>
        </w:tc>
        <w:tc>
          <w:tcPr>
            <w:tcW w:type="dxa" w:w="3168"/>
            <w:vAlign w:val="center"/>
          </w:tcPr>
          <w:p>
            <w:pPr>
              <w:spacing w:after="0"/>
            </w:pPr>
            <w:r/>
            <w:r>
              <w:rPr>
                <w:rFonts w:ascii="Aptos" w:hAnsi="Aptos"/>
                <w:b w:val="0"/>
                <w:sz w:val="15"/>
              </w:rPr>
              <w:t>Normalize by use and exposure</w:t>
            </w:r>
          </w:p>
        </w:tc>
      </w:tr>
      <w:tr>
        <w:trPr>
          <w:cantSplit/>
        </w:trPr>
        <w:tc>
          <w:tcPr>
            <w:tcW w:type="dxa" w:w="2160"/>
            <w:vAlign w:val="center"/>
            <w:shd w:fill="F3F6F7"/>
          </w:tcPr>
          <w:p>
            <w:pPr>
              <w:spacing w:after="0"/>
            </w:pPr>
            <w:r/>
            <w:r>
              <w:rPr>
                <w:rFonts w:ascii="Aptos" w:hAnsi="Aptos"/>
                <w:b w:val="0"/>
                <w:sz w:val="15"/>
              </w:rPr>
              <w:t>Safety</w:t>
            </w:r>
          </w:p>
        </w:tc>
        <w:tc>
          <w:tcPr>
            <w:tcW w:type="dxa" w:w="4320"/>
            <w:vAlign w:val="center"/>
            <w:shd w:fill="F3F6F7"/>
          </w:tcPr>
          <w:p>
            <w:pPr>
              <w:spacing w:after="0"/>
            </w:pPr>
            <w:r/>
            <w:r>
              <w:rPr>
                <w:rFonts w:ascii="Aptos" w:hAnsi="Aptos"/>
                <w:b w:val="0"/>
                <w:sz w:val="15"/>
              </w:rPr>
              <w:t>Near misses, overrides, blocked commands and safe-state events</w:t>
            </w:r>
          </w:p>
        </w:tc>
        <w:tc>
          <w:tcPr>
            <w:tcW w:type="dxa" w:w="3168"/>
            <w:vAlign w:val="center"/>
            <w:shd w:fill="F3F6F7"/>
          </w:tcPr>
          <w:p>
            <w:pPr>
              <w:spacing w:after="0"/>
            </w:pPr>
            <w:r/>
            <w:r>
              <w:rPr>
                <w:rFonts w:ascii="Aptos" w:hAnsi="Aptos"/>
                <w:b w:val="0"/>
                <w:sz w:val="15"/>
              </w:rPr>
              <w:t>Low counts may reflect under-detection</w:t>
            </w:r>
          </w:p>
        </w:tc>
      </w:tr>
      <w:tr>
        <w:trPr>
          <w:cantSplit/>
        </w:trPr>
        <w:tc>
          <w:tcPr>
            <w:tcW w:type="dxa" w:w="2160"/>
            <w:vAlign w:val="center"/>
          </w:tcPr>
          <w:p>
            <w:pPr>
              <w:spacing w:after="0"/>
            </w:pPr>
            <w:r/>
            <w:r>
              <w:rPr>
                <w:rFonts w:ascii="Aptos" w:hAnsi="Aptos"/>
                <w:b w:val="0"/>
                <w:sz w:val="15"/>
              </w:rPr>
              <w:t>Model behavior</w:t>
            </w:r>
          </w:p>
        </w:tc>
        <w:tc>
          <w:tcPr>
            <w:tcW w:type="dxa" w:w="4320"/>
            <w:vAlign w:val="center"/>
          </w:tcPr>
          <w:p>
            <w:pPr>
              <w:spacing w:after="0"/>
            </w:pPr>
            <w:r/>
            <w:r>
              <w:rPr>
                <w:rFonts w:ascii="Aptos" w:hAnsi="Aptos"/>
                <w:b w:val="0"/>
                <w:sz w:val="15"/>
              </w:rPr>
              <w:t>Drift, refusal, harmful-output and performance changes</w:t>
            </w:r>
          </w:p>
        </w:tc>
        <w:tc>
          <w:tcPr>
            <w:tcW w:type="dxa" w:w="3168"/>
            <w:vAlign w:val="center"/>
          </w:tcPr>
          <w:p>
            <w:pPr>
              <w:spacing w:after="0"/>
            </w:pPr>
            <w:r/>
            <w:r>
              <w:rPr>
                <w:rFonts w:ascii="Aptos" w:hAnsi="Aptos"/>
                <w:b w:val="0"/>
                <w:sz w:val="15"/>
              </w:rPr>
              <w:t>Thresholds are context dependent</w:t>
            </w:r>
          </w:p>
        </w:tc>
      </w:tr>
      <w:tr>
        <w:trPr>
          <w:cantSplit/>
        </w:trPr>
        <w:tc>
          <w:tcPr>
            <w:tcW w:type="dxa" w:w="2160"/>
            <w:vAlign w:val="center"/>
            <w:shd w:fill="F3F6F7"/>
          </w:tcPr>
          <w:p>
            <w:pPr>
              <w:spacing w:after="0"/>
            </w:pPr>
            <w:r/>
            <w:r>
              <w:rPr>
                <w:rFonts w:ascii="Aptos" w:hAnsi="Aptos"/>
                <w:b w:val="0"/>
                <w:sz w:val="15"/>
              </w:rPr>
              <w:t>Operations</w:t>
            </w:r>
          </w:p>
        </w:tc>
        <w:tc>
          <w:tcPr>
            <w:tcW w:type="dxa" w:w="4320"/>
            <w:vAlign w:val="center"/>
            <w:shd w:fill="F3F6F7"/>
          </w:tcPr>
          <w:p>
            <w:pPr>
              <w:spacing w:after="0"/>
            </w:pPr>
            <w:r/>
            <w:r>
              <w:rPr>
                <w:rFonts w:ascii="Aptos" w:hAnsi="Aptos"/>
                <w:b w:val="0"/>
                <w:sz w:val="15"/>
              </w:rPr>
              <w:t>Availability, latency, error and recovery</w:t>
            </w:r>
          </w:p>
        </w:tc>
        <w:tc>
          <w:tcPr>
            <w:tcW w:type="dxa" w:w="3168"/>
            <w:vAlign w:val="center"/>
            <w:shd w:fill="F3F6F7"/>
          </w:tcPr>
          <w:p>
            <w:pPr>
              <w:spacing w:after="0"/>
            </w:pPr>
            <w:r/>
            <w:r>
              <w:rPr>
                <w:rFonts w:ascii="Aptos" w:hAnsi="Aptos"/>
                <w:b w:val="0"/>
                <w:sz w:val="15"/>
              </w:rPr>
              <w:t>Service quality is not safety assurance</w:t>
            </w:r>
          </w:p>
        </w:tc>
      </w:tr>
      <w:tr>
        <w:trPr>
          <w:cantSplit/>
        </w:trPr>
        <w:tc>
          <w:tcPr>
            <w:tcW w:type="dxa" w:w="2160"/>
            <w:vAlign w:val="center"/>
          </w:tcPr>
          <w:p>
            <w:pPr>
              <w:spacing w:after="0"/>
            </w:pPr>
            <w:r/>
            <w:r>
              <w:rPr>
                <w:rFonts w:ascii="Aptos" w:hAnsi="Aptos"/>
                <w:b w:val="0"/>
                <w:sz w:val="15"/>
              </w:rPr>
              <w:t>Exceptions</w:t>
            </w:r>
          </w:p>
        </w:tc>
        <w:tc>
          <w:tcPr>
            <w:tcW w:type="dxa" w:w="4320"/>
            <w:vAlign w:val="center"/>
          </w:tcPr>
          <w:p>
            <w:pPr>
              <w:spacing w:after="0"/>
            </w:pPr>
            <w:r/>
            <w:r>
              <w:rPr>
                <w:rFonts w:ascii="Aptos" w:hAnsi="Aptos"/>
                <w:b w:val="0"/>
                <w:sz w:val="15"/>
              </w:rPr>
              <w:t>Open, expired, repeated and high-risk exceptions</w:t>
            </w:r>
          </w:p>
        </w:tc>
        <w:tc>
          <w:tcPr>
            <w:tcW w:type="dxa" w:w="3168"/>
            <w:vAlign w:val="center"/>
          </w:tcPr>
          <w:p>
            <w:pPr>
              <w:spacing w:after="0"/>
            </w:pPr>
            <w:r/>
            <w:r>
              <w:rPr>
                <w:rFonts w:ascii="Aptos" w:hAnsi="Aptos"/>
                <w:b w:val="0"/>
                <w:sz w:val="15"/>
              </w:rPr>
              <w:t>Track risk and age, not only count</w:t>
            </w:r>
          </w:p>
        </w:tc>
      </w:tr>
      <w:tr>
        <w:trPr>
          <w:cantSplit/>
        </w:trPr>
        <w:tc>
          <w:tcPr>
            <w:tcW w:type="dxa" w:w="2160"/>
            <w:vAlign w:val="center"/>
            <w:shd w:fill="F3F6F7"/>
          </w:tcPr>
          <w:p>
            <w:pPr>
              <w:spacing w:after="0"/>
            </w:pPr>
            <w:r/>
            <w:r>
              <w:rPr>
                <w:rFonts w:ascii="Aptos" w:hAnsi="Aptos"/>
                <w:b w:val="0"/>
                <w:sz w:val="15"/>
              </w:rPr>
              <w:t>Evidence</w:t>
            </w:r>
          </w:p>
        </w:tc>
        <w:tc>
          <w:tcPr>
            <w:tcW w:type="dxa" w:w="4320"/>
            <w:vAlign w:val="center"/>
            <w:shd w:fill="F3F6F7"/>
          </w:tcPr>
          <w:p>
            <w:pPr>
              <w:spacing w:after="0"/>
            </w:pPr>
            <w:r/>
            <w:r>
              <w:rPr>
                <w:rFonts w:ascii="Aptos" w:hAnsi="Aptos"/>
                <w:b w:val="0"/>
                <w:sz w:val="15"/>
              </w:rPr>
              <w:t>Expired, missing, rejected and unverifiable artifacts</w:t>
            </w:r>
          </w:p>
        </w:tc>
        <w:tc>
          <w:tcPr>
            <w:tcW w:type="dxa" w:w="3168"/>
            <w:vAlign w:val="center"/>
            <w:shd w:fill="F3F6F7"/>
          </w:tcPr>
          <w:p>
            <w:pPr>
              <w:spacing w:after="0"/>
            </w:pPr>
            <w:r/>
            <w:r>
              <w:rPr>
                <w:rFonts w:ascii="Aptos" w:hAnsi="Aptos"/>
                <w:b w:val="0"/>
                <w:sz w:val="15"/>
              </w:rPr>
              <w:t>Artifact volume is not evidence quality</w:t>
            </w:r>
          </w:p>
        </w:tc>
      </w:tr>
    </w:tbl>
    <w:p/>
    <w:p>
      <w:pPr>
        <w:pStyle w:val="Heading1"/>
      </w:pPr>
      <w:r>
        <w:t>17. Management Review</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168"/>
            <w:vAlign w:val="center"/>
            <w:shd w:fill="17324D"/>
          </w:tcPr>
          <w:p>
            <w:pPr>
              <w:spacing w:after="0"/>
            </w:pPr>
            <w:r/>
            <w:r>
              <w:rPr>
                <w:rFonts w:ascii="Aptos" w:hAnsi="Aptos"/>
                <w:b/>
                <w:color w:val="FFFFFF"/>
                <w:sz w:val="15"/>
              </w:rPr>
              <w:t>Review input</w:t>
            </w:r>
          </w:p>
        </w:tc>
        <w:tc>
          <w:tcPr>
            <w:tcW w:type="dxa" w:w="6480"/>
            <w:vAlign w:val="center"/>
            <w:shd w:fill="17324D"/>
          </w:tcPr>
          <w:p>
            <w:pPr>
              <w:spacing w:after="0"/>
            </w:pPr>
            <w:r/>
            <w:r>
              <w:rPr>
                <w:rFonts w:ascii="Aptos" w:hAnsi="Aptos"/>
                <w:b/>
                <w:color w:val="FFFFFF"/>
                <w:sz w:val="15"/>
              </w:rPr>
              <w:t>Management question</w:t>
            </w:r>
          </w:p>
        </w:tc>
      </w:tr>
      <w:tr>
        <w:trPr>
          <w:cantSplit/>
        </w:trPr>
        <w:tc>
          <w:tcPr>
            <w:tcW w:type="dxa" w:w="3168"/>
            <w:vAlign w:val="center"/>
          </w:tcPr>
          <w:p>
            <w:pPr>
              <w:spacing w:after="0"/>
            </w:pPr>
            <w:r/>
            <w:r>
              <w:rPr>
                <w:rFonts w:ascii="Aptos" w:hAnsi="Aptos"/>
                <w:b w:val="0"/>
                <w:sz w:val="15"/>
              </w:rPr>
              <w:t>Scope and inventory</w:t>
            </w:r>
          </w:p>
        </w:tc>
        <w:tc>
          <w:tcPr>
            <w:tcW w:type="dxa" w:w="6480"/>
            <w:vAlign w:val="center"/>
          </w:tcPr>
          <w:p>
            <w:pPr>
              <w:spacing w:after="0"/>
            </w:pPr>
            <w:r/>
            <w:r>
              <w:rPr>
                <w:rFonts w:ascii="Aptos" w:hAnsi="Aptos"/>
                <w:b w:val="0"/>
                <w:sz w:val="15"/>
              </w:rPr>
              <w:t>Does the approved scope still reflect actual operation?</w:t>
            </w:r>
          </w:p>
        </w:tc>
      </w:tr>
      <w:tr>
        <w:trPr>
          <w:cantSplit/>
        </w:trPr>
        <w:tc>
          <w:tcPr>
            <w:tcW w:type="dxa" w:w="3168"/>
            <w:vAlign w:val="center"/>
            <w:shd w:fill="F3F6F7"/>
          </w:tcPr>
          <w:p>
            <w:pPr>
              <w:spacing w:after="0"/>
            </w:pPr>
            <w:r/>
            <w:r>
              <w:rPr>
                <w:rFonts w:ascii="Aptos" w:hAnsi="Aptos"/>
                <w:b w:val="0"/>
                <w:sz w:val="15"/>
              </w:rPr>
              <w:t>Control health</w:t>
            </w:r>
          </w:p>
        </w:tc>
        <w:tc>
          <w:tcPr>
            <w:tcW w:type="dxa" w:w="6480"/>
            <w:vAlign w:val="center"/>
            <w:shd w:fill="F3F6F7"/>
          </w:tcPr>
          <w:p>
            <w:pPr>
              <w:spacing w:after="0"/>
            </w:pPr>
            <w:r/>
            <w:r>
              <w:rPr>
                <w:rFonts w:ascii="Aptos" w:hAnsi="Aptos"/>
                <w:b w:val="0"/>
                <w:sz w:val="15"/>
              </w:rPr>
              <w:t>Which controls are degraded, unknown or repeatedly failing?</w:t>
            </w:r>
          </w:p>
        </w:tc>
      </w:tr>
      <w:tr>
        <w:trPr>
          <w:cantSplit/>
        </w:trPr>
        <w:tc>
          <w:tcPr>
            <w:tcW w:type="dxa" w:w="3168"/>
            <w:vAlign w:val="center"/>
          </w:tcPr>
          <w:p>
            <w:pPr>
              <w:spacing w:after="0"/>
            </w:pPr>
            <w:r/>
            <w:r>
              <w:rPr>
                <w:rFonts w:ascii="Aptos" w:hAnsi="Aptos"/>
                <w:b w:val="0"/>
                <w:sz w:val="15"/>
              </w:rPr>
              <w:t>Incidents and near misses</w:t>
            </w:r>
          </w:p>
        </w:tc>
        <w:tc>
          <w:tcPr>
            <w:tcW w:type="dxa" w:w="6480"/>
            <w:vAlign w:val="center"/>
          </w:tcPr>
          <w:p>
            <w:pPr>
              <w:spacing w:after="0"/>
            </w:pPr>
            <w:r/>
            <w:r>
              <w:rPr>
                <w:rFonts w:ascii="Aptos" w:hAnsi="Aptos"/>
                <w:b w:val="0"/>
                <w:sz w:val="15"/>
              </w:rPr>
              <w:t>What changed in risk and what corrective action is needed?</w:t>
            </w:r>
          </w:p>
        </w:tc>
      </w:tr>
      <w:tr>
        <w:trPr>
          <w:cantSplit/>
        </w:trPr>
        <w:tc>
          <w:tcPr>
            <w:tcW w:type="dxa" w:w="3168"/>
            <w:vAlign w:val="center"/>
            <w:shd w:fill="F3F6F7"/>
          </w:tcPr>
          <w:p>
            <w:pPr>
              <w:spacing w:after="0"/>
            </w:pPr>
            <w:r/>
            <w:r>
              <w:rPr>
                <w:rFonts w:ascii="Aptos" w:hAnsi="Aptos"/>
                <w:b w:val="0"/>
                <w:sz w:val="15"/>
              </w:rPr>
              <w:t>Metrics</w:t>
            </w:r>
          </w:p>
        </w:tc>
        <w:tc>
          <w:tcPr>
            <w:tcW w:type="dxa" w:w="6480"/>
            <w:vAlign w:val="center"/>
            <w:shd w:fill="F3F6F7"/>
          </w:tcPr>
          <w:p>
            <w:pPr>
              <w:spacing w:after="0"/>
            </w:pPr>
            <w:r/>
            <w:r>
              <w:rPr>
                <w:rFonts w:ascii="Aptos" w:hAnsi="Aptos"/>
                <w:b w:val="0"/>
                <w:sz w:val="15"/>
              </w:rPr>
              <w:t>Are trends meaningful and thresholds still appropriate?</w:t>
            </w:r>
          </w:p>
        </w:tc>
      </w:tr>
      <w:tr>
        <w:trPr>
          <w:cantSplit/>
        </w:trPr>
        <w:tc>
          <w:tcPr>
            <w:tcW w:type="dxa" w:w="3168"/>
            <w:vAlign w:val="center"/>
          </w:tcPr>
          <w:p>
            <w:pPr>
              <w:spacing w:after="0"/>
            </w:pPr>
            <w:r/>
            <w:r>
              <w:rPr>
                <w:rFonts w:ascii="Aptos" w:hAnsi="Aptos"/>
                <w:b w:val="0"/>
                <w:sz w:val="15"/>
              </w:rPr>
              <w:t>Exceptions</w:t>
            </w:r>
          </w:p>
        </w:tc>
        <w:tc>
          <w:tcPr>
            <w:tcW w:type="dxa" w:w="6480"/>
            <w:vAlign w:val="center"/>
          </w:tcPr>
          <w:p>
            <w:pPr>
              <w:spacing w:after="0"/>
            </w:pPr>
            <w:r/>
            <w:r>
              <w:rPr>
                <w:rFonts w:ascii="Aptos" w:hAnsi="Aptos"/>
                <w:b w:val="0"/>
                <w:sz w:val="15"/>
              </w:rPr>
              <w:t>Are residual risks still acceptable and within authority?</w:t>
            </w:r>
          </w:p>
        </w:tc>
      </w:tr>
      <w:tr>
        <w:trPr>
          <w:cantSplit/>
        </w:trPr>
        <w:tc>
          <w:tcPr>
            <w:tcW w:type="dxa" w:w="3168"/>
            <w:vAlign w:val="center"/>
            <w:shd w:fill="F3F6F7"/>
          </w:tcPr>
          <w:p>
            <w:pPr>
              <w:spacing w:after="0"/>
            </w:pPr>
            <w:r/>
            <w:r>
              <w:rPr>
                <w:rFonts w:ascii="Aptos" w:hAnsi="Aptos"/>
                <w:b w:val="0"/>
                <w:sz w:val="15"/>
              </w:rPr>
              <w:t>Suppliers</w:t>
            </w:r>
          </w:p>
        </w:tc>
        <w:tc>
          <w:tcPr>
            <w:tcW w:type="dxa" w:w="6480"/>
            <w:vAlign w:val="center"/>
            <w:shd w:fill="F3F6F7"/>
          </w:tcPr>
          <w:p>
            <w:pPr>
              <w:spacing w:after="0"/>
            </w:pPr>
            <w:r/>
            <w:r>
              <w:rPr>
                <w:rFonts w:ascii="Aptos" w:hAnsi="Aptos"/>
                <w:b w:val="0"/>
                <w:sz w:val="15"/>
              </w:rPr>
              <w:t>Have inherited assumptions, services or assurance changed?</w:t>
            </w:r>
          </w:p>
        </w:tc>
      </w:tr>
      <w:tr>
        <w:trPr>
          <w:cantSplit/>
        </w:trPr>
        <w:tc>
          <w:tcPr>
            <w:tcW w:type="dxa" w:w="3168"/>
            <w:vAlign w:val="center"/>
          </w:tcPr>
          <w:p>
            <w:pPr>
              <w:spacing w:after="0"/>
            </w:pPr>
            <w:r/>
            <w:r>
              <w:rPr>
                <w:rFonts w:ascii="Aptos" w:hAnsi="Aptos"/>
                <w:b w:val="0"/>
                <w:sz w:val="15"/>
              </w:rPr>
              <w:t>Resources</w:t>
            </w:r>
          </w:p>
        </w:tc>
        <w:tc>
          <w:tcPr>
            <w:tcW w:type="dxa" w:w="6480"/>
            <w:vAlign w:val="center"/>
          </w:tcPr>
          <w:p>
            <w:pPr>
              <w:spacing w:after="0"/>
            </w:pPr>
            <w:r/>
            <w:r>
              <w:rPr>
                <w:rFonts w:ascii="Aptos" w:hAnsi="Aptos"/>
                <w:b w:val="0"/>
                <w:sz w:val="15"/>
              </w:rPr>
              <w:t>Are staffing, tooling and competence sufficient?</w:t>
            </w:r>
          </w:p>
        </w:tc>
      </w:tr>
      <w:tr>
        <w:trPr>
          <w:cantSplit/>
        </w:trPr>
        <w:tc>
          <w:tcPr>
            <w:tcW w:type="dxa" w:w="3168"/>
            <w:vAlign w:val="center"/>
            <w:shd w:fill="F3F6F7"/>
          </w:tcPr>
          <w:p>
            <w:pPr>
              <w:spacing w:after="0"/>
            </w:pPr>
            <w:r/>
            <w:r>
              <w:rPr>
                <w:rFonts w:ascii="Aptos" w:hAnsi="Aptos"/>
                <w:b w:val="0"/>
                <w:sz w:val="15"/>
              </w:rPr>
              <w:t>Improvement</w:t>
            </w:r>
          </w:p>
        </w:tc>
        <w:tc>
          <w:tcPr>
            <w:tcW w:type="dxa" w:w="6480"/>
            <w:vAlign w:val="center"/>
            <w:shd w:fill="F3F6F7"/>
          </w:tcPr>
          <w:p>
            <w:pPr>
              <w:spacing w:after="0"/>
            </w:pPr>
            <w:r/>
            <w:r>
              <w:rPr>
                <w:rFonts w:ascii="Aptos" w:hAnsi="Aptos"/>
                <w:b w:val="0"/>
                <w:sz w:val="15"/>
              </w:rPr>
              <w:t>Are corrective actions effective and recurring issues reduced?</w:t>
            </w:r>
          </w:p>
        </w:tc>
      </w:tr>
      <w:tr>
        <w:trPr>
          <w:cantSplit/>
        </w:trPr>
        <w:tc>
          <w:tcPr>
            <w:tcW w:type="dxa" w:w="3168"/>
            <w:vAlign w:val="center"/>
          </w:tcPr>
          <w:p>
            <w:pPr>
              <w:spacing w:after="0"/>
            </w:pPr>
            <w:r/>
            <w:r>
              <w:rPr>
                <w:rFonts w:ascii="Aptos" w:hAnsi="Aptos"/>
                <w:b w:val="0"/>
                <w:sz w:val="15"/>
              </w:rPr>
              <w:t>Certification</w:t>
            </w:r>
          </w:p>
        </w:tc>
        <w:tc>
          <w:tcPr>
            <w:tcW w:type="dxa" w:w="6480"/>
            <w:vAlign w:val="center"/>
          </w:tcPr>
          <w:p>
            <w:pPr>
              <w:spacing w:after="0"/>
            </w:pPr>
            <w:r/>
            <w:r>
              <w:rPr>
                <w:rFonts w:ascii="Aptos" w:hAnsi="Aptos"/>
                <w:b w:val="0"/>
                <w:sz w:val="15"/>
              </w:rPr>
              <w:t>Does continuing operation remain within certified scope and claims?</w:t>
            </w:r>
          </w:p>
        </w:tc>
      </w:tr>
    </w:tbl>
    <w:p/>
    <w:p>
      <w:pPr>
        <w:pStyle w:val="Heading1"/>
      </w:pPr>
      <w:r>
        <w:t>18. Continuous Improvement</w:t>
      </w:r>
    </w:p>
    <w:p>
      <w:r>
        <w:t>Continuous improvement should be evidence-driven and linked to risk outcomes.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880"/>
            <w:vAlign w:val="center"/>
            <w:shd w:fill="17324D"/>
          </w:tcPr>
          <w:p>
            <w:pPr>
              <w:spacing w:after="0"/>
            </w:pPr>
            <w:r/>
            <w:r>
              <w:rPr>
                <w:rFonts w:ascii="Aptos" w:hAnsi="Aptos"/>
                <w:b/>
                <w:color w:val="FFFFFF"/>
                <w:sz w:val="15"/>
              </w:rPr>
              <w:t>Input</w:t>
            </w:r>
          </w:p>
        </w:tc>
        <w:tc>
          <w:tcPr>
            <w:tcW w:type="dxa" w:w="6768"/>
            <w:vAlign w:val="center"/>
            <w:shd w:fill="17324D"/>
          </w:tcPr>
          <w:p>
            <w:pPr>
              <w:spacing w:after="0"/>
            </w:pPr>
            <w:r/>
            <w:r>
              <w:rPr>
                <w:rFonts w:ascii="Aptos" w:hAnsi="Aptos"/>
                <w:b/>
                <w:color w:val="FFFFFF"/>
                <w:sz w:val="15"/>
              </w:rPr>
              <w:t>Improvement action</w:t>
            </w:r>
          </w:p>
        </w:tc>
      </w:tr>
      <w:tr>
        <w:trPr>
          <w:cantSplit/>
        </w:trPr>
        <w:tc>
          <w:tcPr>
            <w:tcW w:type="dxa" w:w="2880"/>
            <w:vAlign w:val="center"/>
          </w:tcPr>
          <w:p>
            <w:pPr>
              <w:spacing w:after="0"/>
            </w:pPr>
            <w:r/>
            <w:r>
              <w:rPr>
                <w:rFonts w:ascii="Aptos" w:hAnsi="Aptos"/>
                <w:b w:val="0"/>
                <w:sz w:val="15"/>
              </w:rPr>
              <w:t>Incident or near miss</w:t>
            </w:r>
          </w:p>
        </w:tc>
        <w:tc>
          <w:tcPr>
            <w:tcW w:type="dxa" w:w="6768"/>
            <w:vAlign w:val="center"/>
          </w:tcPr>
          <w:p>
            <w:pPr>
              <w:spacing w:after="0"/>
            </w:pPr>
            <w:r/>
            <w:r>
              <w:rPr>
                <w:rFonts w:ascii="Aptos" w:hAnsi="Aptos"/>
                <w:b w:val="0"/>
                <w:sz w:val="15"/>
              </w:rPr>
              <w:t>Root cause, corrective action and control redesign</w:t>
            </w:r>
          </w:p>
        </w:tc>
      </w:tr>
      <w:tr>
        <w:trPr>
          <w:cantSplit/>
        </w:trPr>
        <w:tc>
          <w:tcPr>
            <w:tcW w:type="dxa" w:w="2880"/>
            <w:vAlign w:val="center"/>
            <w:shd w:fill="F3F6F7"/>
          </w:tcPr>
          <w:p>
            <w:pPr>
              <w:spacing w:after="0"/>
            </w:pPr>
            <w:r/>
            <w:r>
              <w:rPr>
                <w:rFonts w:ascii="Aptos" w:hAnsi="Aptos"/>
                <w:b w:val="0"/>
                <w:sz w:val="15"/>
              </w:rPr>
              <w:t>Failed test</w:t>
            </w:r>
          </w:p>
        </w:tc>
        <w:tc>
          <w:tcPr>
            <w:tcW w:type="dxa" w:w="6768"/>
            <w:vAlign w:val="center"/>
            <w:shd w:fill="F3F6F7"/>
          </w:tcPr>
          <w:p>
            <w:pPr>
              <w:spacing w:after="0"/>
            </w:pPr>
            <w:r/>
            <w:r>
              <w:rPr>
                <w:rFonts w:ascii="Aptos" w:hAnsi="Aptos"/>
                <w:b w:val="0"/>
                <w:sz w:val="15"/>
              </w:rPr>
              <w:t>Fix, retest and expand regression coverage</w:t>
            </w:r>
          </w:p>
        </w:tc>
      </w:tr>
      <w:tr>
        <w:trPr>
          <w:cantSplit/>
        </w:trPr>
        <w:tc>
          <w:tcPr>
            <w:tcW w:type="dxa" w:w="2880"/>
            <w:vAlign w:val="center"/>
          </w:tcPr>
          <w:p>
            <w:pPr>
              <w:spacing w:after="0"/>
            </w:pPr>
            <w:r/>
            <w:r>
              <w:rPr>
                <w:rFonts w:ascii="Aptos" w:hAnsi="Aptos"/>
                <w:b w:val="0"/>
                <w:sz w:val="15"/>
              </w:rPr>
              <w:t>Metric degradation</w:t>
            </w:r>
          </w:p>
        </w:tc>
        <w:tc>
          <w:tcPr>
            <w:tcW w:type="dxa" w:w="6768"/>
            <w:vAlign w:val="center"/>
          </w:tcPr>
          <w:p>
            <w:pPr>
              <w:spacing w:after="0"/>
            </w:pPr>
            <w:r/>
            <w:r>
              <w:rPr>
                <w:rFonts w:ascii="Aptos" w:hAnsi="Aptos"/>
                <w:b w:val="0"/>
                <w:sz w:val="15"/>
              </w:rPr>
              <w:t>Investigate causes and adjust control or threshold</w:t>
            </w:r>
          </w:p>
        </w:tc>
      </w:tr>
      <w:tr>
        <w:trPr>
          <w:cantSplit/>
        </w:trPr>
        <w:tc>
          <w:tcPr>
            <w:tcW w:type="dxa" w:w="2880"/>
            <w:vAlign w:val="center"/>
            <w:shd w:fill="F3F6F7"/>
          </w:tcPr>
          <w:p>
            <w:pPr>
              <w:spacing w:after="0"/>
            </w:pPr>
            <w:r/>
            <w:r>
              <w:rPr>
                <w:rFonts w:ascii="Aptos" w:hAnsi="Aptos"/>
                <w:b w:val="0"/>
                <w:sz w:val="15"/>
              </w:rPr>
              <w:t>User complaint</w:t>
            </w:r>
          </w:p>
        </w:tc>
        <w:tc>
          <w:tcPr>
            <w:tcW w:type="dxa" w:w="6768"/>
            <w:vAlign w:val="center"/>
            <w:shd w:fill="F3F6F7"/>
          </w:tcPr>
          <w:p>
            <w:pPr>
              <w:spacing w:after="0"/>
            </w:pPr>
            <w:r/>
            <w:r>
              <w:rPr>
                <w:rFonts w:ascii="Aptos" w:hAnsi="Aptos"/>
                <w:b w:val="0"/>
                <w:sz w:val="15"/>
              </w:rPr>
              <w:t>Review human factors, disclosure, recourse and misuse controls</w:t>
            </w:r>
          </w:p>
        </w:tc>
      </w:tr>
      <w:tr>
        <w:trPr>
          <w:cantSplit/>
        </w:trPr>
        <w:tc>
          <w:tcPr>
            <w:tcW w:type="dxa" w:w="2880"/>
            <w:vAlign w:val="center"/>
          </w:tcPr>
          <w:p>
            <w:pPr>
              <w:spacing w:after="0"/>
            </w:pPr>
            <w:r/>
            <w:r>
              <w:rPr>
                <w:rFonts w:ascii="Aptos" w:hAnsi="Aptos"/>
                <w:b w:val="0"/>
                <w:sz w:val="15"/>
              </w:rPr>
              <w:t>Supplier issue</w:t>
            </w:r>
          </w:p>
        </w:tc>
        <w:tc>
          <w:tcPr>
            <w:tcW w:type="dxa" w:w="6768"/>
            <w:vAlign w:val="center"/>
          </w:tcPr>
          <w:p>
            <w:pPr>
              <w:spacing w:after="0"/>
            </w:pPr>
            <w:r/>
            <w:r>
              <w:rPr>
                <w:rFonts w:ascii="Aptos" w:hAnsi="Aptos"/>
                <w:b w:val="0"/>
                <w:sz w:val="15"/>
              </w:rPr>
              <w:t>Strengthen contract, monitoring, redundancy or exit</w:t>
            </w:r>
          </w:p>
        </w:tc>
      </w:tr>
      <w:tr>
        <w:trPr>
          <w:cantSplit/>
        </w:trPr>
        <w:tc>
          <w:tcPr>
            <w:tcW w:type="dxa" w:w="2880"/>
            <w:vAlign w:val="center"/>
            <w:shd w:fill="F3F6F7"/>
          </w:tcPr>
          <w:p>
            <w:pPr>
              <w:spacing w:after="0"/>
            </w:pPr>
            <w:r/>
            <w:r>
              <w:rPr>
                <w:rFonts w:ascii="Aptos" w:hAnsi="Aptos"/>
                <w:b w:val="0"/>
                <w:sz w:val="15"/>
              </w:rPr>
              <w:t>Audit finding</w:t>
            </w:r>
          </w:p>
        </w:tc>
        <w:tc>
          <w:tcPr>
            <w:tcW w:type="dxa" w:w="6768"/>
            <w:vAlign w:val="center"/>
            <w:shd w:fill="F3F6F7"/>
          </w:tcPr>
          <w:p>
            <w:pPr>
              <w:spacing w:after="0"/>
            </w:pPr>
            <w:r/>
            <w:r>
              <w:rPr>
                <w:rFonts w:ascii="Aptos" w:hAnsi="Aptos"/>
                <w:b w:val="0"/>
                <w:sz w:val="15"/>
              </w:rPr>
              <w:t>Correct systemic cause and verify closure</w:t>
            </w:r>
          </w:p>
        </w:tc>
      </w:tr>
      <w:tr>
        <w:trPr>
          <w:cantSplit/>
        </w:trPr>
        <w:tc>
          <w:tcPr>
            <w:tcW w:type="dxa" w:w="2880"/>
            <w:vAlign w:val="center"/>
          </w:tcPr>
          <w:p>
            <w:pPr>
              <w:spacing w:after="0"/>
            </w:pPr>
            <w:r/>
            <w:r>
              <w:rPr>
                <w:rFonts w:ascii="Aptos" w:hAnsi="Aptos"/>
                <w:b w:val="0"/>
                <w:sz w:val="15"/>
              </w:rPr>
              <w:t>Threat intelligence</w:t>
            </w:r>
          </w:p>
        </w:tc>
        <w:tc>
          <w:tcPr>
            <w:tcW w:type="dxa" w:w="6768"/>
            <w:vAlign w:val="center"/>
          </w:tcPr>
          <w:p>
            <w:pPr>
              <w:spacing w:after="0"/>
            </w:pPr>
            <w:r/>
            <w:r>
              <w:rPr>
                <w:rFonts w:ascii="Aptos" w:hAnsi="Aptos"/>
                <w:b w:val="0"/>
                <w:sz w:val="15"/>
              </w:rPr>
              <w:t>Update scenarios, detection and technical controls</w:t>
            </w:r>
          </w:p>
        </w:tc>
      </w:tr>
      <w:tr>
        <w:trPr>
          <w:cantSplit/>
        </w:trPr>
        <w:tc>
          <w:tcPr>
            <w:tcW w:type="dxa" w:w="2880"/>
            <w:vAlign w:val="center"/>
            <w:shd w:fill="F3F6F7"/>
          </w:tcPr>
          <w:p>
            <w:pPr>
              <w:spacing w:after="0"/>
            </w:pPr>
            <w:r/>
            <w:r>
              <w:rPr>
                <w:rFonts w:ascii="Aptos" w:hAnsi="Aptos"/>
                <w:b w:val="0"/>
                <w:sz w:val="15"/>
              </w:rPr>
              <w:t>Framework release</w:t>
            </w:r>
          </w:p>
        </w:tc>
        <w:tc>
          <w:tcPr>
            <w:tcW w:type="dxa" w:w="6768"/>
            <w:vAlign w:val="center"/>
            <w:shd w:fill="F3F6F7"/>
          </w:tcPr>
          <w:p>
            <w:pPr>
              <w:spacing w:after="0"/>
            </w:pPr>
            <w:r/>
            <w:r>
              <w:rPr>
                <w:rFonts w:ascii="Aptos" w:hAnsi="Aptos"/>
                <w:b w:val="0"/>
                <w:sz w:val="15"/>
              </w:rPr>
              <w:t>Perform impact assessment and migration planning</w:t>
            </w:r>
          </w:p>
        </w:tc>
      </w:tr>
    </w:tbl>
    <w:p/>
    <w:p>
      <w:pPr>
        <w:pStyle w:val="Heading2"/>
      </w:pPr>
      <w:r>
        <w:t>18.1 Corrective-action quality criteria</w:t>
      </w:r>
    </w:p>
    <w:p>
      <w:pPr>
        <w:pStyle w:val="ListBullet"/>
      </w:pPr>
      <w:r>
        <w:t>Addresses root cause rather than only the visible symptom</w:t>
      </w:r>
    </w:p>
    <w:p>
      <w:pPr>
        <w:pStyle w:val="ListBullet"/>
      </w:pPr>
      <w:r>
        <w:t>Has an accountable owner and target date</w:t>
      </w:r>
    </w:p>
    <w:p>
      <w:pPr>
        <w:pStyle w:val="ListBullet"/>
      </w:pPr>
      <w:r>
        <w:t>Includes interim containment where needed</w:t>
      </w:r>
    </w:p>
    <w:p>
      <w:pPr>
        <w:pStyle w:val="ListBullet"/>
      </w:pPr>
      <w:r>
        <w:t>Defines validation and closure evidence</w:t>
      </w:r>
    </w:p>
    <w:p>
      <w:pPr>
        <w:pStyle w:val="ListBullet"/>
      </w:pPr>
      <w:r>
        <w:t>Assesses recurrence across other systems and controls</w:t>
      </w:r>
    </w:p>
    <w:p>
      <w:pPr>
        <w:pStyle w:val="ListBullet"/>
      </w:pPr>
      <w:r>
        <w:t>Updates procedures, training and monitoring where appropriate</w:t>
      </w:r>
    </w:p>
    <w:p>
      <w:pPr>
        <w:pStyle w:val="Heading1"/>
      </w:pPr>
      <w:r>
        <w:t>19. Operational Assurance</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592"/>
            <w:vAlign w:val="center"/>
            <w:shd w:fill="17324D"/>
          </w:tcPr>
          <w:p>
            <w:pPr>
              <w:spacing w:after="0"/>
            </w:pPr>
            <w:r/>
            <w:r>
              <w:rPr>
                <w:rFonts w:ascii="Aptos" w:hAnsi="Aptos"/>
                <w:b/>
                <w:color w:val="FFFFFF"/>
                <w:sz w:val="15"/>
              </w:rPr>
              <w:t>Method</w:t>
            </w:r>
          </w:p>
        </w:tc>
        <w:tc>
          <w:tcPr>
            <w:tcW w:type="dxa" w:w="7056"/>
            <w:vAlign w:val="center"/>
            <w:shd w:fill="17324D"/>
          </w:tcPr>
          <w:p>
            <w:pPr>
              <w:spacing w:after="0"/>
            </w:pPr>
            <w:r/>
            <w:r>
              <w:rPr>
                <w:rFonts w:ascii="Aptos" w:hAnsi="Aptos"/>
                <w:b/>
                <w:color w:val="FFFFFF"/>
                <w:sz w:val="15"/>
              </w:rPr>
              <w:t>Use</w:t>
            </w:r>
          </w:p>
        </w:tc>
      </w:tr>
      <w:tr>
        <w:trPr>
          <w:cantSplit/>
        </w:trPr>
        <w:tc>
          <w:tcPr>
            <w:tcW w:type="dxa" w:w="2592"/>
            <w:vAlign w:val="center"/>
          </w:tcPr>
          <w:p>
            <w:pPr>
              <w:spacing w:after="0"/>
            </w:pPr>
            <w:r/>
            <w:r>
              <w:rPr>
                <w:rFonts w:ascii="Aptos" w:hAnsi="Aptos"/>
                <w:b w:val="0"/>
                <w:sz w:val="15"/>
              </w:rPr>
              <w:t>Control-owner attestation</w:t>
            </w:r>
          </w:p>
        </w:tc>
        <w:tc>
          <w:tcPr>
            <w:tcW w:type="dxa" w:w="7056"/>
            <w:vAlign w:val="center"/>
          </w:tcPr>
          <w:p>
            <w:pPr>
              <w:spacing w:after="0"/>
            </w:pPr>
            <w:r/>
            <w:r>
              <w:rPr>
                <w:rFonts w:ascii="Aptos" w:hAnsi="Aptos"/>
                <w:b w:val="0"/>
                <w:sz w:val="15"/>
              </w:rPr>
              <w:t>Confirm ownership and known changes</w:t>
            </w:r>
          </w:p>
        </w:tc>
      </w:tr>
      <w:tr>
        <w:trPr>
          <w:cantSplit/>
        </w:trPr>
        <w:tc>
          <w:tcPr>
            <w:tcW w:type="dxa" w:w="2592"/>
            <w:vAlign w:val="center"/>
            <w:shd w:fill="F3F6F7"/>
          </w:tcPr>
          <w:p>
            <w:pPr>
              <w:spacing w:after="0"/>
            </w:pPr>
            <w:r/>
            <w:r>
              <w:rPr>
                <w:rFonts w:ascii="Aptos" w:hAnsi="Aptos"/>
                <w:b w:val="0"/>
                <w:sz w:val="15"/>
              </w:rPr>
              <w:t>Evidence review</w:t>
            </w:r>
          </w:p>
        </w:tc>
        <w:tc>
          <w:tcPr>
            <w:tcW w:type="dxa" w:w="7056"/>
            <w:vAlign w:val="center"/>
            <w:shd w:fill="F3F6F7"/>
          </w:tcPr>
          <w:p>
            <w:pPr>
              <w:spacing w:after="0"/>
            </w:pPr>
            <w:r/>
            <w:r>
              <w:rPr>
                <w:rFonts w:ascii="Aptos" w:hAnsi="Aptos"/>
                <w:b w:val="0"/>
                <w:sz w:val="15"/>
              </w:rPr>
              <w:t>Verify currency, scope and integrity</w:t>
            </w:r>
          </w:p>
        </w:tc>
      </w:tr>
      <w:tr>
        <w:trPr>
          <w:cantSplit/>
        </w:trPr>
        <w:tc>
          <w:tcPr>
            <w:tcW w:type="dxa" w:w="2592"/>
            <w:vAlign w:val="center"/>
          </w:tcPr>
          <w:p>
            <w:pPr>
              <w:spacing w:after="0"/>
            </w:pPr>
            <w:r/>
            <w:r>
              <w:rPr>
                <w:rFonts w:ascii="Aptos" w:hAnsi="Aptos"/>
                <w:b w:val="0"/>
                <w:sz w:val="15"/>
              </w:rPr>
              <w:t>Technical retest</w:t>
            </w:r>
          </w:p>
        </w:tc>
        <w:tc>
          <w:tcPr>
            <w:tcW w:type="dxa" w:w="7056"/>
            <w:vAlign w:val="center"/>
          </w:tcPr>
          <w:p>
            <w:pPr>
              <w:spacing w:after="0"/>
            </w:pPr>
            <w:r/>
            <w:r>
              <w:rPr>
                <w:rFonts w:ascii="Aptos" w:hAnsi="Aptos"/>
                <w:b w:val="0"/>
                <w:sz w:val="15"/>
              </w:rPr>
              <w:t>Confirm continuing operation of critical mechanisms</w:t>
            </w:r>
          </w:p>
        </w:tc>
      </w:tr>
      <w:tr>
        <w:trPr>
          <w:cantSplit/>
        </w:trPr>
        <w:tc>
          <w:tcPr>
            <w:tcW w:type="dxa" w:w="2592"/>
            <w:vAlign w:val="center"/>
            <w:shd w:fill="F3F6F7"/>
          </w:tcPr>
          <w:p>
            <w:pPr>
              <w:spacing w:after="0"/>
            </w:pPr>
            <w:r/>
            <w:r>
              <w:rPr>
                <w:rFonts w:ascii="Aptos" w:hAnsi="Aptos"/>
                <w:b w:val="0"/>
                <w:sz w:val="15"/>
              </w:rPr>
              <w:t>Scenario exercise</w:t>
            </w:r>
          </w:p>
        </w:tc>
        <w:tc>
          <w:tcPr>
            <w:tcW w:type="dxa" w:w="7056"/>
            <w:vAlign w:val="center"/>
            <w:shd w:fill="F3F6F7"/>
          </w:tcPr>
          <w:p>
            <w:pPr>
              <w:spacing w:after="0"/>
            </w:pPr>
            <w:r/>
            <w:r>
              <w:rPr>
                <w:rFonts w:ascii="Aptos" w:hAnsi="Aptos"/>
                <w:b w:val="0"/>
                <w:sz w:val="15"/>
              </w:rPr>
              <w:t>Test incident, rollback, override and safe state</w:t>
            </w:r>
          </w:p>
        </w:tc>
      </w:tr>
      <w:tr>
        <w:trPr>
          <w:cantSplit/>
        </w:trPr>
        <w:tc>
          <w:tcPr>
            <w:tcW w:type="dxa" w:w="2592"/>
            <w:vAlign w:val="center"/>
          </w:tcPr>
          <w:p>
            <w:pPr>
              <w:spacing w:after="0"/>
            </w:pPr>
            <w:r/>
            <w:r>
              <w:rPr>
                <w:rFonts w:ascii="Aptos" w:hAnsi="Aptos"/>
                <w:b w:val="0"/>
                <w:sz w:val="15"/>
              </w:rPr>
              <w:t>Sampling</w:t>
            </w:r>
          </w:p>
        </w:tc>
        <w:tc>
          <w:tcPr>
            <w:tcW w:type="dxa" w:w="7056"/>
            <w:vAlign w:val="center"/>
          </w:tcPr>
          <w:p>
            <w:pPr>
              <w:spacing w:after="0"/>
            </w:pPr>
            <w:r/>
            <w:r>
              <w:rPr>
                <w:rFonts w:ascii="Aptos" w:hAnsi="Aptos"/>
                <w:b w:val="0"/>
                <w:sz w:val="15"/>
              </w:rPr>
              <w:t>Review representative users, events, suppliers and periods</w:t>
            </w:r>
          </w:p>
        </w:tc>
      </w:tr>
      <w:tr>
        <w:trPr>
          <w:cantSplit/>
        </w:trPr>
        <w:tc>
          <w:tcPr>
            <w:tcW w:type="dxa" w:w="2592"/>
            <w:vAlign w:val="center"/>
            <w:shd w:fill="F3F6F7"/>
          </w:tcPr>
          <w:p>
            <w:pPr>
              <w:spacing w:after="0"/>
            </w:pPr>
            <w:r/>
            <w:r>
              <w:rPr>
                <w:rFonts w:ascii="Aptos" w:hAnsi="Aptos"/>
                <w:b w:val="0"/>
                <w:sz w:val="15"/>
              </w:rPr>
              <w:t>Independent audit</w:t>
            </w:r>
          </w:p>
        </w:tc>
        <w:tc>
          <w:tcPr>
            <w:tcW w:type="dxa" w:w="7056"/>
            <w:vAlign w:val="center"/>
            <w:shd w:fill="F3F6F7"/>
          </w:tcPr>
          <w:p>
            <w:pPr>
              <w:spacing w:after="0"/>
            </w:pPr>
            <w:r/>
            <w:r>
              <w:rPr>
                <w:rFonts w:ascii="Aptos" w:hAnsi="Aptos"/>
                <w:b w:val="0"/>
                <w:sz w:val="15"/>
              </w:rPr>
              <w:t>Challenge design and operating effectiveness</w:t>
            </w:r>
          </w:p>
        </w:tc>
      </w:tr>
      <w:tr>
        <w:trPr>
          <w:cantSplit/>
        </w:trPr>
        <w:tc>
          <w:tcPr>
            <w:tcW w:type="dxa" w:w="2592"/>
            <w:vAlign w:val="center"/>
          </w:tcPr>
          <w:p>
            <w:pPr>
              <w:spacing w:after="0"/>
            </w:pPr>
            <w:r/>
            <w:r>
              <w:rPr>
                <w:rFonts w:ascii="Aptos" w:hAnsi="Aptos"/>
                <w:b w:val="0"/>
                <w:sz w:val="15"/>
              </w:rPr>
              <w:t>Certification surveillance</w:t>
            </w:r>
          </w:p>
        </w:tc>
        <w:tc>
          <w:tcPr>
            <w:tcW w:type="dxa" w:w="7056"/>
            <w:vAlign w:val="center"/>
          </w:tcPr>
          <w:p>
            <w:pPr>
              <w:spacing w:after="0"/>
            </w:pPr>
            <w:r/>
            <w:r>
              <w:rPr>
                <w:rFonts w:ascii="Aptos" w:hAnsi="Aptos"/>
                <w:b w:val="0"/>
                <w:sz w:val="15"/>
              </w:rPr>
              <w:t>Maintain external assurance where applicable</w:t>
            </w:r>
          </w:p>
        </w:tc>
      </w:tr>
    </w:tbl>
    <w:p/>
    <w:p>
      <w:pPr>
        <w:pStyle w:val="Heading1"/>
      </w:pPr>
      <w:r>
        <w:t>20. Service Degradation, Suspension and Retirement</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1872"/>
            <w:vAlign w:val="center"/>
            <w:shd w:fill="17324D"/>
          </w:tcPr>
          <w:p>
            <w:pPr>
              <w:spacing w:after="0"/>
            </w:pPr>
            <w:r/>
            <w:r>
              <w:rPr>
                <w:rFonts w:ascii="Aptos" w:hAnsi="Aptos"/>
                <w:b/>
                <w:color w:val="FFFFFF"/>
                <w:sz w:val="15"/>
              </w:rPr>
              <w:t>State</w:t>
            </w:r>
          </w:p>
        </w:tc>
        <w:tc>
          <w:tcPr>
            <w:tcW w:type="dxa" w:w="7776"/>
            <w:vAlign w:val="center"/>
            <w:shd w:fill="17324D"/>
          </w:tcPr>
          <w:p>
            <w:pPr>
              <w:spacing w:after="0"/>
            </w:pPr>
            <w:r/>
            <w:r>
              <w:rPr>
                <w:rFonts w:ascii="Aptos" w:hAnsi="Aptos"/>
                <w:b/>
                <w:color w:val="FFFFFF"/>
                <w:sz w:val="15"/>
              </w:rPr>
              <w:t>Operational treatment</w:t>
            </w:r>
          </w:p>
        </w:tc>
      </w:tr>
      <w:tr>
        <w:trPr>
          <w:cantSplit/>
        </w:trPr>
        <w:tc>
          <w:tcPr>
            <w:tcW w:type="dxa" w:w="1872"/>
            <w:vAlign w:val="center"/>
          </w:tcPr>
          <w:p>
            <w:pPr>
              <w:spacing w:after="0"/>
            </w:pPr>
            <w:r/>
            <w:r>
              <w:rPr>
                <w:rFonts w:ascii="Aptos" w:hAnsi="Aptos"/>
                <w:b w:val="0"/>
                <w:sz w:val="15"/>
              </w:rPr>
              <w:t>Degraded</w:t>
            </w:r>
          </w:p>
        </w:tc>
        <w:tc>
          <w:tcPr>
            <w:tcW w:type="dxa" w:w="7776"/>
            <w:vAlign w:val="center"/>
          </w:tcPr>
          <w:p>
            <w:pPr>
              <w:spacing w:after="0"/>
            </w:pPr>
            <w:r/>
            <w:r>
              <w:rPr>
                <w:rFonts w:ascii="Aptos" w:hAnsi="Aptos"/>
                <w:b w:val="0"/>
                <w:sz w:val="15"/>
              </w:rPr>
              <w:t>Restrict capability, inform users and increase oversight</w:t>
            </w:r>
          </w:p>
        </w:tc>
      </w:tr>
      <w:tr>
        <w:trPr>
          <w:cantSplit/>
        </w:trPr>
        <w:tc>
          <w:tcPr>
            <w:tcW w:type="dxa" w:w="1872"/>
            <w:vAlign w:val="center"/>
            <w:shd w:fill="F3F6F7"/>
          </w:tcPr>
          <w:p>
            <w:pPr>
              <w:spacing w:after="0"/>
            </w:pPr>
            <w:r/>
            <w:r>
              <w:rPr>
                <w:rFonts w:ascii="Aptos" w:hAnsi="Aptos"/>
                <w:b w:val="0"/>
                <w:sz w:val="15"/>
              </w:rPr>
              <w:t>Suspended</w:t>
            </w:r>
          </w:p>
        </w:tc>
        <w:tc>
          <w:tcPr>
            <w:tcW w:type="dxa" w:w="7776"/>
            <w:vAlign w:val="center"/>
            <w:shd w:fill="F3F6F7"/>
          </w:tcPr>
          <w:p>
            <w:pPr>
              <w:spacing w:after="0"/>
            </w:pPr>
            <w:r/>
            <w:r>
              <w:rPr>
                <w:rFonts w:ascii="Aptos" w:hAnsi="Aptos"/>
                <w:b w:val="0"/>
                <w:sz w:val="15"/>
              </w:rPr>
              <w:t>Disable affected function while preserving evidence and safe state</w:t>
            </w:r>
          </w:p>
        </w:tc>
      </w:tr>
      <w:tr>
        <w:trPr>
          <w:cantSplit/>
        </w:trPr>
        <w:tc>
          <w:tcPr>
            <w:tcW w:type="dxa" w:w="1872"/>
            <w:vAlign w:val="center"/>
          </w:tcPr>
          <w:p>
            <w:pPr>
              <w:spacing w:after="0"/>
            </w:pPr>
            <w:r/>
            <w:r>
              <w:rPr>
                <w:rFonts w:ascii="Aptos" w:hAnsi="Aptos"/>
                <w:b w:val="0"/>
                <w:sz w:val="15"/>
              </w:rPr>
              <w:t>Withdrawn</w:t>
            </w:r>
          </w:p>
        </w:tc>
        <w:tc>
          <w:tcPr>
            <w:tcW w:type="dxa" w:w="7776"/>
            <w:vAlign w:val="center"/>
          </w:tcPr>
          <w:p>
            <w:pPr>
              <w:spacing w:after="0"/>
            </w:pPr>
            <w:r/>
            <w:r>
              <w:rPr>
                <w:rFonts w:ascii="Aptos" w:hAnsi="Aptos"/>
                <w:b w:val="0"/>
                <w:sz w:val="15"/>
              </w:rPr>
              <w:t>Remove access, revoke integrations and stop new processing</w:t>
            </w:r>
          </w:p>
        </w:tc>
      </w:tr>
      <w:tr>
        <w:trPr>
          <w:cantSplit/>
        </w:trPr>
        <w:tc>
          <w:tcPr>
            <w:tcW w:type="dxa" w:w="1872"/>
            <w:vAlign w:val="center"/>
            <w:shd w:fill="F3F6F7"/>
          </w:tcPr>
          <w:p>
            <w:pPr>
              <w:spacing w:after="0"/>
            </w:pPr>
            <w:r/>
            <w:r>
              <w:rPr>
                <w:rFonts w:ascii="Aptos" w:hAnsi="Aptos"/>
                <w:b w:val="0"/>
                <w:sz w:val="15"/>
              </w:rPr>
              <w:t>Retired</w:t>
            </w:r>
          </w:p>
        </w:tc>
        <w:tc>
          <w:tcPr>
            <w:tcW w:type="dxa" w:w="7776"/>
            <w:vAlign w:val="center"/>
            <w:shd w:fill="F3F6F7"/>
          </w:tcPr>
          <w:p>
            <w:pPr>
              <w:spacing w:after="0"/>
            </w:pPr>
            <w:r/>
            <w:r>
              <w:rPr>
                <w:rFonts w:ascii="Aptos" w:hAnsi="Aptos"/>
                <w:b w:val="0"/>
                <w:sz w:val="15"/>
              </w:rPr>
              <w:t>Decommission system, close suppliers, manage data and archive evidence</w:t>
            </w:r>
          </w:p>
        </w:tc>
      </w:tr>
    </w:tbl>
    <w:p/>
    <w:p>
      <w:pPr>
        <w:pStyle w:val="Heading2"/>
      </w:pPr>
      <w:r>
        <w:t>20.1 Retirement checklist</w:t>
      </w:r>
    </w:p>
    <w:p>
      <w:r>
        <w:t>☐ Users and integrations identified</w:t>
      </w:r>
    </w:p>
    <w:p>
      <w:r>
        <w:t>☐ Processing and physical actions stopped</w:t>
      </w:r>
    </w:p>
    <w:p>
      <w:r>
        <w:t>☐ Credentials, tools and supplier access revoked</w:t>
      </w:r>
    </w:p>
    <w:p>
      <w:r>
        <w:t>☐ Data retained, returned or disposed appropriately</w:t>
      </w:r>
    </w:p>
    <w:p>
      <w:r>
        <w:t>☐ Models, prompts and configurations archived where required</w:t>
      </w:r>
    </w:p>
    <w:p>
      <w:r>
        <w:t>☐ Evidence and incident records preserved</w:t>
      </w:r>
    </w:p>
    <w:p>
      <w:r>
        <w:t>☐ Public claims and inventories updated</w:t>
      </w:r>
    </w:p>
    <w:p>
      <w:r>
        <w:t>☐ Residual obligations assigned</w:t>
      </w:r>
    </w:p>
    <w:p>
      <w:pPr>
        <w:pStyle w:val="Heading1"/>
      </w:pPr>
      <w:r>
        <w:t>21. Operational Anti-Patterns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592"/>
            <w:vAlign w:val="center"/>
            <w:shd w:fill="17324D"/>
          </w:tcPr>
          <w:p>
            <w:pPr>
              <w:spacing w:after="0"/>
            </w:pPr>
            <w:r/>
            <w:r>
              <w:rPr>
                <w:rFonts w:ascii="Aptos" w:hAnsi="Aptos"/>
                <w:b/>
                <w:color w:val="FFFFFF"/>
                <w:sz w:val="15"/>
              </w:rPr>
              <w:t>Anti-pattern</w:t>
            </w:r>
          </w:p>
        </w:tc>
        <w:tc>
          <w:tcPr>
            <w:tcW w:type="dxa" w:w="3456"/>
            <w:vAlign w:val="center"/>
            <w:shd w:fill="17324D"/>
          </w:tcPr>
          <w:p>
            <w:pPr>
              <w:spacing w:after="0"/>
            </w:pPr>
            <w:r/>
            <w:r>
              <w:rPr>
                <w:rFonts w:ascii="Aptos" w:hAnsi="Aptos"/>
                <w:b/>
                <w:color w:val="FFFFFF"/>
                <w:sz w:val="15"/>
              </w:rPr>
              <w:t>Risk</w:t>
            </w:r>
          </w:p>
        </w:tc>
        <w:tc>
          <w:tcPr>
            <w:tcW w:type="dxa" w:w="3600"/>
            <w:vAlign w:val="center"/>
            <w:shd w:fill="17324D"/>
          </w:tcPr>
          <w:p>
            <w:pPr>
              <w:spacing w:after="0"/>
            </w:pPr>
            <w:r/>
            <w:r>
              <w:rPr>
                <w:rFonts w:ascii="Aptos" w:hAnsi="Aptos"/>
                <w:b/>
                <w:color w:val="FFFFFF"/>
                <w:sz w:val="15"/>
              </w:rPr>
              <w:t>Corrective practice</w:t>
            </w:r>
          </w:p>
        </w:tc>
      </w:tr>
      <w:tr>
        <w:trPr>
          <w:cantSplit/>
        </w:trPr>
        <w:tc>
          <w:tcPr>
            <w:tcW w:type="dxa" w:w="2592"/>
            <w:vAlign w:val="center"/>
          </w:tcPr>
          <w:p>
            <w:pPr>
              <w:spacing w:after="0"/>
            </w:pPr>
            <w:r/>
            <w:r>
              <w:rPr>
                <w:rFonts w:ascii="Aptos" w:hAnsi="Aptos"/>
                <w:b w:val="0"/>
                <w:sz w:val="15"/>
              </w:rPr>
              <w:t>Dashboard-only assurance</w:t>
            </w:r>
          </w:p>
        </w:tc>
        <w:tc>
          <w:tcPr>
            <w:tcW w:type="dxa" w:w="3456"/>
            <w:vAlign w:val="center"/>
          </w:tcPr>
          <w:p>
            <w:pPr>
              <w:spacing w:after="0"/>
            </w:pPr>
            <w:r/>
            <w:r>
              <w:rPr>
                <w:rFonts w:ascii="Aptos" w:hAnsi="Aptos"/>
                <w:b w:val="0"/>
                <w:sz w:val="15"/>
              </w:rPr>
              <w:t>Metrics may lack source integrity or control context</w:t>
            </w:r>
          </w:p>
        </w:tc>
        <w:tc>
          <w:tcPr>
            <w:tcW w:type="dxa" w:w="3600"/>
            <w:vAlign w:val="center"/>
          </w:tcPr>
          <w:p>
            <w:pPr>
              <w:spacing w:after="0"/>
            </w:pPr>
            <w:r/>
            <w:r>
              <w:rPr>
                <w:rFonts w:ascii="Aptos" w:hAnsi="Aptos"/>
                <w:b w:val="0"/>
                <w:sz w:val="15"/>
              </w:rPr>
              <w:t>Link signals to controls, owners and evidence</w:t>
            </w:r>
          </w:p>
        </w:tc>
      </w:tr>
      <w:tr>
        <w:trPr>
          <w:cantSplit/>
        </w:trPr>
        <w:tc>
          <w:tcPr>
            <w:tcW w:type="dxa" w:w="2592"/>
            <w:vAlign w:val="center"/>
            <w:shd w:fill="F3F6F7"/>
          </w:tcPr>
          <w:p>
            <w:pPr>
              <w:spacing w:after="0"/>
            </w:pPr>
            <w:r/>
            <w:r>
              <w:rPr>
                <w:rFonts w:ascii="Aptos" w:hAnsi="Aptos"/>
                <w:b w:val="0"/>
                <w:sz w:val="15"/>
              </w:rPr>
              <w:t>Alert accumulation</w:t>
            </w:r>
          </w:p>
        </w:tc>
        <w:tc>
          <w:tcPr>
            <w:tcW w:type="dxa" w:w="3456"/>
            <w:vAlign w:val="center"/>
            <w:shd w:fill="F3F6F7"/>
          </w:tcPr>
          <w:p>
            <w:pPr>
              <w:spacing w:after="0"/>
            </w:pPr>
            <w:r/>
            <w:r>
              <w:rPr>
                <w:rFonts w:ascii="Aptos" w:hAnsi="Aptos"/>
                <w:b w:val="0"/>
                <w:sz w:val="15"/>
              </w:rPr>
              <w:t>Critical events are lost in noise</w:t>
            </w:r>
          </w:p>
        </w:tc>
        <w:tc>
          <w:tcPr>
            <w:tcW w:type="dxa" w:w="3600"/>
            <w:vAlign w:val="center"/>
            <w:shd w:fill="F3F6F7"/>
          </w:tcPr>
          <w:p>
            <w:pPr>
              <w:spacing w:after="0"/>
            </w:pPr>
            <w:r/>
            <w:r>
              <w:rPr>
                <w:rFonts w:ascii="Aptos" w:hAnsi="Aptos"/>
                <w:b w:val="0"/>
                <w:sz w:val="15"/>
              </w:rPr>
              <w:t>Tune, prioritize and measure review completion</w:t>
            </w:r>
          </w:p>
        </w:tc>
      </w:tr>
      <w:tr>
        <w:trPr>
          <w:cantSplit/>
        </w:trPr>
        <w:tc>
          <w:tcPr>
            <w:tcW w:type="dxa" w:w="2592"/>
            <w:vAlign w:val="center"/>
          </w:tcPr>
          <w:p>
            <w:pPr>
              <w:spacing w:after="0"/>
            </w:pPr>
            <w:r/>
            <w:r>
              <w:rPr>
                <w:rFonts w:ascii="Aptos" w:hAnsi="Aptos"/>
                <w:b w:val="0"/>
                <w:sz w:val="15"/>
              </w:rPr>
              <w:t>Model drift without decision criteria</w:t>
            </w:r>
          </w:p>
        </w:tc>
        <w:tc>
          <w:tcPr>
            <w:tcW w:type="dxa" w:w="3456"/>
            <w:vAlign w:val="center"/>
          </w:tcPr>
          <w:p>
            <w:pPr>
              <w:spacing w:after="0"/>
            </w:pPr>
            <w:r/>
            <w:r>
              <w:rPr>
                <w:rFonts w:ascii="Aptos" w:hAnsi="Aptos"/>
                <w:b w:val="0"/>
                <w:sz w:val="15"/>
              </w:rPr>
              <w:t>Change is detected but unmanaged</w:t>
            </w:r>
          </w:p>
        </w:tc>
        <w:tc>
          <w:tcPr>
            <w:tcW w:type="dxa" w:w="3600"/>
            <w:vAlign w:val="center"/>
          </w:tcPr>
          <w:p>
            <w:pPr>
              <w:spacing w:after="0"/>
            </w:pPr>
            <w:r/>
            <w:r>
              <w:rPr>
                <w:rFonts w:ascii="Aptos" w:hAnsi="Aptos"/>
                <w:b w:val="0"/>
                <w:sz w:val="15"/>
              </w:rPr>
              <w:t>Define thresholds and approved responses</w:t>
            </w:r>
          </w:p>
        </w:tc>
      </w:tr>
      <w:tr>
        <w:trPr>
          <w:cantSplit/>
        </w:trPr>
        <w:tc>
          <w:tcPr>
            <w:tcW w:type="dxa" w:w="2592"/>
            <w:vAlign w:val="center"/>
            <w:shd w:fill="F3F6F7"/>
          </w:tcPr>
          <w:p>
            <w:pPr>
              <w:spacing w:after="0"/>
            </w:pPr>
            <w:r/>
            <w:r>
              <w:rPr>
                <w:rFonts w:ascii="Aptos" w:hAnsi="Aptos"/>
                <w:b w:val="0"/>
                <w:sz w:val="15"/>
              </w:rPr>
              <w:t>Permanent exception</w:t>
            </w:r>
          </w:p>
        </w:tc>
        <w:tc>
          <w:tcPr>
            <w:tcW w:type="dxa" w:w="3456"/>
            <w:vAlign w:val="center"/>
            <w:shd w:fill="F3F6F7"/>
          </w:tcPr>
          <w:p>
            <w:pPr>
              <w:spacing w:after="0"/>
            </w:pPr>
            <w:r/>
            <w:r>
              <w:rPr>
                <w:rFonts w:ascii="Aptos" w:hAnsi="Aptos"/>
                <w:b w:val="0"/>
                <w:sz w:val="15"/>
              </w:rPr>
              <w:t>Nonconformance becomes normalized</w:t>
            </w:r>
          </w:p>
        </w:tc>
        <w:tc>
          <w:tcPr>
            <w:tcW w:type="dxa" w:w="3600"/>
            <w:vAlign w:val="center"/>
            <w:shd w:fill="F3F6F7"/>
          </w:tcPr>
          <w:p>
            <w:pPr>
              <w:spacing w:after="0"/>
            </w:pPr>
            <w:r/>
            <w:r>
              <w:rPr>
                <w:rFonts w:ascii="Aptos" w:hAnsi="Aptos"/>
                <w:b w:val="0"/>
                <w:sz w:val="15"/>
              </w:rPr>
              <w:t>Use expiry, review and remediation</w:t>
            </w:r>
          </w:p>
        </w:tc>
      </w:tr>
      <w:tr>
        <w:trPr>
          <w:cantSplit/>
        </w:trPr>
        <w:tc>
          <w:tcPr>
            <w:tcW w:type="dxa" w:w="2592"/>
            <w:vAlign w:val="center"/>
          </w:tcPr>
          <w:p>
            <w:pPr>
              <w:spacing w:after="0"/>
            </w:pPr>
            <w:r/>
            <w:r>
              <w:rPr>
                <w:rFonts w:ascii="Aptos" w:hAnsi="Aptos"/>
                <w:b w:val="0"/>
                <w:sz w:val="15"/>
              </w:rPr>
              <w:t>Supplier status assumed</w:t>
            </w:r>
          </w:p>
        </w:tc>
        <w:tc>
          <w:tcPr>
            <w:tcW w:type="dxa" w:w="3456"/>
            <w:vAlign w:val="center"/>
          </w:tcPr>
          <w:p>
            <w:pPr>
              <w:spacing w:after="0"/>
            </w:pPr>
            <w:r/>
            <w:r>
              <w:rPr>
                <w:rFonts w:ascii="Aptos" w:hAnsi="Aptos"/>
                <w:b w:val="0"/>
                <w:sz w:val="15"/>
              </w:rPr>
              <w:t>Inherited controls silently degrade</w:t>
            </w:r>
          </w:p>
        </w:tc>
        <w:tc>
          <w:tcPr>
            <w:tcW w:type="dxa" w:w="3600"/>
            <w:vAlign w:val="center"/>
          </w:tcPr>
          <w:p>
            <w:pPr>
              <w:spacing w:after="0"/>
            </w:pPr>
            <w:r/>
            <w:r>
              <w:rPr>
                <w:rFonts w:ascii="Aptos" w:hAnsi="Aptos"/>
                <w:b w:val="0"/>
                <w:sz w:val="15"/>
              </w:rPr>
              <w:t>Monitor notifications, incidents and assurance</w:t>
            </w:r>
          </w:p>
        </w:tc>
      </w:tr>
      <w:tr>
        <w:trPr>
          <w:cantSplit/>
        </w:trPr>
        <w:tc>
          <w:tcPr>
            <w:tcW w:type="dxa" w:w="2592"/>
            <w:vAlign w:val="center"/>
            <w:shd w:fill="F3F6F7"/>
          </w:tcPr>
          <w:p>
            <w:pPr>
              <w:spacing w:after="0"/>
            </w:pPr>
            <w:r/>
            <w:r>
              <w:rPr>
                <w:rFonts w:ascii="Aptos" w:hAnsi="Aptos"/>
                <w:b w:val="0"/>
                <w:sz w:val="15"/>
              </w:rPr>
              <w:t>Evidence refreshed only before audit</w:t>
            </w:r>
          </w:p>
        </w:tc>
        <w:tc>
          <w:tcPr>
            <w:tcW w:type="dxa" w:w="3456"/>
            <w:vAlign w:val="center"/>
            <w:shd w:fill="F3F6F7"/>
          </w:tcPr>
          <w:p>
            <w:pPr>
              <w:spacing w:after="0"/>
            </w:pPr>
            <w:r/>
            <w:r>
              <w:rPr>
                <w:rFonts w:ascii="Aptos" w:hAnsi="Aptos"/>
                <w:b w:val="0"/>
                <w:sz w:val="15"/>
              </w:rPr>
              <w:t>Run-state failures remain invisible</w:t>
            </w:r>
          </w:p>
        </w:tc>
        <w:tc>
          <w:tcPr>
            <w:tcW w:type="dxa" w:w="3600"/>
            <w:vAlign w:val="center"/>
            <w:shd w:fill="F3F6F7"/>
          </w:tcPr>
          <w:p>
            <w:pPr>
              <w:spacing w:after="0"/>
            </w:pPr>
            <w:r/>
            <w:r>
              <w:rPr>
                <w:rFonts w:ascii="Aptos" w:hAnsi="Aptos"/>
                <w:b w:val="0"/>
                <w:sz w:val="15"/>
              </w:rPr>
              <w:t>Maintain evidence continuously</w:t>
            </w:r>
          </w:p>
        </w:tc>
      </w:tr>
      <w:tr>
        <w:trPr>
          <w:cantSplit/>
        </w:trPr>
        <w:tc>
          <w:tcPr>
            <w:tcW w:type="dxa" w:w="2592"/>
            <w:vAlign w:val="center"/>
          </w:tcPr>
          <w:p>
            <w:pPr>
              <w:spacing w:after="0"/>
            </w:pPr>
            <w:r/>
            <w:r>
              <w:rPr>
                <w:rFonts w:ascii="Aptos" w:hAnsi="Aptos"/>
                <w:b w:val="0"/>
                <w:sz w:val="15"/>
              </w:rPr>
              <w:t>Incident closure without retest</w:t>
            </w:r>
          </w:p>
        </w:tc>
        <w:tc>
          <w:tcPr>
            <w:tcW w:type="dxa" w:w="3456"/>
            <w:vAlign w:val="center"/>
          </w:tcPr>
          <w:p>
            <w:pPr>
              <w:spacing w:after="0"/>
            </w:pPr>
            <w:r/>
            <w:r>
              <w:rPr>
                <w:rFonts w:ascii="Aptos" w:hAnsi="Aptos"/>
                <w:b w:val="0"/>
                <w:sz w:val="15"/>
              </w:rPr>
              <w:t>Control failure may persist</w:t>
            </w:r>
          </w:p>
        </w:tc>
        <w:tc>
          <w:tcPr>
            <w:tcW w:type="dxa" w:w="3600"/>
            <w:vAlign w:val="center"/>
          </w:tcPr>
          <w:p>
            <w:pPr>
              <w:spacing w:after="0"/>
            </w:pPr>
            <w:r/>
            <w:r>
              <w:rPr>
                <w:rFonts w:ascii="Aptos" w:hAnsi="Aptos"/>
                <w:b w:val="0"/>
                <w:sz w:val="15"/>
              </w:rPr>
              <w:t>Require validated corrective action</w:t>
            </w:r>
          </w:p>
        </w:tc>
      </w:tr>
      <w:tr>
        <w:trPr>
          <w:cantSplit/>
        </w:trPr>
        <w:tc>
          <w:tcPr>
            <w:tcW w:type="dxa" w:w="2592"/>
            <w:vAlign w:val="center"/>
            <w:shd w:fill="F3F6F7"/>
          </w:tcPr>
          <w:p>
            <w:pPr>
              <w:spacing w:after="0"/>
            </w:pPr>
            <w:r/>
            <w:r>
              <w:rPr>
                <w:rFonts w:ascii="Aptos" w:hAnsi="Aptos"/>
                <w:b w:val="0"/>
                <w:sz w:val="15"/>
              </w:rPr>
              <w:t>Retirement without data and access closure</w:t>
            </w:r>
          </w:p>
        </w:tc>
        <w:tc>
          <w:tcPr>
            <w:tcW w:type="dxa" w:w="3456"/>
            <w:vAlign w:val="center"/>
            <w:shd w:fill="F3F6F7"/>
          </w:tcPr>
          <w:p>
            <w:pPr>
              <w:spacing w:after="0"/>
            </w:pPr>
            <w:r/>
            <w:r>
              <w:rPr>
                <w:rFonts w:ascii="Aptos" w:hAnsi="Aptos"/>
                <w:b w:val="0"/>
                <w:sz w:val="15"/>
              </w:rPr>
              <w:t>Residual exposure remains</w:t>
            </w:r>
          </w:p>
        </w:tc>
        <w:tc>
          <w:tcPr>
            <w:tcW w:type="dxa" w:w="3600"/>
            <w:vAlign w:val="center"/>
            <w:shd w:fill="F3F6F7"/>
          </w:tcPr>
          <w:p>
            <w:pPr>
              <w:spacing w:after="0"/>
            </w:pPr>
            <w:r/>
            <w:r>
              <w:rPr>
                <w:rFonts w:ascii="Aptos" w:hAnsi="Aptos"/>
                <w:b w:val="0"/>
                <w:sz w:val="15"/>
              </w:rPr>
              <w:t>Use controlled decommissioning</w:t>
            </w:r>
          </w:p>
        </w:tc>
      </w:tr>
    </w:tbl>
    <w:p/>
    <w:p>
      <w:pPr>
        <w:pStyle w:val="Heading1"/>
      </w:pPr>
      <w:r>
        <w:t>22. Limitations</w:t>
      </w:r>
    </w:p>
    <w:p>
      <w:pPr>
        <w:pStyle w:val="ListBullet"/>
      </w:pPr>
      <w:r>
        <w:t>Operational metrics cannot capture every failure mode or emerging risk.</w:t>
      </w:r>
    </w:p>
    <w:p>
      <w:pPr>
        <w:pStyle w:val="ListBullet"/>
      </w:pPr>
      <w:r>
        <w:t>Monitoring may be constrained by privacy, supplier opacity, system design or physical conditions.</w:t>
      </w:r>
    </w:p>
    <w:p>
      <w:pPr>
        <w:pStyle w:val="ListBullet"/>
      </w:pPr>
      <w:r>
        <w:t>Thresholds require system-specific validation and may change over time.</w:t>
      </w:r>
    </w:p>
    <w:p>
      <w:pPr>
        <w:pStyle w:val="ListBullet"/>
      </w:pPr>
      <w:r>
        <w:t>Absence of alerts does not establish absence of compromise or harm.</w:t>
      </w:r>
    </w:p>
    <w:p>
      <w:pPr>
        <w:pStyle w:val="ListBullet"/>
      </w:pPr>
      <w:r>
        <w:t>Continuous monitoring does not eliminate the need for periodic independent assurance.</w:t>
      </w:r>
    </w:p>
    <w:p>
      <w:pPr>
        <w:pStyle w:val="Heading1"/>
      </w:pPr>
      <w:r>
        <w:t>23. Notably Absent</w:t>
      </w:r>
    </w:p>
    <w:p>
      <w:pPr>
        <w:pStyle w:val="ListBullet"/>
      </w:pPr>
      <w:r>
        <w:t>No universal operational threshold for every AI system.</w:t>
      </w:r>
    </w:p>
    <w:p>
      <w:pPr>
        <w:pStyle w:val="ListBullet"/>
      </w:pPr>
      <w:r>
        <w:t>No assumption that service availability demonstrates security or safety.</w:t>
      </w:r>
    </w:p>
    <w:p>
      <w:pPr>
        <w:pStyle w:val="ListBullet"/>
      </w:pPr>
      <w:r>
        <w:t>No permission to suppress failed, negative or inconclusive evidence.</w:t>
      </w:r>
    </w:p>
    <w:p>
      <w:pPr>
        <w:pStyle w:val="ListBullet"/>
      </w:pPr>
      <w:r>
        <w:t>No automatic acceptance of supplier attestations as complete assurance.</w:t>
      </w:r>
    </w:p>
    <w:p>
      <w:pPr>
        <w:pStyle w:val="ListBullet"/>
      </w:pPr>
      <w:r>
        <w:t>No guarantee that monitoring will detect every novel attack or emergent behavior.</w:t>
      </w:r>
    </w:p>
    <w:p>
      <w:pPr>
        <w:pStyle w:val="ListBullet"/>
      </w:pPr>
      <w:r>
        <w:t>No substitution for sector-specific safety, quality, privacy or incident obligations.</w:t>
      </w:r>
    </w:p>
    <w:p>
      <w:pPr>
        <w:pStyle w:val="Heading1"/>
      </w:pPr>
      <w:r>
        <w:t>Annex A — Daily Operations Checklist</w:t>
      </w:r>
    </w:p>
    <w:p>
      <w:r>
        <w:t>☐ Critical alerts reviewed</w:t>
      </w:r>
    </w:p>
    <w:p>
      <w:r>
        <w:t>☐ Red and unknown control-health states assigned</w:t>
      </w:r>
    </w:p>
    <w:p>
      <w:r>
        <w:t>☐ Incidents and near misses triaged</w:t>
      </w:r>
    </w:p>
    <w:p>
      <w:r>
        <w:t>☐ Unauthorized changes investigated</w:t>
      </w:r>
    </w:p>
    <w:p>
      <w:r>
        <w:t>☐ High-risk agent and physical actions reviewed</w:t>
      </w:r>
    </w:p>
    <w:p>
      <w:r>
        <w:t>☐ Supplier notifications checked</w:t>
      </w:r>
    </w:p>
    <w:p>
      <w:r>
        <w:t>☐ Evidence pipeline operating</w:t>
      </w:r>
    </w:p>
    <w:p>
      <w:r>
        <w:t>☐ Escalations completed</w:t>
      </w:r>
    </w:p>
    <w:p>
      <w:pPr>
        <w:pStyle w:val="Heading1"/>
      </w:pPr>
      <w:r>
        <w:t>Annex B — Monthly Control Review Template</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024"/>
            <w:vAlign w:val="center"/>
            <w:shd w:fill="17324D"/>
          </w:tcPr>
          <w:p>
            <w:pPr>
              <w:spacing w:after="0"/>
            </w:pPr>
            <w:r/>
            <w:r>
              <w:rPr>
                <w:rFonts w:ascii="Aptos" w:hAnsi="Aptos"/>
                <w:b/>
                <w:color w:val="FFFFFF"/>
                <w:sz w:val="15"/>
              </w:rPr>
              <w:t>Field</w:t>
            </w:r>
          </w:p>
        </w:tc>
        <w:tc>
          <w:tcPr>
            <w:tcW w:type="dxa" w:w="6624"/>
            <w:vAlign w:val="center"/>
            <w:shd w:fill="17324D"/>
          </w:tcPr>
          <w:p>
            <w:pPr>
              <w:spacing w:after="0"/>
            </w:pPr>
            <w:r/>
            <w:r>
              <w:rPr>
                <w:rFonts w:ascii="Aptos" w:hAnsi="Aptos"/>
                <w:b/>
                <w:color w:val="FFFFFF"/>
                <w:sz w:val="15"/>
              </w:rPr>
              <w:t>Entry</w:t>
            </w:r>
          </w:p>
        </w:tc>
      </w:tr>
      <w:tr>
        <w:trPr>
          <w:cantSplit/>
        </w:trPr>
        <w:tc>
          <w:tcPr>
            <w:tcW w:type="dxa" w:w="3024"/>
            <w:vAlign w:val="center"/>
          </w:tcPr>
          <w:p>
            <w:pPr>
              <w:spacing w:after="0"/>
            </w:pPr>
            <w:r/>
            <w:r>
              <w:rPr>
                <w:rFonts w:ascii="Aptos" w:hAnsi="Aptos"/>
                <w:b w:val="0"/>
                <w:sz w:val="15"/>
              </w:rPr>
              <w:t>Control ID</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System/scope</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Owner</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Health state</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Operating evidence</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Metrics</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Incidents/findings</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Exceptions</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Changes</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Actions</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Next review</w:t>
            </w:r>
          </w:p>
        </w:tc>
        <w:tc>
          <w:tcPr>
            <w:tcW w:type="dxa" w:w="6624"/>
            <w:vAlign w:val="center"/>
          </w:tcPr>
          <w:p>
            <w:pPr>
              <w:spacing w:after="0"/>
            </w:pPr>
            <w:r/>
            <w:r>
              <w:rPr>
                <w:rFonts w:ascii="Aptos" w:hAnsi="Aptos"/>
                <w:b w:val="0"/>
                <w:sz w:val="15"/>
              </w:rPr>
            </w:r>
          </w:p>
        </w:tc>
      </w:tr>
    </w:tbl>
    <w:p/>
    <w:p>
      <w:pPr>
        <w:pStyle w:val="Heading1"/>
      </w:pPr>
      <w:r>
        <w:t>Annex C — Operational Dashboard Template</w:t>
      </w:r>
    </w:p>
    <w:tbl>
      <w:tblPr>
        <w:tblStyle w:val="TableGrid"/>
        <w:tblW w:type="auto" w:w="0"/>
        <w:jc w:val="center"/>
        <w:tblLook w:firstColumn="1" w:firstRow="1" w:lastColumn="0" w:lastRow="0" w:noHBand="0" w:noVBand="1" w:val="04A0"/>
      </w:tblPr>
      <w:tblGrid>
        <w:gridCol w:w="1714"/>
        <w:gridCol w:w="1714"/>
        <w:gridCol w:w="1714"/>
        <w:gridCol w:w="1714"/>
        <w:gridCol w:w="1714"/>
        <w:gridCol w:w="1714"/>
      </w:tblGrid>
      <w:tr>
        <w:trPr>
          <w:tblHeader w:val="true"/>
          <w:cantSplit/>
        </w:trPr>
        <w:tc>
          <w:tcPr>
            <w:tcW w:type="dxa" w:w="2448"/>
            <w:vAlign w:val="center"/>
            <w:shd w:fill="17324D"/>
          </w:tcPr>
          <w:p>
            <w:pPr>
              <w:spacing w:after="0"/>
            </w:pPr>
            <w:r/>
            <w:r>
              <w:rPr>
                <w:rFonts w:ascii="Aptos" w:hAnsi="Aptos"/>
                <w:b/>
                <w:color w:val="FFFFFF"/>
                <w:sz w:val="15"/>
              </w:rPr>
              <w:t>Indicator</w:t>
            </w:r>
          </w:p>
        </w:tc>
        <w:tc>
          <w:tcPr>
            <w:tcW w:type="dxa" w:w="1440"/>
            <w:vAlign w:val="center"/>
            <w:shd w:fill="17324D"/>
          </w:tcPr>
          <w:p>
            <w:pPr>
              <w:spacing w:after="0"/>
            </w:pPr>
            <w:r/>
            <w:r>
              <w:rPr>
                <w:rFonts w:ascii="Aptos" w:hAnsi="Aptos"/>
                <w:b/>
                <w:color w:val="FFFFFF"/>
                <w:sz w:val="15"/>
              </w:rPr>
              <w:t>Current</w:t>
            </w:r>
          </w:p>
        </w:tc>
        <w:tc>
          <w:tcPr>
            <w:tcW w:type="dxa" w:w="1440"/>
            <w:vAlign w:val="center"/>
            <w:shd w:fill="17324D"/>
          </w:tcPr>
          <w:p>
            <w:pPr>
              <w:spacing w:after="0"/>
            </w:pPr>
            <w:r/>
            <w:r>
              <w:rPr>
                <w:rFonts w:ascii="Aptos" w:hAnsi="Aptos"/>
                <w:b/>
                <w:color w:val="FFFFFF"/>
                <w:sz w:val="15"/>
              </w:rPr>
              <w:t>Threshold</w:t>
            </w:r>
          </w:p>
        </w:tc>
        <w:tc>
          <w:tcPr>
            <w:tcW w:type="dxa" w:w="1152"/>
            <w:vAlign w:val="center"/>
            <w:shd w:fill="17324D"/>
          </w:tcPr>
          <w:p>
            <w:pPr>
              <w:spacing w:after="0"/>
            </w:pPr>
            <w:r/>
            <w:r>
              <w:rPr>
                <w:rFonts w:ascii="Aptos" w:hAnsi="Aptos"/>
                <w:b/>
                <w:color w:val="FFFFFF"/>
                <w:sz w:val="15"/>
              </w:rPr>
              <w:t>Trend</w:t>
            </w:r>
          </w:p>
        </w:tc>
        <w:tc>
          <w:tcPr>
            <w:tcW w:type="dxa" w:w="1440"/>
            <w:vAlign w:val="center"/>
            <w:shd w:fill="17324D"/>
          </w:tcPr>
          <w:p>
            <w:pPr>
              <w:spacing w:after="0"/>
            </w:pPr>
            <w:r/>
            <w:r>
              <w:rPr>
                <w:rFonts w:ascii="Aptos" w:hAnsi="Aptos"/>
                <w:b/>
                <w:color w:val="FFFFFF"/>
                <w:sz w:val="15"/>
              </w:rPr>
              <w:t>Owner</w:t>
            </w:r>
          </w:p>
        </w:tc>
        <w:tc>
          <w:tcPr>
            <w:tcW w:type="dxa" w:w="2160"/>
            <w:vAlign w:val="center"/>
            <w:shd w:fill="17324D"/>
          </w:tcPr>
          <w:p>
            <w:pPr>
              <w:spacing w:after="0"/>
            </w:pPr>
            <w:r/>
            <w:r>
              <w:rPr>
                <w:rFonts w:ascii="Aptos" w:hAnsi="Aptos"/>
                <w:b/>
                <w:color w:val="FFFFFF"/>
                <w:sz w:val="15"/>
              </w:rPr>
              <w:t>Action</w:t>
            </w:r>
          </w:p>
        </w:tc>
      </w:tr>
      <w:tr>
        <w:trPr>
          <w:cantSplit/>
        </w:trPr>
        <w:tc>
          <w:tcPr>
            <w:tcW w:type="dxa" w:w="2448"/>
            <w:vAlign w:val="center"/>
          </w:tcPr>
          <w:p>
            <w:pPr>
              <w:spacing w:after="0"/>
            </w:pPr>
            <w:r/>
            <w:r>
              <w:rPr>
                <w:rFonts w:ascii="Aptos" w:hAnsi="Aptos"/>
                <w:b w:val="0"/>
                <w:sz w:val="15"/>
              </w:rPr>
              <w:t>Control health</w:t>
            </w:r>
          </w:p>
        </w:tc>
        <w:tc>
          <w:tcPr>
            <w:tcW w:type="dxa" w:w="1440"/>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2160"/>
            <w:vAlign w:val="center"/>
          </w:tcPr>
          <w:p>
            <w:pPr>
              <w:spacing w:after="0"/>
            </w:pPr>
            <w:r/>
            <w:r>
              <w:rPr>
                <w:rFonts w:ascii="Aptos" w:hAnsi="Aptos"/>
                <w:b w:val="0"/>
                <w:sz w:val="15"/>
              </w:rPr>
            </w:r>
          </w:p>
        </w:tc>
      </w:tr>
      <w:tr>
        <w:trPr>
          <w:cantSplit/>
        </w:trPr>
        <w:tc>
          <w:tcPr>
            <w:tcW w:type="dxa" w:w="2448"/>
            <w:vAlign w:val="center"/>
            <w:shd w:fill="F3F6F7"/>
          </w:tcPr>
          <w:p>
            <w:pPr>
              <w:spacing w:after="0"/>
            </w:pPr>
            <w:r/>
            <w:r>
              <w:rPr>
                <w:rFonts w:ascii="Aptos" w:hAnsi="Aptos"/>
                <w:b w:val="0"/>
                <w:sz w:val="15"/>
              </w:rPr>
              <w:t>Open incidents</w:t>
            </w:r>
          </w:p>
        </w:tc>
        <w:tc>
          <w:tcPr>
            <w:tcW w:type="dxa" w:w="1440"/>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2160"/>
            <w:vAlign w:val="center"/>
            <w:shd w:fill="F3F6F7"/>
          </w:tcPr>
          <w:p>
            <w:pPr>
              <w:spacing w:after="0"/>
            </w:pPr>
            <w:r/>
            <w:r>
              <w:rPr>
                <w:rFonts w:ascii="Aptos" w:hAnsi="Aptos"/>
                <w:b w:val="0"/>
                <w:sz w:val="15"/>
              </w:rPr>
            </w:r>
          </w:p>
        </w:tc>
      </w:tr>
      <w:tr>
        <w:trPr>
          <w:cantSplit/>
        </w:trPr>
        <w:tc>
          <w:tcPr>
            <w:tcW w:type="dxa" w:w="2448"/>
            <w:vAlign w:val="center"/>
          </w:tcPr>
          <w:p>
            <w:pPr>
              <w:spacing w:after="0"/>
            </w:pPr>
            <w:r/>
            <w:r>
              <w:rPr>
                <w:rFonts w:ascii="Aptos" w:hAnsi="Aptos"/>
                <w:b w:val="0"/>
                <w:sz w:val="15"/>
              </w:rPr>
              <w:t>Expired evidence</w:t>
            </w:r>
          </w:p>
        </w:tc>
        <w:tc>
          <w:tcPr>
            <w:tcW w:type="dxa" w:w="1440"/>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2160"/>
            <w:vAlign w:val="center"/>
          </w:tcPr>
          <w:p>
            <w:pPr>
              <w:spacing w:after="0"/>
            </w:pPr>
            <w:r/>
            <w:r>
              <w:rPr>
                <w:rFonts w:ascii="Aptos" w:hAnsi="Aptos"/>
                <w:b w:val="0"/>
                <w:sz w:val="15"/>
              </w:rPr>
            </w:r>
          </w:p>
        </w:tc>
      </w:tr>
      <w:tr>
        <w:trPr>
          <w:cantSplit/>
        </w:trPr>
        <w:tc>
          <w:tcPr>
            <w:tcW w:type="dxa" w:w="2448"/>
            <w:vAlign w:val="center"/>
            <w:shd w:fill="F3F6F7"/>
          </w:tcPr>
          <w:p>
            <w:pPr>
              <w:spacing w:after="0"/>
            </w:pPr>
            <w:r/>
            <w:r>
              <w:rPr>
                <w:rFonts w:ascii="Aptos" w:hAnsi="Aptos"/>
                <w:b w:val="0"/>
                <w:sz w:val="15"/>
              </w:rPr>
              <w:t>Open exceptions</w:t>
            </w:r>
          </w:p>
        </w:tc>
        <w:tc>
          <w:tcPr>
            <w:tcW w:type="dxa" w:w="1440"/>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2160"/>
            <w:vAlign w:val="center"/>
            <w:shd w:fill="F3F6F7"/>
          </w:tcPr>
          <w:p>
            <w:pPr>
              <w:spacing w:after="0"/>
            </w:pPr>
            <w:r/>
            <w:r>
              <w:rPr>
                <w:rFonts w:ascii="Aptos" w:hAnsi="Aptos"/>
                <w:b w:val="0"/>
                <w:sz w:val="15"/>
              </w:rPr>
            </w:r>
          </w:p>
        </w:tc>
      </w:tr>
      <w:tr>
        <w:trPr>
          <w:cantSplit/>
        </w:trPr>
        <w:tc>
          <w:tcPr>
            <w:tcW w:type="dxa" w:w="2448"/>
            <w:vAlign w:val="center"/>
          </w:tcPr>
          <w:p>
            <w:pPr>
              <w:spacing w:after="0"/>
            </w:pPr>
            <w:r/>
            <w:r>
              <w:rPr>
                <w:rFonts w:ascii="Aptos" w:hAnsi="Aptos"/>
                <w:b w:val="0"/>
                <w:sz w:val="15"/>
              </w:rPr>
              <w:t>Model/data drift</w:t>
            </w:r>
          </w:p>
        </w:tc>
        <w:tc>
          <w:tcPr>
            <w:tcW w:type="dxa" w:w="1440"/>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2160"/>
            <w:vAlign w:val="center"/>
          </w:tcPr>
          <w:p>
            <w:pPr>
              <w:spacing w:after="0"/>
            </w:pPr>
            <w:r/>
            <w:r>
              <w:rPr>
                <w:rFonts w:ascii="Aptos" w:hAnsi="Aptos"/>
                <w:b w:val="0"/>
                <w:sz w:val="15"/>
              </w:rPr>
            </w:r>
          </w:p>
        </w:tc>
      </w:tr>
      <w:tr>
        <w:trPr>
          <w:cantSplit/>
        </w:trPr>
        <w:tc>
          <w:tcPr>
            <w:tcW w:type="dxa" w:w="2448"/>
            <w:vAlign w:val="center"/>
            <w:shd w:fill="F3F6F7"/>
          </w:tcPr>
          <w:p>
            <w:pPr>
              <w:spacing w:after="0"/>
            </w:pPr>
            <w:r/>
            <w:r>
              <w:rPr>
                <w:rFonts w:ascii="Aptos" w:hAnsi="Aptos"/>
                <w:b w:val="0"/>
                <w:sz w:val="15"/>
              </w:rPr>
              <w:t>Supplier risk</w:t>
            </w:r>
          </w:p>
        </w:tc>
        <w:tc>
          <w:tcPr>
            <w:tcW w:type="dxa" w:w="1440"/>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2160"/>
            <w:vAlign w:val="center"/>
            <w:shd w:fill="F3F6F7"/>
          </w:tcPr>
          <w:p>
            <w:pPr>
              <w:spacing w:after="0"/>
            </w:pPr>
            <w:r/>
            <w:r>
              <w:rPr>
                <w:rFonts w:ascii="Aptos" w:hAnsi="Aptos"/>
                <w:b w:val="0"/>
                <w:sz w:val="15"/>
              </w:rPr>
            </w:r>
          </w:p>
        </w:tc>
      </w:tr>
      <w:tr>
        <w:trPr>
          <w:cantSplit/>
        </w:trPr>
        <w:tc>
          <w:tcPr>
            <w:tcW w:type="dxa" w:w="2448"/>
            <w:vAlign w:val="center"/>
          </w:tcPr>
          <w:p>
            <w:pPr>
              <w:spacing w:after="0"/>
            </w:pPr>
            <w:r/>
            <w:r>
              <w:rPr>
                <w:rFonts w:ascii="Aptos" w:hAnsi="Aptos"/>
                <w:b w:val="0"/>
                <w:sz w:val="15"/>
              </w:rPr>
              <w:t>Safety events</w:t>
            </w:r>
          </w:p>
        </w:tc>
        <w:tc>
          <w:tcPr>
            <w:tcW w:type="dxa" w:w="1440"/>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2160"/>
            <w:vAlign w:val="center"/>
          </w:tcPr>
          <w:p>
            <w:pPr>
              <w:spacing w:after="0"/>
            </w:pPr>
            <w:r/>
            <w:r>
              <w:rPr>
                <w:rFonts w:ascii="Aptos" w:hAnsi="Aptos"/>
                <w:b w:val="0"/>
                <w:sz w:val="15"/>
              </w:rPr>
            </w:r>
          </w:p>
        </w:tc>
      </w:tr>
    </w:tbl>
    <w:p/>
    <w:p>
      <w:pPr>
        <w:pStyle w:val="Heading1"/>
      </w:pPr>
      <w:r>
        <w:t>Annex D — Management Review Record</w:t>
      </w:r>
    </w:p>
    <w:tbl>
      <w:tblPr>
        <w:tblStyle w:val="TableGrid"/>
        <w:tblW w:type="auto" w:w="0"/>
        <w:jc w:val="center"/>
        <w:tblLook w:firstColumn="1" w:firstRow="1" w:lastColumn="0" w:lastRow="0" w:noHBand="0" w:noVBand="1" w:val="04A0"/>
      </w:tblPr>
      <w:tblGrid>
        <w:gridCol w:w="1714"/>
        <w:gridCol w:w="1714"/>
        <w:gridCol w:w="1714"/>
        <w:gridCol w:w="1714"/>
        <w:gridCol w:w="1714"/>
        <w:gridCol w:w="1714"/>
      </w:tblGrid>
      <w:tr>
        <w:trPr>
          <w:tblHeader w:val="true"/>
          <w:cantSplit/>
        </w:trPr>
        <w:tc>
          <w:tcPr>
            <w:tcW w:type="dxa" w:w="1872"/>
            <w:vAlign w:val="center"/>
            <w:shd w:fill="17324D"/>
          </w:tcPr>
          <w:p>
            <w:pPr>
              <w:spacing w:after="0"/>
            </w:pPr>
            <w:r/>
            <w:r>
              <w:rPr>
                <w:rFonts w:ascii="Aptos" w:hAnsi="Aptos"/>
                <w:b/>
                <w:color w:val="FFFFFF"/>
                <w:sz w:val="15"/>
              </w:rPr>
              <w:t>Review area</w:t>
            </w:r>
          </w:p>
        </w:tc>
        <w:tc>
          <w:tcPr>
            <w:tcW w:type="dxa" w:w="2160"/>
            <w:vAlign w:val="center"/>
            <w:shd w:fill="17324D"/>
          </w:tcPr>
          <w:p>
            <w:pPr>
              <w:spacing w:after="0"/>
            </w:pPr>
            <w:r/>
            <w:r>
              <w:rPr>
                <w:rFonts w:ascii="Aptos" w:hAnsi="Aptos"/>
                <w:b/>
                <w:color w:val="FFFFFF"/>
                <w:sz w:val="15"/>
              </w:rPr>
              <w:t>Finding</w:t>
            </w:r>
          </w:p>
        </w:tc>
        <w:tc>
          <w:tcPr>
            <w:tcW w:type="dxa" w:w="2016"/>
            <w:vAlign w:val="center"/>
            <w:shd w:fill="17324D"/>
          </w:tcPr>
          <w:p>
            <w:pPr>
              <w:spacing w:after="0"/>
            </w:pPr>
            <w:r/>
            <w:r>
              <w:rPr>
                <w:rFonts w:ascii="Aptos" w:hAnsi="Aptos"/>
                <w:b/>
                <w:color w:val="FFFFFF"/>
                <w:sz w:val="15"/>
              </w:rPr>
              <w:t>Decision</w:t>
            </w:r>
          </w:p>
        </w:tc>
        <w:tc>
          <w:tcPr>
            <w:tcW w:type="dxa" w:w="1296"/>
            <w:vAlign w:val="center"/>
            <w:shd w:fill="17324D"/>
          </w:tcPr>
          <w:p>
            <w:pPr>
              <w:spacing w:after="0"/>
            </w:pPr>
            <w:r/>
            <w:r>
              <w:rPr>
                <w:rFonts w:ascii="Aptos" w:hAnsi="Aptos"/>
                <w:b/>
                <w:color w:val="FFFFFF"/>
                <w:sz w:val="15"/>
              </w:rPr>
              <w:t>Owner</w:t>
            </w:r>
          </w:p>
        </w:tc>
        <w:tc>
          <w:tcPr>
            <w:tcW w:type="dxa" w:w="1296"/>
            <w:vAlign w:val="center"/>
            <w:shd w:fill="17324D"/>
          </w:tcPr>
          <w:p>
            <w:pPr>
              <w:spacing w:after="0"/>
            </w:pPr>
            <w:r/>
            <w:r>
              <w:rPr>
                <w:rFonts w:ascii="Aptos" w:hAnsi="Aptos"/>
                <w:b/>
                <w:color w:val="FFFFFF"/>
                <w:sz w:val="15"/>
              </w:rPr>
              <w:t>Due date</w:t>
            </w:r>
          </w:p>
        </w:tc>
        <w:tc>
          <w:tcPr>
            <w:tcW w:type="dxa" w:w="1728"/>
            <w:vAlign w:val="center"/>
            <w:shd w:fill="17324D"/>
          </w:tcPr>
          <w:p>
            <w:pPr>
              <w:spacing w:after="0"/>
            </w:pPr>
            <w:r/>
            <w:r>
              <w:rPr>
                <w:rFonts w:ascii="Aptos" w:hAnsi="Aptos"/>
                <w:b/>
                <w:color w:val="FFFFFF"/>
                <w:sz w:val="15"/>
              </w:rPr>
              <w:t>Evidence</w:t>
            </w:r>
          </w:p>
        </w:tc>
      </w:tr>
      <w:tr>
        <w:trPr>
          <w:cantSplit/>
        </w:trPr>
        <w:tc>
          <w:tcPr>
            <w:tcW w:type="dxa" w:w="1872"/>
            <w:vAlign w:val="center"/>
          </w:tcPr>
          <w:p>
            <w:pPr>
              <w:spacing w:after="0"/>
            </w:pPr>
            <w:r/>
            <w:r>
              <w:rPr>
                <w:rFonts w:ascii="Aptos" w:hAnsi="Aptos"/>
                <w:b w:val="0"/>
                <w:sz w:val="15"/>
              </w:rPr>
              <w:t>Scope</w:t>
            </w:r>
          </w:p>
        </w:tc>
        <w:tc>
          <w:tcPr>
            <w:tcW w:type="dxa" w:w="2160"/>
            <w:vAlign w:val="center"/>
          </w:tcPr>
          <w:p>
            <w:pPr>
              <w:spacing w:after="0"/>
            </w:pPr>
            <w:r/>
            <w:r>
              <w:rPr>
                <w:rFonts w:ascii="Aptos" w:hAnsi="Aptos"/>
                <w:b w:val="0"/>
                <w:sz w:val="15"/>
              </w:rPr>
            </w:r>
          </w:p>
        </w:tc>
        <w:tc>
          <w:tcPr>
            <w:tcW w:type="dxa" w:w="2016"/>
            <w:vAlign w:val="center"/>
          </w:tcPr>
          <w:p>
            <w:pPr>
              <w:spacing w:after="0"/>
            </w:pPr>
            <w:r/>
            <w:r>
              <w:rPr>
                <w:rFonts w:ascii="Aptos" w:hAnsi="Aptos"/>
                <w:b w:val="0"/>
                <w:sz w:val="15"/>
              </w:rPr>
            </w:r>
          </w:p>
        </w:tc>
        <w:tc>
          <w:tcPr>
            <w:tcW w:type="dxa" w:w="1296"/>
            <w:vAlign w:val="center"/>
          </w:tcPr>
          <w:p>
            <w:pPr>
              <w:spacing w:after="0"/>
            </w:pPr>
            <w:r/>
            <w:r>
              <w:rPr>
                <w:rFonts w:ascii="Aptos" w:hAnsi="Aptos"/>
                <w:b w:val="0"/>
                <w:sz w:val="15"/>
              </w:rPr>
            </w:r>
          </w:p>
        </w:tc>
        <w:tc>
          <w:tcPr>
            <w:tcW w:type="dxa" w:w="1296"/>
            <w:vAlign w:val="center"/>
          </w:tcPr>
          <w:p>
            <w:pPr>
              <w:spacing w:after="0"/>
            </w:pPr>
            <w:r/>
            <w:r>
              <w:rPr>
                <w:rFonts w:ascii="Aptos" w:hAnsi="Aptos"/>
                <w:b w:val="0"/>
                <w:sz w:val="15"/>
              </w:rPr>
            </w:r>
          </w:p>
        </w:tc>
        <w:tc>
          <w:tcPr>
            <w:tcW w:type="dxa" w:w="1728"/>
            <w:vAlign w:val="center"/>
          </w:tcPr>
          <w:p>
            <w:pPr>
              <w:spacing w:after="0"/>
            </w:pPr>
            <w:r/>
            <w:r>
              <w:rPr>
                <w:rFonts w:ascii="Aptos" w:hAnsi="Aptos"/>
                <w:b w:val="0"/>
                <w:sz w:val="15"/>
              </w:rPr>
            </w:r>
          </w:p>
        </w:tc>
      </w:tr>
      <w:tr>
        <w:trPr>
          <w:cantSplit/>
        </w:trPr>
        <w:tc>
          <w:tcPr>
            <w:tcW w:type="dxa" w:w="1872"/>
            <w:vAlign w:val="center"/>
            <w:shd w:fill="F3F6F7"/>
          </w:tcPr>
          <w:p>
            <w:pPr>
              <w:spacing w:after="0"/>
            </w:pPr>
            <w:r/>
            <w:r>
              <w:rPr>
                <w:rFonts w:ascii="Aptos" w:hAnsi="Aptos"/>
                <w:b w:val="0"/>
                <w:sz w:val="15"/>
              </w:rPr>
              <w:t>Control health</w:t>
            </w:r>
          </w:p>
        </w:tc>
        <w:tc>
          <w:tcPr>
            <w:tcW w:type="dxa" w:w="2160"/>
            <w:vAlign w:val="center"/>
            <w:shd w:fill="F3F6F7"/>
          </w:tcPr>
          <w:p>
            <w:pPr>
              <w:spacing w:after="0"/>
            </w:pPr>
            <w:r/>
            <w:r>
              <w:rPr>
                <w:rFonts w:ascii="Aptos" w:hAnsi="Aptos"/>
                <w:b w:val="0"/>
                <w:sz w:val="15"/>
              </w:rPr>
            </w:r>
          </w:p>
        </w:tc>
        <w:tc>
          <w:tcPr>
            <w:tcW w:type="dxa" w:w="2016"/>
            <w:vAlign w:val="center"/>
            <w:shd w:fill="F3F6F7"/>
          </w:tcPr>
          <w:p>
            <w:pPr>
              <w:spacing w:after="0"/>
            </w:pPr>
            <w:r/>
            <w:r>
              <w:rPr>
                <w:rFonts w:ascii="Aptos" w:hAnsi="Aptos"/>
                <w:b w:val="0"/>
                <w:sz w:val="15"/>
              </w:rPr>
            </w:r>
          </w:p>
        </w:tc>
        <w:tc>
          <w:tcPr>
            <w:tcW w:type="dxa" w:w="1296"/>
            <w:vAlign w:val="center"/>
            <w:shd w:fill="F3F6F7"/>
          </w:tcPr>
          <w:p>
            <w:pPr>
              <w:spacing w:after="0"/>
            </w:pPr>
            <w:r/>
            <w:r>
              <w:rPr>
                <w:rFonts w:ascii="Aptos" w:hAnsi="Aptos"/>
                <w:b w:val="0"/>
                <w:sz w:val="15"/>
              </w:rPr>
            </w:r>
          </w:p>
        </w:tc>
        <w:tc>
          <w:tcPr>
            <w:tcW w:type="dxa" w:w="1296"/>
            <w:vAlign w:val="center"/>
            <w:shd w:fill="F3F6F7"/>
          </w:tcPr>
          <w:p>
            <w:pPr>
              <w:spacing w:after="0"/>
            </w:pPr>
            <w:r/>
            <w:r>
              <w:rPr>
                <w:rFonts w:ascii="Aptos" w:hAnsi="Aptos"/>
                <w:b w:val="0"/>
                <w:sz w:val="15"/>
              </w:rPr>
            </w:r>
          </w:p>
        </w:tc>
        <w:tc>
          <w:tcPr>
            <w:tcW w:type="dxa" w:w="1728"/>
            <w:vAlign w:val="center"/>
            <w:shd w:fill="F3F6F7"/>
          </w:tcPr>
          <w:p>
            <w:pPr>
              <w:spacing w:after="0"/>
            </w:pPr>
            <w:r/>
            <w:r>
              <w:rPr>
                <w:rFonts w:ascii="Aptos" w:hAnsi="Aptos"/>
                <w:b w:val="0"/>
                <w:sz w:val="15"/>
              </w:rPr>
            </w:r>
          </w:p>
        </w:tc>
      </w:tr>
      <w:tr>
        <w:trPr>
          <w:cantSplit/>
        </w:trPr>
        <w:tc>
          <w:tcPr>
            <w:tcW w:type="dxa" w:w="1872"/>
            <w:vAlign w:val="center"/>
          </w:tcPr>
          <w:p>
            <w:pPr>
              <w:spacing w:after="0"/>
            </w:pPr>
            <w:r/>
            <w:r>
              <w:rPr>
                <w:rFonts w:ascii="Aptos" w:hAnsi="Aptos"/>
                <w:b w:val="0"/>
                <w:sz w:val="15"/>
              </w:rPr>
              <w:t>Incidents</w:t>
            </w:r>
          </w:p>
        </w:tc>
        <w:tc>
          <w:tcPr>
            <w:tcW w:type="dxa" w:w="2160"/>
            <w:vAlign w:val="center"/>
          </w:tcPr>
          <w:p>
            <w:pPr>
              <w:spacing w:after="0"/>
            </w:pPr>
            <w:r/>
            <w:r>
              <w:rPr>
                <w:rFonts w:ascii="Aptos" w:hAnsi="Aptos"/>
                <w:b w:val="0"/>
                <w:sz w:val="15"/>
              </w:rPr>
            </w:r>
          </w:p>
        </w:tc>
        <w:tc>
          <w:tcPr>
            <w:tcW w:type="dxa" w:w="2016"/>
            <w:vAlign w:val="center"/>
          </w:tcPr>
          <w:p>
            <w:pPr>
              <w:spacing w:after="0"/>
            </w:pPr>
            <w:r/>
            <w:r>
              <w:rPr>
                <w:rFonts w:ascii="Aptos" w:hAnsi="Aptos"/>
                <w:b w:val="0"/>
                <w:sz w:val="15"/>
              </w:rPr>
            </w:r>
          </w:p>
        </w:tc>
        <w:tc>
          <w:tcPr>
            <w:tcW w:type="dxa" w:w="1296"/>
            <w:vAlign w:val="center"/>
          </w:tcPr>
          <w:p>
            <w:pPr>
              <w:spacing w:after="0"/>
            </w:pPr>
            <w:r/>
            <w:r>
              <w:rPr>
                <w:rFonts w:ascii="Aptos" w:hAnsi="Aptos"/>
                <w:b w:val="0"/>
                <w:sz w:val="15"/>
              </w:rPr>
            </w:r>
          </w:p>
        </w:tc>
        <w:tc>
          <w:tcPr>
            <w:tcW w:type="dxa" w:w="1296"/>
            <w:vAlign w:val="center"/>
          </w:tcPr>
          <w:p>
            <w:pPr>
              <w:spacing w:after="0"/>
            </w:pPr>
            <w:r/>
            <w:r>
              <w:rPr>
                <w:rFonts w:ascii="Aptos" w:hAnsi="Aptos"/>
                <w:b w:val="0"/>
                <w:sz w:val="15"/>
              </w:rPr>
            </w:r>
          </w:p>
        </w:tc>
        <w:tc>
          <w:tcPr>
            <w:tcW w:type="dxa" w:w="1728"/>
            <w:vAlign w:val="center"/>
          </w:tcPr>
          <w:p>
            <w:pPr>
              <w:spacing w:after="0"/>
            </w:pPr>
            <w:r/>
            <w:r>
              <w:rPr>
                <w:rFonts w:ascii="Aptos" w:hAnsi="Aptos"/>
                <w:b w:val="0"/>
                <w:sz w:val="15"/>
              </w:rPr>
            </w:r>
          </w:p>
        </w:tc>
      </w:tr>
      <w:tr>
        <w:trPr>
          <w:cantSplit/>
        </w:trPr>
        <w:tc>
          <w:tcPr>
            <w:tcW w:type="dxa" w:w="1872"/>
            <w:vAlign w:val="center"/>
            <w:shd w:fill="F3F6F7"/>
          </w:tcPr>
          <w:p>
            <w:pPr>
              <w:spacing w:after="0"/>
            </w:pPr>
            <w:r/>
            <w:r>
              <w:rPr>
                <w:rFonts w:ascii="Aptos" w:hAnsi="Aptos"/>
                <w:b w:val="0"/>
                <w:sz w:val="15"/>
              </w:rPr>
              <w:t>Exceptions</w:t>
            </w:r>
          </w:p>
        </w:tc>
        <w:tc>
          <w:tcPr>
            <w:tcW w:type="dxa" w:w="2160"/>
            <w:vAlign w:val="center"/>
            <w:shd w:fill="F3F6F7"/>
          </w:tcPr>
          <w:p>
            <w:pPr>
              <w:spacing w:after="0"/>
            </w:pPr>
            <w:r/>
            <w:r>
              <w:rPr>
                <w:rFonts w:ascii="Aptos" w:hAnsi="Aptos"/>
                <w:b w:val="0"/>
                <w:sz w:val="15"/>
              </w:rPr>
            </w:r>
          </w:p>
        </w:tc>
        <w:tc>
          <w:tcPr>
            <w:tcW w:type="dxa" w:w="2016"/>
            <w:vAlign w:val="center"/>
            <w:shd w:fill="F3F6F7"/>
          </w:tcPr>
          <w:p>
            <w:pPr>
              <w:spacing w:after="0"/>
            </w:pPr>
            <w:r/>
            <w:r>
              <w:rPr>
                <w:rFonts w:ascii="Aptos" w:hAnsi="Aptos"/>
                <w:b w:val="0"/>
                <w:sz w:val="15"/>
              </w:rPr>
            </w:r>
          </w:p>
        </w:tc>
        <w:tc>
          <w:tcPr>
            <w:tcW w:type="dxa" w:w="1296"/>
            <w:vAlign w:val="center"/>
            <w:shd w:fill="F3F6F7"/>
          </w:tcPr>
          <w:p>
            <w:pPr>
              <w:spacing w:after="0"/>
            </w:pPr>
            <w:r/>
            <w:r>
              <w:rPr>
                <w:rFonts w:ascii="Aptos" w:hAnsi="Aptos"/>
                <w:b w:val="0"/>
                <w:sz w:val="15"/>
              </w:rPr>
            </w:r>
          </w:p>
        </w:tc>
        <w:tc>
          <w:tcPr>
            <w:tcW w:type="dxa" w:w="1296"/>
            <w:vAlign w:val="center"/>
            <w:shd w:fill="F3F6F7"/>
          </w:tcPr>
          <w:p>
            <w:pPr>
              <w:spacing w:after="0"/>
            </w:pPr>
            <w:r/>
            <w:r>
              <w:rPr>
                <w:rFonts w:ascii="Aptos" w:hAnsi="Aptos"/>
                <w:b w:val="0"/>
                <w:sz w:val="15"/>
              </w:rPr>
            </w:r>
          </w:p>
        </w:tc>
        <w:tc>
          <w:tcPr>
            <w:tcW w:type="dxa" w:w="1728"/>
            <w:vAlign w:val="center"/>
            <w:shd w:fill="F3F6F7"/>
          </w:tcPr>
          <w:p>
            <w:pPr>
              <w:spacing w:after="0"/>
            </w:pPr>
            <w:r/>
            <w:r>
              <w:rPr>
                <w:rFonts w:ascii="Aptos" w:hAnsi="Aptos"/>
                <w:b w:val="0"/>
                <w:sz w:val="15"/>
              </w:rPr>
            </w:r>
          </w:p>
        </w:tc>
      </w:tr>
      <w:tr>
        <w:trPr>
          <w:cantSplit/>
        </w:trPr>
        <w:tc>
          <w:tcPr>
            <w:tcW w:type="dxa" w:w="1872"/>
            <w:vAlign w:val="center"/>
          </w:tcPr>
          <w:p>
            <w:pPr>
              <w:spacing w:after="0"/>
            </w:pPr>
            <w:r/>
            <w:r>
              <w:rPr>
                <w:rFonts w:ascii="Aptos" w:hAnsi="Aptos"/>
                <w:b w:val="0"/>
                <w:sz w:val="15"/>
              </w:rPr>
              <w:t>Suppliers</w:t>
            </w:r>
          </w:p>
        </w:tc>
        <w:tc>
          <w:tcPr>
            <w:tcW w:type="dxa" w:w="2160"/>
            <w:vAlign w:val="center"/>
          </w:tcPr>
          <w:p>
            <w:pPr>
              <w:spacing w:after="0"/>
            </w:pPr>
            <w:r/>
            <w:r>
              <w:rPr>
                <w:rFonts w:ascii="Aptos" w:hAnsi="Aptos"/>
                <w:b w:val="0"/>
                <w:sz w:val="15"/>
              </w:rPr>
            </w:r>
          </w:p>
        </w:tc>
        <w:tc>
          <w:tcPr>
            <w:tcW w:type="dxa" w:w="2016"/>
            <w:vAlign w:val="center"/>
          </w:tcPr>
          <w:p>
            <w:pPr>
              <w:spacing w:after="0"/>
            </w:pPr>
            <w:r/>
            <w:r>
              <w:rPr>
                <w:rFonts w:ascii="Aptos" w:hAnsi="Aptos"/>
                <w:b w:val="0"/>
                <w:sz w:val="15"/>
              </w:rPr>
            </w:r>
          </w:p>
        </w:tc>
        <w:tc>
          <w:tcPr>
            <w:tcW w:type="dxa" w:w="1296"/>
            <w:vAlign w:val="center"/>
          </w:tcPr>
          <w:p>
            <w:pPr>
              <w:spacing w:after="0"/>
            </w:pPr>
            <w:r/>
            <w:r>
              <w:rPr>
                <w:rFonts w:ascii="Aptos" w:hAnsi="Aptos"/>
                <w:b w:val="0"/>
                <w:sz w:val="15"/>
              </w:rPr>
            </w:r>
          </w:p>
        </w:tc>
        <w:tc>
          <w:tcPr>
            <w:tcW w:type="dxa" w:w="1296"/>
            <w:vAlign w:val="center"/>
          </w:tcPr>
          <w:p>
            <w:pPr>
              <w:spacing w:after="0"/>
            </w:pPr>
            <w:r/>
            <w:r>
              <w:rPr>
                <w:rFonts w:ascii="Aptos" w:hAnsi="Aptos"/>
                <w:b w:val="0"/>
                <w:sz w:val="15"/>
              </w:rPr>
            </w:r>
          </w:p>
        </w:tc>
        <w:tc>
          <w:tcPr>
            <w:tcW w:type="dxa" w:w="1728"/>
            <w:vAlign w:val="center"/>
          </w:tcPr>
          <w:p>
            <w:pPr>
              <w:spacing w:after="0"/>
            </w:pPr>
            <w:r/>
            <w:r>
              <w:rPr>
                <w:rFonts w:ascii="Aptos" w:hAnsi="Aptos"/>
                <w:b w:val="0"/>
                <w:sz w:val="15"/>
              </w:rPr>
            </w:r>
          </w:p>
        </w:tc>
      </w:tr>
      <w:tr>
        <w:trPr>
          <w:cantSplit/>
        </w:trPr>
        <w:tc>
          <w:tcPr>
            <w:tcW w:type="dxa" w:w="1872"/>
            <w:vAlign w:val="center"/>
            <w:shd w:fill="F3F6F7"/>
          </w:tcPr>
          <w:p>
            <w:pPr>
              <w:spacing w:after="0"/>
            </w:pPr>
            <w:r/>
            <w:r>
              <w:rPr>
                <w:rFonts w:ascii="Aptos" w:hAnsi="Aptos"/>
                <w:b w:val="0"/>
                <w:sz w:val="15"/>
              </w:rPr>
              <w:t>Resources</w:t>
            </w:r>
          </w:p>
        </w:tc>
        <w:tc>
          <w:tcPr>
            <w:tcW w:type="dxa" w:w="2160"/>
            <w:vAlign w:val="center"/>
            <w:shd w:fill="F3F6F7"/>
          </w:tcPr>
          <w:p>
            <w:pPr>
              <w:spacing w:after="0"/>
            </w:pPr>
            <w:r/>
            <w:r>
              <w:rPr>
                <w:rFonts w:ascii="Aptos" w:hAnsi="Aptos"/>
                <w:b w:val="0"/>
                <w:sz w:val="15"/>
              </w:rPr>
            </w:r>
          </w:p>
        </w:tc>
        <w:tc>
          <w:tcPr>
            <w:tcW w:type="dxa" w:w="2016"/>
            <w:vAlign w:val="center"/>
            <w:shd w:fill="F3F6F7"/>
          </w:tcPr>
          <w:p>
            <w:pPr>
              <w:spacing w:after="0"/>
            </w:pPr>
            <w:r/>
            <w:r>
              <w:rPr>
                <w:rFonts w:ascii="Aptos" w:hAnsi="Aptos"/>
                <w:b w:val="0"/>
                <w:sz w:val="15"/>
              </w:rPr>
            </w:r>
          </w:p>
        </w:tc>
        <w:tc>
          <w:tcPr>
            <w:tcW w:type="dxa" w:w="1296"/>
            <w:vAlign w:val="center"/>
            <w:shd w:fill="F3F6F7"/>
          </w:tcPr>
          <w:p>
            <w:pPr>
              <w:spacing w:after="0"/>
            </w:pPr>
            <w:r/>
            <w:r>
              <w:rPr>
                <w:rFonts w:ascii="Aptos" w:hAnsi="Aptos"/>
                <w:b w:val="0"/>
                <w:sz w:val="15"/>
              </w:rPr>
            </w:r>
          </w:p>
        </w:tc>
        <w:tc>
          <w:tcPr>
            <w:tcW w:type="dxa" w:w="1296"/>
            <w:vAlign w:val="center"/>
            <w:shd w:fill="F3F6F7"/>
          </w:tcPr>
          <w:p>
            <w:pPr>
              <w:spacing w:after="0"/>
            </w:pPr>
            <w:r/>
            <w:r>
              <w:rPr>
                <w:rFonts w:ascii="Aptos" w:hAnsi="Aptos"/>
                <w:b w:val="0"/>
                <w:sz w:val="15"/>
              </w:rPr>
            </w:r>
          </w:p>
        </w:tc>
        <w:tc>
          <w:tcPr>
            <w:tcW w:type="dxa" w:w="1728"/>
            <w:vAlign w:val="center"/>
            <w:shd w:fill="F3F6F7"/>
          </w:tcPr>
          <w:p>
            <w:pPr>
              <w:spacing w:after="0"/>
            </w:pPr>
            <w:r/>
            <w:r>
              <w:rPr>
                <w:rFonts w:ascii="Aptos" w:hAnsi="Aptos"/>
                <w:b w:val="0"/>
                <w:sz w:val="15"/>
              </w:rPr>
            </w:r>
          </w:p>
        </w:tc>
      </w:tr>
      <w:tr>
        <w:trPr>
          <w:cantSplit/>
        </w:trPr>
        <w:tc>
          <w:tcPr>
            <w:tcW w:type="dxa" w:w="1872"/>
            <w:vAlign w:val="center"/>
          </w:tcPr>
          <w:p>
            <w:pPr>
              <w:spacing w:after="0"/>
            </w:pPr>
            <w:r/>
            <w:r>
              <w:rPr>
                <w:rFonts w:ascii="Aptos" w:hAnsi="Aptos"/>
                <w:b w:val="0"/>
                <w:sz w:val="15"/>
              </w:rPr>
              <w:t>Improvement</w:t>
            </w:r>
          </w:p>
        </w:tc>
        <w:tc>
          <w:tcPr>
            <w:tcW w:type="dxa" w:w="2160"/>
            <w:vAlign w:val="center"/>
          </w:tcPr>
          <w:p>
            <w:pPr>
              <w:spacing w:after="0"/>
            </w:pPr>
            <w:r/>
            <w:r>
              <w:rPr>
                <w:rFonts w:ascii="Aptos" w:hAnsi="Aptos"/>
                <w:b w:val="0"/>
                <w:sz w:val="15"/>
              </w:rPr>
            </w:r>
          </w:p>
        </w:tc>
        <w:tc>
          <w:tcPr>
            <w:tcW w:type="dxa" w:w="2016"/>
            <w:vAlign w:val="center"/>
          </w:tcPr>
          <w:p>
            <w:pPr>
              <w:spacing w:after="0"/>
            </w:pPr>
            <w:r/>
            <w:r>
              <w:rPr>
                <w:rFonts w:ascii="Aptos" w:hAnsi="Aptos"/>
                <w:b w:val="0"/>
                <w:sz w:val="15"/>
              </w:rPr>
            </w:r>
          </w:p>
        </w:tc>
        <w:tc>
          <w:tcPr>
            <w:tcW w:type="dxa" w:w="1296"/>
            <w:vAlign w:val="center"/>
          </w:tcPr>
          <w:p>
            <w:pPr>
              <w:spacing w:after="0"/>
            </w:pPr>
            <w:r/>
            <w:r>
              <w:rPr>
                <w:rFonts w:ascii="Aptos" w:hAnsi="Aptos"/>
                <w:b w:val="0"/>
                <w:sz w:val="15"/>
              </w:rPr>
            </w:r>
          </w:p>
        </w:tc>
        <w:tc>
          <w:tcPr>
            <w:tcW w:type="dxa" w:w="1296"/>
            <w:vAlign w:val="center"/>
          </w:tcPr>
          <w:p>
            <w:pPr>
              <w:spacing w:after="0"/>
            </w:pPr>
            <w:r/>
            <w:r>
              <w:rPr>
                <w:rFonts w:ascii="Aptos" w:hAnsi="Aptos"/>
                <w:b w:val="0"/>
                <w:sz w:val="15"/>
              </w:rPr>
            </w:r>
          </w:p>
        </w:tc>
        <w:tc>
          <w:tcPr>
            <w:tcW w:type="dxa" w:w="1728"/>
            <w:vAlign w:val="center"/>
          </w:tcPr>
          <w:p>
            <w:pPr>
              <w:spacing w:after="0"/>
            </w:pPr>
            <w:r/>
            <w:r>
              <w:rPr>
                <w:rFonts w:ascii="Aptos" w:hAnsi="Aptos"/>
                <w:b w:val="0"/>
                <w:sz w:val="15"/>
              </w:rPr>
            </w:r>
          </w:p>
        </w:tc>
      </w:tr>
    </w:tbl>
    <w:p/>
    <w:p>
      <w:pPr>
        <w:pStyle w:val="Heading1"/>
      </w:pPr>
      <w:r>
        <w:t>Annex E — Source Traceability</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4320"/>
            <w:vAlign w:val="center"/>
            <w:shd w:fill="17324D"/>
          </w:tcPr>
          <w:p>
            <w:pPr>
              <w:spacing w:after="0"/>
            </w:pPr>
            <w:r/>
            <w:r>
              <w:rPr>
                <w:rFonts w:ascii="Aptos" w:hAnsi="Aptos"/>
                <w:b/>
                <w:color w:val="FFFFFF"/>
                <w:sz w:val="15"/>
              </w:rPr>
              <w:t>Operational subject</w:t>
            </w:r>
          </w:p>
        </w:tc>
        <w:tc>
          <w:tcPr>
            <w:tcW w:type="dxa" w:w="5040"/>
            <w:vAlign w:val="center"/>
            <w:shd w:fill="17324D"/>
          </w:tcPr>
          <w:p>
            <w:pPr>
              <w:spacing w:after="0"/>
            </w:pPr>
            <w:r/>
            <w:r>
              <w:rPr>
                <w:rFonts w:ascii="Aptos" w:hAnsi="Aptos"/>
                <w:b/>
                <w:color w:val="FFFFFF"/>
                <w:sz w:val="15"/>
              </w:rPr>
              <w:t>Controlled source</w:t>
            </w:r>
          </w:p>
        </w:tc>
      </w:tr>
      <w:tr>
        <w:trPr>
          <w:cantSplit/>
        </w:trPr>
        <w:tc>
          <w:tcPr>
            <w:tcW w:type="dxa" w:w="4320"/>
            <w:vAlign w:val="center"/>
          </w:tcPr>
          <w:p>
            <w:pPr>
              <w:spacing w:after="0"/>
            </w:pPr>
            <w:r/>
            <w:r>
              <w:rPr>
                <w:rFonts w:ascii="Aptos" w:hAnsi="Aptos"/>
                <w:b w:val="0"/>
                <w:sz w:val="15"/>
              </w:rPr>
              <w:t>Normative requirements</w:t>
            </w:r>
          </w:p>
        </w:tc>
        <w:tc>
          <w:tcPr>
            <w:tcW w:type="dxa" w:w="5040"/>
            <w:vAlign w:val="center"/>
          </w:tcPr>
          <w:p>
            <w:pPr>
              <w:spacing w:after="0"/>
            </w:pPr>
            <w:r/>
            <w:r>
              <w:rPr>
                <w:rFonts w:ascii="Aptos" w:hAnsi="Aptos"/>
                <w:b w:val="0"/>
                <w:sz w:val="15"/>
              </w:rPr>
              <w:t>GAISSF-NOR-001</w:t>
            </w:r>
          </w:p>
        </w:tc>
      </w:tr>
      <w:tr>
        <w:trPr>
          <w:cantSplit/>
        </w:trPr>
        <w:tc>
          <w:tcPr>
            <w:tcW w:type="dxa" w:w="4320"/>
            <w:vAlign w:val="center"/>
            <w:shd w:fill="F3F6F7"/>
          </w:tcPr>
          <w:p>
            <w:pPr>
              <w:spacing w:after="0"/>
            </w:pPr>
            <w:r/>
            <w:r>
              <w:rPr>
                <w:rFonts w:ascii="Aptos" w:hAnsi="Aptos"/>
                <w:b w:val="0"/>
                <w:sz w:val="15"/>
              </w:rPr>
              <w:t>Control records</w:t>
            </w:r>
          </w:p>
        </w:tc>
        <w:tc>
          <w:tcPr>
            <w:tcW w:type="dxa" w:w="5040"/>
            <w:vAlign w:val="center"/>
            <w:shd w:fill="F3F6F7"/>
          </w:tcPr>
          <w:p>
            <w:pPr>
              <w:spacing w:after="0"/>
            </w:pPr>
            <w:r/>
            <w:r>
              <w:rPr>
                <w:rFonts w:ascii="Aptos" w:hAnsi="Aptos"/>
                <w:b w:val="0"/>
                <w:sz w:val="15"/>
              </w:rPr>
              <w:t>GAISSF-NOR-004</w:t>
            </w:r>
          </w:p>
        </w:tc>
      </w:tr>
      <w:tr>
        <w:trPr>
          <w:cantSplit/>
        </w:trPr>
        <w:tc>
          <w:tcPr>
            <w:tcW w:type="dxa" w:w="4320"/>
            <w:vAlign w:val="center"/>
          </w:tcPr>
          <w:p>
            <w:pPr>
              <w:spacing w:after="0"/>
            </w:pPr>
            <w:r/>
            <w:r>
              <w:rPr>
                <w:rFonts w:ascii="Aptos" w:hAnsi="Aptos"/>
                <w:b w:val="0"/>
                <w:sz w:val="15"/>
              </w:rPr>
              <w:t>Terminology</w:t>
            </w:r>
          </w:p>
        </w:tc>
        <w:tc>
          <w:tcPr>
            <w:tcW w:type="dxa" w:w="5040"/>
            <w:vAlign w:val="center"/>
          </w:tcPr>
          <w:p>
            <w:pPr>
              <w:spacing w:after="0"/>
            </w:pPr>
            <w:r/>
            <w:r>
              <w:rPr>
                <w:rFonts w:ascii="Aptos" w:hAnsi="Aptos"/>
                <w:b w:val="0"/>
                <w:sz w:val="15"/>
              </w:rPr>
              <w:t>GAISSF-NOR-005</w:t>
            </w:r>
          </w:p>
        </w:tc>
      </w:tr>
      <w:tr>
        <w:trPr>
          <w:cantSplit/>
        </w:trPr>
        <w:tc>
          <w:tcPr>
            <w:tcW w:type="dxa" w:w="4320"/>
            <w:vAlign w:val="center"/>
            <w:shd w:fill="F3F6F7"/>
          </w:tcPr>
          <w:p>
            <w:pPr>
              <w:spacing w:after="0"/>
            </w:pPr>
            <w:r/>
            <w:r>
              <w:rPr>
                <w:rFonts w:ascii="Aptos" w:hAnsi="Aptos"/>
                <w:b w:val="0"/>
                <w:sz w:val="15"/>
              </w:rPr>
              <w:t>Release and change history</w:t>
            </w:r>
          </w:p>
        </w:tc>
        <w:tc>
          <w:tcPr>
            <w:tcW w:type="dxa" w:w="5040"/>
            <w:vAlign w:val="center"/>
            <w:shd w:fill="F3F6F7"/>
          </w:tcPr>
          <w:p>
            <w:pPr>
              <w:spacing w:after="0"/>
            </w:pPr>
            <w:r/>
            <w:r>
              <w:rPr>
                <w:rFonts w:ascii="Aptos" w:hAnsi="Aptos"/>
                <w:b w:val="0"/>
                <w:sz w:val="15"/>
              </w:rPr>
              <w:t>GAISSF-NOR-007 and GAISSF-NOR-008</w:t>
            </w:r>
          </w:p>
        </w:tc>
      </w:tr>
      <w:tr>
        <w:trPr>
          <w:cantSplit/>
        </w:trPr>
        <w:tc>
          <w:tcPr>
            <w:tcW w:type="dxa" w:w="4320"/>
            <w:vAlign w:val="center"/>
          </w:tcPr>
          <w:p>
            <w:pPr>
              <w:spacing w:after="0"/>
            </w:pPr>
            <w:r/>
            <w:r>
              <w:rPr>
                <w:rFonts w:ascii="Aptos" w:hAnsi="Aptos"/>
                <w:b w:val="0"/>
                <w:sz w:val="15"/>
              </w:rPr>
              <w:t>Adoption model</w:t>
            </w:r>
          </w:p>
        </w:tc>
        <w:tc>
          <w:tcPr>
            <w:tcW w:type="dxa" w:w="5040"/>
            <w:vAlign w:val="center"/>
          </w:tcPr>
          <w:p>
            <w:pPr>
              <w:spacing w:after="0"/>
            </w:pPr>
            <w:r/>
            <w:r>
              <w:rPr>
                <w:rFonts w:ascii="Aptos" w:hAnsi="Aptos"/>
                <w:b w:val="0"/>
                <w:sz w:val="15"/>
              </w:rPr>
              <w:t>GAISSF-IMP-009</w:t>
            </w:r>
          </w:p>
        </w:tc>
      </w:tr>
      <w:tr>
        <w:trPr>
          <w:cantSplit/>
        </w:trPr>
        <w:tc>
          <w:tcPr>
            <w:tcW w:type="dxa" w:w="4320"/>
            <w:vAlign w:val="center"/>
            <w:shd w:fill="F3F6F7"/>
          </w:tcPr>
          <w:p>
            <w:pPr>
              <w:spacing w:after="0"/>
            </w:pPr>
            <w:r/>
            <w:r>
              <w:rPr>
                <w:rFonts w:ascii="Aptos" w:hAnsi="Aptos"/>
                <w:b w:val="0"/>
                <w:sz w:val="15"/>
              </w:rPr>
              <w:t>Implementation workflows and evidence</w:t>
            </w:r>
          </w:p>
        </w:tc>
        <w:tc>
          <w:tcPr>
            <w:tcW w:type="dxa" w:w="5040"/>
            <w:vAlign w:val="center"/>
            <w:shd w:fill="F3F6F7"/>
          </w:tcPr>
          <w:p>
            <w:pPr>
              <w:spacing w:after="0"/>
            </w:pPr>
            <w:r/>
            <w:r>
              <w:rPr>
                <w:rFonts w:ascii="Aptos" w:hAnsi="Aptos"/>
                <w:b w:val="0"/>
                <w:sz w:val="15"/>
              </w:rPr>
              <w:t>GAISSF-IMP-010</w:t>
            </w:r>
          </w:p>
        </w:tc>
      </w:tr>
      <w:tr>
        <w:trPr>
          <w:cantSplit/>
        </w:trPr>
        <w:tc>
          <w:tcPr>
            <w:tcW w:type="dxa" w:w="4320"/>
            <w:vAlign w:val="center"/>
          </w:tcPr>
          <w:p>
            <w:pPr>
              <w:spacing w:after="0"/>
            </w:pPr>
            <w:r/>
            <w:r>
              <w:rPr>
                <w:rFonts w:ascii="Aptos" w:hAnsi="Aptos"/>
                <w:b w:val="0"/>
                <w:sz w:val="15"/>
              </w:rPr>
              <w:t>Deployment and handover</w:t>
            </w:r>
          </w:p>
        </w:tc>
        <w:tc>
          <w:tcPr>
            <w:tcW w:type="dxa" w:w="5040"/>
            <w:vAlign w:val="center"/>
          </w:tcPr>
          <w:p>
            <w:pPr>
              <w:spacing w:after="0"/>
            </w:pPr>
            <w:r/>
            <w:r>
              <w:rPr>
                <w:rFonts w:ascii="Aptos" w:hAnsi="Aptos"/>
                <w:b w:val="0"/>
                <w:sz w:val="15"/>
              </w:rPr>
              <w:t>GAISSF-IMP-011</w:t>
            </w:r>
          </w:p>
        </w:tc>
      </w:tr>
      <w:tr>
        <w:trPr>
          <w:cantSplit/>
        </w:trPr>
        <w:tc>
          <w:tcPr>
            <w:tcW w:type="dxa" w:w="4320"/>
            <w:vAlign w:val="center"/>
            <w:shd w:fill="F3F6F7"/>
          </w:tcPr>
          <w:p>
            <w:pPr>
              <w:spacing w:after="0"/>
            </w:pPr>
            <w:r/>
            <w:r>
              <w:rPr>
                <w:rFonts w:ascii="Aptos" w:hAnsi="Aptos"/>
                <w:b w:val="0"/>
                <w:sz w:val="15"/>
              </w:rPr>
              <w:t>Migration and evidence reuse</w:t>
            </w:r>
          </w:p>
        </w:tc>
        <w:tc>
          <w:tcPr>
            <w:tcW w:type="dxa" w:w="5040"/>
            <w:vAlign w:val="center"/>
            <w:shd w:fill="F3F6F7"/>
          </w:tcPr>
          <w:p>
            <w:pPr>
              <w:spacing w:after="0"/>
            </w:pPr>
            <w:r/>
            <w:r>
              <w:rPr>
                <w:rFonts w:ascii="Aptos" w:hAnsi="Aptos"/>
                <w:b w:val="0"/>
                <w:sz w:val="15"/>
              </w:rPr>
              <w:t>GAISSF-IMP-012</w:t>
            </w:r>
          </w:p>
        </w:tc>
      </w:tr>
      <w:tr>
        <w:trPr>
          <w:cantSplit/>
        </w:trPr>
        <w:tc>
          <w:tcPr>
            <w:tcW w:type="dxa" w:w="4320"/>
            <w:vAlign w:val="center"/>
          </w:tcPr>
          <w:p>
            <w:pPr>
              <w:spacing w:after="0"/>
            </w:pPr>
            <w:r/>
            <w:r>
              <w:rPr>
                <w:rFonts w:ascii="Aptos" w:hAnsi="Aptos"/>
                <w:b w:val="0"/>
                <w:sz w:val="15"/>
              </w:rPr>
              <w:t>Reference designs and telemetry</w:t>
            </w:r>
          </w:p>
        </w:tc>
        <w:tc>
          <w:tcPr>
            <w:tcW w:type="dxa" w:w="5040"/>
            <w:vAlign w:val="center"/>
          </w:tcPr>
          <w:p>
            <w:pPr>
              <w:spacing w:after="0"/>
            </w:pPr>
            <w:r/>
            <w:r>
              <w:rPr>
                <w:rFonts w:ascii="Aptos" w:hAnsi="Aptos"/>
                <w:b w:val="0"/>
                <w:sz w:val="15"/>
              </w:rPr>
              <w:t>GAISSF-IMP-013</w:t>
            </w:r>
          </w:p>
        </w:tc>
      </w:tr>
    </w:tbl>
    <w:p/>
    <w:p>
      <w:pPr>
        <w:pStyle w:val="Heading1"/>
      </w:pPr>
      <w:r>
        <w:t>Annex F — Publication Record</w:t>
      </w:r>
    </w:p>
    <w:tbl>
      <w:tblPr>
        <w:tblStyle w:val="TableGrid"/>
        <w:tblW w:type="auto" w:w="0"/>
        <w:jc w:val="center"/>
        <w:tblLook w:firstColumn="1" w:firstRow="1" w:lastColumn="0" w:lastRow="0" w:noHBand="0" w:noVBand="1" w:val="04A0"/>
      </w:tblPr>
      <w:tblGrid>
        <w:gridCol w:w="2570"/>
        <w:gridCol w:w="2570"/>
        <w:gridCol w:w="2570"/>
        <w:gridCol w:w="2570"/>
      </w:tblGrid>
      <w:tr>
        <w:trPr>
          <w:tblHeader w:val="true"/>
          <w:cantSplit/>
        </w:trPr>
        <w:tc>
          <w:tcPr>
            <w:tcW w:type="dxa" w:w="1152"/>
            <w:vAlign w:val="center"/>
            <w:shd w:fill="17324D"/>
          </w:tcPr>
          <w:p>
            <w:pPr>
              <w:spacing w:after="0"/>
            </w:pPr>
            <w:r/>
            <w:r>
              <w:rPr>
                <w:rFonts w:ascii="Aptos" w:hAnsi="Aptos"/>
                <w:b/>
                <w:color w:val="FFFFFF"/>
                <w:sz w:val="15"/>
              </w:rPr>
              <w:t>Version</w:t>
            </w:r>
          </w:p>
        </w:tc>
        <w:tc>
          <w:tcPr>
            <w:tcW w:type="dxa" w:w="1728"/>
            <w:vAlign w:val="center"/>
            <w:shd w:fill="17324D"/>
          </w:tcPr>
          <w:p>
            <w:pPr>
              <w:spacing w:after="0"/>
            </w:pPr>
            <w:r/>
            <w:r>
              <w:rPr>
                <w:rFonts w:ascii="Aptos" w:hAnsi="Aptos"/>
                <w:b/>
                <w:color w:val="FFFFFF"/>
                <w:sz w:val="15"/>
              </w:rPr>
              <w:t>Date</w:t>
            </w:r>
          </w:p>
        </w:tc>
        <w:tc>
          <w:tcPr>
            <w:tcW w:type="dxa" w:w="5184"/>
            <w:vAlign w:val="center"/>
            <w:shd w:fill="17324D"/>
          </w:tcPr>
          <w:p>
            <w:pPr>
              <w:spacing w:after="0"/>
            </w:pPr>
            <w:r/>
            <w:r>
              <w:rPr>
                <w:rFonts w:ascii="Aptos" w:hAnsi="Aptos"/>
                <w:b/>
                <w:color w:val="FFFFFF"/>
                <w:sz w:val="15"/>
              </w:rPr>
              <w:t>Change</w:t>
            </w:r>
          </w:p>
        </w:tc>
        <w:tc>
          <w:tcPr>
            <w:tcW w:type="dxa" w:w="1584"/>
            <w:vAlign w:val="center"/>
            <w:shd w:fill="17324D"/>
          </w:tcPr>
          <w:p>
            <w:pPr>
              <w:spacing w:after="0"/>
            </w:pPr>
            <w:r/>
            <w:r>
              <w:rPr>
                <w:rFonts w:ascii="Aptos" w:hAnsi="Aptos"/>
                <w:b/>
                <w:color w:val="FFFFFF"/>
                <w:sz w:val="15"/>
              </w:rPr>
              <w:t>Status</w:t>
            </w:r>
          </w:p>
        </w:tc>
      </w:tr>
      <w:tr>
        <w:trPr>
          <w:cantSplit/>
        </w:trPr>
        <w:tc>
          <w:tcPr>
            <w:tcW w:type="dxa" w:w="1152"/>
            <w:vAlign w:val="center"/>
          </w:tcPr>
          <w:p>
            <w:pPr>
              <w:spacing w:after="0"/>
            </w:pPr>
            <w:r/>
            <w:r>
              <w:rPr>
                <w:rFonts w:ascii="Aptos" w:hAnsi="Aptos"/>
                <w:b w:val="0"/>
                <w:sz w:val="15"/>
              </w:rPr>
              <w:t>1.0</w:t>
            </w:r>
          </w:p>
        </w:tc>
        <w:tc>
          <w:tcPr>
            <w:tcW w:type="dxa" w:w="1728"/>
            <w:vAlign w:val="center"/>
          </w:tcPr>
          <w:p>
            <w:pPr>
              <w:spacing w:after="0"/>
            </w:pPr>
            <w:r/>
            <w:r>
              <w:rPr>
                <w:rFonts w:ascii="Aptos" w:hAnsi="Aptos"/>
                <w:b w:val="0"/>
                <w:sz w:val="15"/>
              </w:rPr>
              <w:t>29 June 2026</w:t>
            </w:r>
          </w:p>
        </w:tc>
        <w:tc>
          <w:tcPr>
            <w:tcW w:type="dxa" w:w="5184"/>
            <w:vAlign w:val="center"/>
          </w:tcPr>
          <w:p>
            <w:pPr>
              <w:spacing w:after="0"/>
            </w:pPr>
            <w:r/>
            <w:r>
              <w:rPr>
                <w:rFonts w:ascii="Aptos" w:hAnsi="Aptos"/>
                <w:b w:val="0"/>
                <w:sz w:val="15"/>
              </w:rPr>
              <w:t>Initial operational handbook for GAISSF v1.0</w:t>
            </w:r>
          </w:p>
        </w:tc>
        <w:tc>
          <w:tcPr>
            <w:tcW w:type="dxa" w:w="1584"/>
            <w:vAlign w:val="center"/>
          </w:tcPr>
          <w:p>
            <w:r>
              <w:t>Final Publication Edition</w:t>
            </w:r>
          </w:p>
        </w:tc>
      </w:tr>
    </w:tbl>
    <w:p/>
    <w:p>
      <w:pPr>
        <w:pStyle w:val="Heading1"/>
      </w:pPr>
      <w:r>
        <w:t>Controlled Profile Reconciliation Notice</w:t>
      </w:r>
    </w:p>
    <w:p>
      <w:r>
        <w:t>The Foundational profile comprises 52 controls across all nine domains, as enumerated in the controlled conformance profile. Seven controls are excluded from that profile; the exclusions are not equivalent to excluding the D9 domain.</w:t>
      </w:r>
    </w:p>
    <w:p>
      <w:r>
        <w:t>Any earlier wording that described the Foundational profile as D1-D8 only or treated the entire D9 domain as excluded is superseded by this statement and the controlled conformance profile.</w:t>
      </w:r>
    </w:p>
    <w:p>
      <w:pPr>
        <w:pStyle w:val="Heading1"/>
      </w:pPr>
      <w:r>
        <w:t>Detailed Run-State Procedures</w:t>
      </w:r>
    </w:p>
    <w:tbl>
      <w:tblPr>
        <w:tblStyle w:val="TableGrid"/>
        <w:tblW w:type="auto" w:w="0"/>
        <w:jc w:val="center"/>
        <w:tblLook w:firstColumn="1" w:firstRow="1" w:lastColumn="0" w:lastRow="0" w:noHBand="0" w:noVBand="1" w:val="04A0"/>
      </w:tblPr>
      <w:tblGrid>
        <w:gridCol w:w="2570"/>
        <w:gridCol w:w="2570"/>
        <w:gridCol w:w="2570"/>
        <w:gridCol w:w="2570"/>
      </w:tblGrid>
      <w:tr>
        <w:trPr>
          <w:tblHeader w:val="true"/>
          <w:cantSplit/>
        </w:trPr>
        <w:tc>
          <w:tcPr>
            <w:tcW w:type="dxa" w:w="2570"/>
            <w:vAlign w:val="center"/>
            <w:shd w:fill="17324D"/>
          </w:tcPr>
          <w:p>
            <w:pPr>
              <w:spacing w:after="0"/>
            </w:pPr>
            <w:r/>
            <w:r>
              <w:rPr>
                <w:rFonts w:ascii="Aptos" w:hAnsi="Aptos"/>
                <w:b/>
                <w:color w:val="FFFFFF"/>
                <w:sz w:val="15"/>
              </w:rPr>
              <w:t>Procedure</w:t>
            </w:r>
          </w:p>
        </w:tc>
        <w:tc>
          <w:tcPr>
            <w:tcW w:type="dxa" w:w="2570"/>
            <w:vAlign w:val="center"/>
            <w:shd w:fill="17324D"/>
          </w:tcPr>
          <w:p>
            <w:pPr>
              <w:spacing w:after="0"/>
            </w:pPr>
            <w:r/>
            <w:r>
              <w:rPr>
                <w:rFonts w:ascii="Aptos" w:hAnsi="Aptos"/>
                <w:b/>
                <w:color w:val="FFFFFF"/>
                <w:sz w:val="15"/>
              </w:rPr>
              <w:t>Trigger</w:t>
            </w:r>
          </w:p>
        </w:tc>
        <w:tc>
          <w:tcPr>
            <w:tcW w:type="dxa" w:w="2570"/>
            <w:vAlign w:val="center"/>
            <w:shd w:fill="17324D"/>
          </w:tcPr>
          <w:p>
            <w:pPr>
              <w:spacing w:after="0"/>
            </w:pPr>
            <w:r/>
            <w:r>
              <w:rPr>
                <w:rFonts w:ascii="Aptos" w:hAnsi="Aptos"/>
                <w:b/>
                <w:color w:val="FFFFFF"/>
                <w:sz w:val="15"/>
              </w:rPr>
              <w:t>Steps</w:t>
            </w:r>
          </w:p>
        </w:tc>
        <w:tc>
          <w:tcPr>
            <w:tcW w:type="dxa" w:w="2570"/>
            <w:vAlign w:val="center"/>
            <w:shd w:fill="17324D"/>
          </w:tcPr>
          <w:p>
            <w:pPr>
              <w:spacing w:after="0"/>
            </w:pPr>
            <w:r/>
            <w:r>
              <w:rPr>
                <w:rFonts w:ascii="Aptos" w:hAnsi="Aptos"/>
                <w:b/>
                <w:color w:val="FFFFFF"/>
                <w:sz w:val="15"/>
              </w:rPr>
              <w:t>Evidence</w:t>
            </w:r>
          </w:p>
        </w:tc>
      </w:tr>
      <w:tr>
        <w:trPr>
          <w:cantSplit/>
        </w:trPr>
        <w:tc>
          <w:tcPr>
            <w:tcW w:type="dxa" w:w="2570"/>
            <w:vAlign w:val="center"/>
            <w:shd w:fill="FFFFFF"/>
          </w:tcPr>
          <w:p>
            <w:pPr>
              <w:spacing w:after="0"/>
            </w:pPr>
            <w:r/>
            <w:r>
              <w:rPr>
                <w:rFonts w:ascii="Aptos" w:hAnsi="Aptos"/>
                <w:b w:val="0"/>
                <w:sz w:val="15"/>
              </w:rPr>
              <w:t>Daily control-health review</w:t>
            </w:r>
          </w:p>
        </w:tc>
        <w:tc>
          <w:tcPr>
            <w:tcW w:type="dxa" w:w="2570"/>
            <w:vAlign w:val="center"/>
            <w:shd w:fill="FFFFFF"/>
          </w:tcPr>
          <w:p>
            <w:pPr>
              <w:spacing w:after="0"/>
            </w:pPr>
            <w:r/>
            <w:r>
              <w:rPr>
                <w:rFonts w:ascii="Aptos" w:hAnsi="Aptos"/>
                <w:b w:val="0"/>
                <w:sz w:val="15"/>
              </w:rPr>
              <w:t>Start of operating day or continuous shift</w:t>
            </w:r>
          </w:p>
        </w:tc>
        <w:tc>
          <w:tcPr>
            <w:tcW w:type="dxa" w:w="2570"/>
            <w:vAlign w:val="center"/>
            <w:shd w:fill="FFFFFF"/>
          </w:tcPr>
          <w:p>
            <w:pPr>
              <w:spacing w:after="0"/>
            </w:pPr>
            <w:r/>
            <w:r>
              <w:rPr>
                <w:rFonts w:ascii="Aptos" w:hAnsi="Aptos"/>
                <w:b w:val="0"/>
                <w:sz w:val="15"/>
              </w:rPr>
              <w:t>Review red/unknown states, assign actions, escalate material issues</w:t>
            </w:r>
          </w:p>
        </w:tc>
        <w:tc>
          <w:tcPr>
            <w:tcW w:type="dxa" w:w="2570"/>
            <w:vAlign w:val="center"/>
            <w:shd w:fill="FFFFFF"/>
          </w:tcPr>
          <w:p>
            <w:pPr>
              <w:spacing w:after="0"/>
            </w:pPr>
            <w:r/>
            <w:r>
              <w:rPr>
                <w:rFonts w:ascii="Aptos" w:hAnsi="Aptos"/>
                <w:b w:val="0"/>
                <w:sz w:val="15"/>
              </w:rPr>
              <w:t>Daily review record</w:t>
            </w:r>
          </w:p>
        </w:tc>
      </w:tr>
      <w:tr>
        <w:trPr>
          <w:cantSplit/>
        </w:trPr>
        <w:tc>
          <w:tcPr>
            <w:tcW w:type="dxa" w:w="2570"/>
            <w:vAlign w:val="center"/>
            <w:shd w:fill="F3F6F7"/>
          </w:tcPr>
          <w:p>
            <w:pPr>
              <w:spacing w:after="0"/>
            </w:pPr>
            <w:r/>
            <w:r>
              <w:rPr>
                <w:rFonts w:ascii="Aptos" w:hAnsi="Aptos"/>
                <w:b w:val="0"/>
                <w:sz w:val="15"/>
              </w:rPr>
              <w:t>Model drift review</w:t>
            </w:r>
          </w:p>
        </w:tc>
        <w:tc>
          <w:tcPr>
            <w:tcW w:type="dxa" w:w="2570"/>
            <w:vAlign w:val="center"/>
            <w:shd w:fill="F3F6F7"/>
          </w:tcPr>
          <w:p>
            <w:pPr>
              <w:spacing w:after="0"/>
            </w:pPr>
            <w:r/>
            <w:r>
              <w:rPr>
                <w:rFonts w:ascii="Aptos" w:hAnsi="Aptos"/>
                <w:b w:val="0"/>
                <w:sz w:val="15"/>
              </w:rPr>
              <w:t>Threshold breach or weekly cadence</w:t>
            </w:r>
          </w:p>
        </w:tc>
        <w:tc>
          <w:tcPr>
            <w:tcW w:type="dxa" w:w="2570"/>
            <w:vAlign w:val="center"/>
            <w:shd w:fill="F3F6F7"/>
          </w:tcPr>
          <w:p>
            <w:pPr>
              <w:spacing w:after="0"/>
            </w:pPr>
            <w:r/>
            <w:r>
              <w:rPr>
                <w:rFonts w:ascii="Aptos" w:hAnsi="Aptos"/>
                <w:b w:val="0"/>
                <w:sz w:val="15"/>
              </w:rPr>
              <w:t>Validate signal, compare baseline, assess impact, restrict or re-evaluate</w:t>
            </w:r>
          </w:p>
        </w:tc>
        <w:tc>
          <w:tcPr>
            <w:tcW w:type="dxa" w:w="2570"/>
            <w:vAlign w:val="center"/>
            <w:shd w:fill="F3F6F7"/>
          </w:tcPr>
          <w:p>
            <w:pPr>
              <w:spacing w:after="0"/>
            </w:pPr>
            <w:r/>
            <w:r>
              <w:rPr>
                <w:rFonts w:ascii="Aptos" w:hAnsi="Aptos"/>
                <w:b w:val="0"/>
                <w:sz w:val="15"/>
              </w:rPr>
              <w:t>Drift investigation</w:t>
            </w:r>
          </w:p>
        </w:tc>
      </w:tr>
      <w:tr>
        <w:trPr>
          <w:cantSplit/>
        </w:trPr>
        <w:tc>
          <w:tcPr>
            <w:tcW w:type="dxa" w:w="2570"/>
            <w:vAlign w:val="center"/>
            <w:shd w:fill="FFFFFF"/>
          </w:tcPr>
          <w:p>
            <w:pPr>
              <w:spacing w:after="0"/>
            </w:pPr>
            <w:r/>
            <w:r>
              <w:rPr>
                <w:rFonts w:ascii="Aptos" w:hAnsi="Aptos"/>
                <w:b w:val="0"/>
                <w:sz w:val="15"/>
              </w:rPr>
              <w:t>Alert triage</w:t>
            </w:r>
          </w:p>
        </w:tc>
        <w:tc>
          <w:tcPr>
            <w:tcW w:type="dxa" w:w="2570"/>
            <w:vAlign w:val="center"/>
            <w:shd w:fill="FFFFFF"/>
          </w:tcPr>
          <w:p>
            <w:pPr>
              <w:spacing w:after="0"/>
            </w:pPr>
            <w:r/>
            <w:r>
              <w:rPr>
                <w:rFonts w:ascii="Aptos" w:hAnsi="Aptos"/>
                <w:b w:val="0"/>
                <w:sz w:val="15"/>
              </w:rPr>
              <w:t>Actionable alert</w:t>
            </w:r>
          </w:p>
        </w:tc>
        <w:tc>
          <w:tcPr>
            <w:tcW w:type="dxa" w:w="2570"/>
            <w:vAlign w:val="center"/>
            <w:shd w:fill="FFFFFF"/>
          </w:tcPr>
          <w:p>
            <w:pPr>
              <w:spacing w:after="0"/>
            </w:pPr>
            <w:r/>
            <w:r>
              <w:rPr>
                <w:rFonts w:ascii="Aptos" w:hAnsi="Aptos"/>
                <w:b w:val="0"/>
                <w:sz w:val="15"/>
              </w:rPr>
              <w:t>Acknowledge, classify, investigate, contain, close or escalate</w:t>
            </w:r>
          </w:p>
        </w:tc>
        <w:tc>
          <w:tcPr>
            <w:tcW w:type="dxa" w:w="2570"/>
            <w:vAlign w:val="center"/>
            <w:shd w:fill="FFFFFF"/>
          </w:tcPr>
          <w:p>
            <w:pPr>
              <w:spacing w:after="0"/>
            </w:pPr>
            <w:r/>
            <w:r>
              <w:rPr>
                <w:rFonts w:ascii="Aptos" w:hAnsi="Aptos"/>
                <w:b w:val="0"/>
                <w:sz w:val="15"/>
              </w:rPr>
              <w:t>Alert timeline and decision</w:t>
            </w:r>
          </w:p>
        </w:tc>
      </w:tr>
      <w:tr>
        <w:trPr>
          <w:cantSplit/>
        </w:trPr>
        <w:tc>
          <w:tcPr>
            <w:tcW w:type="dxa" w:w="2570"/>
            <w:vAlign w:val="center"/>
            <w:shd w:fill="F3F6F7"/>
          </w:tcPr>
          <w:p>
            <w:pPr>
              <w:spacing w:after="0"/>
            </w:pPr>
            <w:r/>
            <w:r>
              <w:rPr>
                <w:rFonts w:ascii="Aptos" w:hAnsi="Aptos"/>
                <w:b w:val="0"/>
                <w:sz w:val="15"/>
              </w:rPr>
              <w:t>Evidence expiry review</w:t>
            </w:r>
          </w:p>
        </w:tc>
        <w:tc>
          <w:tcPr>
            <w:tcW w:type="dxa" w:w="2570"/>
            <w:vAlign w:val="center"/>
            <w:shd w:fill="F3F6F7"/>
          </w:tcPr>
          <w:p>
            <w:pPr>
              <w:spacing w:after="0"/>
            </w:pPr>
            <w:r/>
            <w:r>
              <w:rPr>
                <w:rFonts w:ascii="Aptos" w:hAnsi="Aptos"/>
                <w:b w:val="0"/>
                <w:sz w:val="15"/>
              </w:rPr>
              <w:t>Monthly or expiry warning</w:t>
            </w:r>
          </w:p>
        </w:tc>
        <w:tc>
          <w:tcPr>
            <w:tcW w:type="dxa" w:w="2570"/>
            <w:vAlign w:val="center"/>
            <w:shd w:fill="F3F6F7"/>
          </w:tcPr>
          <w:p>
            <w:pPr>
              <w:spacing w:after="0"/>
            </w:pPr>
            <w:r/>
            <w:r>
              <w:rPr>
                <w:rFonts w:ascii="Aptos" w:hAnsi="Aptos"/>
                <w:b w:val="0"/>
                <w:sz w:val="15"/>
              </w:rPr>
              <w:t>Identify artifact, assess coverage gap, refresh or exception</w:t>
            </w:r>
          </w:p>
        </w:tc>
        <w:tc>
          <w:tcPr>
            <w:tcW w:type="dxa" w:w="2570"/>
            <w:vAlign w:val="center"/>
            <w:shd w:fill="F3F6F7"/>
          </w:tcPr>
          <w:p>
            <w:pPr>
              <w:spacing w:after="0"/>
            </w:pPr>
            <w:r/>
            <w:r>
              <w:rPr>
                <w:rFonts w:ascii="Aptos" w:hAnsi="Aptos"/>
                <w:b w:val="0"/>
                <w:sz w:val="15"/>
              </w:rPr>
              <w:t>Evidence refresh record</w:t>
            </w:r>
          </w:p>
        </w:tc>
      </w:tr>
      <w:tr>
        <w:trPr>
          <w:cantSplit/>
        </w:trPr>
        <w:tc>
          <w:tcPr>
            <w:tcW w:type="dxa" w:w="2570"/>
            <w:vAlign w:val="center"/>
            <w:shd w:fill="FFFFFF"/>
          </w:tcPr>
          <w:p>
            <w:pPr>
              <w:spacing w:after="0"/>
            </w:pPr>
            <w:r/>
            <w:r>
              <w:rPr>
                <w:rFonts w:ascii="Aptos" w:hAnsi="Aptos"/>
                <w:b w:val="0"/>
                <w:sz w:val="15"/>
              </w:rPr>
              <w:t>Supplier change review</w:t>
            </w:r>
          </w:p>
        </w:tc>
        <w:tc>
          <w:tcPr>
            <w:tcW w:type="dxa" w:w="2570"/>
            <w:vAlign w:val="center"/>
            <w:shd w:fill="FFFFFF"/>
          </w:tcPr>
          <w:p>
            <w:pPr>
              <w:spacing w:after="0"/>
            </w:pPr>
            <w:r/>
            <w:r>
              <w:rPr>
                <w:rFonts w:ascii="Aptos" w:hAnsi="Aptos"/>
                <w:b w:val="0"/>
                <w:sz w:val="15"/>
              </w:rPr>
              <w:t>Provider notice or detected change</w:t>
            </w:r>
          </w:p>
        </w:tc>
        <w:tc>
          <w:tcPr>
            <w:tcW w:type="dxa" w:w="2570"/>
            <w:vAlign w:val="center"/>
            <w:shd w:fill="FFFFFF"/>
          </w:tcPr>
          <w:p>
            <w:pPr>
              <w:spacing w:after="0"/>
            </w:pPr>
            <w:r/>
            <w:r>
              <w:rPr>
                <w:rFonts w:ascii="Aptos" w:hAnsi="Aptos"/>
                <w:b w:val="0"/>
                <w:sz w:val="15"/>
              </w:rPr>
              <w:t>Assess scope, re-evaluate, update assumptions and approve</w:t>
            </w:r>
          </w:p>
        </w:tc>
        <w:tc>
          <w:tcPr>
            <w:tcW w:type="dxa" w:w="2570"/>
            <w:vAlign w:val="center"/>
            <w:shd w:fill="FFFFFF"/>
          </w:tcPr>
          <w:p>
            <w:pPr>
              <w:spacing w:after="0"/>
            </w:pPr>
            <w:r/>
            <w:r>
              <w:rPr>
                <w:rFonts w:ascii="Aptos" w:hAnsi="Aptos"/>
                <w:b w:val="0"/>
                <w:sz w:val="15"/>
              </w:rPr>
              <w:t>Supplier impact record</w:t>
            </w:r>
          </w:p>
        </w:tc>
      </w:tr>
      <w:tr>
        <w:trPr>
          <w:cantSplit/>
        </w:trPr>
        <w:tc>
          <w:tcPr>
            <w:tcW w:type="dxa" w:w="2570"/>
            <w:vAlign w:val="center"/>
            <w:shd w:fill="F3F6F7"/>
          </w:tcPr>
          <w:p>
            <w:pPr>
              <w:spacing w:after="0"/>
            </w:pPr>
            <w:r/>
            <w:r>
              <w:rPr>
                <w:rFonts w:ascii="Aptos" w:hAnsi="Aptos"/>
                <w:b w:val="0"/>
                <w:sz w:val="15"/>
              </w:rPr>
              <w:t>Management review</w:t>
            </w:r>
          </w:p>
        </w:tc>
        <w:tc>
          <w:tcPr>
            <w:tcW w:type="dxa" w:w="2570"/>
            <w:vAlign w:val="center"/>
            <w:shd w:fill="F3F6F7"/>
          </w:tcPr>
          <w:p>
            <w:pPr>
              <w:spacing w:after="0"/>
            </w:pPr>
            <w:r/>
            <w:r>
              <w:rPr>
                <w:rFonts w:ascii="Aptos" w:hAnsi="Aptos"/>
                <w:b w:val="0"/>
                <w:sz w:val="15"/>
              </w:rPr>
              <w:t>Quarterly/annual</w:t>
            </w:r>
          </w:p>
        </w:tc>
        <w:tc>
          <w:tcPr>
            <w:tcW w:type="dxa" w:w="2570"/>
            <w:vAlign w:val="center"/>
            <w:shd w:fill="F3F6F7"/>
          </w:tcPr>
          <w:p>
            <w:pPr>
              <w:spacing w:after="0"/>
            </w:pPr>
            <w:r/>
            <w:r>
              <w:rPr>
                <w:rFonts w:ascii="Aptos" w:hAnsi="Aptos"/>
                <w:b w:val="0"/>
                <w:sz w:val="15"/>
              </w:rPr>
              <w:t>Review scope, health, incidents, resources and actions</w:t>
            </w:r>
          </w:p>
        </w:tc>
        <w:tc>
          <w:tcPr>
            <w:tcW w:type="dxa" w:w="2570"/>
            <w:vAlign w:val="center"/>
            <w:shd w:fill="F3F6F7"/>
          </w:tcPr>
          <w:p>
            <w:pPr>
              <w:spacing w:after="0"/>
            </w:pPr>
            <w:r/>
            <w:r>
              <w:rPr>
                <w:rFonts w:ascii="Aptos" w:hAnsi="Aptos"/>
                <w:b w:val="0"/>
                <w:sz w:val="15"/>
              </w:rPr>
              <w:t>Approved minutes and decisions</w:t>
            </w:r>
          </w:p>
        </w:tc>
      </w:tr>
    </w:tbl>
    <w:p/>
    <w:p>
      <w:pPr>
        <w:pStyle w:val="Heading1"/>
      </w:pPr>
      <w:r>
        <w:t>Severity and Escalation Model</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3427"/>
            <w:vAlign w:val="center"/>
            <w:shd w:fill="17324D"/>
          </w:tcPr>
          <w:p>
            <w:pPr>
              <w:spacing w:after="0"/>
            </w:pPr>
            <w:r/>
            <w:r>
              <w:rPr>
                <w:rFonts w:ascii="Aptos" w:hAnsi="Aptos"/>
                <w:b/>
                <w:color w:val="FFFFFF"/>
                <w:sz w:val="15"/>
              </w:rPr>
              <w:t>Severity</w:t>
            </w:r>
          </w:p>
        </w:tc>
        <w:tc>
          <w:tcPr>
            <w:tcW w:type="dxa" w:w="3427"/>
            <w:vAlign w:val="center"/>
            <w:shd w:fill="17324D"/>
          </w:tcPr>
          <w:p>
            <w:pPr>
              <w:spacing w:after="0"/>
            </w:pPr>
            <w:r/>
            <w:r>
              <w:rPr>
                <w:rFonts w:ascii="Aptos" w:hAnsi="Aptos"/>
                <w:b/>
                <w:color w:val="FFFFFF"/>
                <w:sz w:val="15"/>
              </w:rPr>
              <w:t>Examples</w:t>
            </w:r>
          </w:p>
        </w:tc>
        <w:tc>
          <w:tcPr>
            <w:tcW w:type="dxa" w:w="3427"/>
            <w:vAlign w:val="center"/>
            <w:shd w:fill="17324D"/>
          </w:tcPr>
          <w:p>
            <w:pPr>
              <w:spacing w:after="0"/>
            </w:pPr>
            <w:r/>
            <w:r>
              <w:rPr>
                <w:rFonts w:ascii="Aptos" w:hAnsi="Aptos"/>
                <w:b/>
                <w:color w:val="FFFFFF"/>
                <w:sz w:val="15"/>
              </w:rPr>
              <w:t>Response expectation</w:t>
            </w:r>
          </w:p>
        </w:tc>
      </w:tr>
      <w:tr>
        <w:trPr>
          <w:cantSplit/>
        </w:trPr>
        <w:tc>
          <w:tcPr>
            <w:tcW w:type="dxa" w:w="3427"/>
            <w:vAlign w:val="center"/>
            <w:shd w:fill="FFFFFF"/>
          </w:tcPr>
          <w:p>
            <w:pPr>
              <w:spacing w:after="0"/>
            </w:pPr>
            <w:r/>
            <w:r>
              <w:rPr>
                <w:rFonts w:ascii="Aptos" w:hAnsi="Aptos"/>
                <w:b w:val="0"/>
                <w:sz w:val="15"/>
              </w:rPr>
              <w:t>S1 Critical</w:t>
            </w:r>
          </w:p>
        </w:tc>
        <w:tc>
          <w:tcPr>
            <w:tcW w:type="dxa" w:w="3427"/>
            <w:vAlign w:val="center"/>
            <w:shd w:fill="FFFFFF"/>
          </w:tcPr>
          <w:p>
            <w:pPr>
              <w:spacing w:after="0"/>
            </w:pPr>
            <w:r/>
            <w:r>
              <w:rPr>
                <w:rFonts w:ascii="Aptos" w:hAnsi="Aptos"/>
                <w:b w:val="0"/>
                <w:sz w:val="15"/>
              </w:rPr>
              <w:t>Unsafe physical action, major breach, uncontrolled high-impact agent action</w:t>
            </w:r>
          </w:p>
        </w:tc>
        <w:tc>
          <w:tcPr>
            <w:tcW w:type="dxa" w:w="3427"/>
            <w:vAlign w:val="center"/>
            <w:shd w:fill="FFFFFF"/>
          </w:tcPr>
          <w:p>
            <w:pPr>
              <w:spacing w:after="0"/>
            </w:pPr>
            <w:r/>
            <w:r>
              <w:rPr>
                <w:rFonts w:ascii="Aptos" w:hAnsi="Aptos"/>
                <w:b w:val="0"/>
                <w:sz w:val="15"/>
              </w:rPr>
              <w:t>Immediate containment, executive/safety authority, incident command</w:t>
            </w:r>
          </w:p>
        </w:tc>
      </w:tr>
      <w:tr>
        <w:trPr>
          <w:cantSplit/>
        </w:trPr>
        <w:tc>
          <w:tcPr>
            <w:tcW w:type="dxa" w:w="3427"/>
            <w:vAlign w:val="center"/>
            <w:shd w:fill="F3F6F7"/>
          </w:tcPr>
          <w:p>
            <w:pPr>
              <w:spacing w:after="0"/>
            </w:pPr>
            <w:r/>
            <w:r>
              <w:rPr>
                <w:rFonts w:ascii="Aptos" w:hAnsi="Aptos"/>
                <w:b w:val="0"/>
                <w:sz w:val="15"/>
              </w:rPr>
              <w:t>S2 High</w:t>
            </w:r>
          </w:p>
        </w:tc>
        <w:tc>
          <w:tcPr>
            <w:tcW w:type="dxa" w:w="3427"/>
            <w:vAlign w:val="center"/>
            <w:shd w:fill="F3F6F7"/>
          </w:tcPr>
          <w:p>
            <w:pPr>
              <w:spacing w:after="0"/>
            </w:pPr>
            <w:r/>
            <w:r>
              <w:rPr>
                <w:rFonts w:ascii="Aptos" w:hAnsi="Aptos"/>
                <w:b w:val="0"/>
                <w:sz w:val="15"/>
              </w:rPr>
              <w:t>Material control failure, sensitive leakage, repeated harmful output</w:t>
            </w:r>
          </w:p>
        </w:tc>
        <w:tc>
          <w:tcPr>
            <w:tcW w:type="dxa" w:w="3427"/>
            <w:vAlign w:val="center"/>
            <w:shd w:fill="F3F6F7"/>
          </w:tcPr>
          <w:p>
            <w:pPr>
              <w:spacing w:after="0"/>
            </w:pPr>
            <w:r/>
            <w:r>
              <w:rPr>
                <w:rFonts w:ascii="Aptos" w:hAnsi="Aptos"/>
                <w:b w:val="0"/>
                <w:sz w:val="15"/>
              </w:rPr>
              <w:t>Urgent containment and same-day risk decision</w:t>
            </w:r>
          </w:p>
        </w:tc>
      </w:tr>
      <w:tr>
        <w:trPr>
          <w:cantSplit/>
        </w:trPr>
        <w:tc>
          <w:tcPr>
            <w:tcW w:type="dxa" w:w="3427"/>
            <w:vAlign w:val="center"/>
            <w:shd w:fill="FFFFFF"/>
          </w:tcPr>
          <w:p>
            <w:pPr>
              <w:spacing w:after="0"/>
            </w:pPr>
            <w:r/>
            <w:r>
              <w:rPr>
                <w:rFonts w:ascii="Aptos" w:hAnsi="Aptos"/>
                <w:b w:val="0"/>
                <w:sz w:val="15"/>
              </w:rPr>
              <w:t>S3 Moderate</w:t>
            </w:r>
          </w:p>
        </w:tc>
        <w:tc>
          <w:tcPr>
            <w:tcW w:type="dxa" w:w="3427"/>
            <w:vAlign w:val="center"/>
            <w:shd w:fill="FFFFFF"/>
          </w:tcPr>
          <w:p>
            <w:pPr>
              <w:spacing w:after="0"/>
            </w:pPr>
            <w:r/>
            <w:r>
              <w:rPr>
                <w:rFonts w:ascii="Aptos" w:hAnsi="Aptos"/>
                <w:b w:val="0"/>
                <w:sz w:val="15"/>
              </w:rPr>
              <w:t>Localized degradation, evidence gap, repeated minor failure</w:t>
            </w:r>
          </w:p>
        </w:tc>
        <w:tc>
          <w:tcPr>
            <w:tcW w:type="dxa" w:w="3427"/>
            <w:vAlign w:val="center"/>
            <w:shd w:fill="FFFFFF"/>
          </w:tcPr>
          <w:p>
            <w:pPr>
              <w:spacing w:after="0"/>
            </w:pPr>
            <w:r/>
            <w:r>
              <w:rPr>
                <w:rFonts w:ascii="Aptos" w:hAnsi="Aptos"/>
                <w:b w:val="0"/>
                <w:sz w:val="15"/>
              </w:rPr>
              <w:t>Time-bound investigation and corrective action</w:t>
            </w:r>
          </w:p>
        </w:tc>
      </w:tr>
      <w:tr>
        <w:trPr>
          <w:cantSplit/>
        </w:trPr>
        <w:tc>
          <w:tcPr>
            <w:tcW w:type="dxa" w:w="3427"/>
            <w:vAlign w:val="center"/>
            <w:shd w:fill="F3F6F7"/>
          </w:tcPr>
          <w:p>
            <w:pPr>
              <w:spacing w:after="0"/>
            </w:pPr>
            <w:r/>
            <w:r>
              <w:rPr>
                <w:rFonts w:ascii="Aptos" w:hAnsi="Aptos"/>
                <w:b w:val="0"/>
                <w:sz w:val="15"/>
              </w:rPr>
              <w:t>S4 Low</w:t>
            </w:r>
          </w:p>
        </w:tc>
        <w:tc>
          <w:tcPr>
            <w:tcW w:type="dxa" w:w="3427"/>
            <w:vAlign w:val="center"/>
            <w:shd w:fill="F3F6F7"/>
          </w:tcPr>
          <w:p>
            <w:pPr>
              <w:spacing w:after="0"/>
            </w:pPr>
            <w:r/>
            <w:r>
              <w:rPr>
                <w:rFonts w:ascii="Aptos" w:hAnsi="Aptos"/>
                <w:b w:val="0"/>
                <w:sz w:val="15"/>
              </w:rPr>
              <w:t>Documentation or isolated low-impact issue</w:t>
            </w:r>
          </w:p>
        </w:tc>
        <w:tc>
          <w:tcPr>
            <w:tcW w:type="dxa" w:w="3427"/>
            <w:vAlign w:val="center"/>
            <w:shd w:fill="F3F6F7"/>
          </w:tcPr>
          <w:p>
            <w:pPr>
              <w:spacing w:after="0"/>
            </w:pPr>
            <w:r/>
            <w:r>
              <w:rPr>
                <w:rFonts w:ascii="Aptos" w:hAnsi="Aptos"/>
                <w:b w:val="0"/>
                <w:sz w:val="15"/>
              </w:rPr>
              <w:t>Normal backlog and trend review</w:t>
            </w:r>
          </w:p>
        </w:tc>
      </w:tr>
    </w:tbl>
    <w:p/>
    <w:p>
      <w:pPr>
        <w:pStyle w:val="Heading1"/>
      </w:pPr>
      <w:r>
        <w:t>Operational Runbooks by Domain</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3427"/>
            <w:vAlign w:val="center"/>
            <w:shd w:fill="17324D"/>
          </w:tcPr>
          <w:p>
            <w:pPr>
              <w:spacing w:after="0"/>
            </w:pPr>
            <w:r/>
            <w:r>
              <w:rPr>
                <w:rFonts w:ascii="Aptos" w:hAnsi="Aptos"/>
                <w:b/>
                <w:color w:val="FFFFFF"/>
                <w:sz w:val="15"/>
              </w:rPr>
              <w:t>Domain</w:t>
            </w:r>
          </w:p>
        </w:tc>
        <w:tc>
          <w:tcPr>
            <w:tcW w:type="dxa" w:w="3427"/>
            <w:vAlign w:val="center"/>
            <w:shd w:fill="17324D"/>
          </w:tcPr>
          <w:p>
            <w:pPr>
              <w:spacing w:after="0"/>
            </w:pPr>
            <w:r/>
            <w:r>
              <w:rPr>
                <w:rFonts w:ascii="Aptos" w:hAnsi="Aptos"/>
                <w:b/>
                <w:color w:val="FFFFFF"/>
                <w:sz w:val="15"/>
              </w:rPr>
              <w:t>Run-state focus</w:t>
            </w:r>
          </w:p>
        </w:tc>
        <w:tc>
          <w:tcPr>
            <w:tcW w:type="dxa" w:w="3427"/>
            <w:vAlign w:val="center"/>
            <w:shd w:fill="17324D"/>
          </w:tcPr>
          <w:p>
            <w:pPr>
              <w:spacing w:after="0"/>
            </w:pPr>
            <w:r/>
            <w:r>
              <w:rPr>
                <w:rFonts w:ascii="Aptos" w:hAnsi="Aptos"/>
                <w:b/>
                <w:color w:val="FFFFFF"/>
                <w:sz w:val="15"/>
              </w:rPr>
              <w:t>Routine activities</w:t>
            </w:r>
          </w:p>
        </w:tc>
      </w:tr>
      <w:tr>
        <w:trPr>
          <w:cantSplit/>
        </w:trPr>
        <w:tc>
          <w:tcPr>
            <w:tcW w:type="dxa" w:w="3427"/>
            <w:vAlign w:val="center"/>
            <w:shd w:fill="FFFFFF"/>
          </w:tcPr>
          <w:p>
            <w:pPr>
              <w:spacing w:after="0"/>
            </w:pPr>
            <w:r/>
            <w:r>
              <w:rPr>
                <w:rFonts w:ascii="Aptos" w:hAnsi="Aptos"/>
                <w:b w:val="0"/>
                <w:sz w:val="15"/>
              </w:rPr>
              <w:t>D1</w:t>
            </w:r>
          </w:p>
        </w:tc>
        <w:tc>
          <w:tcPr>
            <w:tcW w:type="dxa" w:w="3427"/>
            <w:vAlign w:val="center"/>
            <w:shd w:fill="FFFFFF"/>
          </w:tcPr>
          <w:p>
            <w:pPr>
              <w:spacing w:after="0"/>
            </w:pPr>
            <w:r/>
            <w:r>
              <w:rPr>
                <w:rFonts w:ascii="Aptos" w:hAnsi="Aptos"/>
                <w:b w:val="0"/>
                <w:sz w:val="15"/>
              </w:rPr>
              <w:t>Model/data integrity</w:t>
            </w:r>
          </w:p>
        </w:tc>
        <w:tc>
          <w:tcPr>
            <w:tcW w:type="dxa" w:w="3427"/>
            <w:vAlign w:val="center"/>
            <w:shd w:fill="FFFFFF"/>
          </w:tcPr>
          <w:p>
            <w:pPr>
              <w:spacing w:after="0"/>
            </w:pPr>
            <w:r/>
            <w:r>
              <w:rPr>
                <w:rFonts w:ascii="Aptos" w:hAnsi="Aptos"/>
                <w:b w:val="0"/>
                <w:sz w:val="15"/>
              </w:rPr>
              <w:t>Version checks, lineage, signature, drift and poisoning review</w:t>
            </w:r>
          </w:p>
        </w:tc>
      </w:tr>
      <w:tr>
        <w:trPr>
          <w:cantSplit/>
        </w:trPr>
        <w:tc>
          <w:tcPr>
            <w:tcW w:type="dxa" w:w="3427"/>
            <w:vAlign w:val="center"/>
            <w:shd w:fill="F3F6F7"/>
          </w:tcPr>
          <w:p>
            <w:pPr>
              <w:spacing w:after="0"/>
            </w:pPr>
            <w:r/>
            <w:r>
              <w:rPr>
                <w:rFonts w:ascii="Aptos" w:hAnsi="Aptos"/>
                <w:b w:val="0"/>
                <w:sz w:val="15"/>
              </w:rPr>
              <w:t>D2</w:t>
            </w:r>
          </w:p>
        </w:tc>
        <w:tc>
          <w:tcPr>
            <w:tcW w:type="dxa" w:w="3427"/>
            <w:vAlign w:val="center"/>
            <w:shd w:fill="F3F6F7"/>
          </w:tcPr>
          <w:p>
            <w:pPr>
              <w:spacing w:after="0"/>
            </w:pPr>
            <w:r/>
            <w:r>
              <w:rPr>
                <w:rFonts w:ascii="Aptos" w:hAnsi="Aptos"/>
                <w:b w:val="0"/>
                <w:sz w:val="15"/>
              </w:rPr>
              <w:t>Adversarial defense</w:t>
            </w:r>
          </w:p>
        </w:tc>
        <w:tc>
          <w:tcPr>
            <w:tcW w:type="dxa" w:w="3427"/>
            <w:vAlign w:val="center"/>
            <w:shd w:fill="F3F6F7"/>
          </w:tcPr>
          <w:p>
            <w:pPr>
              <w:spacing w:after="0"/>
            </w:pPr>
            <w:r/>
            <w:r>
              <w:rPr>
                <w:rFonts w:ascii="Aptos" w:hAnsi="Aptos"/>
                <w:b w:val="0"/>
                <w:sz w:val="15"/>
              </w:rPr>
              <w:t>Attack telemetry, regression tests and abuse pattern updates</w:t>
            </w:r>
          </w:p>
        </w:tc>
      </w:tr>
      <w:tr>
        <w:trPr>
          <w:cantSplit/>
        </w:trPr>
        <w:tc>
          <w:tcPr>
            <w:tcW w:type="dxa" w:w="3427"/>
            <w:vAlign w:val="center"/>
            <w:shd w:fill="FFFFFF"/>
          </w:tcPr>
          <w:p>
            <w:pPr>
              <w:spacing w:after="0"/>
            </w:pPr>
            <w:r/>
            <w:r>
              <w:rPr>
                <w:rFonts w:ascii="Aptos" w:hAnsi="Aptos"/>
                <w:b w:val="0"/>
                <w:sz w:val="15"/>
              </w:rPr>
              <w:t>D3</w:t>
            </w:r>
          </w:p>
        </w:tc>
        <w:tc>
          <w:tcPr>
            <w:tcW w:type="dxa" w:w="3427"/>
            <w:vAlign w:val="center"/>
            <w:shd w:fill="FFFFFF"/>
          </w:tcPr>
          <w:p>
            <w:pPr>
              <w:spacing w:after="0"/>
            </w:pPr>
            <w:r/>
            <w:r>
              <w:rPr>
                <w:rFonts w:ascii="Aptos" w:hAnsi="Aptos"/>
                <w:b w:val="0"/>
                <w:sz w:val="15"/>
              </w:rPr>
              <w:t>Architecture/supply chain</w:t>
            </w:r>
          </w:p>
        </w:tc>
        <w:tc>
          <w:tcPr>
            <w:tcW w:type="dxa" w:w="3427"/>
            <w:vAlign w:val="center"/>
            <w:shd w:fill="FFFFFF"/>
          </w:tcPr>
          <w:p>
            <w:pPr>
              <w:spacing w:after="0"/>
            </w:pPr>
            <w:r/>
            <w:r>
              <w:rPr>
                <w:rFonts w:ascii="Aptos" w:hAnsi="Aptos"/>
                <w:b w:val="0"/>
                <w:sz w:val="15"/>
              </w:rPr>
              <w:t>Access review, agent/tool permissions and supplier changes</w:t>
            </w:r>
          </w:p>
        </w:tc>
      </w:tr>
      <w:tr>
        <w:trPr>
          <w:cantSplit/>
        </w:trPr>
        <w:tc>
          <w:tcPr>
            <w:tcW w:type="dxa" w:w="3427"/>
            <w:vAlign w:val="center"/>
            <w:shd w:fill="F3F6F7"/>
          </w:tcPr>
          <w:p>
            <w:pPr>
              <w:spacing w:after="0"/>
            </w:pPr>
            <w:r/>
            <w:r>
              <w:rPr>
                <w:rFonts w:ascii="Aptos" w:hAnsi="Aptos"/>
                <w:b w:val="0"/>
                <w:sz w:val="15"/>
              </w:rPr>
              <w:t>D4</w:t>
            </w:r>
          </w:p>
        </w:tc>
        <w:tc>
          <w:tcPr>
            <w:tcW w:type="dxa" w:w="3427"/>
            <w:vAlign w:val="center"/>
            <w:shd w:fill="F3F6F7"/>
          </w:tcPr>
          <w:p>
            <w:pPr>
              <w:spacing w:after="0"/>
            </w:pPr>
            <w:r/>
            <w:r>
              <w:rPr>
                <w:rFonts w:ascii="Aptos" w:hAnsi="Aptos"/>
                <w:b w:val="0"/>
                <w:sz w:val="15"/>
              </w:rPr>
              <w:t>Development/deployment</w:t>
            </w:r>
          </w:p>
        </w:tc>
        <w:tc>
          <w:tcPr>
            <w:tcW w:type="dxa" w:w="3427"/>
            <w:vAlign w:val="center"/>
            <w:shd w:fill="F3F6F7"/>
          </w:tcPr>
          <w:p>
            <w:pPr>
              <w:spacing w:after="0"/>
            </w:pPr>
            <w:r/>
            <w:r>
              <w:rPr>
                <w:rFonts w:ascii="Aptos" w:hAnsi="Aptos"/>
                <w:b w:val="0"/>
                <w:sz w:val="15"/>
              </w:rPr>
              <w:t>Configuration drift, release evidence and vulnerability remediation</w:t>
            </w:r>
          </w:p>
        </w:tc>
      </w:tr>
      <w:tr>
        <w:trPr>
          <w:cantSplit/>
        </w:trPr>
        <w:tc>
          <w:tcPr>
            <w:tcW w:type="dxa" w:w="3427"/>
            <w:vAlign w:val="center"/>
            <w:shd w:fill="FFFFFF"/>
          </w:tcPr>
          <w:p>
            <w:pPr>
              <w:spacing w:after="0"/>
            </w:pPr>
            <w:r/>
            <w:r>
              <w:rPr>
                <w:rFonts w:ascii="Aptos" w:hAnsi="Aptos"/>
                <w:b w:val="0"/>
                <w:sz w:val="15"/>
              </w:rPr>
              <w:t>D5</w:t>
            </w:r>
          </w:p>
        </w:tc>
        <w:tc>
          <w:tcPr>
            <w:tcW w:type="dxa" w:w="3427"/>
            <w:vAlign w:val="center"/>
            <w:shd w:fill="FFFFFF"/>
          </w:tcPr>
          <w:p>
            <w:pPr>
              <w:spacing w:after="0"/>
            </w:pPr>
            <w:r/>
            <w:r>
              <w:rPr>
                <w:rFonts w:ascii="Aptos" w:hAnsi="Aptos"/>
                <w:b w:val="0"/>
                <w:sz w:val="15"/>
              </w:rPr>
              <w:t>Privacy/content integrity</w:t>
            </w:r>
          </w:p>
        </w:tc>
        <w:tc>
          <w:tcPr>
            <w:tcW w:type="dxa" w:w="3427"/>
            <w:vAlign w:val="center"/>
            <w:shd w:fill="FFFFFF"/>
          </w:tcPr>
          <w:p>
            <w:pPr>
              <w:spacing w:after="0"/>
            </w:pPr>
            <w:r/>
            <w:r>
              <w:rPr>
                <w:rFonts w:ascii="Aptos" w:hAnsi="Aptos"/>
                <w:b w:val="0"/>
                <w:sz w:val="15"/>
              </w:rPr>
              <w:t>Leakage, retention, rights, harmful output and complaints</w:t>
            </w:r>
          </w:p>
        </w:tc>
      </w:tr>
      <w:tr>
        <w:trPr>
          <w:cantSplit/>
        </w:trPr>
        <w:tc>
          <w:tcPr>
            <w:tcW w:type="dxa" w:w="3427"/>
            <w:vAlign w:val="center"/>
            <w:shd w:fill="F3F6F7"/>
          </w:tcPr>
          <w:p>
            <w:pPr>
              <w:spacing w:after="0"/>
            </w:pPr>
            <w:r/>
            <w:r>
              <w:rPr>
                <w:rFonts w:ascii="Aptos" w:hAnsi="Aptos"/>
                <w:b w:val="0"/>
                <w:sz w:val="15"/>
              </w:rPr>
              <w:t>D6</w:t>
            </w:r>
          </w:p>
        </w:tc>
        <w:tc>
          <w:tcPr>
            <w:tcW w:type="dxa" w:w="3427"/>
            <w:vAlign w:val="center"/>
            <w:shd w:fill="F3F6F7"/>
          </w:tcPr>
          <w:p>
            <w:pPr>
              <w:spacing w:after="0"/>
            </w:pPr>
            <w:r/>
            <w:r>
              <w:rPr>
                <w:rFonts w:ascii="Aptos" w:hAnsi="Aptos"/>
                <w:b w:val="0"/>
                <w:sz w:val="15"/>
              </w:rPr>
              <w:t>Governance/incidents</w:t>
            </w:r>
          </w:p>
        </w:tc>
        <w:tc>
          <w:tcPr>
            <w:tcW w:type="dxa" w:w="3427"/>
            <w:vAlign w:val="center"/>
            <w:shd w:fill="F3F6F7"/>
          </w:tcPr>
          <w:p>
            <w:pPr>
              <w:spacing w:after="0"/>
            </w:pPr>
            <w:r/>
            <w:r>
              <w:rPr>
                <w:rFonts w:ascii="Aptos" w:hAnsi="Aptos"/>
                <w:b w:val="0"/>
                <w:sz w:val="15"/>
              </w:rPr>
              <w:t>Owner attestations, incidents, management review and continuity</w:t>
            </w:r>
          </w:p>
        </w:tc>
      </w:tr>
      <w:tr>
        <w:trPr>
          <w:cantSplit/>
        </w:trPr>
        <w:tc>
          <w:tcPr>
            <w:tcW w:type="dxa" w:w="3427"/>
            <w:vAlign w:val="center"/>
            <w:shd w:fill="FFFFFF"/>
          </w:tcPr>
          <w:p>
            <w:pPr>
              <w:spacing w:after="0"/>
            </w:pPr>
            <w:r/>
            <w:r>
              <w:rPr>
                <w:rFonts w:ascii="Aptos" w:hAnsi="Aptos"/>
                <w:b w:val="0"/>
                <w:sz w:val="15"/>
              </w:rPr>
              <w:t>D7</w:t>
            </w:r>
          </w:p>
        </w:tc>
        <w:tc>
          <w:tcPr>
            <w:tcW w:type="dxa" w:w="3427"/>
            <w:vAlign w:val="center"/>
            <w:shd w:fill="FFFFFF"/>
          </w:tcPr>
          <w:p>
            <w:pPr>
              <w:spacing w:after="0"/>
            </w:pPr>
            <w:r/>
            <w:r>
              <w:rPr>
                <w:rFonts w:ascii="Aptos" w:hAnsi="Aptos"/>
                <w:b w:val="0"/>
                <w:sz w:val="15"/>
              </w:rPr>
              <w:t>Human/societal harms</w:t>
            </w:r>
          </w:p>
        </w:tc>
        <w:tc>
          <w:tcPr>
            <w:tcW w:type="dxa" w:w="3427"/>
            <w:vAlign w:val="center"/>
            <w:shd w:fill="FFFFFF"/>
          </w:tcPr>
          <w:p>
            <w:pPr>
              <w:spacing w:after="0"/>
            </w:pPr>
            <w:r/>
            <w:r>
              <w:rPr>
                <w:rFonts w:ascii="Aptos" w:hAnsi="Aptos"/>
                <w:b w:val="0"/>
                <w:sz w:val="15"/>
              </w:rPr>
              <w:t>Disclosure, recourse, phishing/deepfake and social-engineering readiness</w:t>
            </w:r>
          </w:p>
        </w:tc>
      </w:tr>
      <w:tr>
        <w:trPr>
          <w:cantSplit/>
        </w:trPr>
        <w:tc>
          <w:tcPr>
            <w:tcW w:type="dxa" w:w="3427"/>
            <w:vAlign w:val="center"/>
            <w:shd w:fill="F3F6F7"/>
          </w:tcPr>
          <w:p>
            <w:pPr>
              <w:spacing w:after="0"/>
            </w:pPr>
            <w:r/>
            <w:r>
              <w:rPr>
                <w:rFonts w:ascii="Aptos" w:hAnsi="Aptos"/>
                <w:b w:val="0"/>
                <w:sz w:val="15"/>
              </w:rPr>
              <w:t>D8</w:t>
            </w:r>
          </w:p>
        </w:tc>
        <w:tc>
          <w:tcPr>
            <w:tcW w:type="dxa" w:w="3427"/>
            <w:vAlign w:val="center"/>
            <w:shd w:fill="F3F6F7"/>
          </w:tcPr>
          <w:p>
            <w:pPr>
              <w:spacing w:after="0"/>
            </w:pPr>
            <w:r/>
            <w:r>
              <w:rPr>
                <w:rFonts w:ascii="Aptos" w:hAnsi="Aptos"/>
                <w:b w:val="0"/>
                <w:sz w:val="15"/>
              </w:rPr>
              <w:t>Risk/assurance</w:t>
            </w:r>
          </w:p>
        </w:tc>
        <w:tc>
          <w:tcPr>
            <w:tcW w:type="dxa" w:w="3427"/>
            <w:vAlign w:val="center"/>
            <w:shd w:fill="F3F6F7"/>
          </w:tcPr>
          <w:p>
            <w:pPr>
              <w:spacing w:after="0"/>
            </w:pPr>
            <w:r/>
            <w:r>
              <w:rPr>
                <w:rFonts w:ascii="Aptos" w:hAnsi="Aptos"/>
                <w:b w:val="0"/>
                <w:sz w:val="15"/>
              </w:rPr>
              <w:t>Exceptions, audits, metrics, actions and regulatory change</w:t>
            </w:r>
          </w:p>
        </w:tc>
      </w:tr>
      <w:tr>
        <w:trPr>
          <w:cantSplit/>
        </w:trPr>
        <w:tc>
          <w:tcPr>
            <w:tcW w:type="dxa" w:w="3427"/>
            <w:vAlign w:val="center"/>
            <w:shd w:fill="FFFFFF"/>
          </w:tcPr>
          <w:p>
            <w:pPr>
              <w:spacing w:after="0"/>
            </w:pPr>
            <w:r/>
            <w:r>
              <w:rPr>
                <w:rFonts w:ascii="Aptos" w:hAnsi="Aptos"/>
                <w:b w:val="0"/>
                <w:sz w:val="15"/>
              </w:rPr>
              <w:t>D9</w:t>
            </w:r>
          </w:p>
        </w:tc>
        <w:tc>
          <w:tcPr>
            <w:tcW w:type="dxa" w:w="3427"/>
            <w:vAlign w:val="center"/>
            <w:shd w:fill="FFFFFF"/>
          </w:tcPr>
          <w:p>
            <w:pPr>
              <w:spacing w:after="0"/>
            </w:pPr>
            <w:r/>
            <w:r>
              <w:rPr>
                <w:rFonts w:ascii="Aptos" w:hAnsi="Aptos"/>
                <w:b w:val="0"/>
                <w:sz w:val="15"/>
              </w:rPr>
              <w:t>Physical safety</w:t>
            </w:r>
          </w:p>
        </w:tc>
        <w:tc>
          <w:tcPr>
            <w:tcW w:type="dxa" w:w="3427"/>
            <w:vAlign w:val="center"/>
            <w:shd w:fill="FFFFFF"/>
          </w:tcPr>
          <w:p>
            <w:pPr>
              <w:spacing w:after="0"/>
            </w:pPr>
            <w:r/>
            <w:r>
              <w:rPr>
                <w:rFonts w:ascii="Aptos" w:hAnsi="Aptos"/>
                <w:b w:val="0"/>
                <w:sz w:val="15"/>
              </w:rPr>
              <w:t>Sensors, envelopes, overrides, safe state and near misses</w:t>
            </w:r>
          </w:p>
        </w:tc>
      </w:tr>
    </w:tbl>
    <w:p/>
    <w:p>
      <w:pPr>
        <w:pStyle w:val="Heading1"/>
      </w:pPr>
      <w:r>
        <w:t>KPI, KRI and KCI Catalogue</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3427"/>
            <w:vAlign w:val="center"/>
            <w:shd w:fill="17324D"/>
          </w:tcPr>
          <w:p>
            <w:pPr>
              <w:spacing w:after="0"/>
            </w:pPr>
            <w:r/>
            <w:r>
              <w:rPr>
                <w:rFonts w:ascii="Aptos" w:hAnsi="Aptos"/>
                <w:b/>
                <w:color w:val="FFFFFF"/>
                <w:sz w:val="15"/>
              </w:rPr>
              <w:t>Type</w:t>
            </w:r>
          </w:p>
        </w:tc>
        <w:tc>
          <w:tcPr>
            <w:tcW w:type="dxa" w:w="3427"/>
            <w:vAlign w:val="center"/>
            <w:shd w:fill="17324D"/>
          </w:tcPr>
          <w:p>
            <w:pPr>
              <w:spacing w:after="0"/>
            </w:pPr>
            <w:r/>
            <w:r>
              <w:rPr>
                <w:rFonts w:ascii="Aptos" w:hAnsi="Aptos"/>
                <w:b/>
                <w:color w:val="FFFFFF"/>
                <w:sz w:val="15"/>
              </w:rPr>
              <w:t>Examples</w:t>
            </w:r>
          </w:p>
        </w:tc>
        <w:tc>
          <w:tcPr>
            <w:tcW w:type="dxa" w:w="3427"/>
            <w:vAlign w:val="center"/>
            <w:shd w:fill="17324D"/>
          </w:tcPr>
          <w:p>
            <w:pPr>
              <w:spacing w:after="0"/>
            </w:pPr>
            <w:r/>
            <w:r>
              <w:rPr>
                <w:rFonts w:ascii="Aptos" w:hAnsi="Aptos"/>
                <w:b/>
                <w:color w:val="FFFFFF"/>
                <w:sz w:val="15"/>
              </w:rPr>
              <w:t>Use</w:t>
            </w:r>
          </w:p>
        </w:tc>
      </w:tr>
      <w:tr>
        <w:trPr>
          <w:cantSplit/>
        </w:trPr>
        <w:tc>
          <w:tcPr>
            <w:tcW w:type="dxa" w:w="3427"/>
            <w:vAlign w:val="center"/>
            <w:shd w:fill="FFFFFF"/>
          </w:tcPr>
          <w:p>
            <w:pPr>
              <w:spacing w:after="0"/>
            </w:pPr>
            <w:r/>
            <w:r>
              <w:rPr>
                <w:rFonts w:ascii="Aptos" w:hAnsi="Aptos"/>
                <w:b w:val="0"/>
                <w:sz w:val="15"/>
              </w:rPr>
              <w:t>KPI</w:t>
            </w:r>
          </w:p>
        </w:tc>
        <w:tc>
          <w:tcPr>
            <w:tcW w:type="dxa" w:w="3427"/>
            <w:vAlign w:val="center"/>
            <w:shd w:fill="FFFFFF"/>
          </w:tcPr>
          <w:p>
            <w:pPr>
              <w:spacing w:after="0"/>
            </w:pPr>
            <w:r/>
            <w:r>
              <w:rPr>
                <w:rFonts w:ascii="Aptos" w:hAnsi="Aptos"/>
                <w:b w:val="0"/>
                <w:sz w:val="15"/>
              </w:rPr>
              <w:t>Review completion, remediation throughput, evidence refresh timeliness</w:t>
            </w:r>
          </w:p>
        </w:tc>
        <w:tc>
          <w:tcPr>
            <w:tcW w:type="dxa" w:w="3427"/>
            <w:vAlign w:val="center"/>
            <w:shd w:fill="FFFFFF"/>
          </w:tcPr>
          <w:p>
            <w:pPr>
              <w:spacing w:after="0"/>
            </w:pPr>
            <w:r/>
            <w:r>
              <w:rPr>
                <w:rFonts w:ascii="Aptos" w:hAnsi="Aptos"/>
                <w:b w:val="0"/>
                <w:sz w:val="15"/>
              </w:rPr>
              <w:t>Process performance</w:t>
            </w:r>
          </w:p>
        </w:tc>
      </w:tr>
      <w:tr>
        <w:trPr>
          <w:cantSplit/>
        </w:trPr>
        <w:tc>
          <w:tcPr>
            <w:tcW w:type="dxa" w:w="3427"/>
            <w:vAlign w:val="center"/>
            <w:shd w:fill="F3F6F7"/>
          </w:tcPr>
          <w:p>
            <w:pPr>
              <w:spacing w:after="0"/>
            </w:pPr>
            <w:r/>
            <w:r>
              <w:rPr>
                <w:rFonts w:ascii="Aptos" w:hAnsi="Aptos"/>
                <w:b w:val="0"/>
                <w:sz w:val="15"/>
              </w:rPr>
              <w:t>KRI</w:t>
            </w:r>
          </w:p>
        </w:tc>
        <w:tc>
          <w:tcPr>
            <w:tcW w:type="dxa" w:w="3427"/>
            <w:vAlign w:val="center"/>
            <w:shd w:fill="F3F6F7"/>
          </w:tcPr>
          <w:p>
            <w:pPr>
              <w:spacing w:after="0"/>
            </w:pPr>
            <w:r/>
            <w:r>
              <w:rPr>
                <w:rFonts w:ascii="Aptos" w:hAnsi="Aptos"/>
                <w:b w:val="0"/>
                <w:sz w:val="15"/>
              </w:rPr>
              <w:t>Critical incidents, harmful-output rate, high-risk exceptions, unsafe-command attempts</w:t>
            </w:r>
          </w:p>
        </w:tc>
        <w:tc>
          <w:tcPr>
            <w:tcW w:type="dxa" w:w="3427"/>
            <w:vAlign w:val="center"/>
            <w:shd w:fill="F3F6F7"/>
          </w:tcPr>
          <w:p>
            <w:pPr>
              <w:spacing w:after="0"/>
            </w:pPr>
            <w:r/>
            <w:r>
              <w:rPr>
                <w:rFonts w:ascii="Aptos" w:hAnsi="Aptos"/>
                <w:b w:val="0"/>
                <w:sz w:val="15"/>
              </w:rPr>
              <w:t>Risk exposure</w:t>
            </w:r>
          </w:p>
        </w:tc>
      </w:tr>
      <w:tr>
        <w:trPr>
          <w:cantSplit/>
        </w:trPr>
        <w:tc>
          <w:tcPr>
            <w:tcW w:type="dxa" w:w="3427"/>
            <w:vAlign w:val="center"/>
            <w:shd w:fill="FFFFFF"/>
          </w:tcPr>
          <w:p>
            <w:pPr>
              <w:spacing w:after="0"/>
            </w:pPr>
            <w:r/>
            <w:r>
              <w:rPr>
                <w:rFonts w:ascii="Aptos" w:hAnsi="Aptos"/>
                <w:b w:val="0"/>
                <w:sz w:val="15"/>
              </w:rPr>
              <w:t>KCI</w:t>
            </w:r>
          </w:p>
        </w:tc>
        <w:tc>
          <w:tcPr>
            <w:tcW w:type="dxa" w:w="3427"/>
            <w:vAlign w:val="center"/>
            <w:shd w:fill="FFFFFF"/>
          </w:tcPr>
          <w:p>
            <w:pPr>
              <w:spacing w:after="0"/>
            </w:pPr>
            <w:r/>
            <w:r>
              <w:rPr>
                <w:rFonts w:ascii="Aptos" w:hAnsi="Aptos"/>
                <w:b w:val="0"/>
                <w:sz w:val="15"/>
              </w:rPr>
              <w:t>Blocked unauthorized actions, test pass rate, control-health green state, override success</w:t>
            </w:r>
          </w:p>
        </w:tc>
        <w:tc>
          <w:tcPr>
            <w:tcW w:type="dxa" w:w="3427"/>
            <w:vAlign w:val="center"/>
            <w:shd w:fill="FFFFFF"/>
          </w:tcPr>
          <w:p>
            <w:pPr>
              <w:spacing w:after="0"/>
            </w:pPr>
            <w:r/>
            <w:r>
              <w:rPr>
                <w:rFonts w:ascii="Aptos" w:hAnsi="Aptos"/>
                <w:b w:val="0"/>
                <w:sz w:val="15"/>
              </w:rPr>
              <w:t>Control effectiveness</w:t>
            </w:r>
          </w:p>
        </w:tc>
      </w:tr>
    </w:tbl>
    <w:p/>
    <w:p>
      <w:pPr>
        <w:pStyle w:val="Heading1"/>
      </w:pPr>
      <w:r>
        <w:t>Shift and On-Call Handover</w:t>
      </w:r>
    </w:p>
    <w:p>
      <w:pPr>
        <w:pStyle w:val="ListBullet"/>
      </w:pPr>
      <w:r>
        <w:t>Open critical/high alerts and incidents</w:t>
      </w:r>
    </w:p>
    <w:p>
      <w:pPr>
        <w:pStyle w:val="ListBullet"/>
      </w:pPr>
      <w:r>
        <w:t>Red/unknown control states</w:t>
      </w:r>
    </w:p>
    <w:p>
      <w:pPr>
        <w:pStyle w:val="ListBullet"/>
      </w:pPr>
      <w:r>
        <w:t>Temporary restrictions and active exceptions</w:t>
      </w:r>
    </w:p>
    <w:p>
      <w:pPr>
        <w:pStyle w:val="ListBullet"/>
      </w:pPr>
      <w:r>
        <w:t>Recent model, data, supplier or configuration changes</w:t>
      </w:r>
    </w:p>
    <w:p>
      <w:pPr>
        <w:pStyle w:val="ListBullet"/>
      </w:pPr>
      <w:r>
        <w:t>Pending evidence preservation or notification</w:t>
      </w:r>
    </w:p>
    <w:p>
      <w:pPr>
        <w:pStyle w:val="ListBullet"/>
      </w:pPr>
      <w:r>
        <w:t>Named decision owners and next checkpoints</w:t>
      </w:r>
    </w:p>
    <w:p>
      <w:pPr>
        <w:pStyle w:val="Heading1"/>
      </w:pPr>
      <w:r>
        <w:t>Continuous Improvement Program</w:t>
      </w:r>
    </w:p>
    <w:p>
      <w:r>
        <w:t>Improvement should operate as a closed loop: identify signal, assess systemic cause, prioritize by risk, implement change, validate effectiveness, update documentation and monitoring, and review for recurrence across other systems.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5141"/>
            <w:vAlign w:val="center"/>
            <w:shd w:fill="17324D"/>
          </w:tcPr>
          <w:p>
            <w:pPr>
              <w:spacing w:after="0"/>
            </w:pPr>
            <w:r/>
            <w:r>
              <w:rPr>
                <w:rFonts w:ascii="Aptos" w:hAnsi="Aptos"/>
                <w:b/>
                <w:color w:val="FFFFFF"/>
                <w:sz w:val="15"/>
              </w:rPr>
              <w:t>Improvement stage</w:t>
            </w:r>
          </w:p>
        </w:tc>
        <w:tc>
          <w:tcPr>
            <w:tcW w:type="dxa" w:w="5141"/>
            <w:vAlign w:val="center"/>
            <w:shd w:fill="17324D"/>
          </w:tcPr>
          <w:p>
            <w:pPr>
              <w:spacing w:after="0"/>
            </w:pPr>
            <w:r/>
            <w:r>
              <w:rPr>
                <w:rFonts w:ascii="Aptos" w:hAnsi="Aptos"/>
                <w:b/>
                <w:color w:val="FFFFFF"/>
                <w:sz w:val="15"/>
              </w:rPr>
              <w:t>Required output</w:t>
            </w:r>
          </w:p>
        </w:tc>
      </w:tr>
      <w:tr>
        <w:trPr>
          <w:cantSplit/>
        </w:trPr>
        <w:tc>
          <w:tcPr>
            <w:tcW w:type="dxa" w:w="5141"/>
            <w:vAlign w:val="center"/>
            <w:shd w:fill="FFFFFF"/>
          </w:tcPr>
          <w:p>
            <w:pPr>
              <w:spacing w:after="0"/>
            </w:pPr>
            <w:r/>
            <w:r>
              <w:rPr>
                <w:rFonts w:ascii="Aptos" w:hAnsi="Aptos"/>
                <w:b w:val="0"/>
                <w:sz w:val="15"/>
              </w:rPr>
              <w:t>Identify</w:t>
            </w:r>
          </w:p>
        </w:tc>
        <w:tc>
          <w:tcPr>
            <w:tcW w:type="dxa" w:w="5141"/>
            <w:vAlign w:val="center"/>
            <w:shd w:fill="FFFFFF"/>
          </w:tcPr>
          <w:p>
            <w:pPr>
              <w:spacing w:after="0"/>
            </w:pPr>
            <w:r/>
            <w:r>
              <w:rPr>
                <w:rFonts w:ascii="Aptos" w:hAnsi="Aptos"/>
                <w:b w:val="0"/>
                <w:sz w:val="15"/>
              </w:rPr>
              <w:t>Incident, finding, metric trend, complaint or threat signal</w:t>
            </w:r>
          </w:p>
        </w:tc>
      </w:tr>
      <w:tr>
        <w:trPr>
          <w:cantSplit/>
        </w:trPr>
        <w:tc>
          <w:tcPr>
            <w:tcW w:type="dxa" w:w="5141"/>
            <w:vAlign w:val="center"/>
            <w:shd w:fill="F3F6F7"/>
          </w:tcPr>
          <w:p>
            <w:pPr>
              <w:spacing w:after="0"/>
            </w:pPr>
            <w:r/>
            <w:r>
              <w:rPr>
                <w:rFonts w:ascii="Aptos" w:hAnsi="Aptos"/>
                <w:b w:val="0"/>
                <w:sz w:val="15"/>
              </w:rPr>
              <w:t>Analyze</w:t>
            </w:r>
          </w:p>
        </w:tc>
        <w:tc>
          <w:tcPr>
            <w:tcW w:type="dxa" w:w="5141"/>
            <w:vAlign w:val="center"/>
            <w:shd w:fill="F3F6F7"/>
          </w:tcPr>
          <w:p>
            <w:pPr>
              <w:spacing w:after="0"/>
            </w:pPr>
            <w:r/>
            <w:r>
              <w:rPr>
                <w:rFonts w:ascii="Aptos" w:hAnsi="Aptos"/>
                <w:b w:val="0"/>
                <w:sz w:val="15"/>
              </w:rPr>
              <w:t>Root cause and affected population</w:t>
            </w:r>
          </w:p>
        </w:tc>
      </w:tr>
      <w:tr>
        <w:trPr>
          <w:cantSplit/>
        </w:trPr>
        <w:tc>
          <w:tcPr>
            <w:tcW w:type="dxa" w:w="5141"/>
            <w:vAlign w:val="center"/>
            <w:shd w:fill="FFFFFF"/>
          </w:tcPr>
          <w:p>
            <w:pPr>
              <w:spacing w:after="0"/>
            </w:pPr>
            <w:r/>
            <w:r>
              <w:rPr>
                <w:rFonts w:ascii="Aptos" w:hAnsi="Aptos"/>
                <w:b w:val="0"/>
                <w:sz w:val="15"/>
              </w:rPr>
              <w:t>Plan</w:t>
            </w:r>
          </w:p>
        </w:tc>
        <w:tc>
          <w:tcPr>
            <w:tcW w:type="dxa" w:w="5141"/>
            <w:vAlign w:val="center"/>
            <w:shd w:fill="FFFFFF"/>
          </w:tcPr>
          <w:p>
            <w:pPr>
              <w:spacing w:after="0"/>
            </w:pPr>
            <w:r/>
            <w:r>
              <w:rPr>
                <w:rFonts w:ascii="Aptos" w:hAnsi="Aptos"/>
                <w:b w:val="0"/>
                <w:sz w:val="15"/>
              </w:rPr>
              <w:t>Corrective and preventive action with owner/date</w:t>
            </w:r>
          </w:p>
        </w:tc>
      </w:tr>
      <w:tr>
        <w:trPr>
          <w:cantSplit/>
        </w:trPr>
        <w:tc>
          <w:tcPr>
            <w:tcW w:type="dxa" w:w="5141"/>
            <w:vAlign w:val="center"/>
            <w:shd w:fill="F3F6F7"/>
          </w:tcPr>
          <w:p>
            <w:pPr>
              <w:spacing w:after="0"/>
            </w:pPr>
            <w:r/>
            <w:r>
              <w:rPr>
                <w:rFonts w:ascii="Aptos" w:hAnsi="Aptos"/>
                <w:b w:val="0"/>
                <w:sz w:val="15"/>
              </w:rPr>
              <w:t>Implement</w:t>
            </w:r>
          </w:p>
        </w:tc>
        <w:tc>
          <w:tcPr>
            <w:tcW w:type="dxa" w:w="5141"/>
            <w:vAlign w:val="center"/>
            <w:shd w:fill="F3F6F7"/>
          </w:tcPr>
          <w:p>
            <w:pPr>
              <w:spacing w:after="0"/>
            </w:pPr>
            <w:r/>
            <w:r>
              <w:rPr>
                <w:rFonts w:ascii="Aptos" w:hAnsi="Aptos"/>
                <w:b w:val="0"/>
                <w:sz w:val="15"/>
              </w:rPr>
              <w:t>Controlled change and updated evidence</w:t>
            </w:r>
          </w:p>
        </w:tc>
      </w:tr>
      <w:tr>
        <w:trPr>
          <w:cantSplit/>
        </w:trPr>
        <w:tc>
          <w:tcPr>
            <w:tcW w:type="dxa" w:w="5141"/>
            <w:vAlign w:val="center"/>
            <w:shd w:fill="FFFFFF"/>
          </w:tcPr>
          <w:p>
            <w:pPr>
              <w:spacing w:after="0"/>
            </w:pPr>
            <w:r/>
            <w:r>
              <w:rPr>
                <w:rFonts w:ascii="Aptos" w:hAnsi="Aptos"/>
                <w:b w:val="0"/>
                <w:sz w:val="15"/>
              </w:rPr>
              <w:t>Validate</w:t>
            </w:r>
          </w:p>
        </w:tc>
        <w:tc>
          <w:tcPr>
            <w:tcW w:type="dxa" w:w="5141"/>
            <w:vAlign w:val="center"/>
            <w:shd w:fill="FFFFFF"/>
          </w:tcPr>
          <w:p>
            <w:pPr>
              <w:spacing w:after="0"/>
            </w:pPr>
            <w:r/>
            <w:r>
              <w:rPr>
                <w:rFonts w:ascii="Aptos" w:hAnsi="Aptos"/>
                <w:b w:val="0"/>
                <w:sz w:val="15"/>
              </w:rPr>
              <w:t>Retest and effectiveness decision</w:t>
            </w:r>
          </w:p>
        </w:tc>
      </w:tr>
      <w:tr>
        <w:trPr>
          <w:cantSplit/>
        </w:trPr>
        <w:tc>
          <w:tcPr>
            <w:tcW w:type="dxa" w:w="5141"/>
            <w:vAlign w:val="center"/>
            <w:shd w:fill="F3F6F7"/>
          </w:tcPr>
          <w:p>
            <w:pPr>
              <w:spacing w:after="0"/>
            </w:pPr>
            <w:r/>
            <w:r>
              <w:rPr>
                <w:rFonts w:ascii="Aptos" w:hAnsi="Aptos"/>
                <w:b w:val="0"/>
                <w:sz w:val="15"/>
              </w:rPr>
              <w:t>Institutionalize</w:t>
            </w:r>
          </w:p>
        </w:tc>
        <w:tc>
          <w:tcPr>
            <w:tcW w:type="dxa" w:w="5141"/>
            <w:vAlign w:val="center"/>
            <w:shd w:fill="F3F6F7"/>
          </w:tcPr>
          <w:p>
            <w:pPr>
              <w:spacing w:after="0"/>
            </w:pPr>
            <w:r/>
            <w:r>
              <w:rPr>
                <w:rFonts w:ascii="Aptos" w:hAnsi="Aptos"/>
                <w:b w:val="0"/>
                <w:sz w:val="15"/>
              </w:rPr>
              <w:t>Procedure, training, monitoring and cross-system update</w:t>
            </w:r>
          </w:p>
        </w:tc>
      </w:tr>
    </w:tbl>
    <w:p/>
    <w:p>
      <w:pPr>
        <w:pStyle w:val="Heading1"/>
      </w:pPr>
      <w:r>
        <w:t>Completed Example: Monthly Control Review</w:t>
      </w:r>
    </w:p>
    <w:p>
      <w:r>
        <w:t>Example: D3 agent tool authorization is rated Amber after two denied actions were not logged. The owner confirms the authorization control still blocked the actions, but the evidence pipeline was incomplete. A seven-day corrective action is opened to repair logging, backfill available records, test alert routing and verify no other tools are affected. The control remains Amber until the retest passes; certification evidence notes the limitation.</w:t>
      </w:r>
    </w:p>
    <w:p>
      <w:r/>
    </w:p>
    <w:p>
      <w:pPr>
        <w:pStyle w:val="Heading1"/>
      </w:pPr>
      <w:r>
        <w:t>Publication Completeness and Intended Use</w:t>
      </w:r>
    </w:p>
    <w:p>
      <w:r>
        <w:t>This full publication edition of GAISSF-IMP-014 is designed to stand on its own for its stated role: comprehensive run-state operations, monitoring and continuous-improvement handbook. It includes purpose, scope, governance, operating guidance, evidence expectations, limitations, decision criteria and reusable records appropriate to that role.</w:t>
      </w:r>
    </w:p>
    <w:p>
      <w:r>
        <w:t>Completeness does not mean that the document replaces the normative control statements, applicable law, sector-specific engineering, organizational procedures or professional judgement. Cross-referenced GAISSF documents remain part of the controlled document system.</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5141"/>
            <w:vAlign w:val="center"/>
            <w:shd w:fill="17324D"/>
          </w:tcPr>
          <w:p>
            <w:pPr>
              <w:spacing w:after="0"/>
            </w:pPr>
            <w:r/>
            <w:r>
              <w:rPr>
                <w:rFonts w:ascii="Aptos" w:hAnsi="Aptos"/>
                <w:b/>
                <w:color w:val="FFFFFF"/>
                <w:sz w:val="15"/>
              </w:rPr>
              <w:t>Completeness dimension</w:t>
            </w:r>
          </w:p>
        </w:tc>
        <w:tc>
          <w:tcPr>
            <w:tcW w:type="dxa" w:w="5141"/>
            <w:vAlign w:val="center"/>
            <w:shd w:fill="17324D"/>
          </w:tcPr>
          <w:p>
            <w:pPr>
              <w:spacing w:after="0"/>
            </w:pPr>
            <w:r/>
            <w:r>
              <w:rPr>
                <w:rFonts w:ascii="Aptos" w:hAnsi="Aptos"/>
                <w:b/>
                <w:color w:val="FFFFFF"/>
                <w:sz w:val="15"/>
              </w:rPr>
              <w:t>Treatment in this edition</w:t>
            </w:r>
          </w:p>
        </w:tc>
      </w:tr>
      <w:tr>
        <w:trPr>
          <w:cantSplit/>
        </w:trPr>
        <w:tc>
          <w:tcPr>
            <w:tcW w:type="dxa" w:w="5141"/>
            <w:vAlign w:val="center"/>
            <w:shd w:fill="FFFFFF"/>
          </w:tcPr>
          <w:p>
            <w:pPr>
              <w:spacing w:after="0"/>
            </w:pPr>
            <w:r/>
            <w:r>
              <w:rPr>
                <w:rFonts w:ascii="Aptos" w:hAnsi="Aptos"/>
                <w:b w:val="0"/>
                <w:sz w:val="15"/>
              </w:rPr>
              <w:t>Normative alignment</w:t>
            </w:r>
          </w:p>
        </w:tc>
        <w:tc>
          <w:tcPr>
            <w:tcW w:type="dxa" w:w="5141"/>
            <w:vAlign w:val="center"/>
            <w:shd w:fill="FFFFFF"/>
          </w:tcPr>
          <w:p>
            <w:pPr>
              <w:spacing w:after="0"/>
            </w:pPr>
            <w:r/>
            <w:r>
              <w:rPr>
                <w:rFonts w:ascii="Aptos" w:hAnsi="Aptos"/>
                <w:b w:val="0"/>
                <w:sz w:val="15"/>
              </w:rPr>
              <w:t>Reconciled to the authoritative 59-control baseline and controlled profile structure.</w:t>
            </w:r>
          </w:p>
        </w:tc>
      </w:tr>
      <w:tr>
        <w:trPr>
          <w:cantSplit/>
        </w:trPr>
        <w:tc>
          <w:tcPr>
            <w:tcW w:type="dxa" w:w="5141"/>
            <w:vAlign w:val="center"/>
            <w:shd w:fill="F3F6F7"/>
          </w:tcPr>
          <w:p>
            <w:pPr>
              <w:spacing w:after="0"/>
            </w:pPr>
            <w:r/>
            <w:r>
              <w:rPr>
                <w:rFonts w:ascii="Aptos" w:hAnsi="Aptos"/>
                <w:b w:val="0"/>
                <w:sz w:val="15"/>
              </w:rPr>
              <w:t>Operational usability</w:t>
            </w:r>
          </w:p>
        </w:tc>
        <w:tc>
          <w:tcPr>
            <w:tcW w:type="dxa" w:w="5141"/>
            <w:vAlign w:val="center"/>
            <w:shd w:fill="F3F6F7"/>
          </w:tcPr>
          <w:p>
            <w:pPr>
              <w:spacing w:after="0"/>
            </w:pPr>
            <w:r/>
            <w:r>
              <w:rPr>
                <w:rFonts w:ascii="Aptos" w:hAnsi="Aptos"/>
                <w:b w:val="0"/>
                <w:sz w:val="15"/>
              </w:rPr>
              <w:t>Includes roles, workflows, gates, evidence, metrics, escalation and examples where relevant.</w:t>
            </w:r>
          </w:p>
        </w:tc>
      </w:tr>
      <w:tr>
        <w:trPr>
          <w:cantSplit/>
        </w:trPr>
        <w:tc>
          <w:tcPr>
            <w:tcW w:type="dxa" w:w="5141"/>
            <w:vAlign w:val="center"/>
            <w:shd w:fill="FFFFFF"/>
          </w:tcPr>
          <w:p>
            <w:pPr>
              <w:spacing w:after="0"/>
            </w:pPr>
            <w:r/>
            <w:r>
              <w:rPr>
                <w:rFonts w:ascii="Aptos" w:hAnsi="Aptos"/>
                <w:b w:val="0"/>
                <w:sz w:val="15"/>
              </w:rPr>
              <w:t>Traceability</w:t>
            </w:r>
          </w:p>
        </w:tc>
        <w:tc>
          <w:tcPr>
            <w:tcW w:type="dxa" w:w="5141"/>
            <w:vAlign w:val="center"/>
            <w:shd w:fill="FFFFFF"/>
          </w:tcPr>
          <w:p>
            <w:pPr>
              <w:spacing w:after="0"/>
            </w:pPr>
            <w:r/>
            <w:r>
              <w:rPr>
                <w:rFonts w:ascii="Aptos" w:hAnsi="Aptos"/>
                <w:b w:val="0"/>
                <w:sz w:val="15"/>
              </w:rPr>
              <w:t>Identifies dependencies and preserves the distinction between requirements, guidance and examples.</w:t>
            </w:r>
          </w:p>
        </w:tc>
      </w:tr>
      <w:tr>
        <w:trPr>
          <w:cantSplit/>
        </w:trPr>
        <w:tc>
          <w:tcPr>
            <w:tcW w:type="dxa" w:w="5141"/>
            <w:vAlign w:val="center"/>
            <w:shd w:fill="F3F6F7"/>
          </w:tcPr>
          <w:p>
            <w:pPr>
              <w:spacing w:after="0"/>
            </w:pPr>
            <w:r/>
            <w:r>
              <w:rPr>
                <w:rFonts w:ascii="Aptos" w:hAnsi="Aptos"/>
                <w:b w:val="0"/>
                <w:sz w:val="15"/>
              </w:rPr>
              <w:t>Limitations</w:t>
            </w:r>
          </w:p>
        </w:tc>
        <w:tc>
          <w:tcPr>
            <w:tcW w:type="dxa" w:w="5141"/>
            <w:vAlign w:val="center"/>
            <w:shd w:fill="F3F6F7"/>
          </w:tcPr>
          <w:p>
            <w:pPr>
              <w:spacing w:after="0"/>
            </w:pPr>
            <w:r/>
            <w:r>
              <w:rPr>
                <w:rFonts w:ascii="Aptos" w:hAnsi="Aptos"/>
                <w:b w:val="0"/>
                <w:sz w:val="15"/>
              </w:rPr>
              <w:t>States what the document does not establish or guarantee.</w:t>
            </w:r>
          </w:p>
        </w:tc>
      </w:tr>
      <w:tr>
        <w:trPr>
          <w:cantSplit/>
        </w:trPr>
        <w:tc>
          <w:tcPr>
            <w:tcW w:type="dxa" w:w="5141"/>
            <w:vAlign w:val="center"/>
            <w:shd w:fill="FFFFFF"/>
          </w:tcPr>
          <w:p>
            <w:pPr>
              <w:spacing w:after="0"/>
            </w:pPr>
            <w:r/>
            <w:r>
              <w:rPr>
                <w:rFonts w:ascii="Aptos" w:hAnsi="Aptos"/>
                <w:b w:val="0"/>
                <w:sz w:val="15"/>
              </w:rPr>
              <w:t>Maintenance</w:t>
            </w:r>
          </w:p>
        </w:tc>
        <w:tc>
          <w:tcPr>
            <w:tcW w:type="dxa" w:w="5141"/>
            <w:vAlign w:val="center"/>
            <w:shd w:fill="FFFFFF"/>
          </w:tcPr>
          <w:p>
            <w:pPr>
              <w:spacing w:after="0"/>
            </w:pPr>
            <w:r/>
            <w:r>
              <w:rPr>
                <w:rFonts w:ascii="Aptos" w:hAnsi="Aptos"/>
                <w:b w:val="0"/>
                <w:sz w:val="15"/>
              </w:rPr>
              <w:t>Includes review triggers, change control and publication status.</w:t>
            </w:r>
          </w:p>
        </w:tc>
      </w:tr>
    </w:tbl>
    <w:p/>
    <w:p>
      <w:r>
        <w:br w:type="page"/>
      </w:r>
    </w:p>
    <w:p>
      <w:pPr>
        <w:pStyle w:val="Heading1"/>
      </w:pPr>
      <w:r>
        <w:t>Legal and Regulatory Integration</w:t>
      </w:r>
    </w:p>
    <w:p>
      <w:r>
        <w:t>GAISSF provides an operational security, safety, governance and evidence framework. It does not determine which laws apply, establish statutory compliance, create a legal safe harbour, define a legal standard of care, replace competent legal advice, or guarantee that evidence collected for GAISSF purposes will satisfy a regulator, court or other authority. Organizations should maintain a jurisdiction-specific legal and regulatory obligations register and map applicable obligations to their GAISSF scope, controls, evidence, reporting processes and decision authorities.</w:t>
      </w:r>
    </w:p>
    <w:p>
      <w:pPr>
        <w:pStyle w:val="Heading2"/>
      </w:pPr>
      <w:r>
        <w:t>Legal and regulatory interface requirements</w:t>
      </w:r>
    </w:p>
    <w:p>
      <w:pPr>
        <w:pStyle w:val="ListBullet"/>
      </w:pPr>
      <w:r>
        <w:t>Identify applicable jurisdictions, regulators, sector rules, contractual duties and internal legal authorities before relying on this guide.</w:t>
      </w:r>
    </w:p>
    <w:p>
      <w:pPr>
        <w:pStyle w:val="ListBullet"/>
      </w:pPr>
      <w:r>
        <w:t>Maintain a controlled obligations register, reporting-clock register, retention schedule, legal-hold process and conflicts-of-obligation procedure.</w:t>
      </w:r>
    </w:p>
    <w:p>
      <w:pPr>
        <w:pStyle w:val="ListBullet"/>
      </w:pPr>
      <w:r>
        <w:t>Treat statutory, regulatory and contractual analysis as a parallel workstream to GAISSF implementation and assurance.</w:t>
      </w:r>
    </w:p>
    <w:p>
      <w:pPr>
        <w:pStyle w:val="ListBullet"/>
      </w:pPr>
      <w:r>
        <w:t>Record the legal basis, responsible owner, scope, decision, evidence, deadline and review date for each material obligation.</w:t>
      </w:r>
    </w:p>
    <w:p>
      <w:pPr>
        <w:pStyle w:val="ListBullet"/>
      </w:pPr>
      <w:r>
        <w:t>Do not represent GAISSF conformance, maturity or certification as legal approval, permission to operate, immunity from enforcement or proof that harm cannot occur.</w:t>
      </w:r>
    </w:p>
    <w:p>
      <w:pPr>
        <w:pStyle w:val="Heading1"/>
      </w:pPr>
      <w:r>
        <w:t>How to use this document</w:t>
      </w:r>
    </w:p>
    <w:tbl>
      <w:tblPr>
        <w:tblStyle w:val="TableGrid"/>
        <w:tblW w:type="auto" w:w="0"/>
        <w:jc w:val="center"/>
        <w:tblLook w:firstColumn="1" w:firstRow="1" w:lastColumn="0" w:lastRow="0" w:noHBand="0" w:noVBand="1" w:val="04A0"/>
      </w:tblPr>
      <w:tblGrid>
        <w:gridCol w:w="5141"/>
        <w:gridCol w:w="5141"/>
      </w:tblGrid>
      <w:tr>
        <w:tc>
          <w:tcPr>
            <w:tcW w:type="dxa" w:w="5141"/>
            <w:shd w:fill="17324D"/>
            <w:vAlign w:val="center"/>
          </w:tcPr>
          <w:p>
            <w:r>
              <w:rPr>
                <w:b/>
              </w:rPr>
              <w:t>Reader</w:t>
            </w:r>
          </w:p>
        </w:tc>
        <w:tc>
          <w:tcPr>
            <w:tcW w:type="dxa" w:w="5141"/>
            <w:shd w:fill="17324D"/>
            <w:vAlign w:val="center"/>
          </w:tcPr>
          <w:p>
            <w:r>
              <w:rPr>
                <w:b/>
              </w:rPr>
              <w:t>Recommended use</w:t>
            </w:r>
          </w:p>
        </w:tc>
      </w:tr>
      <w:tr>
        <w:tc>
          <w:tcPr>
            <w:tcW w:type="dxa" w:w="5141"/>
          </w:tcPr>
          <w:p>
            <w:r>
              <w:t>Executive or board reader</w:t>
            </w:r>
          </w:p>
        </w:tc>
        <w:tc>
          <w:tcPr>
            <w:tcW w:type="dxa" w:w="5141"/>
          </w:tcPr>
          <w:p>
            <w:r>
              <w:t>Review purpose, decision rights, legal and regulatory integration, limitations and Notably Absent sections.</w:t>
            </w:r>
          </w:p>
        </w:tc>
      </w:tr>
      <w:tr>
        <w:tc>
          <w:tcPr>
            <w:tcW w:type="dxa" w:w="5141"/>
          </w:tcPr>
          <w:p>
            <w:r>
              <w:t>Program or control owner</w:t>
            </w:r>
          </w:p>
        </w:tc>
        <w:tc>
          <w:tcPr>
            <w:tcW w:type="dxa" w:w="5141"/>
          </w:tcPr>
          <w:p>
            <w:r>
              <w:t>Use workflows, templates, gates, evidence fields and escalation criteria as implementation aids.</w:t>
            </w:r>
          </w:p>
        </w:tc>
      </w:tr>
      <w:tr>
        <w:tc>
          <w:tcPr>
            <w:tcW w:type="dxa" w:w="5141"/>
          </w:tcPr>
          <w:p>
            <w:r>
              <w:t>Engineering or operations team</w:t>
            </w:r>
          </w:p>
        </w:tc>
        <w:tc>
          <w:tcPr>
            <w:tcW w:type="dxa" w:w="5141"/>
          </w:tcPr>
          <w:p>
            <w:r>
              <w:t>Translate guidance into system-specific procedures, configurations, runbooks and testable acceptance criteria.</w:t>
            </w:r>
          </w:p>
        </w:tc>
      </w:tr>
      <w:tr>
        <w:tc>
          <w:tcPr>
            <w:tcW w:type="dxa" w:w="5141"/>
          </w:tcPr>
          <w:p>
            <w:r>
              <w:t>Legal, privacy or compliance team</w:t>
            </w:r>
          </w:p>
        </w:tc>
        <w:tc>
          <w:tcPr>
            <w:tcW w:type="dxa" w:w="5141"/>
          </w:tcPr>
          <w:p>
            <w:r>
              <w:t>Validate jurisdiction-specific obligations, deadlines, retention, disclosure, privilege and regulator-facing requirements.</w:t>
            </w:r>
          </w:p>
        </w:tc>
      </w:tr>
      <w:tr>
        <w:tc>
          <w:tcPr>
            <w:tcW w:type="dxa" w:w="5141"/>
          </w:tcPr>
          <w:p>
            <w:r>
              <w:t>Assessor or auditor</w:t>
            </w:r>
          </w:p>
        </w:tc>
        <w:tc>
          <w:tcPr>
            <w:tcW w:type="dxa" w:w="5141"/>
          </w:tcPr>
          <w:p>
            <w:r>
              <w:t>Use the document as informative context only; test claims against the authoritative normative sources and applicable assessment criteria.</w:t>
            </w:r>
          </w:p>
        </w:tc>
      </w:tr>
    </w:tbl>
    <w:p>
      <w:pPr>
        <w:pStyle w:val="Heading1"/>
      </w:pPr>
      <w:r>
        <w:t>See Also</w:t>
      </w:r>
    </w:p>
    <w:p>
      <w:pPr>
        <w:pStyle w:val="ListBullet"/>
      </w:pPr>
      <w:r>
        <w:t>GAISSF-IMP-016 for troubleshooting.</w:t>
      </w:r>
    </w:p>
    <w:p>
      <w:pPr>
        <w:pStyle w:val="ListBullet"/>
      </w:pPr>
      <w:r>
        <w:t>GAISSF-IMP-017 for evidence preservation.</w:t>
      </w:r>
    </w:p>
    <w:p>
      <w:pPr>
        <w:pStyle w:val="ListBullet"/>
      </w:pPr>
      <w:r>
        <w:t>GAISSF-IMP-018 for improvement.</w:t>
      </w:r>
    </w:p>
    <w:p>
      <w:pPr>
        <w:pStyle w:val="Heading1"/>
      </w:pPr>
      <w:r>
        <w:t>Operations-specific regulatory enhancements</w:t>
      </w:r>
    </w:p>
    <w:p>
      <w:pPr>
        <w:pStyle w:val="Heading2"/>
      </w:pPr>
      <w:r>
        <w:t>Statutory reporting and legal-response track</w:t>
      </w:r>
    </w:p>
    <w:p>
      <w:pPr>
        <w:pStyle w:val="ListNumber"/>
      </w:pPr>
      <w:r>
        <w:t>Open a legal and regulatory assessment in parallel with technical containment.</w:t>
      </w:r>
    </w:p>
    <w:p>
      <w:pPr>
        <w:pStyle w:val="ListNumber"/>
      </w:pPr>
      <w:r>
        <w:t>Identify each potentially applicable reporting regime and start its clock register.</w:t>
      </w:r>
    </w:p>
    <w:p>
      <w:pPr>
        <w:pStyle w:val="ListNumber"/>
      </w:pPr>
      <w:r>
        <w:t>Preserve facts supporting materiality, risk, harm and notification decisions.</w:t>
      </w:r>
    </w:p>
    <w:p>
      <w:pPr>
        <w:pStyle w:val="ListNumber"/>
      </w:pPr>
      <w:r>
        <w:t>Coordinate initial, supplemental and final reports with authorized legal and regulatory owners.</w:t>
      </w:r>
    </w:p>
    <w:p>
      <w:pPr>
        <w:pStyle w:val="ListNumber"/>
      </w:pPr>
      <w:r>
        <w:t>Document the basis for notification or non-notification and subsequent changes.</w:t>
      </w:r>
    </w:p>
    <w:p>
      <w:pPr>
        <w:pStyle w:val="Heading2"/>
      </w:pPr>
      <w:r>
        <w:t>Legal hold and preservation override</w:t>
      </w:r>
    </w:p>
    <w:tbl>
      <w:tblPr>
        <w:tblStyle w:val="TableGrid"/>
        <w:tblW w:type="auto" w:w="0"/>
        <w:jc w:val="center"/>
        <w:tblLook w:firstColumn="1" w:firstRow="1" w:lastColumn="0" w:lastRow="0" w:noHBand="0" w:noVBand="1" w:val="04A0"/>
      </w:tblPr>
      <w:tblGrid>
        <w:gridCol w:w="5141"/>
        <w:gridCol w:w="5141"/>
      </w:tblGrid>
      <w:tr>
        <w:tc>
          <w:tcPr>
            <w:tcW w:type="dxa" w:w="5141"/>
            <w:shd w:fill="17324D"/>
            <w:vAlign w:val="center"/>
          </w:tcPr>
          <w:p>
            <w:r>
              <w:rPr>
                <w:b/>
              </w:rPr>
              <w:t>Step</w:t>
            </w:r>
          </w:p>
        </w:tc>
        <w:tc>
          <w:tcPr>
            <w:tcW w:type="dxa" w:w="5141"/>
            <w:shd w:fill="17324D"/>
            <w:vAlign w:val="center"/>
          </w:tcPr>
          <w:p>
            <w:r>
              <w:rPr>
                <w:b/>
              </w:rPr>
              <w:t>Control</w:t>
            </w:r>
          </w:p>
        </w:tc>
      </w:tr>
      <w:tr>
        <w:tc>
          <w:tcPr>
            <w:tcW w:type="dxa" w:w="5141"/>
          </w:tcPr>
          <w:p>
            <w:r>
              <w:t>Trigger</w:t>
            </w:r>
          </w:p>
        </w:tc>
        <w:tc>
          <w:tcPr>
            <w:tcW w:type="dxa" w:w="5141"/>
          </w:tcPr>
          <w:p>
            <w:r>
              <w:t>Pending or reasonably anticipated litigation, examination, investigation or formal preservation instruction.</w:t>
            </w:r>
          </w:p>
        </w:tc>
      </w:tr>
      <w:tr>
        <w:tc>
          <w:tcPr>
            <w:tcW w:type="dxa" w:w="5141"/>
          </w:tcPr>
          <w:p>
            <w:r>
              <w:t>Scope</w:t>
            </w:r>
          </w:p>
        </w:tc>
        <w:tc>
          <w:tcPr>
            <w:tcW w:type="dxa" w:w="5141"/>
          </w:tcPr>
          <w:p>
            <w:r>
              <w:t>Systems, custodians, repositories, dates and evidence categories.</w:t>
            </w:r>
          </w:p>
        </w:tc>
      </w:tr>
      <w:tr>
        <w:tc>
          <w:tcPr>
            <w:tcW w:type="dxa" w:w="5141"/>
          </w:tcPr>
          <w:p>
            <w:r>
              <w:t>Override</w:t>
            </w:r>
          </w:p>
        </w:tc>
        <w:tc>
          <w:tcPr>
            <w:tcW w:type="dxa" w:w="5141"/>
          </w:tcPr>
          <w:p>
            <w:r>
              <w:t>Suspend routine deletion, rotation, auto-termination and disposal.</w:t>
            </w:r>
          </w:p>
        </w:tc>
      </w:tr>
      <w:tr>
        <w:tc>
          <w:tcPr>
            <w:tcW w:type="dxa" w:w="5141"/>
          </w:tcPr>
          <w:p>
            <w:r>
              <w:t>Collection</w:t>
            </w:r>
          </w:p>
        </w:tc>
        <w:tc>
          <w:tcPr>
            <w:tcW w:type="dxa" w:w="5141"/>
          </w:tcPr>
          <w:p>
            <w:r>
              <w:t>Use authorized methods and preserve chain of custody.</w:t>
            </w:r>
          </w:p>
        </w:tc>
      </w:tr>
      <w:tr>
        <w:tc>
          <w:tcPr>
            <w:tcW w:type="dxa" w:w="5141"/>
          </w:tcPr>
          <w:p>
            <w:r>
              <w:t>Monitoring</w:t>
            </w:r>
          </w:p>
        </w:tc>
        <w:tc>
          <w:tcPr>
            <w:tcW w:type="dxa" w:w="5141"/>
          </w:tcPr>
          <w:p>
            <w:r>
              <w:t>Record acknowledgements, exceptions and preservation failures.</w:t>
            </w:r>
          </w:p>
        </w:tc>
      </w:tr>
      <w:tr>
        <w:tc>
          <w:tcPr>
            <w:tcW w:type="dxa" w:w="5141"/>
          </w:tcPr>
          <w:p>
            <w:r>
              <w:t>Release</w:t>
            </w:r>
          </w:p>
        </w:tc>
        <w:tc>
          <w:tcPr>
            <w:tcW w:type="dxa" w:w="5141"/>
          </w:tcPr>
          <w:p>
            <w:r>
              <w:t>Resume disposal only after documented authorized release.</w:t>
            </w:r>
          </w:p>
        </w:tc>
      </w:tr>
    </w:tbl>
    <w:p>
      <w:pPr>
        <w:pStyle w:val="Heading2"/>
      </w:pPr>
      <w:r>
        <w:t>Regional telemetry architecture</w:t>
      </w:r>
    </w:p>
    <w:p>
      <w:pPr>
        <w:pStyle w:val="ListBullet"/>
      </w:pPr>
      <w:r>
        <w:t>Classify telemetry before collection.</w:t>
      </w:r>
    </w:p>
    <w:p>
      <w:pPr>
        <w:pStyle w:val="ListBullet"/>
      </w:pPr>
      <w:r>
        <w:t>Keep sensitive telemetry regionally where required or approved.</w:t>
      </w:r>
    </w:p>
    <w:p>
      <w:pPr>
        <w:pStyle w:val="ListBullet"/>
      </w:pPr>
      <w:r>
        <w:t>Use minimized, pseudonymized or aggregated cross-region feeds.</w:t>
      </w:r>
    </w:p>
    <w:p>
      <w:pPr>
        <w:pStyle w:val="ListBullet"/>
      </w:pPr>
      <w:r>
        <w:t>Control support access, replication, retention and incident transfer.</w:t>
      </w:r>
    </w:p>
    <w:p>
      <w:pPr>
        <w:pStyle w:val="ListBullet"/>
      </w:pPr>
      <w:r>
        <w:t>Document regional blind spots and compensating controls.</w:t>
      </w:r>
    </w:p>
    <w:p>
      <w:pPr>
        <w:pStyle w:val="Heading2"/>
      </w:pPr>
      <w:r>
        <w:t>Operational runbook and handover enhancements</w:t>
      </w:r>
    </w:p>
    <w:p>
      <w:r>
        <w:t>Runbooks should cover detection, containment, preservation, investigation, recovery, validation, communication, legal escalation and recurrence prevention. Shift handover should review new red states, critical alerts, open incidents, active holds, regulatory clocks, degraded controls and pending approvals.</w:t>
      </w:r>
    </w:p>
    <w:p>
      <w:pPr>
        <w:pStyle w:val="Heading2"/>
      </w:pPr>
      <w:r>
        <w:t>Notably Absent — legal and regulatory boundary</w:t>
      </w:r>
    </w:p>
    <w:p>
      <w:pPr>
        <w:pStyle w:val="ListBullet"/>
      </w:pPr>
      <w:r>
        <w:t>No universal reporting clock for every incident.</w:t>
      </w:r>
    </w:p>
    <w:p>
      <w:pPr>
        <w:pStyle w:val="ListBullet"/>
      </w:pPr>
      <w:r>
        <w:t>No assumption that centralized telemetry is legally permissible in every region.</w:t>
      </w:r>
    </w:p>
    <w:p>
      <w:pPr>
        <w:pStyle w:val="ListBullet"/>
      </w:pPr>
      <w:r>
        <w:t>No universal operational metric threshold; thresholds are risk- and context-specific.</w:t>
      </w:r>
    </w:p>
    <w:p>
      <w:pPr>
        <w:pStyle w:val="Heading1"/>
      </w:pPr>
      <w:r>
        <w:t>Publication revision record</w:t>
      </w:r>
    </w:p>
    <w:tbl>
      <w:tblPr>
        <w:tblStyle w:val="TableGrid"/>
        <w:tblW w:type="auto" w:w="0"/>
        <w:jc w:val="center"/>
        <w:tblLook w:firstColumn="1" w:firstRow="1" w:lastColumn="0" w:lastRow="0" w:noHBand="0" w:noVBand="1" w:val="04A0"/>
      </w:tblPr>
      <w:tblGrid>
        <w:gridCol w:w="5141"/>
        <w:gridCol w:w="5141"/>
      </w:tblGrid>
      <w:tr>
        <w:tc>
          <w:tcPr>
            <w:tcW w:type="dxa" w:w="5141"/>
            <w:shd w:fill="17324D"/>
            <w:vAlign w:val="center"/>
          </w:tcPr>
          <w:p>
            <w:r>
              <w:rPr>
                <w:b/>
              </w:rPr>
              <w:t>Revision</w:t>
            </w:r>
          </w:p>
        </w:tc>
        <w:tc>
          <w:tcPr>
            <w:tcW w:type="dxa" w:w="5141"/>
            <w:shd w:fill="17324D"/>
            <w:vAlign w:val="center"/>
          </w:tcPr>
          <w:p>
            <w:r>
              <w:rPr>
                <w:b/>
              </w:rPr>
              <w:t>Disposition</w:t>
            </w:r>
          </w:p>
        </w:tc>
      </w:tr>
      <w:tr>
        <w:tc>
          <w:tcPr>
            <w:tcW w:type="dxa" w:w="5141"/>
          </w:tcPr>
          <w:p>
            <w:r>
              <w:t>R2 — Regulatory and practitioner refinement</w:t>
            </w:r>
          </w:p>
        </w:tc>
        <w:tc>
          <w:tcPr>
            <w:tcW w:type="dxa" w:w="5141"/>
          </w:tcPr>
          <w:p>
            <w:r>
              <w:t>Added legal and regulatory integration, preservation, reporting, decision-record, public-claim and usability guidance. No normative GAISSF control was added, removed, renamed or amended.</w:t>
            </w:r>
          </w:p>
        </w:tc>
      </w:tr>
      <w:tr>
        <w:tc>
          <w:tcPr>
            <w:tcW w:type="dxa" w:w="5141"/>
          </w:tcPr>
          <w:p>
            <w:r>
              <w:t>Authority boundary</w:t>
            </w:r>
          </w:p>
        </w:tc>
        <w:tc>
          <w:tcPr>
            <w:tcW w:type="dxa" w:w="5141"/>
          </w:tcPr>
          <w:p>
            <w:r>
              <w:t>GAISSF-NOR-001, GAISSF-NOR-004 and controlled profile records remain authoritative.</w:t>
            </w:r>
          </w:p>
        </w:tc>
      </w:tr>
    </w:tbl>
    <w:sectPr w:rsidR="00FC693F" w:rsidRPr="0006063C" w:rsidSect="00034616">
      <w:headerReference w:type="default" r:id="rId9"/>
      <w:footerReference w:type="default" r:id="rId10"/>
      <w:pgSz w:w="12240" w:h="15840"/>
      <w:pgMar w:top="893" w:right="979" w:bottom="893" w:left="9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 xml:space="preserve">Version 1.0 | Implementation guidance | © 2026 ODA3 Pvt Ltd | Page </w:t>
    </w: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4C6B7A"/>
        <w:sz w:val="16"/>
      </w:rPr>
      <w:t>GAISSF-IMP-014 | GAISSF® v1.0 Operational Handbook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7" w:lineRule="auto"/>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324D"/>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05B6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7324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24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b w:val="0"/>
      <w:i/>
      <w:iCs/>
      <w:color w:val="4C6B7A"/>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pPr>
    <w:rPr>
      <w:rFonts w:ascii="Aptos" w:hAnsi="Aptos"/>
      <w:color w:val="4A5560"/>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GAISSF® v1.0 Operational Handbook</dc:title>
  <dc:subject>Run-state monitoring and continuous improvement | Full final edition</dc:subject>
  <dc:creator>ODA3 Institute</dc:creator>
  <cp:keywords>GAISSF, AI security, AI safety, implementation guidance, ODA3 Institute</cp:keywords>
  <dc:description>Verified and revised publication edition aligned to GAISSF v1.0 authoritative normative sources.</dc:description>
  <cp:lastModifiedBy>ODA3 Institute</cp:lastModifiedBy>
  <cp:revision>1</cp:revision>
  <dcterms:created xsi:type="dcterms:W3CDTF">2013-12-23T23:15:00Z</dcterms:created>
  <dcterms:modified xsi:type="dcterms:W3CDTF">2013-12-23T23:15:00Z</dcterms:modified>
  <cp:category/>
</cp:coreProperties>
</file>