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Frequently Asked Questions</w:t>
      </w:r>
    </w:p>
    <w:p>
      <w:pPr>
        <w:jc w:val="center"/>
      </w:pPr>
      <w:r>
        <w:rPr>
          <w:color w:val="4C6B7A"/>
          <w:sz w:val="23"/>
        </w:rPr>
        <w:t>Adoption, Implementation, Assurance, Certification and Operations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GAISSF-IMP-015</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pPr>
              <w:spacing w:after="0"/>
            </w:pPr>
            <w:r/>
            <w:r>
              <w:rPr>
                <w:rFonts w:ascii="Aptos" w:hAnsi="Aptos"/>
                <w:b w:val="0"/>
                <w:sz w:val="15"/>
              </w:rP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FAQ explains the GAISSF v1.0 ecosystem in plain language. It does not amend the normative framework. Where an answer conflicts with a normative document, the normative document prevails.</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Frequently Asked Questions</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GAISSF-IMP-015</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Provide complete adoption support and resolve recurring questions about GAISSF</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Executives, boards, practitioners, implementers, assessors, legal teams, procurement, suppliers, customers, regulators and the public</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 through GAISSF-IMP-014</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Informative implementation guidance</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GAISSF-NOR-004 and controlled conformance profiles prevail</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names and marks remain the property of their respective owners.</w:t>
      </w:r>
    </w:p>
    <w:p>
      <w:r>
        <w:t>This FAQ does not constitute legal, regulatory, safety, engineering, certification, accreditation or audit advice.</w:t>
      </w:r>
      <w:r>
        <w:t xml:space="preserve"> It does not create a legal safe harbour, establish a legal standard of care, or determine statutory compliance in any jurisdiction.</w:t>
      </w:r>
    </w:p>
    <w:p>
      <w:r>
        <w:t>No answer in this FAQ creates a guarantee of compliance, certification, security, safety, reliability, market access or absence of harm.</w:t>
      </w:r>
    </w:p>
    <w:p>
      <w:pPr>
        <w:pStyle w:val="Heading1"/>
      </w:pPr>
      <w:r>
        <w:t>How to Use This FAQ</w:t>
      </w:r>
    </w:p>
    <w:p>
      <w:r>
        <w:t>The questions are grouped by topic. Readers may use the document as an onboarding reference, a procurement aid, an implementation companion, an assessor briefing or a publication-support resource. Questions involving exact control language, applicability, evidence or conformance should be resolved against GAISSF-NOR-001 and GAISSF-NOR-004.</w:t>
      </w:r>
    </w:p>
    <w:p>
      <w:pPr>
        <w:pStyle w:val="Heading1"/>
      </w:pPr>
      <w:r>
        <w:t>1. Framework Fundamentals</w:t>
      </w:r>
    </w:p>
    <w:p>
      <w:pPr>
        <w:pStyle w:val="FAQQuestion"/>
      </w:pPr>
      <w:r>
        <w:t>1. What is GAISSF?</w:t>
      </w:r>
    </w:p>
    <w:p>
      <w:pPr>
        <w:pStyle w:val="FAQAnswer"/>
      </w:pPr>
      <w:r>
        <w:t>GAISSF is the Global AI Security &amp; Safety Framework. It is a structured framework for governing, securing, assessing and operating AI systems across the lifecycle. It combines governance, model and data integrity, adversarial resilience, secure architecture, deployment, privacy, human oversight, societal harm, assurance and physical-AI safety.</w:t>
      </w:r>
    </w:p>
    <w:p>
      <w:pPr>
        <w:pStyle w:val="FAQQuestion"/>
      </w:pPr>
      <w:r>
        <w:t>2. Who publishes GAISSF?</w:t>
      </w:r>
    </w:p>
    <w:p>
      <w:pPr>
        <w:pStyle w:val="FAQAnswer"/>
      </w:pPr>
      <w:r>
        <w:t>ODA3 Institute publishes GAISSF as the market-facing standards and assurance initiative. ODA3 Pvt Ltd is the legal entity used for copyright, contracting and other formal legal purposes.</w:t>
      </w:r>
    </w:p>
    <w:p>
      <w:pPr>
        <w:pStyle w:val="FAQQuestion"/>
      </w:pPr>
      <w:r>
        <w:t>3. What is the purpose of GAISSF?</w:t>
      </w:r>
    </w:p>
    <w:p>
      <w:pPr>
        <w:pStyle w:val="FAQAnswer"/>
      </w:pPr>
      <w:r>
        <w:t>Its purpose is to provide a common, evidence-driven baseline for managing AI security and safety risks. It is designed to support implementation, internal assurance, external assessment, customer assurance, regulatory readiness and structured certification programs.</w:t>
      </w:r>
    </w:p>
    <w:p>
      <w:pPr>
        <w:pStyle w:val="FAQQuestion"/>
      </w:pPr>
      <w:r>
        <w:t>4. Is GAISSF a law or regulation?</w:t>
      </w:r>
    </w:p>
    <w:p>
      <w:pPr>
        <w:pStyle w:val="FAQAnswer"/>
      </w:pPr>
      <w:r>
        <w:t>No. GAISSF is a privately developed framework. It may help organizations structure controls and evidence relevant to legal or regulatory obligations, but it does not create law and does not determine whether a legal obligation applies.</w:t>
      </w:r>
    </w:p>
    <w:p>
      <w:pPr>
        <w:pStyle w:val="FAQQuestion"/>
      </w:pPr>
      <w:r>
        <w:t>5. Is GAISSF a standard?</w:t>
      </w:r>
    </w:p>
    <w:p>
      <w:pPr>
        <w:pStyle w:val="FAQAnswer"/>
      </w:pPr>
      <w:r>
        <w:t>GAISSF is structured and governed as a standards-based framework. Its normative documents define requirements, controlled terminology, source governance, release status and change history. Whether a particular jurisdiction or regulator formally recognizes it is a separate question.</w:t>
      </w:r>
    </w:p>
    <w:p>
      <w:pPr>
        <w:pStyle w:val="FAQQuestion"/>
      </w:pPr>
      <w:r>
        <w:t>6. How many controls are in GAISSF v1.0?</w:t>
      </w:r>
    </w:p>
    <w:p>
      <w:pPr>
        <w:pStyle w:val="FAQAnswer"/>
      </w:pPr>
      <w:r>
        <w:t>GAISSF v1.0 contains 59 controls across nine domains. The control identifiers and exact records are maintained in GAISSF-NOR-001 and GAISSF-NOR-004.</w:t>
      </w:r>
    </w:p>
    <w:p>
      <w:pPr>
        <w:pStyle w:val="FAQQuestion"/>
      </w:pPr>
      <w:r>
        <w:t>7. What are the nine GAISSF domains?</w:t>
      </w:r>
    </w:p>
    <w:p>
      <w:pPr>
        <w:pStyle w:val="FAQAnswer"/>
      </w:pPr>
      <w:r>
        <w:t>The nine domains address model and data integrity, adversarial robustness, secure architecture and supply chain, secure development and deployment, data protection and privacy, governance and incident management, transparency and human factors, risk and assurance, and physical-AI safety. The controlled domain names in the normative documents should be used for formal references.</w:t>
      </w:r>
    </w:p>
    <w:p>
      <w:pPr>
        <w:pStyle w:val="FAQQuestion"/>
      </w:pPr>
      <w:r>
        <w:t>8. Does GAISSF apply only to generative AI?</w:t>
      </w:r>
    </w:p>
    <w:p>
      <w:pPr>
        <w:pStyle w:val="FAQAnswer"/>
      </w:pPr>
      <w:r>
        <w:t>No. It applies to generative AI, predictive models, classical machine learning, agentic systems, embedded AI, decision-support systems, AI-enabled software and physical-AI systems. Applicability depends on the system and risk context.</w:t>
      </w:r>
    </w:p>
    <w:p>
      <w:pPr>
        <w:pStyle w:val="FAQQuestion"/>
      </w:pPr>
      <w:r>
        <w:t>9. Does GAISSF apply to small organizations?</w:t>
      </w:r>
    </w:p>
    <w:p>
      <w:pPr>
        <w:pStyle w:val="FAQAnswer"/>
      </w:pPr>
      <w:r>
        <w:t>Yes. Smaller organizations may tailor governance structures, staffing and tooling, but they should not dilute applicable control outcomes. Proportional implementation is acceptable; unsupported omission is not.</w:t>
      </w:r>
    </w:p>
    <w:p>
      <w:pPr>
        <w:pStyle w:val="FAQQuestion"/>
      </w:pPr>
      <w:r>
        <w:t>10. Can GAISSF be used internationally?</w:t>
      </w:r>
    </w:p>
    <w:p>
      <w:pPr>
        <w:pStyle w:val="FAQAnswer"/>
      </w:pPr>
      <w:r>
        <w:t>Yes. The framework is designed for cross-jurisdictional use. Organizations must still identify and comply with local legal, regulatory, contractual and sector-specific obligations.</w:t>
      </w:r>
    </w:p>
    <w:p>
      <w:pPr>
        <w:pStyle w:val="Heading1"/>
      </w:pPr>
      <w:r>
        <w:t>2. Normative Documents and Document Hierarchy</w:t>
      </w:r>
    </w:p>
    <w:p>
      <w:pPr>
        <w:pStyle w:val="FAQQuestion"/>
      </w:pPr>
      <w:r>
        <w:t>11. Which document is the authoritative source of GAISSF requirements?</w:t>
      </w:r>
    </w:p>
    <w:p>
      <w:pPr>
        <w:pStyle w:val="FAQAnswer"/>
      </w:pPr>
      <w:r>
        <w:t>GAISSF-NOR-001 is the authoritative normative framework standard. GAISSF-NOR-004 is the detailed control catalogue. Implementation guides explain how to adopt and operate the framework but do not override the normative documents.</w:t>
      </w:r>
    </w:p>
    <w:p>
      <w:pPr>
        <w:pStyle w:val="FAQQuestion"/>
      </w:pPr>
      <w:r>
        <w:t>12. What is the role of the Executive Summary?</w:t>
      </w:r>
    </w:p>
    <w:p>
      <w:pPr>
        <w:pStyle w:val="FAQAnswer"/>
      </w:pPr>
      <w:r>
        <w:t>GAISSF-NOR-002 provides a concise executive interpretation. It is intended for leadership, customers, partners and decision-makers who need the purpose, structure and adoption implications without reading every control record.</w:t>
      </w:r>
    </w:p>
    <w:p>
      <w:pPr>
        <w:pStyle w:val="FAQQuestion"/>
      </w:pPr>
      <w:r>
        <w:t>13. What is the role of the Quick Start Guide?</w:t>
      </w:r>
    </w:p>
    <w:p>
      <w:pPr>
        <w:pStyle w:val="FAQAnswer"/>
      </w:pPr>
      <w:r>
        <w:t>GAISSF-NOR-003 gives an initial implementation sequence. It helps organizations begin inventory, scope, ownership, gap assessment and evidence collection without treating the quick-start sequence as a substitute for the full framework.</w:t>
      </w:r>
    </w:p>
    <w:p>
      <w:pPr>
        <w:pStyle w:val="FAQQuestion"/>
      </w:pPr>
      <w:r>
        <w:t>14. What is the role of the Glossary?</w:t>
      </w:r>
    </w:p>
    <w:p>
      <w:pPr>
        <w:pStyle w:val="FAQAnswer"/>
      </w:pPr>
      <w:r>
        <w:t>GAISSF-NOR-005 controls terminology and abbreviations used across the ecosystem. Formal publications, assessments and certification materials should use those terms consistently.</w:t>
      </w:r>
    </w:p>
    <w:p>
      <w:pPr>
        <w:pStyle w:val="FAQQuestion"/>
      </w:pPr>
      <w:r>
        <w:t>15. What is the role of the Bibliography?</w:t>
      </w:r>
    </w:p>
    <w:p>
      <w:pPr>
        <w:pStyle w:val="FAQAnswer"/>
      </w:pPr>
      <w:r>
        <w:t>GAISSF-NOR-006 controls reference identifiers, source classes and citation practices. It improves transparency without claiming endorsement or equivalence with external standards.</w:t>
      </w:r>
    </w:p>
    <w:p>
      <w:pPr>
        <w:pStyle w:val="FAQQuestion"/>
      </w:pPr>
      <w:r>
        <w:t>16. What is the difference between Release Notes and the Change Log?</w:t>
      </w:r>
    </w:p>
    <w:p>
      <w:pPr>
        <w:pStyle w:val="FAQAnswer"/>
      </w:pPr>
      <w:r>
        <w:t>Release Notes communicate what changed in a release and what users must do. The Change Log preserves historical traceability, decision records, corrections, supersession and the rationale behind material changes.</w:t>
      </w:r>
    </w:p>
    <w:p>
      <w:pPr>
        <w:pStyle w:val="FAQQuestion"/>
      </w:pPr>
      <w:r>
        <w:t>17. What is the role of the implementation documents?</w:t>
      </w:r>
    </w:p>
    <w:p>
      <w:pPr>
        <w:pStyle w:val="FAQAnswer"/>
      </w:pPr>
      <w:r>
        <w:t>The implementation documents translate the normative framework into adoption plans, operating procedures, architecture patterns, deployment gates, migration methods, operational workflows and common answers. They are informative unless a contract or certification scheme gives them additional status.</w:t>
      </w:r>
    </w:p>
    <w:p>
      <w:pPr>
        <w:pStyle w:val="FAQQuestion"/>
      </w:pPr>
      <w:r>
        <w:t>18. What should happen if two GAISSF documents appear inconsistent?</w:t>
      </w:r>
    </w:p>
    <w:p>
      <w:pPr>
        <w:pStyle w:val="FAQAnswer"/>
      </w:pPr>
      <w:r>
        <w:t>Apply the document hierarchy. GAISSF-NOR-001 and the exact control catalogue prevail over implementation guidance. The issue should be recorded through change governance rather than resolved informally.</w:t>
      </w:r>
    </w:p>
    <w:p>
      <w:pPr>
        <w:pStyle w:val="FAQQuestion"/>
      </w:pPr>
      <w:r>
        <w:t>19. Can organizations rewrite GAISSF controls in their own words?</w:t>
      </w:r>
    </w:p>
    <w:p>
      <w:pPr>
        <w:pStyle w:val="FAQAnswer"/>
      </w:pPr>
      <w:r>
        <w:t>Organizations may create internal control narratives, but they should preserve a direct traceability link to the exact GAISSF control identifier and requirement. Internal wording should not silently narrow the original requirement.</w:t>
      </w:r>
    </w:p>
    <w:p>
      <w:pPr>
        <w:pStyle w:val="FAQQuestion"/>
      </w:pPr>
      <w:r>
        <w:t>20. Are older GAISSF drafts valid?</w:t>
      </w:r>
    </w:p>
    <w:p>
      <w:pPr>
        <w:pStyle w:val="FAQAnswer"/>
      </w:pPr>
      <w:r>
        <w:t>Only if they are explicitly identified as current. Superseded drafts, especially incorrect control-count versions, should not be used for implementation, assessment, certification, tooling or public claims.</w:t>
      </w:r>
    </w:p>
    <w:p>
      <w:pPr>
        <w:pStyle w:val="Heading1"/>
      </w:pPr>
      <w:r>
        <w:t>3. Profiles, Scope and Applicability</w:t>
      </w:r>
    </w:p>
    <w:p>
      <w:pPr>
        <w:pStyle w:val="FAQQuestion"/>
      </w:pPr>
      <w:r>
        <w:t>21. What are the GAISSF conformance profiles?</w:t>
      </w:r>
    </w:p>
    <w:p>
      <w:pPr>
        <w:pStyle w:val="FAQAnswer"/>
      </w:pPr>
      <w:r>
        <w:t>GAISSF uses staged profiles to support adoption and assurance. The principal profiles are Foundational, Operational and Optimized, with sector or jurisdiction overlays added where applicable.</w:t>
      </w:r>
    </w:p>
    <w:p>
      <w:pPr>
        <w:pStyle w:val="FAQQuestion"/>
      </w:pPr>
      <w:r>
        <w:t>22. How many controls are in the Foundational profile?</w:t>
      </w:r>
    </w:p>
    <w:p>
      <w:pPr>
        <w:pStyle w:val="FAQAnswer"/>
      </w:pPr>
      <w:r>
        <w:t>The controlled Foundational profile contains 52 of the 59 controls. The seven exclusions are defined by the controlled conformance profile and are not equivalent to excluding the entire D9 domain.</w:t>
      </w:r>
    </w:p>
    <w:p>
      <w:pPr>
        <w:pStyle w:val="FAQQuestion"/>
      </w:pPr>
      <w:r>
        <w:t>23. Does the Foundational profile exclude physical-AI controls?</w:t>
      </w:r>
    </w:p>
    <w:p>
      <w:pPr>
        <w:pStyle w:val="FAQAnswer"/>
      </w:pPr>
      <w:r>
        <w:t>Not as a blanket rule. The Foundational profile spans all nine domains. Applicability must be determined from the controlled profile and the system scope, not from an assumption that D9 is automatically excluded.</w:t>
      </w:r>
    </w:p>
    <w:p>
      <w:pPr>
        <w:pStyle w:val="FAQQuestion"/>
      </w:pPr>
      <w:r>
        <w:t>24. What does the Operational profile require?</w:t>
      </w:r>
    </w:p>
    <w:p>
      <w:pPr>
        <w:pStyle w:val="FAQAnswer"/>
      </w:pPr>
      <w:r>
        <w:t>The Operational profile covers all 59 controls. It is intended for organizations operating the full control baseline with consistent evidence and recurring assurance.</w:t>
      </w:r>
    </w:p>
    <w:p>
      <w:pPr>
        <w:pStyle w:val="FAQQuestion"/>
      </w:pPr>
      <w:r>
        <w:t>25. What does the Optimized profile require?</w:t>
      </w:r>
    </w:p>
    <w:p>
      <w:pPr>
        <w:pStyle w:val="FAQAnswer"/>
      </w:pPr>
      <w:r>
        <w:t>The Optimized profile covers all 59 controls and adds advanced continuous-monitoring, assurance, integration and improvement expectations. It is not simply a higher score; it represents a more mature and continuously verified operating model.</w:t>
      </w:r>
    </w:p>
    <w:p>
      <w:pPr>
        <w:pStyle w:val="FAQQuestion"/>
      </w:pPr>
      <w:r>
        <w:t>26. Can an organization choose only the controls it likes?</w:t>
      </w:r>
    </w:p>
    <w:p>
      <w:pPr>
        <w:pStyle w:val="FAQAnswer"/>
      </w:pPr>
      <w:r>
        <w:t>No. Applicability should be based on the selected profile, system scope and controlled exceptions process. Convenience, cost or lack of ownership is not a sufficient reason to omit a control.</w:t>
      </w:r>
    </w:p>
    <w:p>
      <w:pPr>
        <w:pStyle w:val="FAQQuestion"/>
      </w:pPr>
      <w:r>
        <w:t>27. What is a Statement of Applicability?</w:t>
      </w:r>
    </w:p>
    <w:p>
      <w:pPr>
        <w:pStyle w:val="FAQAnswer"/>
      </w:pPr>
      <w:r>
        <w:t>It is the controlled record showing which controls apply, which do not, the reason for each decision, the current implementation status, ownership, evidence and any approved exceptions.</w:t>
      </w:r>
    </w:p>
    <w:p>
      <w:pPr>
        <w:pStyle w:val="FAQQuestion"/>
      </w:pPr>
      <w:r>
        <w:t>28. How should scope be defined?</w:t>
      </w:r>
    </w:p>
    <w:p>
      <w:pPr>
        <w:pStyle w:val="FAQAnswer"/>
      </w:pPr>
      <w:r>
        <w:t>Scope should identify legal entities, business units, AI systems, models, data, interfaces, suppliers, users, geographies, lifecycle stages, physical components and the intended assessment or certification boundary.</w:t>
      </w:r>
    </w:p>
    <w:p>
      <w:pPr>
        <w:pStyle w:val="FAQQuestion"/>
      </w:pPr>
      <w:r>
        <w:t>29. Can one organization have multiple GAISSF scopes?</w:t>
      </w:r>
    </w:p>
    <w:p>
      <w:pPr>
        <w:pStyle w:val="FAQAnswer"/>
      </w:pPr>
      <w:r>
        <w:t>Yes. An enterprise may have different product, service, platform, regional or business-unit scopes. Each scope should be explicit and should not be represented as enterprise-wide unless it genuinely is.</w:t>
      </w:r>
    </w:p>
    <w:p>
      <w:pPr>
        <w:pStyle w:val="FAQQuestion"/>
      </w:pPr>
      <w:r>
        <w:t>30. How are third-party AI services treated?</w:t>
      </w:r>
    </w:p>
    <w:p>
      <w:pPr>
        <w:pStyle w:val="FAQAnswer"/>
      </w:pPr>
      <w:r>
        <w:t>They remain inside the risk and control model even when the organization cannot inspect the provider’s internals. The organization should document inherited controls, contractual protections, evidence limitations, monitoring and fallback or exit arrangements.</w:t>
      </w:r>
    </w:p>
    <w:p>
      <w:pPr>
        <w:pStyle w:val="FAQQuestion"/>
      </w:pPr>
      <w:r>
        <w:t>31. Are sector profiles replacements for the base framework?</w:t>
      </w:r>
    </w:p>
    <w:p>
      <w:pPr>
        <w:pStyle w:val="FAQAnswer"/>
      </w:pPr>
      <w:r>
        <w:t>No. Sector, product or jurisdiction profiles should be additive overlays unless the controlled profile explicitly states otherwise.</w:t>
      </w:r>
    </w:p>
    <w:p>
      <w:pPr>
        <w:pStyle w:val="FAQQuestion"/>
      </w:pPr>
      <w:r>
        <w:t>32. Can a control be marked not applicable?</w:t>
      </w:r>
    </w:p>
    <w:p>
      <w:pPr>
        <w:pStyle w:val="FAQAnswer"/>
      </w:pPr>
      <w:r>
        <w:t>Yes, but only where the profile and scope support that conclusion. The rationale should be specific, approved, reviewable and reconsidered when the system or operating context changes.</w:t>
      </w:r>
    </w:p>
    <w:p>
      <w:pPr>
        <w:pStyle w:val="Heading1"/>
      </w:pPr>
      <w:r>
        <w:t>4. Adoption and Program Establishment</w:t>
      </w:r>
    </w:p>
    <w:p>
      <w:pPr>
        <w:pStyle w:val="FAQQuestion"/>
      </w:pPr>
      <w:r>
        <w:t>33. Where should an organization start?</w:t>
      </w:r>
    </w:p>
    <w:p>
      <w:pPr>
        <w:pStyle w:val="FAQAnswer"/>
      </w:pPr>
      <w:r>
        <w:t>Start with executive sponsorship, an AI-system inventory, a clear scope, selection of the intended profile, assignment of control owners and a baseline assessment. GAISSF-IMP-009 provides the full adoption method.</w:t>
      </w:r>
    </w:p>
    <w:p>
      <w:pPr>
        <w:pStyle w:val="FAQQuestion"/>
      </w:pPr>
      <w:r>
        <w:t>34. Who should sponsor adoption?</w:t>
      </w:r>
    </w:p>
    <w:p>
      <w:pPr>
        <w:pStyle w:val="FAQAnswer"/>
      </w:pPr>
      <w:r>
        <w:t>A senior executive with authority over cross-functional participation, risk acceptance, funding and scope. In larger organizations, board or risk-committee oversight may also be appropriate.</w:t>
      </w:r>
    </w:p>
    <w:p>
      <w:pPr>
        <w:pStyle w:val="FAQQuestion"/>
      </w:pPr>
      <w:r>
        <w:t>35. Which teams should participate?</w:t>
      </w:r>
    </w:p>
    <w:p>
      <w:pPr>
        <w:pStyle w:val="FAQAnswer"/>
      </w:pPr>
      <w:r>
        <w:t>Security, AI engineering, MLOps, architecture, data, privacy, legal, compliance, procurement, supplier management, product, safety, operations, internal audit and executive risk owners may all be relevant.</w:t>
      </w:r>
    </w:p>
    <w:p>
      <w:pPr>
        <w:pStyle w:val="FAQQuestion"/>
      </w:pPr>
      <w:r>
        <w:t>36. How long does adoption take?</w:t>
      </w:r>
    </w:p>
    <w:p>
      <w:pPr>
        <w:pStyle w:val="FAQAnswer"/>
      </w:pPr>
      <w:r>
        <w:t>There is no universal duration. Time depends on scope, maturity, system criticality, existing controls, evidence history, supplier dependence and remediation complexity. Fixed-duration promises should be treated cautiously.</w:t>
      </w:r>
    </w:p>
    <w:p>
      <w:pPr>
        <w:pStyle w:val="FAQQuestion"/>
      </w:pPr>
      <w:r>
        <w:t>37. Can GAISSF be adopted in phases?</w:t>
      </w:r>
    </w:p>
    <w:p>
      <w:pPr>
        <w:pStyle w:val="FAQAnswer"/>
      </w:pPr>
      <w:r>
        <w:t>Yes. A phased approach is recommended where scope is large. The organization may begin with governance and shared controls, then add AI-engineering, safety, assurance and certification-readiness workstreams.</w:t>
      </w:r>
    </w:p>
    <w:p>
      <w:pPr>
        <w:pStyle w:val="FAQQuestion"/>
      </w:pPr>
      <w:r>
        <w:t>38. Should an organization begin with certification?</w:t>
      </w:r>
    </w:p>
    <w:p>
      <w:pPr>
        <w:pStyle w:val="FAQAnswer"/>
      </w:pPr>
      <w:r>
        <w:t>Usually no. It should first establish stable operations, ownership, evidence and remediation. Beginning with a certificate deadline often produces paper compliance and weak control operation.</w:t>
      </w:r>
    </w:p>
    <w:p>
      <w:pPr>
        <w:pStyle w:val="FAQQuestion"/>
      </w:pPr>
      <w:r>
        <w:t>39. Can existing governance structures be reused?</w:t>
      </w:r>
    </w:p>
    <w:p>
      <w:pPr>
        <w:pStyle w:val="FAQAnswer"/>
      </w:pPr>
      <w:r>
        <w:t>Yes, where they have adequate scope and authority. Existing risk committees, security operations, internal audit, quality management and privacy governance can be extended rather than duplicated.</w:t>
      </w:r>
    </w:p>
    <w:p>
      <w:pPr>
        <w:pStyle w:val="FAQQuestion"/>
      </w:pPr>
      <w:r>
        <w:t>40. What are the most common adoption failures?</w:t>
      </w:r>
    </w:p>
    <w:p>
      <w:pPr>
        <w:pStyle w:val="FAQAnswer"/>
      </w:pPr>
      <w:r>
        <w:t>Typical failures include treating GAISSF as a checklist, copying control text into policy without implementation, under-scoping suppliers and interfaces, relying on self-attestation, collecting evidence only before audit, and confusing maturity with conformance.</w:t>
      </w:r>
    </w:p>
    <w:p>
      <w:pPr>
        <w:pStyle w:val="Heading1"/>
      </w:pPr>
      <w:r>
        <w:t>5. Implementation and Architecture</w:t>
      </w:r>
    </w:p>
    <w:p>
      <w:pPr>
        <w:pStyle w:val="FAQQuestion"/>
      </w:pPr>
      <w:r>
        <w:t>41. Does GAISSF require a specific technology stack?</w:t>
      </w:r>
    </w:p>
    <w:p>
      <w:pPr>
        <w:pStyle w:val="FAQAnswer"/>
      </w:pPr>
      <w:r>
        <w:t>No. GAISSF is technology- and vendor-neutral. The implementation should achieve the required control outcomes and produce sufficient evidence.</w:t>
      </w:r>
    </w:p>
    <w:p>
      <w:pPr>
        <w:pStyle w:val="FAQQuestion"/>
      </w:pPr>
      <w:r>
        <w:t>42. Is an AI gateway mandatory?</w:t>
      </w:r>
    </w:p>
    <w:p>
      <w:pPr>
        <w:pStyle w:val="FAQAnswer"/>
      </w:pPr>
      <w:r>
        <w:t>No. An AI gateway is a useful pattern for centralized policy, routing, logging and supplier control, but other architectures may satisfy the same outcomes.</w:t>
      </w:r>
    </w:p>
    <w:p>
      <w:pPr>
        <w:pStyle w:val="FAQQuestion"/>
      </w:pPr>
      <w:r>
        <w:t>43. Does buying an AI security tool establish conformance?</w:t>
      </w:r>
    </w:p>
    <w:p>
      <w:pPr>
        <w:pStyle w:val="FAQAnswer"/>
      </w:pPr>
      <w:r>
        <w:t>No. A tool may implement part of a control, but conformance also depends on scope, ownership, configuration, workflow, evidence, testing, monitoring and operating effectiveness.</w:t>
      </w:r>
    </w:p>
    <w:p>
      <w:pPr>
        <w:pStyle w:val="FAQQuestion"/>
      </w:pPr>
      <w:r>
        <w:t>44. How should trust boundaries be documented?</w:t>
      </w:r>
    </w:p>
    <w:p>
      <w:pPr>
        <w:pStyle w:val="FAQAnswer"/>
      </w:pPr>
      <w:r>
        <w:t>Document each transition between users, applications, models, tools, data stores, suppliers, assurance services and physical actions. Record assets, identities, permitted flows, controls, telemetry, failure modes and ownership.</w:t>
      </w:r>
    </w:p>
    <w:p>
      <w:pPr>
        <w:pStyle w:val="FAQQuestion"/>
      </w:pPr>
      <w:r>
        <w:t>45. How should model versions be controlled?</w:t>
      </w:r>
    </w:p>
    <w:p>
      <w:pPr>
        <w:pStyle w:val="FAQAnswer"/>
      </w:pPr>
      <w:r>
        <w:t>Use a controlled registry or equivalent mechanism that records provider, model name, version, configuration, approval status, evaluation baseline and deployment history.</w:t>
      </w:r>
    </w:p>
    <w:p>
      <w:pPr>
        <w:pStyle w:val="FAQQuestion"/>
      </w:pPr>
      <w:r>
        <w:t>46. How should prompts and orchestration logic be governed?</w:t>
      </w:r>
    </w:p>
    <w:p>
      <w:pPr>
        <w:pStyle w:val="FAQAnswer"/>
      </w:pPr>
      <w:r>
        <w:t>Treat them as controlled configuration. Version them, review changes, test them, restrict production modification and link them to release evidence.</w:t>
      </w:r>
    </w:p>
    <w:p>
      <w:pPr>
        <w:pStyle w:val="FAQQuestion"/>
      </w:pPr>
      <w:r>
        <w:t>47. How should retrieval-augmented generation be secured?</w:t>
      </w:r>
    </w:p>
    <w:p>
      <w:pPr>
        <w:pStyle w:val="FAQAnswer"/>
      </w:pPr>
      <w:r>
        <w:t>Apply authorization before retrieval, protect tenant isolation, validate source provenance, detect poisoned or malicious content, manage freshness, constrain context and retain source-to-output traceability.</w:t>
      </w:r>
    </w:p>
    <w:p>
      <w:pPr>
        <w:pStyle w:val="FAQQuestion"/>
      </w:pPr>
      <w:r>
        <w:t>48. How should external model providers be integrated?</w:t>
      </w:r>
    </w:p>
    <w:p>
      <w:pPr>
        <w:pStyle w:val="FAQAnswer"/>
      </w:pPr>
      <w:r>
        <w:t>Use approved-provider records, data-minimization rules, contractual controls, service monitoring, model-change detection, response validation, fallback arrangements and documented evidence limitations.</w:t>
      </w:r>
    </w:p>
    <w:p>
      <w:pPr>
        <w:pStyle w:val="FAQQuestion"/>
      </w:pPr>
      <w:r>
        <w:t>49. How should edge or offline AI be handled?</w:t>
      </w:r>
    </w:p>
    <w:p>
      <w:pPr>
        <w:pStyle w:val="FAQAnswer"/>
      </w:pPr>
      <w:r>
        <w:t>Use signed model packages, secure boot, local policy enforcement, protected local telemetry, authenticated updates, rollback and clearly defined degraded-operation behavior.</w:t>
      </w:r>
    </w:p>
    <w:p>
      <w:pPr>
        <w:pStyle w:val="FAQQuestion"/>
      </w:pPr>
      <w:r>
        <w:t>50. Where can reference designs be found?</w:t>
      </w:r>
    </w:p>
    <w:p>
      <w:pPr>
        <w:pStyle w:val="FAQAnswer"/>
      </w:pPr>
      <w:r>
        <w:t>GAISSF-IMP-013 provides complete reference patterns for AI gateways, RAG, agentic AI, private-model platforms, external model services, edge AI and physical-AI systems.</w:t>
      </w:r>
    </w:p>
    <w:p>
      <w:pPr>
        <w:pStyle w:val="Heading1"/>
      </w:pPr>
      <w:r>
        <w:t>6. Agentic AI</w:t>
      </w:r>
    </w:p>
    <w:p>
      <w:pPr>
        <w:pStyle w:val="FAQQuestion"/>
      </w:pPr>
      <w:r>
        <w:t>51. What makes agentic AI different from a normal AI application?</w:t>
      </w:r>
    </w:p>
    <w:p>
      <w:pPr>
        <w:pStyle w:val="FAQAnswer"/>
      </w:pPr>
      <w:r>
        <w:t>Agentic AI can plan, maintain state, call tools, delegate tasks and take actions over time. That creates additional risks around authority, persistence, transactions, memory, looping, delegation and containment.</w:t>
      </w:r>
    </w:p>
    <w:p>
      <w:pPr>
        <w:pStyle w:val="FAQQuestion"/>
      </w:pPr>
      <w:r>
        <w:t>52. How should agent permissions be designed?</w:t>
      </w:r>
    </w:p>
    <w:p>
      <w:pPr>
        <w:pStyle w:val="FAQAnswer"/>
      </w:pPr>
      <w:r>
        <w:t>Permissions should be scoped by identity, objective, tool, action type, resource, transaction value, destination, time and delegation rights.</w:t>
      </w:r>
    </w:p>
    <w:p>
      <w:pPr>
        <w:pStyle w:val="FAQQuestion"/>
      </w:pPr>
      <w:r>
        <w:t>53. Should agents have shared credentials?</w:t>
      </w:r>
    </w:p>
    <w:p>
      <w:pPr>
        <w:pStyle w:val="FAQAnswer"/>
      </w:pPr>
      <w:r>
        <w:t>Shared unrestricted credentials should be avoided. Per-agent or per-service identity improves attribution, least privilege, monitoring and revocation.</w:t>
      </w:r>
    </w:p>
    <w:p>
      <w:pPr>
        <w:pStyle w:val="FAQQuestion"/>
      </w:pPr>
      <w:r>
        <w:t>54. When is human approval required?</w:t>
      </w:r>
    </w:p>
    <w:p>
      <w:pPr>
        <w:pStyle w:val="FAQAnswer"/>
      </w:pPr>
      <w:r>
        <w:t>Human approval should be required where actions are consequential, irreversible, high-value, safety-relevant, legally significant or outside well-tested automated boundaries.</w:t>
      </w:r>
    </w:p>
    <w:p>
      <w:pPr>
        <w:pStyle w:val="FAQQuestion"/>
      </w:pPr>
      <w:r>
        <w:t>55. How should agent memory be governed?</w:t>
      </w:r>
    </w:p>
    <w:p>
      <w:pPr>
        <w:pStyle w:val="FAQAnswer"/>
      </w:pPr>
      <w:r>
        <w:t>Memory should have explicit scope, ownership, retention, separation, integrity checks, deletion, contamination controls and evidence of access and modification.</w:t>
      </w:r>
    </w:p>
    <w:p>
      <w:pPr>
        <w:pStyle w:val="FAQQuestion"/>
      </w:pPr>
      <w:r>
        <w:t>56. How can runaway agents be contained?</w:t>
      </w:r>
    </w:p>
    <w:p>
      <w:pPr>
        <w:pStyle w:val="FAQAnswer"/>
      </w:pPr>
      <w:r>
        <w:t>Use step limits, timeouts, rate limits, transaction ceilings, circuit breakers, credential revocation, sandboxing, kill switches and state rollback.</w:t>
      </w:r>
    </w:p>
    <w:p>
      <w:pPr>
        <w:pStyle w:val="FAQQuestion"/>
      </w:pPr>
      <w:r>
        <w:t>57. What should be logged for an agent?</w:t>
      </w:r>
    </w:p>
    <w:p>
      <w:pPr>
        <w:pStyle w:val="FAQAnswer"/>
      </w:pPr>
      <w:r>
        <w:t>At minimum, identity, user or sponsoring service, goal, plan steps, tool calls, parameters, approvals, memory changes, outputs, errors, state transitions and containment actions.</w:t>
      </w:r>
    </w:p>
    <w:p>
      <w:pPr>
        <w:pStyle w:val="FAQQuestion"/>
      </w:pPr>
      <w:r>
        <w:t>58. Does GAISSF permit fully autonomous agents?</w:t>
      </w:r>
    </w:p>
    <w:p>
      <w:pPr>
        <w:pStyle w:val="FAQAnswer"/>
      </w:pPr>
      <w:r>
        <w:t>GAISSF does not impose a universal prohibition. The permitted level of autonomy should be justified by risk, testing, safety, legal obligations, monitoring and available override or containment.</w:t>
      </w:r>
    </w:p>
    <w:p>
      <w:pPr>
        <w:pStyle w:val="Heading1"/>
      </w:pPr>
      <w:r>
        <w:t>7. Physical AI and Safety</w:t>
      </w:r>
    </w:p>
    <w:p>
      <w:pPr>
        <w:pStyle w:val="FAQQuestion"/>
      </w:pPr>
      <w:r>
        <w:t>59. What is physical AI?</w:t>
      </w:r>
    </w:p>
    <w:p>
      <w:pPr>
        <w:pStyle w:val="FAQAnswer"/>
      </w:pPr>
      <w:r>
        <w:t>Physical AI is AI that perceives, controls or materially influences physical environments, devices, machinery, vehicles, robots or actuators.</w:t>
      </w:r>
    </w:p>
    <w:p>
      <w:pPr>
        <w:pStyle w:val="FAQQuestion"/>
      </w:pPr>
      <w:r>
        <w:t>60. Does GAISSF replace functional-safety standards?</w:t>
      </w:r>
    </w:p>
    <w:p>
      <w:pPr>
        <w:pStyle w:val="FAQAnswer"/>
      </w:pPr>
      <w:r>
        <w:t>No. GAISSF complements but does not replace sector-specific functional-safety, machinery, automotive, medical-device or other engineering standards.</w:t>
      </w:r>
    </w:p>
    <w:p>
      <w:pPr>
        <w:pStyle w:val="FAQQuestion"/>
      </w:pPr>
      <w:r>
        <w:t>61. What is a safe state?</w:t>
      </w:r>
    </w:p>
    <w:p>
      <w:pPr>
        <w:pStyle w:val="FAQAnswer"/>
      </w:pPr>
      <w:r>
        <w:t>A safe state is a defined condition that limits or prevents harm when normal operation cannot continue. The appropriate safe state depends on the system and environment.</w:t>
      </w:r>
    </w:p>
    <w:p>
      <w:pPr>
        <w:pStyle w:val="FAQQuestion"/>
      </w:pPr>
      <w:r>
        <w:t>62. Should safety constraints rely on the same AI model?</w:t>
      </w:r>
    </w:p>
    <w:p>
      <w:pPr>
        <w:pStyle w:val="FAQAnswer"/>
      </w:pPr>
      <w:r>
        <w:t>Where practicable, critical constraints should be enforced by deterministic or independently assured mechanisms rather than relying solely on the learned component being constrained.</w:t>
      </w:r>
    </w:p>
    <w:p>
      <w:pPr>
        <w:pStyle w:val="FAQQuestion"/>
      </w:pPr>
      <w:r>
        <w:t>63. What is required for human override?</w:t>
      </w:r>
    </w:p>
    <w:p>
      <w:pPr>
        <w:pStyle w:val="FAQAnswer"/>
      </w:pPr>
      <w:r>
        <w:t>Override should be accessible, reliable, independent where necessary, regularly tested, documented and capable of placing the system into a controlled state.</w:t>
      </w:r>
    </w:p>
    <w:p>
      <w:pPr>
        <w:pStyle w:val="FAQQuestion"/>
      </w:pPr>
      <w:r>
        <w:t>64. What evidence is expected for physical-AI systems?</w:t>
      </w:r>
    </w:p>
    <w:p>
      <w:pPr>
        <w:pStyle w:val="FAQAnswer"/>
      </w:pPr>
      <w:r>
        <w:t>Typical evidence includes hazard analysis, operational envelopes, simulation, hardware-in-the-loop tests, sensor and actuator validation, safe-state exercises, override tests, command logs, near-miss records and incident reconstruction data.</w:t>
      </w:r>
    </w:p>
    <w:p>
      <w:pPr>
        <w:pStyle w:val="FAQQuestion"/>
      </w:pPr>
      <w:r>
        <w:t>65. How should near misses be treated?</w:t>
      </w:r>
    </w:p>
    <w:p>
      <w:pPr>
        <w:pStyle w:val="FAQAnswer"/>
      </w:pPr>
      <w:r>
        <w:t>Near misses should be recorded and investigated because they reveal control weaknesses before harm occurs. They should feed corrective action and safety-case updates.</w:t>
      </w:r>
    </w:p>
    <w:p>
      <w:pPr>
        <w:pStyle w:val="FAQQuestion"/>
      </w:pPr>
      <w:r>
        <w:t>66. Can GAISSF certification prove a physical system is safe?</w:t>
      </w:r>
    </w:p>
    <w:p>
      <w:pPr>
        <w:pStyle w:val="FAQAnswer"/>
      </w:pPr>
      <w:r>
        <w:t>No. Certification may provide evidence of framework conformance within a defined scope, but it cannot replace product approval, specialist engineering judgement or sector safety certification.</w:t>
      </w:r>
    </w:p>
    <w:p>
      <w:pPr>
        <w:pStyle w:val="Heading1"/>
      </w:pPr>
      <w:r>
        <w:t>8. Evidence, Testing and Assurance</w:t>
      </w:r>
    </w:p>
    <w:p>
      <w:pPr>
        <w:pStyle w:val="FAQQuestion"/>
      </w:pPr>
      <w:r>
        <w:t>67. What counts as evidence?</w:t>
      </w:r>
    </w:p>
    <w:p>
      <w:pPr>
        <w:pStyle w:val="FAQAnswer"/>
      </w:pPr>
      <w:r>
        <w:t>Evidence may include policies, architecture, configuration, logs, approvals, test reports, evaluation outputs, tickets, incident records, supplier records, training, metrics, risk decisions and independent-assurance results.</w:t>
      </w:r>
    </w:p>
    <w:p>
      <w:pPr>
        <w:pStyle w:val="FAQQuestion"/>
      </w:pPr>
      <w:r>
        <w:t>68. Is a policy enough to satisfy a control?</w:t>
      </w:r>
    </w:p>
    <w:p>
      <w:pPr>
        <w:pStyle w:val="FAQAnswer"/>
      </w:pPr>
      <w:r>
        <w:t>Usually not. A policy shows design intent. Most controls also require implementation, recurring operation and evidence that the mechanism is effective.</w:t>
      </w:r>
    </w:p>
    <w:p>
      <w:pPr>
        <w:pStyle w:val="FAQQuestion"/>
      </w:pPr>
      <w:r>
        <w:t>69. What makes evidence strong?</w:t>
      </w:r>
    </w:p>
    <w:p>
      <w:pPr>
        <w:pStyle w:val="FAQAnswer"/>
      </w:pPr>
      <w:r>
        <w:t>Strong evidence is attributable, current, complete, scope-aligned, protected, reproducible where relevant, linked to the exact control and honest about limitations.</w:t>
      </w:r>
    </w:p>
    <w:p>
      <w:pPr>
        <w:pStyle w:val="FAQQuestion"/>
      </w:pPr>
      <w:r>
        <w:t>70. Can screenshots be used as evidence?</w:t>
      </w:r>
    </w:p>
    <w:p>
      <w:pPr>
        <w:pStyle w:val="FAQAnswer"/>
      </w:pPr>
      <w:r>
        <w:t>Yes, but screenshots alone are often weak. They should identify the system, date, scope, source and relevant configuration, and should be supported by stronger machine-generated or controlled records where possible.</w:t>
      </w:r>
    </w:p>
    <w:p>
      <w:pPr>
        <w:pStyle w:val="FAQQuestion"/>
      </w:pPr>
      <w:r>
        <w:t>71. How long should evidence be retained?</w:t>
      </w:r>
    </w:p>
    <w:p>
      <w:pPr>
        <w:pStyle w:val="FAQAnswer"/>
      </w:pPr>
      <w:r>
        <w:t>Retention depends on legal, contractual, certification, incident and organizational requirements. GAISSF does not prescribe one universal retention period.</w:t>
      </w:r>
    </w:p>
    <w:p>
      <w:pPr>
        <w:pStyle w:val="FAQQuestion"/>
      </w:pPr>
      <w:r>
        <w:t>72. Should failed test results be retained?</w:t>
      </w:r>
    </w:p>
    <w:p>
      <w:pPr>
        <w:pStyle w:val="FAQAnswer"/>
      </w:pPr>
      <w:r>
        <w:t>Yes. Failed, negative and inconclusive results are important evidence. Removing them can misrepresent assurance and obstruct root-cause analysis.</w:t>
      </w:r>
    </w:p>
    <w:p>
      <w:pPr>
        <w:pStyle w:val="FAQQuestion"/>
      </w:pPr>
      <w:r>
        <w:t>73. What is operating effectiveness?</w:t>
      </w:r>
    </w:p>
    <w:p>
      <w:pPr>
        <w:pStyle w:val="FAQAnswer"/>
      </w:pPr>
      <w:r>
        <w:t>Operating effectiveness means the control actually functions consistently in the assessed scope and period, not merely that it is designed or deployed.</w:t>
      </w:r>
    </w:p>
    <w:p>
      <w:pPr>
        <w:pStyle w:val="FAQQuestion"/>
      </w:pPr>
      <w:r>
        <w:t>74. What is the difference between assessment and certification?</w:t>
      </w:r>
    </w:p>
    <w:p>
      <w:pPr>
        <w:pStyle w:val="FAQAnswer"/>
      </w:pPr>
      <w:r>
        <w:t>Assessment evaluates conformance or readiness. Certification is a formal decision under a defined certification scheme and scope. Not every assessment results in certification.</w:t>
      </w:r>
    </w:p>
    <w:p>
      <w:pPr>
        <w:pStyle w:val="FAQQuestion"/>
      </w:pPr>
      <w:r>
        <w:t>75. Can evidence from another framework be reused?</w:t>
      </w:r>
    </w:p>
    <w:p>
      <w:pPr>
        <w:pStyle w:val="FAQAnswer"/>
      </w:pPr>
      <w:r>
        <w:t>Yes, after verifying scope, currency, integrity and coverage. Reuse should not be based only on the fact that evidence was accepted in another audit.</w:t>
      </w:r>
    </w:p>
    <w:p>
      <w:pPr>
        <w:pStyle w:val="FAQQuestion"/>
      </w:pPr>
      <w:r>
        <w:t>76. Can automation replace assessor judgement?</w:t>
      </w:r>
    </w:p>
    <w:p>
      <w:pPr>
        <w:pStyle w:val="FAQAnswer"/>
      </w:pPr>
      <w:r>
        <w:t>Automation can improve consistency and coverage, but it cannot fully replace contextual judgement, interviews, design review, physical observation or evaluation of conflicting evidence.</w:t>
      </w:r>
    </w:p>
    <w:p>
      <w:pPr>
        <w:pStyle w:val="FAQQuestion"/>
      </w:pPr>
      <w:r>
        <w:t>77. What is the role of the Validation Test Specification?</w:t>
      </w:r>
    </w:p>
    <w:p>
      <w:pPr>
        <w:pStyle w:val="FAQAnswer"/>
      </w:pPr>
      <w:r>
        <w:t>A VTS defines how a control or control outcome should be tested, what inputs are required, what evidence is produced and how results are interpreted. It supports repeatability but does not eliminate professional judgement.</w:t>
      </w:r>
    </w:p>
    <w:p>
      <w:pPr>
        <w:pStyle w:val="FAQQuestion"/>
      </w:pPr>
      <w:r>
        <w:t>78. How should evidence integrity be protected?</w:t>
      </w:r>
    </w:p>
    <w:p>
      <w:pPr>
        <w:pStyle w:val="FAQAnswer"/>
      </w:pPr>
      <w:r>
        <w:t>Use controlled repositories, access restrictions, versioning, timestamps, hashes, signatures, immutable logging or chain-of-custody procedures according to risk.</w:t>
      </w:r>
    </w:p>
    <w:p>
      <w:pPr>
        <w:pStyle w:val="Heading1"/>
      </w:pPr>
      <w:r>
        <w:t>9. Certification and Public Claims</w:t>
      </w:r>
    </w:p>
    <w:p>
      <w:pPr>
        <w:pStyle w:val="FAQQuestion"/>
      </w:pPr>
      <w:r>
        <w:t>79. Does ODA3 Institute automatically certify every GAISSF implementation?</w:t>
      </w:r>
    </w:p>
    <w:p>
      <w:pPr>
        <w:pStyle w:val="FAQAnswer"/>
      </w:pPr>
      <w:r>
        <w:t>No. Certification requires an approved scheme, defined scope, competent assessment, decision governance and compliance with mark and claims rules.</w:t>
      </w:r>
    </w:p>
    <w:p>
      <w:pPr>
        <w:pStyle w:val="FAQQuestion"/>
      </w:pPr>
      <w:r>
        <w:t>80. What does a GAISSF certificate mean?</w:t>
      </w:r>
    </w:p>
    <w:p>
      <w:pPr>
        <w:pStyle w:val="FAQAnswer"/>
      </w:pPr>
      <w:r>
        <w:t>It should mean only what the applicable certification scheme states for the named scope, profile, version and period. It should not be represented as a guarantee of safety, security, legality or future performance.</w:t>
      </w:r>
    </w:p>
    <w:p>
      <w:pPr>
        <w:pStyle w:val="FAQQuestion"/>
      </w:pPr>
      <w:r>
        <w:t>81. Can certification cover an entire enterprise?</w:t>
      </w:r>
    </w:p>
    <w:p>
      <w:pPr>
        <w:pStyle w:val="FAQAnswer"/>
      </w:pPr>
      <w:r>
        <w:t>Only if the assessed and certified scope genuinely covers the entire enterprise. Otherwise, claims must identify the specific product, service, platform, business unit or system.</w:t>
      </w:r>
    </w:p>
    <w:p>
      <w:pPr>
        <w:pStyle w:val="FAQQuestion"/>
      </w:pPr>
      <w:r>
        <w:t>82. Can an organization say it is GAISSF compliant before assessment?</w:t>
      </w:r>
    </w:p>
    <w:p>
      <w:pPr>
        <w:pStyle w:val="FAQAnswer"/>
      </w:pPr>
      <w:r>
        <w:t>It may describe an internal implementation status accurately, but should avoid certification-like claims unless authorized. Phrases such as 'aligned with' or 'implementing' should be supported and scoped.</w:t>
      </w:r>
    </w:p>
    <w:p>
      <w:pPr>
        <w:pStyle w:val="FAQQuestion"/>
      </w:pPr>
      <w:r>
        <w:t>83. Can a vendor use the GAISSF name or mark?</w:t>
      </w:r>
    </w:p>
    <w:p>
      <w:pPr>
        <w:pStyle w:val="FAQAnswer"/>
      </w:pPr>
      <w:r>
        <w:t>Use is subject to applicable trademark and certification-mark rules. Referencing the framework for factual identification is different from implying certification, sponsorship or endorsement.</w:t>
      </w:r>
    </w:p>
    <w:p>
      <w:pPr>
        <w:pStyle w:val="FAQQuestion"/>
      </w:pPr>
      <w:r>
        <w:t>84. Does GAISSF certification satisfy ISO certification?</w:t>
      </w:r>
    </w:p>
    <w:p>
      <w:pPr>
        <w:pStyle w:val="FAQAnswer"/>
      </w:pPr>
      <w:r>
        <w:t>No. GAISSF and ISO schemes are separate. Mappings may show relationships, but one certificate should not be represented as a substitute for another unless a formal recognition mechanism exists.</w:t>
      </w:r>
    </w:p>
    <w:p>
      <w:pPr>
        <w:pStyle w:val="FAQQuestion"/>
      </w:pPr>
      <w:r>
        <w:t>85. Does GAISSF certification prove regulatory compliance?</w:t>
      </w:r>
    </w:p>
    <w:p>
      <w:pPr>
        <w:pStyle w:val="FAQAnswer"/>
      </w:pPr>
      <w:r>
        <w:t>No. It may provide evidence relevant to obligations, but legal compliance depends on jurisdiction, facts, system use and regulator interpretation.</w:t>
      </w:r>
    </w:p>
    <w:p>
      <w:pPr>
        <w:pStyle w:val="FAQQuestion"/>
      </w:pPr>
      <w:r>
        <w:t>86. Can a certification be suspended or withdrawn?</w:t>
      </w:r>
    </w:p>
    <w:p>
      <w:pPr>
        <w:pStyle w:val="FAQAnswer"/>
      </w:pPr>
      <w:r>
        <w:t>Yes, under an applicable certification scheme, for material nonconformity, scope misrepresentation, failed surveillance, misuse of marks, non-payment, refusal of assessment or other defined causes.</w:t>
      </w:r>
    </w:p>
    <w:p>
      <w:pPr>
        <w:pStyle w:val="FAQQuestion"/>
      </w:pPr>
      <w:r>
        <w:t>87. What should public claims include?</w:t>
      </w:r>
    </w:p>
    <w:p>
      <w:pPr>
        <w:pStyle w:val="FAQAnswer"/>
      </w:pPr>
      <w:r>
        <w:t>They should identify the organization or system, scope, GAISSF version, profile, certificate status where applicable, issuing body and relevant limitations.</w:t>
      </w:r>
    </w:p>
    <w:p>
      <w:pPr>
        <w:pStyle w:val="FAQQuestion"/>
      </w:pPr>
      <w:r>
        <w:t>88. What claims are prohibited?</w:t>
      </w:r>
    </w:p>
    <w:p>
      <w:pPr>
        <w:pStyle w:val="FAQAnswer"/>
      </w:pPr>
      <w:r>
        <w:t>Claims implying universal safety, zero risk, regulator endorsement, ISO equivalence, whole-enterprise certification from a narrow scope, or guaranteed legal compliance should not be made.</w:t>
      </w:r>
    </w:p>
    <w:p>
      <w:pPr>
        <w:pStyle w:val="Heading1"/>
      </w:pPr>
      <w:r>
        <w:t>10. Relationship to Other Frameworks</w:t>
      </w:r>
    </w:p>
    <w:p>
      <w:pPr>
        <w:pStyle w:val="FAQQuestion"/>
      </w:pPr>
      <w:r>
        <w:t>89. How does GAISSF relate to ISO/IEC 42001?</w:t>
      </w:r>
    </w:p>
    <w:p>
      <w:pPr>
        <w:pStyle w:val="FAQAnswer"/>
      </w:pPr>
      <w:r>
        <w:t>ISO/IEC 42001 provides an AI management-system standard. GAISSF can complement it with detailed security, safety, technical and evidence-oriented controls. Neither should be presented as automatically equivalent to the other.</w:t>
      </w:r>
    </w:p>
    <w:p>
      <w:pPr>
        <w:pStyle w:val="FAQQuestion"/>
      </w:pPr>
      <w:r>
        <w:t>90. How does GAISSF relate to NIST AI RMF?</w:t>
      </w:r>
    </w:p>
    <w:p>
      <w:pPr>
        <w:pStyle w:val="FAQAnswer"/>
      </w:pPr>
      <w:r>
        <w:t>NIST AI RMF provides a risk-management structure and outcomes. GAISSF can translate those outcomes into a detailed control, evidence and assurance model.</w:t>
      </w:r>
    </w:p>
    <w:p>
      <w:pPr>
        <w:pStyle w:val="FAQQuestion"/>
      </w:pPr>
      <w:r>
        <w:t>91. How does GAISSF relate to NIST CSF?</w:t>
      </w:r>
    </w:p>
    <w:p>
      <w:pPr>
        <w:pStyle w:val="FAQAnswer"/>
      </w:pPr>
      <w:r>
        <w:t>NIST CSF provides broad cybersecurity outcomes. GAISSF extends the operating model into AI-specific model, data, agentic, harmful-output and physical-AI risks.</w:t>
      </w:r>
    </w:p>
    <w:p>
      <w:pPr>
        <w:pStyle w:val="FAQQuestion"/>
      </w:pPr>
      <w:r>
        <w:t>92. How does GAISSF relate to OWASP guidance?</w:t>
      </w:r>
    </w:p>
    <w:p>
      <w:pPr>
        <w:pStyle w:val="FAQAnswer"/>
      </w:pPr>
      <w:r>
        <w:t>OWASP resources provide important application, LLM and agentic threat knowledge and test guidance. GAISSF adds governance, lifecycle, evidence, assurance, supplier and certification structures.</w:t>
      </w:r>
    </w:p>
    <w:p>
      <w:pPr>
        <w:pStyle w:val="FAQQuestion"/>
      </w:pPr>
      <w:r>
        <w:t>93. How does GAISSF relate to MITRE ATLAS and ATT&amp;CK?</w:t>
      </w:r>
    </w:p>
    <w:p>
      <w:pPr>
        <w:pStyle w:val="FAQAnswer"/>
      </w:pPr>
      <w:r>
        <w:t>MITRE resources help identify adversary tactics and techniques. GAISSF uses threat knowledge to support control design and testing but adds normative control and evidence expectations.</w:t>
      </w:r>
    </w:p>
    <w:p>
      <w:pPr>
        <w:pStyle w:val="FAQQuestion"/>
      </w:pPr>
      <w:r>
        <w:t>94. How does GAISSF relate to CIS Controls?</w:t>
      </w:r>
    </w:p>
    <w:p>
      <w:pPr>
        <w:pStyle w:val="FAQAnswer"/>
      </w:pPr>
      <w:r>
        <w:t>CIS Controls provide a prioritized cybersecurity baseline. They can support many shared security mechanisms but do not cover the full AI-specific GAISSF scope.</w:t>
      </w:r>
    </w:p>
    <w:p>
      <w:pPr>
        <w:pStyle w:val="FAQQuestion"/>
      </w:pPr>
      <w:r>
        <w:t>95. Can an organization migrate from these frameworks?</w:t>
      </w:r>
    </w:p>
    <w:p>
      <w:pPr>
        <w:pStyle w:val="FAQAnswer"/>
      </w:pPr>
      <w:r>
        <w:t>Yes. GAISSF-IMP-012 provides a structured migration method based on inventory, normalization, semantic mapping, evidence reuse, gap assessment, transition waves and legacy-control retirement.</w:t>
      </w:r>
    </w:p>
    <w:p>
      <w:pPr>
        <w:pStyle w:val="FAQQuestion"/>
      </w:pPr>
      <w:r>
        <w:t>96. Does a crosswalk prove conformance?</w:t>
      </w:r>
    </w:p>
    <w:p>
      <w:pPr>
        <w:pStyle w:val="FAQAnswer"/>
      </w:pPr>
      <w:r>
        <w:t>No. A crosswalk shows a relationship between requirements. Conformance still requires implementation and evidence in the assessed scope.</w:t>
      </w:r>
    </w:p>
    <w:p>
      <w:pPr>
        <w:pStyle w:val="Heading1"/>
      </w:pPr>
      <w:r>
        <w:t>11. Operations and Continuous Improvement</w:t>
      </w:r>
    </w:p>
    <w:p>
      <w:pPr>
        <w:pStyle w:val="FAQQuestion"/>
      </w:pPr>
      <w:r>
        <w:t>97. What happens after deployment?</w:t>
      </w:r>
    </w:p>
    <w:p>
      <w:pPr>
        <w:pStyle w:val="FAQAnswer"/>
      </w:pPr>
      <w:r>
        <w:t>The organization should operate control-health monitoring, model and data monitoring, incident response, supplier oversight, evidence refresh, exception review, management review and recurring assurance.</w:t>
      </w:r>
    </w:p>
    <w:p>
      <w:pPr>
        <w:pStyle w:val="FAQQuestion"/>
      </w:pPr>
      <w:r>
        <w:t>98. What is control health?</w:t>
      </w:r>
    </w:p>
    <w:p>
      <w:pPr>
        <w:pStyle w:val="FAQAnswer"/>
      </w:pPr>
      <w:r>
        <w:t>Control health is the current operating state of a control, commonly expressed as green, amber, red or unknown based on defined signals and thresholds.</w:t>
      </w:r>
    </w:p>
    <w:p>
      <w:pPr>
        <w:pStyle w:val="FAQQuestion"/>
      </w:pPr>
      <w:r>
        <w:t>99. How should model drift be handled?</w:t>
      </w:r>
    </w:p>
    <w:p>
      <w:pPr>
        <w:pStyle w:val="FAQAnswer"/>
      </w:pPr>
      <w:r>
        <w:t>Drift should be monitored against approved baselines. Threshold breaches should trigger investigation, re-evaluation, restriction, rollback or risk acceptance as appropriate.</w:t>
      </w:r>
    </w:p>
    <w:p>
      <w:pPr>
        <w:pStyle w:val="FAQQuestion"/>
      </w:pPr>
      <w:r>
        <w:t>100. What should happen if monitoring fails?</w:t>
      </w:r>
    </w:p>
    <w:p>
      <w:pPr>
        <w:pStyle w:val="FAQAnswer"/>
      </w:pPr>
      <w:r>
        <w:t>Loss of monitoring should be treated as a control issue. For high-risk systems, the organization may need to restrict capability, pause expansion, fail closed or revert to an observable state.</w:t>
      </w:r>
    </w:p>
    <w:p>
      <w:pPr>
        <w:pStyle w:val="FAQQuestion"/>
      </w:pPr>
      <w:r>
        <w:t>101. How should exceptions be managed?</w:t>
      </w:r>
    </w:p>
    <w:p>
      <w:pPr>
        <w:pStyle w:val="FAQAnswer"/>
      </w:pPr>
      <w:r>
        <w:t>Exceptions should identify the control, scope, reason, risk, compensating measures, owner, approver, expiry, monitoring and remediation plan.</w:t>
      </w:r>
    </w:p>
    <w:p>
      <w:pPr>
        <w:pStyle w:val="FAQQuestion"/>
      </w:pPr>
      <w:r>
        <w:t>102. What is continuous improvement in GAISSF?</w:t>
      </w:r>
    </w:p>
    <w:p>
      <w:pPr>
        <w:pStyle w:val="FAQAnswer"/>
      </w:pPr>
      <w:r>
        <w:t>It is the systematic use of incidents, test failures, metrics, audit findings, user feedback, supplier issues and threat intelligence to improve control design and operation.</w:t>
      </w:r>
    </w:p>
    <w:p>
      <w:pPr>
        <w:pStyle w:val="FAQQuestion"/>
      </w:pPr>
      <w:r>
        <w:t>103. How often should management review occur?</w:t>
      </w:r>
    </w:p>
    <w:p>
      <w:pPr>
        <w:pStyle w:val="FAQAnswer"/>
      </w:pPr>
      <w:r>
        <w:t>The frequency should reflect risk and profile. Quarterly and annual reviews are common, with event-driven review after material incidents, changes or framework releases.</w:t>
      </w:r>
    </w:p>
    <w:p>
      <w:pPr>
        <w:pStyle w:val="FAQQuestion"/>
      </w:pPr>
      <w:r>
        <w:t>104. How should systems be retired?</w:t>
      </w:r>
    </w:p>
    <w:p>
      <w:pPr>
        <w:pStyle w:val="FAQAnswer"/>
      </w:pPr>
      <w:r>
        <w:t>Retirement should remove access and integrations, manage data, terminate suppliers, archive required evidence, update inventories and claims, and assign residual obligations.</w:t>
      </w:r>
    </w:p>
    <w:p>
      <w:pPr>
        <w:pStyle w:val="Heading1"/>
      </w:pPr>
      <w:r>
        <w:t>12. Licensing, Copyright and Use</w:t>
      </w:r>
    </w:p>
    <w:p>
      <w:pPr>
        <w:pStyle w:val="FAQQuestion"/>
      </w:pPr>
      <w:r>
        <w:t>105. Can organizations use GAISSF internally?</w:t>
      </w:r>
    </w:p>
    <w:p>
      <w:pPr>
        <w:pStyle w:val="FAQAnswer"/>
      </w:pPr>
      <w:r>
        <w:t>Internal use depends on the applicable GAISSF licence and published terms. Organizations should review the current licence rather than assume unrestricted reuse.</w:t>
      </w:r>
    </w:p>
    <w:p>
      <w:pPr>
        <w:pStyle w:val="FAQQuestion"/>
      </w:pPr>
      <w:r>
        <w:t>106. Can consultants use GAISSF with clients?</w:t>
      </w:r>
    </w:p>
    <w:p>
      <w:pPr>
        <w:pStyle w:val="FAQAnswer"/>
      </w:pPr>
      <w:r>
        <w:t>Commercial use, advisory use, certification services, training, embedding and redistribution may be subject to separate permissions or licences. The current licence terms should be consulted.</w:t>
      </w:r>
    </w:p>
    <w:p>
      <w:pPr>
        <w:pStyle w:val="FAQQuestion"/>
      </w:pPr>
      <w:r>
        <w:t>107. Can the control catalogue be copied into another framework?</w:t>
      </w:r>
    </w:p>
    <w:p>
      <w:pPr>
        <w:pStyle w:val="FAQAnswer"/>
      </w:pPr>
      <w:r>
        <w:t>Copyright, licence and trademark rules apply. Factual references and controlled mappings differ from reproducing, adapting or commercializing the framework.</w:t>
      </w:r>
    </w:p>
    <w:p>
      <w:pPr>
        <w:pStyle w:val="FAQQuestion"/>
      </w:pPr>
      <w:r>
        <w:t>108. Can GAISSF be used in software?</w:t>
      </w:r>
    </w:p>
    <w:p>
      <w:pPr>
        <w:pStyle w:val="FAQAnswer"/>
      </w:pPr>
      <w:r>
        <w:t>Embedding control content, schemas, validation logic, APIs or branded claims may require authorization under the applicable licensing model.</w:t>
      </w:r>
    </w:p>
    <w:p>
      <w:pPr>
        <w:pStyle w:val="FAQQuestion"/>
      </w:pPr>
      <w:r>
        <w:t>109. Can external standards bodies reference GAISSF?</w:t>
      </w:r>
    </w:p>
    <w:p>
      <w:pPr>
        <w:pStyle w:val="FAQAnswer"/>
      </w:pPr>
      <w:r>
        <w:t>They may reference it subject to copyright, citation and trademark rules. Adoption, incorporation or derivative use should be governed through formal permission and attribution arrangements.</w:t>
      </w:r>
    </w:p>
    <w:p>
      <w:pPr>
        <w:pStyle w:val="FAQQuestion"/>
      </w:pPr>
      <w:r>
        <w:t>110. Does citation imply endorsement?</w:t>
      </w:r>
    </w:p>
    <w:p>
      <w:pPr>
        <w:pStyle w:val="FAQAnswer"/>
      </w:pPr>
      <w:r>
        <w:t>No. Citation of GAISSF by another organization, or citation of an external standard by GAISSF, does not by itself imply endorsement, affiliation or formal recognition.</w:t>
      </w:r>
    </w:p>
    <w:p>
      <w:pPr>
        <w:pStyle w:val="Heading1"/>
      </w:pPr>
      <w:r>
        <w:t>13. Procurement, Suppliers and Customers</w:t>
      </w:r>
    </w:p>
    <w:p>
      <w:pPr>
        <w:pStyle w:val="FAQQuestion"/>
      </w:pPr>
      <w:r>
        <w:t>111. Can GAISSF be used in procurement?</w:t>
      </w:r>
    </w:p>
    <w:p>
      <w:pPr>
        <w:pStyle w:val="FAQAnswer"/>
      </w:pPr>
      <w:r>
        <w:t>Yes. Buyers may use GAISSF controls and profiles to define supplier requirements, due diligence, evidence expectations, contract clauses and ongoing monitoring.</w:t>
      </w:r>
    </w:p>
    <w:p>
      <w:pPr>
        <w:pStyle w:val="FAQQuestion"/>
      </w:pPr>
      <w:r>
        <w:t>112. Should every supplier be required to certify?</w:t>
      </w:r>
    </w:p>
    <w:p>
      <w:pPr>
        <w:pStyle w:val="FAQAnswer"/>
      </w:pPr>
      <w:r>
        <w:t>Not necessarily. Requirements should be proportionate to dependency and risk. Some suppliers may provide evidence, contractual commitments or independent assurance without full certification.</w:t>
      </w:r>
    </w:p>
    <w:p>
      <w:pPr>
        <w:pStyle w:val="FAQQuestion"/>
      </w:pPr>
      <w:r>
        <w:t>113. What should customers ask for?</w:t>
      </w:r>
    </w:p>
    <w:p>
      <w:pPr>
        <w:pStyle w:val="FAQAnswer"/>
      </w:pPr>
      <w:r>
        <w:t>Customers should ask for exact scope, version, profile, applicable controls, certificate status, evidence period, known limitations, supplier dependencies and incident-notification commitments.</w:t>
      </w:r>
    </w:p>
    <w:p>
      <w:pPr>
        <w:pStyle w:val="FAQQuestion"/>
      </w:pPr>
      <w:r>
        <w:t>114. What should suppliers avoid claiming?</w:t>
      </w:r>
    </w:p>
    <w:p>
      <w:pPr>
        <w:pStyle w:val="FAQAnswer"/>
      </w:pPr>
      <w:r>
        <w:t>Suppliers should avoid vague claims such as 'GAISSF certified' without identifying scope, version, profile, issuing body and status.</w:t>
      </w:r>
    </w:p>
    <w:p>
      <w:pPr>
        <w:pStyle w:val="FAQQuestion"/>
      </w:pPr>
      <w:r>
        <w:t>115. How should inherited controls be documented?</w:t>
      </w:r>
    </w:p>
    <w:p>
      <w:pPr>
        <w:pStyle w:val="FAQAnswer"/>
      </w:pPr>
      <w:r>
        <w:t>Identify the provider, control outcome, evidence, contractual basis, limitations, monitoring, fallback and the responsibility retained by the customer.</w:t>
      </w:r>
    </w:p>
    <w:p>
      <w:pPr>
        <w:pStyle w:val="FAQQuestion"/>
      </w:pPr>
      <w:r>
        <w:t>116. Can supplier certifications be accepted as sufficient?</w:t>
      </w:r>
    </w:p>
    <w:p>
      <w:pPr>
        <w:pStyle w:val="FAQAnswer"/>
      </w:pPr>
      <w:r>
        <w:t>They may reduce effort, but should not automatically replace system-specific evidence, especially where integration, data use, configuration or customer operation changes the risk.</w:t>
      </w:r>
    </w:p>
    <w:p>
      <w:pPr>
        <w:pStyle w:val="Heading1"/>
      </w:pPr>
      <w:r>
        <w:t>14. Common Misunderstandings</w:t>
      </w:r>
    </w:p>
    <w:p>
      <w:pPr>
        <w:pStyle w:val="FAQQuestion"/>
      </w:pPr>
      <w:r>
        <w:t>117. Is GAISSF just a checklist?</w:t>
      </w:r>
    </w:p>
    <w:p>
      <w:pPr>
        <w:pStyle w:val="FAQAnswer"/>
      </w:pPr>
      <w:r>
        <w:t>No. The controls require governance, architecture, operation, evidence, testing, assurance and improvement. A completed checklist without evidence is not conformance.</w:t>
      </w:r>
    </w:p>
    <w:p>
      <w:pPr>
        <w:pStyle w:val="FAQQuestion"/>
      </w:pPr>
      <w:r>
        <w:t>118. Does a higher maturity level excuse missing controls?</w:t>
      </w:r>
    </w:p>
    <w:p>
      <w:pPr>
        <w:pStyle w:val="FAQAnswer"/>
      </w:pPr>
      <w:r>
        <w:t>No. Maturity and conformance are different. Advanced monitoring cannot compensate for an unmet mandatory control unless an approved exception process permits a temporary deviation.</w:t>
      </w:r>
    </w:p>
    <w:p>
      <w:pPr>
        <w:pStyle w:val="FAQQuestion"/>
      </w:pPr>
      <w:r>
        <w:t>119. Is the Foundational profile only for low-risk AI?</w:t>
      </w:r>
    </w:p>
    <w:p>
      <w:pPr>
        <w:pStyle w:val="FAQAnswer"/>
      </w:pPr>
      <w:r>
        <w:t>Not necessarily. It is an adoption profile, not a declaration that the system is low risk. High-risk systems may require all controls and additional sector obligations.</w:t>
      </w:r>
    </w:p>
    <w:p>
      <w:pPr>
        <w:pStyle w:val="FAQQuestion"/>
      </w:pPr>
      <w:r>
        <w:t>120. Does passing a red-team exercise prove security?</w:t>
      </w:r>
    </w:p>
    <w:p>
      <w:pPr>
        <w:pStyle w:val="FAQAnswer"/>
      </w:pPr>
      <w:r>
        <w:t>No. Red teaming samples known scenarios and methods. It cannot prove the absence of unknown or low-frequency attacks.</w:t>
      </w:r>
    </w:p>
    <w:p>
      <w:pPr>
        <w:pStyle w:val="FAQQuestion"/>
      </w:pPr>
      <w:r>
        <w:t>121. Does transparency require revealing trade secrets?</w:t>
      </w:r>
    </w:p>
    <w:p>
      <w:pPr>
        <w:pStyle w:val="FAQAnswer"/>
      </w:pPr>
      <w:r>
        <w:t>Not automatically. Transparency should be meaningful and proportionate while respecting security, privacy, intellectual property and legal constraints.</w:t>
      </w:r>
    </w:p>
    <w:p>
      <w:pPr>
        <w:pStyle w:val="FAQQuestion"/>
      </w:pPr>
      <w:r>
        <w:t>122. Does human oversight always make an AI system safe?</w:t>
      </w:r>
    </w:p>
    <w:p>
      <w:pPr>
        <w:pStyle w:val="FAQAnswer"/>
      </w:pPr>
      <w:r>
        <w:t>No. Oversight can fail because of poor interface design, automation bias, insufficient authority, time pressure, lack of competence or unavailable evidence.</w:t>
      </w:r>
    </w:p>
    <w:p>
      <w:pPr>
        <w:pStyle w:val="FAQQuestion"/>
      </w:pPr>
      <w:r>
        <w:t>123. Can an organization outsource GAISSF accountability?</w:t>
      </w:r>
    </w:p>
    <w:p>
      <w:pPr>
        <w:pStyle w:val="FAQAnswer"/>
      </w:pPr>
      <w:r>
        <w:t>Activities may be outsourced, but accountability for the organization’s system, users, obligations and risk generally remains with the organization.</w:t>
      </w:r>
    </w:p>
    <w:p>
      <w:pPr>
        <w:pStyle w:val="FAQQuestion"/>
      </w:pPr>
      <w:r>
        <w:t>124. Does zero incidents mean controls are effective?</w:t>
      </w:r>
    </w:p>
    <w:p>
      <w:pPr>
        <w:pStyle w:val="FAQAnswer"/>
      </w:pPr>
      <w:r>
        <w:t>Not necessarily. Incidents may be rare, under-detected or under-reported. Effectiveness should be evaluated using multiple evidence sources.</w:t>
      </w:r>
    </w:p>
    <w:p>
      <w:pPr>
        <w:pStyle w:val="FAQQuestion"/>
      </w:pPr>
      <w:r>
        <w:t>125. Is continuous monitoring required for every profile?</w:t>
      </w:r>
    </w:p>
    <w:p>
      <w:pPr>
        <w:pStyle w:val="FAQAnswer"/>
      </w:pPr>
      <w:r>
        <w:t>Monitoring is required according to applicable controls and risk. The Optimized profile adds more advanced and integrated continuous-monitoring expectations.</w:t>
      </w:r>
    </w:p>
    <w:p>
      <w:pPr>
        <w:pStyle w:val="FAQQuestion"/>
      </w:pPr>
      <w:r>
        <w:t>126. Can GAISSF eliminate AI risk?</w:t>
      </w:r>
    </w:p>
    <w:p>
      <w:pPr>
        <w:pStyle w:val="FAQAnswer"/>
      </w:pPr>
      <w:r>
        <w:t>No. It provides a structured way to reduce, detect, govern and evidence risk. Residual uncertainty and risk remain.</w:t>
      </w:r>
    </w:p>
    <w:p>
      <w:pPr>
        <w:pStyle w:val="Heading1"/>
      </w:pPr>
      <w:r>
        <w:t>15. Escalation and Further Interpretation</w:t>
      </w:r>
    </w:p>
    <w:p>
      <w:pPr>
        <w:pStyle w:val="FAQQuestion"/>
      </w:pPr>
      <w:r>
        <w:t>127. Where should a technical implementation question be resolved?</w:t>
      </w:r>
    </w:p>
    <w:p>
      <w:pPr>
        <w:pStyle w:val="FAQAnswer"/>
      </w:pPr>
      <w:r>
        <w:t>Start with GAISSF-NOR-004, then consult GAISSF-IMP-010, IMP-011, IMP-013 and IMP-014. Document architecture decisions and unresolved assumptions.</w:t>
      </w:r>
    </w:p>
    <w:p>
      <w:pPr>
        <w:pStyle w:val="FAQQuestion"/>
      </w:pPr>
      <w:r>
        <w:t>128. Where should a profile or scope question be resolved?</w:t>
      </w:r>
    </w:p>
    <w:p>
      <w:pPr>
        <w:pStyle w:val="FAQAnswer"/>
      </w:pPr>
      <w:r>
        <w:t>Use GAISSF-NOR-001, the controlled profile register and the Statement of Applicability. Escalate material ambiguity through framework governance.</w:t>
      </w:r>
    </w:p>
    <w:p>
      <w:pPr>
        <w:pStyle w:val="FAQQuestion"/>
      </w:pPr>
      <w:r>
        <w:t>129. Where should a certification claim question be resolved?</w:t>
      </w:r>
    </w:p>
    <w:p>
      <w:pPr>
        <w:pStyle w:val="FAQAnswer"/>
      </w:pPr>
      <w:r>
        <w:t>Use the applicable certification scheme, trademark policy, certificate scope and claims rules. Do not rely on general FAQ wording for an individual certificate decision.</w:t>
      </w:r>
    </w:p>
    <w:p>
      <w:pPr>
        <w:pStyle w:val="FAQQuestion"/>
      </w:pPr>
      <w:r>
        <w:t>130. How should an error in GAISSF documentation be reported?</w:t>
      </w:r>
    </w:p>
    <w:p>
      <w:pPr>
        <w:pStyle w:val="FAQAnswer"/>
      </w:pPr>
      <w:r>
        <w:t>Record the affected document, clause or control, the suspected defect, evidence, impact and proposed correction. Submit it through the controlled change or issue process.</w:t>
      </w:r>
    </w:p>
    <w:p>
      <w:pPr>
        <w:pStyle w:val="FAQQuestion"/>
      </w:pPr>
      <w:r>
        <w:t>131. How are new FAQ questions added?</w:t>
      </w:r>
    </w:p>
    <w:p>
      <w:pPr>
        <w:pStyle w:val="FAQAnswer"/>
      </w:pPr>
      <w:r>
        <w:t>Questions should be evaluated for recurrence, materiality and whether they reveal a normative ambiguity. Informative clarification may be added to the FAQ; requirement changes must follow formal change governance.</w:t>
      </w:r>
    </w:p>
    <w:p>
      <w:pPr>
        <w:pStyle w:val="FAQQuestion"/>
      </w:pPr>
      <w:r>
        <w:t>132. What should users do when the FAQ is silent?</w:t>
      </w:r>
    </w:p>
    <w:p>
      <w:pPr>
        <w:pStyle w:val="FAQAnswer"/>
      </w:pPr>
      <w:r>
        <w:t>Return to the normative requirements, document the interpretation used, identify assumptions, obtain appropriate legal or specialist advice where needed, and preserve the decision for review.</w:t>
      </w:r>
    </w:p>
    <w:p>
      <w:pPr>
        <w:pStyle w:val="Heading1"/>
      </w:pPr>
      <w:r>
        <w:t>Annex A — Quick Reference by Audience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448"/>
            <w:vAlign w:val="center"/>
            <w:shd w:fill="17324D"/>
          </w:tcPr>
          <w:p>
            <w:pPr>
              <w:spacing w:after="0"/>
            </w:pPr>
            <w:r/>
            <w:r>
              <w:rPr>
                <w:rFonts w:ascii="Aptos" w:hAnsi="Aptos"/>
                <w:b/>
                <w:color w:val="FFFFFF"/>
                <w:sz w:val="15"/>
              </w:rPr>
              <w:t>Audience</w:t>
            </w:r>
          </w:p>
        </w:tc>
        <w:tc>
          <w:tcPr>
            <w:tcW w:type="dxa" w:w="3600"/>
            <w:vAlign w:val="center"/>
            <w:shd w:fill="17324D"/>
          </w:tcPr>
          <w:p>
            <w:pPr>
              <w:spacing w:after="0"/>
            </w:pPr>
            <w:r/>
            <w:r>
              <w:rPr>
                <w:rFonts w:ascii="Aptos" w:hAnsi="Aptos"/>
                <w:b/>
                <w:color w:val="FFFFFF"/>
                <w:sz w:val="15"/>
              </w:rPr>
              <w:t>Start with</w:t>
            </w:r>
          </w:p>
        </w:tc>
        <w:tc>
          <w:tcPr>
            <w:tcW w:type="dxa" w:w="3600"/>
            <w:vAlign w:val="center"/>
            <w:shd w:fill="17324D"/>
          </w:tcPr>
          <w:p>
            <w:pPr>
              <w:spacing w:after="0"/>
            </w:pPr>
            <w:r/>
            <w:r>
              <w:rPr>
                <w:rFonts w:ascii="Aptos" w:hAnsi="Aptos"/>
                <w:b/>
                <w:color w:val="FFFFFF"/>
                <w:sz w:val="15"/>
              </w:rPr>
              <w:t>Then consult</w:t>
            </w:r>
          </w:p>
        </w:tc>
      </w:tr>
      <w:tr>
        <w:trPr>
          <w:cantSplit/>
        </w:trPr>
        <w:tc>
          <w:tcPr>
            <w:tcW w:type="dxa" w:w="2448"/>
            <w:vAlign w:val="center"/>
          </w:tcPr>
          <w:p>
            <w:pPr>
              <w:spacing w:after="0"/>
            </w:pPr>
            <w:r/>
            <w:r>
              <w:rPr>
                <w:rFonts w:ascii="Aptos" w:hAnsi="Aptos"/>
                <w:b w:val="0"/>
                <w:sz w:val="15"/>
              </w:rPr>
              <w:t>Board/executive</w:t>
            </w:r>
          </w:p>
        </w:tc>
        <w:tc>
          <w:tcPr>
            <w:tcW w:type="dxa" w:w="3600"/>
            <w:vAlign w:val="center"/>
          </w:tcPr>
          <w:p>
            <w:pPr>
              <w:spacing w:after="0"/>
            </w:pPr>
            <w:r/>
            <w:r>
              <w:rPr>
                <w:rFonts w:ascii="Aptos" w:hAnsi="Aptos"/>
                <w:b w:val="0"/>
                <w:sz w:val="15"/>
              </w:rPr>
              <w:t>NOR-002 Executive Summary</w:t>
            </w:r>
          </w:p>
        </w:tc>
        <w:tc>
          <w:tcPr>
            <w:tcW w:type="dxa" w:w="3600"/>
            <w:vAlign w:val="center"/>
          </w:tcPr>
          <w:p>
            <w:pPr>
              <w:spacing w:after="0"/>
            </w:pPr>
            <w:r/>
            <w:r>
              <w:rPr>
                <w:rFonts w:ascii="Aptos" w:hAnsi="Aptos"/>
                <w:b w:val="0"/>
                <w:sz w:val="15"/>
              </w:rPr>
              <w:t>IMP-009 Adoption Guide and IMP-014 Operational Handbook</w:t>
            </w:r>
          </w:p>
        </w:tc>
      </w:tr>
      <w:tr>
        <w:trPr>
          <w:cantSplit/>
        </w:trPr>
        <w:tc>
          <w:tcPr>
            <w:tcW w:type="dxa" w:w="2448"/>
            <w:vAlign w:val="center"/>
            <w:shd w:fill="F3F6F7"/>
          </w:tcPr>
          <w:p>
            <w:pPr>
              <w:spacing w:after="0"/>
            </w:pPr>
            <w:r/>
            <w:r>
              <w:rPr>
                <w:rFonts w:ascii="Aptos" w:hAnsi="Aptos"/>
                <w:b w:val="0"/>
                <w:sz w:val="15"/>
              </w:rPr>
              <w:t>Program lead</w:t>
            </w:r>
          </w:p>
        </w:tc>
        <w:tc>
          <w:tcPr>
            <w:tcW w:type="dxa" w:w="3600"/>
            <w:vAlign w:val="center"/>
            <w:shd w:fill="F3F6F7"/>
          </w:tcPr>
          <w:p>
            <w:pPr>
              <w:spacing w:after="0"/>
            </w:pPr>
            <w:r/>
            <w:r>
              <w:rPr>
                <w:rFonts w:ascii="Aptos" w:hAnsi="Aptos"/>
                <w:b w:val="0"/>
                <w:sz w:val="15"/>
              </w:rPr>
              <w:t>IMP-009 Adoption Guide</w:t>
            </w:r>
          </w:p>
        </w:tc>
        <w:tc>
          <w:tcPr>
            <w:tcW w:type="dxa" w:w="3600"/>
            <w:vAlign w:val="center"/>
            <w:shd w:fill="F3F6F7"/>
          </w:tcPr>
          <w:p>
            <w:pPr>
              <w:spacing w:after="0"/>
            </w:pPr>
            <w:r/>
            <w:r>
              <w:rPr>
                <w:rFonts w:ascii="Aptos" w:hAnsi="Aptos"/>
                <w:b w:val="0"/>
                <w:sz w:val="15"/>
              </w:rPr>
              <w:t>IMP-010, IMP-011 and IMP-014</w:t>
            </w:r>
          </w:p>
        </w:tc>
      </w:tr>
      <w:tr>
        <w:trPr>
          <w:cantSplit/>
        </w:trPr>
        <w:tc>
          <w:tcPr>
            <w:tcW w:type="dxa" w:w="2448"/>
            <w:vAlign w:val="center"/>
          </w:tcPr>
          <w:p>
            <w:pPr>
              <w:spacing w:after="0"/>
            </w:pPr>
            <w:r/>
            <w:r>
              <w:rPr>
                <w:rFonts w:ascii="Aptos" w:hAnsi="Aptos"/>
                <w:b w:val="0"/>
                <w:sz w:val="15"/>
              </w:rPr>
              <w:t>Architect</w:t>
            </w:r>
          </w:p>
        </w:tc>
        <w:tc>
          <w:tcPr>
            <w:tcW w:type="dxa" w:w="3600"/>
            <w:vAlign w:val="center"/>
          </w:tcPr>
          <w:p>
            <w:pPr>
              <w:spacing w:after="0"/>
            </w:pPr>
            <w:r/>
            <w:r>
              <w:rPr>
                <w:rFonts w:ascii="Aptos" w:hAnsi="Aptos"/>
                <w:b w:val="0"/>
                <w:sz w:val="15"/>
              </w:rPr>
              <w:t>IMP-013 Reference Architecture</w:t>
            </w:r>
          </w:p>
        </w:tc>
        <w:tc>
          <w:tcPr>
            <w:tcW w:type="dxa" w:w="3600"/>
            <w:vAlign w:val="center"/>
          </w:tcPr>
          <w:p>
            <w:pPr>
              <w:spacing w:after="0"/>
            </w:pPr>
            <w:r/>
            <w:r>
              <w:rPr>
                <w:rFonts w:ascii="Aptos" w:hAnsi="Aptos"/>
                <w:b w:val="0"/>
                <w:sz w:val="15"/>
              </w:rPr>
              <w:t>NOR-004 and IMP-010</w:t>
            </w:r>
          </w:p>
        </w:tc>
      </w:tr>
      <w:tr>
        <w:trPr>
          <w:cantSplit/>
        </w:trPr>
        <w:tc>
          <w:tcPr>
            <w:tcW w:type="dxa" w:w="2448"/>
            <w:vAlign w:val="center"/>
            <w:shd w:fill="F3F6F7"/>
          </w:tcPr>
          <w:p>
            <w:pPr>
              <w:spacing w:after="0"/>
            </w:pPr>
            <w:r/>
            <w:r>
              <w:rPr>
                <w:rFonts w:ascii="Aptos" w:hAnsi="Aptos"/>
                <w:b w:val="0"/>
                <w:sz w:val="15"/>
              </w:rPr>
              <w:t>Engineer/MLOps</w:t>
            </w:r>
          </w:p>
        </w:tc>
        <w:tc>
          <w:tcPr>
            <w:tcW w:type="dxa" w:w="3600"/>
            <w:vAlign w:val="center"/>
            <w:shd w:fill="F3F6F7"/>
          </w:tcPr>
          <w:p>
            <w:pPr>
              <w:spacing w:after="0"/>
            </w:pPr>
            <w:r/>
            <w:r>
              <w:rPr>
                <w:rFonts w:ascii="Aptos" w:hAnsi="Aptos"/>
                <w:b w:val="0"/>
                <w:sz w:val="15"/>
              </w:rPr>
              <w:t>IMP-010 Implementation Handbook</w:t>
            </w:r>
          </w:p>
        </w:tc>
        <w:tc>
          <w:tcPr>
            <w:tcW w:type="dxa" w:w="3600"/>
            <w:vAlign w:val="center"/>
            <w:shd w:fill="F3F6F7"/>
          </w:tcPr>
          <w:p>
            <w:pPr>
              <w:spacing w:after="0"/>
            </w:pPr>
            <w:r/>
            <w:r>
              <w:rPr>
                <w:rFonts w:ascii="Aptos" w:hAnsi="Aptos"/>
                <w:b w:val="0"/>
                <w:sz w:val="15"/>
              </w:rPr>
              <w:t>IMP-011, IMP-013 and IMP-014</w:t>
            </w:r>
          </w:p>
        </w:tc>
      </w:tr>
      <w:tr>
        <w:trPr>
          <w:cantSplit/>
        </w:trPr>
        <w:tc>
          <w:tcPr>
            <w:tcW w:type="dxa" w:w="2448"/>
            <w:vAlign w:val="center"/>
          </w:tcPr>
          <w:p>
            <w:pPr>
              <w:spacing w:after="0"/>
            </w:pPr>
            <w:r/>
            <w:r>
              <w:rPr>
                <w:rFonts w:ascii="Aptos" w:hAnsi="Aptos"/>
                <w:b w:val="0"/>
                <w:sz w:val="15"/>
              </w:rPr>
              <w:t>Assessor/auditor</w:t>
            </w:r>
          </w:p>
        </w:tc>
        <w:tc>
          <w:tcPr>
            <w:tcW w:type="dxa" w:w="3600"/>
            <w:vAlign w:val="center"/>
          </w:tcPr>
          <w:p>
            <w:pPr>
              <w:spacing w:after="0"/>
            </w:pPr>
            <w:r/>
            <w:r>
              <w:rPr>
                <w:rFonts w:ascii="Aptos" w:hAnsi="Aptos"/>
                <w:b w:val="0"/>
                <w:sz w:val="15"/>
              </w:rPr>
              <w:t>NOR-001 and NOR-004</w:t>
            </w:r>
          </w:p>
        </w:tc>
        <w:tc>
          <w:tcPr>
            <w:tcW w:type="dxa" w:w="3600"/>
            <w:vAlign w:val="center"/>
          </w:tcPr>
          <w:p>
            <w:pPr>
              <w:spacing w:after="0"/>
            </w:pPr>
            <w:r/>
            <w:r>
              <w:rPr>
                <w:rFonts w:ascii="Aptos" w:hAnsi="Aptos"/>
                <w:b w:val="0"/>
                <w:sz w:val="15"/>
              </w:rPr>
              <w:t>NOR-005, NOR-006 and evidence records</w:t>
            </w:r>
          </w:p>
        </w:tc>
      </w:tr>
      <w:tr>
        <w:trPr>
          <w:cantSplit/>
        </w:trPr>
        <w:tc>
          <w:tcPr>
            <w:tcW w:type="dxa" w:w="2448"/>
            <w:vAlign w:val="center"/>
            <w:shd w:fill="F3F6F7"/>
          </w:tcPr>
          <w:p>
            <w:pPr>
              <w:spacing w:after="0"/>
            </w:pPr>
            <w:r/>
            <w:r>
              <w:rPr>
                <w:rFonts w:ascii="Aptos" w:hAnsi="Aptos"/>
                <w:b w:val="0"/>
                <w:sz w:val="15"/>
              </w:rPr>
              <w:t>Legal/compliance</w:t>
            </w:r>
          </w:p>
        </w:tc>
        <w:tc>
          <w:tcPr>
            <w:tcW w:type="dxa" w:w="3600"/>
            <w:vAlign w:val="center"/>
            <w:shd w:fill="F3F6F7"/>
          </w:tcPr>
          <w:p>
            <w:pPr>
              <w:spacing w:after="0"/>
            </w:pPr>
            <w:r/>
            <w:r>
              <w:rPr>
                <w:rFonts w:ascii="Aptos" w:hAnsi="Aptos"/>
                <w:b w:val="0"/>
                <w:sz w:val="15"/>
              </w:rPr>
              <w:t>NOR-001, NOR-005 and NOR-006</w:t>
            </w:r>
          </w:p>
        </w:tc>
        <w:tc>
          <w:tcPr>
            <w:tcW w:type="dxa" w:w="3600"/>
            <w:vAlign w:val="center"/>
            <w:shd w:fill="F3F6F7"/>
          </w:tcPr>
          <w:p>
            <w:pPr>
              <w:spacing w:after="0"/>
            </w:pPr>
            <w:r/>
            <w:r>
              <w:rPr>
                <w:rFonts w:ascii="Aptos" w:hAnsi="Aptos"/>
                <w:b w:val="0"/>
                <w:sz w:val="15"/>
              </w:rPr>
              <w:t>IMP-012 and applicable laws</w:t>
            </w:r>
          </w:p>
        </w:tc>
      </w:tr>
      <w:tr>
        <w:trPr>
          <w:cantSplit/>
        </w:trPr>
        <w:tc>
          <w:tcPr>
            <w:tcW w:type="dxa" w:w="2448"/>
            <w:vAlign w:val="center"/>
          </w:tcPr>
          <w:p>
            <w:pPr>
              <w:spacing w:after="0"/>
            </w:pPr>
            <w:r/>
            <w:r>
              <w:rPr>
                <w:rFonts w:ascii="Aptos" w:hAnsi="Aptos"/>
                <w:b w:val="0"/>
                <w:sz w:val="15"/>
              </w:rPr>
              <w:t>Procurement</w:t>
            </w:r>
          </w:p>
        </w:tc>
        <w:tc>
          <w:tcPr>
            <w:tcW w:type="dxa" w:w="3600"/>
            <w:vAlign w:val="center"/>
          </w:tcPr>
          <w:p>
            <w:pPr>
              <w:spacing w:after="0"/>
            </w:pPr>
            <w:r/>
            <w:r>
              <w:rPr>
                <w:rFonts w:ascii="Aptos" w:hAnsi="Aptos"/>
                <w:b w:val="0"/>
                <w:sz w:val="15"/>
              </w:rPr>
              <w:t>NOR-004 and IMP-012</w:t>
            </w:r>
          </w:p>
        </w:tc>
        <w:tc>
          <w:tcPr>
            <w:tcW w:type="dxa" w:w="3600"/>
            <w:vAlign w:val="center"/>
          </w:tcPr>
          <w:p>
            <w:pPr>
              <w:spacing w:after="0"/>
            </w:pPr>
            <w:r/>
            <w:r>
              <w:rPr>
                <w:rFonts w:ascii="Aptos" w:hAnsi="Aptos"/>
                <w:b w:val="0"/>
                <w:sz w:val="15"/>
              </w:rPr>
              <w:t>Supplier evidence and contractual terms</w:t>
            </w:r>
          </w:p>
        </w:tc>
      </w:tr>
      <w:tr>
        <w:trPr>
          <w:cantSplit/>
        </w:trPr>
        <w:tc>
          <w:tcPr>
            <w:tcW w:type="dxa" w:w="2448"/>
            <w:vAlign w:val="center"/>
            <w:shd w:fill="F3F6F7"/>
          </w:tcPr>
          <w:p>
            <w:pPr>
              <w:spacing w:after="0"/>
            </w:pPr>
            <w:r/>
            <w:r>
              <w:rPr>
                <w:rFonts w:ascii="Aptos" w:hAnsi="Aptos"/>
                <w:b w:val="0"/>
                <w:sz w:val="15"/>
              </w:rPr>
              <w:t>Operations/SOC</w:t>
            </w:r>
          </w:p>
        </w:tc>
        <w:tc>
          <w:tcPr>
            <w:tcW w:type="dxa" w:w="3600"/>
            <w:vAlign w:val="center"/>
            <w:shd w:fill="F3F6F7"/>
          </w:tcPr>
          <w:p>
            <w:pPr>
              <w:spacing w:after="0"/>
            </w:pPr>
            <w:r/>
            <w:r>
              <w:rPr>
                <w:rFonts w:ascii="Aptos" w:hAnsi="Aptos"/>
                <w:b w:val="0"/>
                <w:sz w:val="15"/>
              </w:rPr>
              <w:t>IMP-014 Operational Handbook</w:t>
            </w:r>
          </w:p>
        </w:tc>
        <w:tc>
          <w:tcPr>
            <w:tcW w:type="dxa" w:w="3600"/>
            <w:vAlign w:val="center"/>
            <w:shd w:fill="F3F6F7"/>
          </w:tcPr>
          <w:p>
            <w:pPr>
              <w:spacing w:after="0"/>
            </w:pPr>
            <w:r/>
            <w:r>
              <w:rPr>
                <w:rFonts w:ascii="Aptos" w:hAnsi="Aptos"/>
                <w:b w:val="0"/>
                <w:sz w:val="15"/>
              </w:rPr>
              <w:t>IMP-011 and incident procedures</w:t>
            </w:r>
          </w:p>
        </w:tc>
      </w:tr>
      <w:tr>
        <w:trPr>
          <w:cantSplit/>
        </w:trPr>
        <w:tc>
          <w:tcPr>
            <w:tcW w:type="dxa" w:w="2448"/>
            <w:vAlign w:val="center"/>
          </w:tcPr>
          <w:p>
            <w:pPr>
              <w:spacing w:after="0"/>
            </w:pPr>
            <w:r/>
            <w:r>
              <w:rPr>
                <w:rFonts w:ascii="Aptos" w:hAnsi="Aptos"/>
                <w:b w:val="0"/>
                <w:sz w:val="15"/>
              </w:rPr>
              <w:t>Customer/public</w:t>
            </w:r>
          </w:p>
        </w:tc>
        <w:tc>
          <w:tcPr>
            <w:tcW w:type="dxa" w:w="3600"/>
            <w:vAlign w:val="center"/>
          </w:tcPr>
          <w:p>
            <w:pPr>
              <w:spacing w:after="0"/>
            </w:pPr>
            <w:r/>
            <w:r>
              <w:rPr>
                <w:rFonts w:ascii="Aptos" w:hAnsi="Aptos"/>
                <w:b w:val="0"/>
                <w:sz w:val="15"/>
              </w:rPr>
              <w:t>NOR-002 and IMP-015</w:t>
            </w:r>
          </w:p>
        </w:tc>
        <w:tc>
          <w:tcPr>
            <w:tcW w:type="dxa" w:w="3600"/>
            <w:vAlign w:val="center"/>
          </w:tcPr>
          <w:p>
            <w:pPr>
              <w:spacing w:after="0"/>
            </w:pPr>
            <w:r/>
            <w:r>
              <w:rPr>
                <w:rFonts w:ascii="Aptos" w:hAnsi="Aptos"/>
                <w:b w:val="0"/>
                <w:sz w:val="15"/>
              </w:rPr>
              <w:t>Certificate scope and public claims</w:t>
            </w:r>
          </w:p>
        </w:tc>
      </w:tr>
    </w:tbl>
    <w:p/>
    <w:p>
      <w:pPr>
        <w:pStyle w:val="Heading1"/>
      </w:pPr>
      <w:r>
        <w:t>Annex B — FAQ Maintenance Record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Field</w:t>
            </w:r>
          </w:p>
        </w:tc>
        <w:tc>
          <w:tcPr>
            <w:tcW w:type="dxa" w:w="7056"/>
            <w:vAlign w:val="center"/>
            <w:shd w:fill="17324D"/>
          </w:tcPr>
          <w:p>
            <w:pPr>
              <w:spacing w:after="0"/>
            </w:pPr>
            <w:r/>
            <w:r>
              <w:rPr>
                <w:rFonts w:ascii="Aptos" w:hAnsi="Aptos"/>
                <w:b/>
                <w:color w:val="FFFFFF"/>
                <w:sz w:val="15"/>
              </w:rPr>
              <w:t>Required content</w:t>
            </w:r>
          </w:p>
        </w:tc>
      </w:tr>
      <w:tr>
        <w:trPr>
          <w:cantSplit/>
        </w:trPr>
        <w:tc>
          <w:tcPr>
            <w:tcW w:type="dxa" w:w="2592"/>
            <w:vAlign w:val="center"/>
          </w:tcPr>
          <w:p>
            <w:pPr>
              <w:spacing w:after="0"/>
            </w:pPr>
            <w:r/>
            <w:r>
              <w:rPr>
                <w:rFonts w:ascii="Aptos" w:hAnsi="Aptos"/>
                <w:b w:val="0"/>
                <w:sz w:val="15"/>
              </w:rPr>
              <w:t>FAQ ID</w:t>
            </w:r>
          </w:p>
        </w:tc>
        <w:tc>
          <w:tcPr>
            <w:tcW w:type="dxa" w:w="7056"/>
            <w:vAlign w:val="center"/>
          </w:tcPr>
          <w:p>
            <w:pPr>
              <w:spacing w:after="0"/>
            </w:pPr>
            <w:r/>
            <w:r>
              <w:rPr>
                <w:rFonts w:ascii="Aptos" w:hAnsi="Aptos"/>
                <w:b w:val="0"/>
                <w:sz w:val="15"/>
              </w:rPr>
              <w:t>Unique question identifier</w:t>
            </w:r>
          </w:p>
        </w:tc>
      </w:tr>
      <w:tr>
        <w:trPr>
          <w:cantSplit/>
        </w:trPr>
        <w:tc>
          <w:tcPr>
            <w:tcW w:type="dxa" w:w="2592"/>
            <w:vAlign w:val="center"/>
            <w:shd w:fill="F3F6F7"/>
          </w:tcPr>
          <w:p>
            <w:pPr>
              <w:spacing w:after="0"/>
            </w:pPr>
            <w:r/>
            <w:r>
              <w:rPr>
                <w:rFonts w:ascii="Aptos" w:hAnsi="Aptos"/>
                <w:b w:val="0"/>
                <w:sz w:val="15"/>
              </w:rPr>
              <w:t>Question</w:t>
            </w:r>
          </w:p>
        </w:tc>
        <w:tc>
          <w:tcPr>
            <w:tcW w:type="dxa" w:w="7056"/>
            <w:vAlign w:val="center"/>
            <w:shd w:fill="F3F6F7"/>
          </w:tcPr>
          <w:p>
            <w:pPr>
              <w:spacing w:after="0"/>
            </w:pPr>
            <w:r/>
            <w:r>
              <w:rPr>
                <w:rFonts w:ascii="Aptos" w:hAnsi="Aptos"/>
                <w:b w:val="0"/>
                <w:sz w:val="15"/>
              </w:rPr>
              <w:t>Approved wording</w:t>
            </w:r>
          </w:p>
        </w:tc>
      </w:tr>
      <w:tr>
        <w:trPr>
          <w:cantSplit/>
        </w:trPr>
        <w:tc>
          <w:tcPr>
            <w:tcW w:type="dxa" w:w="2592"/>
            <w:vAlign w:val="center"/>
          </w:tcPr>
          <w:p>
            <w:pPr>
              <w:spacing w:after="0"/>
            </w:pPr>
            <w:r/>
            <w:r>
              <w:rPr>
                <w:rFonts w:ascii="Aptos" w:hAnsi="Aptos"/>
                <w:b w:val="0"/>
                <w:sz w:val="15"/>
              </w:rPr>
              <w:t>Answer</w:t>
            </w:r>
          </w:p>
        </w:tc>
        <w:tc>
          <w:tcPr>
            <w:tcW w:type="dxa" w:w="7056"/>
            <w:vAlign w:val="center"/>
          </w:tcPr>
          <w:p>
            <w:pPr>
              <w:spacing w:after="0"/>
            </w:pPr>
            <w:r/>
            <w:r>
              <w:rPr>
                <w:rFonts w:ascii="Aptos" w:hAnsi="Aptos"/>
                <w:b w:val="0"/>
                <w:sz w:val="15"/>
              </w:rPr>
              <w:t>Controlled response</w:t>
            </w:r>
          </w:p>
        </w:tc>
      </w:tr>
      <w:tr>
        <w:trPr>
          <w:cantSplit/>
        </w:trPr>
        <w:tc>
          <w:tcPr>
            <w:tcW w:type="dxa" w:w="2592"/>
            <w:vAlign w:val="center"/>
            <w:shd w:fill="F3F6F7"/>
          </w:tcPr>
          <w:p>
            <w:pPr>
              <w:spacing w:after="0"/>
            </w:pPr>
            <w:r/>
            <w:r>
              <w:rPr>
                <w:rFonts w:ascii="Aptos" w:hAnsi="Aptos"/>
                <w:b w:val="0"/>
                <w:sz w:val="15"/>
              </w:rPr>
              <w:t>Source documents</w:t>
            </w:r>
          </w:p>
        </w:tc>
        <w:tc>
          <w:tcPr>
            <w:tcW w:type="dxa" w:w="7056"/>
            <w:vAlign w:val="center"/>
            <w:shd w:fill="F3F6F7"/>
          </w:tcPr>
          <w:p>
            <w:pPr>
              <w:spacing w:after="0"/>
            </w:pPr>
            <w:r/>
            <w:r>
              <w:rPr>
                <w:rFonts w:ascii="Aptos" w:hAnsi="Aptos"/>
                <w:b w:val="0"/>
                <w:sz w:val="15"/>
              </w:rPr>
              <w:t>Normative and implementation references</w:t>
            </w:r>
          </w:p>
        </w:tc>
      </w:tr>
      <w:tr>
        <w:trPr>
          <w:cantSplit/>
        </w:trPr>
        <w:tc>
          <w:tcPr>
            <w:tcW w:type="dxa" w:w="2592"/>
            <w:vAlign w:val="center"/>
          </w:tcPr>
          <w:p>
            <w:pPr>
              <w:spacing w:after="0"/>
            </w:pPr>
            <w:r/>
            <w:r>
              <w:rPr>
                <w:rFonts w:ascii="Aptos" w:hAnsi="Aptos"/>
                <w:b w:val="0"/>
                <w:sz w:val="15"/>
              </w:rPr>
              <w:t>Owner</w:t>
            </w:r>
          </w:p>
        </w:tc>
        <w:tc>
          <w:tcPr>
            <w:tcW w:type="dxa" w:w="7056"/>
            <w:vAlign w:val="center"/>
          </w:tcPr>
          <w:p>
            <w:pPr>
              <w:spacing w:after="0"/>
            </w:pPr>
            <w:r/>
            <w:r>
              <w:rPr>
                <w:rFonts w:ascii="Aptos" w:hAnsi="Aptos"/>
                <w:b w:val="0"/>
                <w:sz w:val="15"/>
              </w:rPr>
              <w:t>Responsible subject-matter owner</w:t>
            </w:r>
          </w:p>
        </w:tc>
      </w:tr>
      <w:tr>
        <w:trPr>
          <w:cantSplit/>
        </w:trPr>
        <w:tc>
          <w:tcPr>
            <w:tcW w:type="dxa" w:w="2592"/>
            <w:vAlign w:val="center"/>
            <w:shd w:fill="F3F6F7"/>
          </w:tcPr>
          <w:p>
            <w:pPr>
              <w:spacing w:after="0"/>
            </w:pPr>
            <w:r/>
            <w:r>
              <w:rPr>
                <w:rFonts w:ascii="Aptos" w:hAnsi="Aptos"/>
                <w:b w:val="0"/>
                <w:sz w:val="15"/>
              </w:rPr>
              <w:t>Status</w:t>
            </w:r>
          </w:p>
        </w:tc>
        <w:tc>
          <w:tcPr>
            <w:tcW w:type="dxa" w:w="7056"/>
            <w:vAlign w:val="center"/>
            <w:shd w:fill="F3F6F7"/>
          </w:tcPr>
          <w:p>
            <w:pPr>
              <w:spacing w:after="0"/>
            </w:pPr>
            <w:r/>
            <w:r>
              <w:rPr>
                <w:rFonts w:ascii="Aptos" w:hAnsi="Aptos"/>
                <w:b w:val="0"/>
                <w:sz w:val="15"/>
              </w:rPr>
              <w:t>Draft, approved, superseded or withdrawn</w:t>
            </w:r>
          </w:p>
        </w:tc>
      </w:tr>
      <w:tr>
        <w:trPr>
          <w:cantSplit/>
        </w:trPr>
        <w:tc>
          <w:tcPr>
            <w:tcW w:type="dxa" w:w="2592"/>
            <w:vAlign w:val="center"/>
          </w:tcPr>
          <w:p>
            <w:pPr>
              <w:spacing w:after="0"/>
            </w:pPr>
            <w:r/>
            <w:r>
              <w:rPr>
                <w:rFonts w:ascii="Aptos" w:hAnsi="Aptos"/>
                <w:b w:val="0"/>
                <w:sz w:val="15"/>
              </w:rPr>
              <w:t>Review trigger</w:t>
            </w:r>
          </w:p>
        </w:tc>
        <w:tc>
          <w:tcPr>
            <w:tcW w:type="dxa" w:w="7056"/>
            <w:vAlign w:val="center"/>
          </w:tcPr>
          <w:p>
            <w:pPr>
              <w:spacing w:after="0"/>
            </w:pPr>
            <w:r/>
            <w:r>
              <w:rPr>
                <w:rFonts w:ascii="Aptos" w:hAnsi="Aptos"/>
                <w:b w:val="0"/>
                <w:sz w:val="15"/>
              </w:rPr>
              <w:t>Framework release, legal change, recurring ambiguity or incident</w:t>
            </w:r>
          </w:p>
        </w:tc>
      </w:tr>
      <w:tr>
        <w:trPr>
          <w:cantSplit/>
        </w:trPr>
        <w:tc>
          <w:tcPr>
            <w:tcW w:type="dxa" w:w="2592"/>
            <w:vAlign w:val="center"/>
            <w:shd w:fill="F3F6F7"/>
          </w:tcPr>
          <w:p>
            <w:pPr>
              <w:spacing w:after="0"/>
            </w:pPr>
            <w:r/>
            <w:r>
              <w:rPr>
                <w:rFonts w:ascii="Aptos" w:hAnsi="Aptos"/>
                <w:b w:val="0"/>
                <w:sz w:val="15"/>
              </w:rPr>
              <w:t>Last reviewed</w:t>
            </w:r>
          </w:p>
        </w:tc>
        <w:tc>
          <w:tcPr>
            <w:tcW w:type="dxa" w:w="7056"/>
            <w:vAlign w:val="center"/>
            <w:shd w:fill="F3F6F7"/>
          </w:tcPr>
          <w:p>
            <w:pPr>
              <w:spacing w:after="0"/>
            </w:pPr>
            <w:r/>
            <w:r>
              <w:rPr>
                <w:rFonts w:ascii="Aptos" w:hAnsi="Aptos"/>
                <w:b w:val="0"/>
                <w:sz w:val="15"/>
              </w:rPr>
              <w:t>Date and reviewer</w:t>
            </w:r>
          </w:p>
        </w:tc>
      </w:tr>
    </w:tbl>
    <w:p/>
    <w:p>
      <w:pPr>
        <w:pStyle w:val="Heading1"/>
      </w:pPr>
      <w:r>
        <w:t>Annex C — Notably Absent</w:t>
      </w:r>
    </w:p>
    <w:p>
      <w:pPr>
        <w:pStyle w:val="ListBullet"/>
      </w:pPr>
      <w:r>
        <w:t>No legal opinion or jurisdiction-specific compliance determination.</w:t>
      </w:r>
    </w:p>
    <w:p>
      <w:pPr>
        <w:pStyle w:val="ListBullet"/>
      </w:pPr>
      <w:r>
        <w:t>No guarantee of certification, security, safety, reliability or market acceptance.</w:t>
      </w:r>
    </w:p>
    <w:p>
      <w:pPr>
        <w:pStyle w:val="ListBullet"/>
      </w:pPr>
      <w:r>
        <w:t>No formal equivalence with ISO, NIST, OWASP, MITRE, CIS or any regulation.</w:t>
      </w:r>
    </w:p>
    <w:p>
      <w:pPr>
        <w:pStyle w:val="ListBullet"/>
      </w:pPr>
      <w:r>
        <w:t>No permission to use GAISSF marks beyond applicable trademark and certification rules.</w:t>
      </w:r>
    </w:p>
    <w:p>
      <w:pPr>
        <w:pStyle w:val="ListBullet"/>
      </w:pPr>
      <w:r>
        <w:t>No universal control implementation, threshold, evidence period or rollout duration.</w:t>
      </w:r>
    </w:p>
    <w:p>
      <w:pPr>
        <w:pStyle w:val="ListBullet"/>
      </w:pPr>
      <w:r>
        <w:t>No replacement for sector-specific safety, quality, privacy, cybersecurity or product approval requirements.</w:t>
      </w:r>
    </w:p>
    <w:p>
      <w:pPr>
        <w:pStyle w:val="Heading1"/>
      </w:pPr>
      <w:r>
        <w:t>Annex D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320"/>
            <w:vAlign w:val="center"/>
            <w:shd w:fill="17324D"/>
          </w:tcPr>
          <w:p>
            <w:pPr>
              <w:spacing w:after="0"/>
            </w:pPr>
            <w:r/>
            <w:r>
              <w:rPr>
                <w:rFonts w:ascii="Aptos" w:hAnsi="Aptos"/>
                <w:b/>
                <w:color w:val="FFFFFF"/>
                <w:sz w:val="15"/>
              </w:rPr>
              <w:t>FAQ subject</w:t>
            </w:r>
          </w:p>
        </w:tc>
        <w:tc>
          <w:tcPr>
            <w:tcW w:type="dxa" w:w="5040"/>
            <w:vAlign w:val="center"/>
            <w:shd w:fill="17324D"/>
          </w:tcPr>
          <w:p>
            <w:pPr>
              <w:spacing w:after="0"/>
            </w:pPr>
            <w:r/>
            <w:r>
              <w:rPr>
                <w:rFonts w:ascii="Aptos" w:hAnsi="Aptos"/>
                <w:b/>
                <w:color w:val="FFFFFF"/>
                <w:sz w:val="15"/>
              </w:rPr>
              <w:t>Controlled source</w:t>
            </w:r>
          </w:p>
        </w:tc>
      </w:tr>
      <w:tr>
        <w:trPr>
          <w:cantSplit/>
        </w:trPr>
        <w:tc>
          <w:tcPr>
            <w:tcW w:type="dxa" w:w="4320"/>
            <w:vAlign w:val="center"/>
          </w:tcPr>
          <w:p>
            <w:pPr>
              <w:spacing w:after="0"/>
            </w:pPr>
            <w:r/>
            <w:r>
              <w:rPr>
                <w:rFonts w:ascii="Aptos" w:hAnsi="Aptos"/>
                <w:b w:val="0"/>
                <w:sz w:val="15"/>
              </w:rPr>
              <w:t>Framework and requirements</w:t>
            </w:r>
          </w:p>
        </w:tc>
        <w:tc>
          <w:tcPr>
            <w:tcW w:type="dxa" w:w="5040"/>
            <w:vAlign w:val="center"/>
          </w:tcPr>
          <w:p>
            <w:pPr>
              <w:spacing w:after="0"/>
            </w:pPr>
            <w:r/>
            <w:r>
              <w:rPr>
                <w:rFonts w:ascii="Aptos" w:hAnsi="Aptos"/>
                <w:b w:val="0"/>
                <w:sz w:val="15"/>
              </w:rPr>
              <w:t>GAISSF-NOR-001 and GAISSF-NOR-004</w:t>
            </w:r>
          </w:p>
        </w:tc>
      </w:tr>
      <w:tr>
        <w:trPr>
          <w:cantSplit/>
        </w:trPr>
        <w:tc>
          <w:tcPr>
            <w:tcW w:type="dxa" w:w="4320"/>
            <w:vAlign w:val="center"/>
            <w:shd w:fill="F3F6F7"/>
          </w:tcPr>
          <w:p>
            <w:pPr>
              <w:spacing w:after="0"/>
            </w:pPr>
            <w:r/>
            <w:r>
              <w:rPr>
                <w:rFonts w:ascii="Aptos" w:hAnsi="Aptos"/>
                <w:b w:val="0"/>
                <w:sz w:val="15"/>
              </w:rPr>
              <w:t>Executive interpretation</w:t>
            </w:r>
          </w:p>
        </w:tc>
        <w:tc>
          <w:tcPr>
            <w:tcW w:type="dxa" w:w="5040"/>
            <w:vAlign w:val="center"/>
            <w:shd w:fill="F3F6F7"/>
          </w:tcPr>
          <w:p>
            <w:pPr>
              <w:spacing w:after="0"/>
            </w:pPr>
            <w:r/>
            <w:r>
              <w:rPr>
                <w:rFonts w:ascii="Aptos" w:hAnsi="Aptos"/>
                <w:b w:val="0"/>
                <w:sz w:val="15"/>
              </w:rPr>
              <w:t>GAISSF-NOR-002</w:t>
            </w:r>
          </w:p>
        </w:tc>
      </w:tr>
      <w:tr>
        <w:trPr>
          <w:cantSplit/>
        </w:trPr>
        <w:tc>
          <w:tcPr>
            <w:tcW w:type="dxa" w:w="4320"/>
            <w:vAlign w:val="center"/>
          </w:tcPr>
          <w:p>
            <w:pPr>
              <w:spacing w:after="0"/>
            </w:pPr>
            <w:r/>
            <w:r>
              <w:rPr>
                <w:rFonts w:ascii="Aptos" w:hAnsi="Aptos"/>
                <w:b w:val="0"/>
                <w:sz w:val="15"/>
              </w:rPr>
              <w:t>Initial adoption</w:t>
            </w:r>
          </w:p>
        </w:tc>
        <w:tc>
          <w:tcPr>
            <w:tcW w:type="dxa" w:w="5040"/>
            <w:vAlign w:val="center"/>
          </w:tcPr>
          <w:p>
            <w:pPr>
              <w:spacing w:after="0"/>
            </w:pPr>
            <w:r/>
            <w:r>
              <w:rPr>
                <w:rFonts w:ascii="Aptos" w:hAnsi="Aptos"/>
                <w:b w:val="0"/>
                <w:sz w:val="15"/>
              </w:rPr>
              <w:t>GAISSF-NOR-003 and GAISSF-IMP-009</w:t>
            </w:r>
          </w:p>
        </w:tc>
      </w:tr>
      <w:tr>
        <w:trPr>
          <w:cantSplit/>
        </w:trPr>
        <w:tc>
          <w:tcPr>
            <w:tcW w:type="dxa" w:w="4320"/>
            <w:vAlign w:val="center"/>
            <w:shd w:fill="F3F6F7"/>
          </w:tcPr>
          <w:p>
            <w:pPr>
              <w:spacing w:after="0"/>
            </w:pPr>
            <w:r/>
            <w:r>
              <w:rPr>
                <w:rFonts w:ascii="Aptos" w:hAnsi="Aptos"/>
                <w:b w:val="0"/>
                <w:sz w:val="15"/>
              </w:rPr>
              <w:t>Terminology</w:t>
            </w:r>
          </w:p>
        </w:tc>
        <w:tc>
          <w:tcPr>
            <w:tcW w:type="dxa" w:w="5040"/>
            <w:vAlign w:val="center"/>
            <w:shd w:fill="F3F6F7"/>
          </w:tcPr>
          <w:p>
            <w:pPr>
              <w:spacing w:after="0"/>
            </w:pPr>
            <w:r/>
            <w:r>
              <w:rPr>
                <w:rFonts w:ascii="Aptos" w:hAnsi="Aptos"/>
                <w:b w:val="0"/>
                <w:sz w:val="15"/>
              </w:rPr>
              <w:t>GAISSF-NOR-005</w:t>
            </w:r>
          </w:p>
        </w:tc>
      </w:tr>
      <w:tr>
        <w:trPr>
          <w:cantSplit/>
        </w:trPr>
        <w:tc>
          <w:tcPr>
            <w:tcW w:type="dxa" w:w="4320"/>
            <w:vAlign w:val="center"/>
          </w:tcPr>
          <w:p>
            <w:pPr>
              <w:spacing w:after="0"/>
            </w:pPr>
            <w:r/>
            <w:r>
              <w:rPr>
                <w:rFonts w:ascii="Aptos" w:hAnsi="Aptos"/>
                <w:b w:val="0"/>
                <w:sz w:val="15"/>
              </w:rPr>
              <w:t>External references</w:t>
            </w:r>
          </w:p>
        </w:tc>
        <w:tc>
          <w:tcPr>
            <w:tcW w:type="dxa" w:w="5040"/>
            <w:vAlign w:val="center"/>
          </w:tcPr>
          <w:p>
            <w:pPr>
              <w:spacing w:after="0"/>
            </w:pPr>
            <w:r/>
            <w:r>
              <w:rPr>
                <w:rFonts w:ascii="Aptos" w:hAnsi="Aptos"/>
                <w:b w:val="0"/>
                <w:sz w:val="15"/>
              </w:rPr>
              <w:t>GAISSF-NOR-006</w:t>
            </w:r>
          </w:p>
        </w:tc>
      </w:tr>
      <w:tr>
        <w:trPr>
          <w:cantSplit/>
        </w:trPr>
        <w:tc>
          <w:tcPr>
            <w:tcW w:type="dxa" w:w="4320"/>
            <w:vAlign w:val="center"/>
            <w:shd w:fill="F3F6F7"/>
          </w:tcPr>
          <w:p>
            <w:pPr>
              <w:spacing w:after="0"/>
            </w:pPr>
            <w:r/>
            <w:r>
              <w:rPr>
                <w:rFonts w:ascii="Aptos" w:hAnsi="Aptos"/>
                <w:b w:val="0"/>
                <w:sz w:val="15"/>
              </w:rPr>
              <w:t>Release and historical status</w:t>
            </w:r>
          </w:p>
        </w:tc>
        <w:tc>
          <w:tcPr>
            <w:tcW w:type="dxa" w:w="5040"/>
            <w:vAlign w:val="center"/>
            <w:shd w:fill="F3F6F7"/>
          </w:tcPr>
          <w:p>
            <w:pPr>
              <w:spacing w:after="0"/>
            </w:pPr>
            <w:r/>
            <w:r>
              <w:rPr>
                <w:rFonts w:ascii="Aptos" w:hAnsi="Aptos"/>
                <w:b w:val="0"/>
                <w:sz w:val="15"/>
              </w:rPr>
              <w:t>GAISSF-NOR-007 and GAISSF-NOR-008</w:t>
            </w:r>
          </w:p>
        </w:tc>
      </w:tr>
      <w:tr>
        <w:trPr>
          <w:cantSplit/>
        </w:trPr>
        <w:tc>
          <w:tcPr>
            <w:tcW w:type="dxa" w:w="4320"/>
            <w:vAlign w:val="center"/>
          </w:tcPr>
          <w:p>
            <w:pPr>
              <w:spacing w:after="0"/>
            </w:pPr>
            <w:r/>
            <w:r>
              <w:rPr>
                <w:rFonts w:ascii="Aptos" w:hAnsi="Aptos"/>
                <w:b w:val="0"/>
                <w:sz w:val="15"/>
              </w:rPr>
              <w:t>Implementation and evidence</w:t>
            </w:r>
          </w:p>
        </w:tc>
        <w:tc>
          <w:tcPr>
            <w:tcW w:type="dxa" w:w="5040"/>
            <w:vAlign w:val="center"/>
          </w:tcPr>
          <w:p>
            <w:pPr>
              <w:spacing w:after="0"/>
            </w:pPr>
            <w:r/>
            <w:r>
              <w:rPr>
                <w:rFonts w:ascii="Aptos" w:hAnsi="Aptos"/>
                <w:b w:val="0"/>
                <w:sz w:val="15"/>
              </w:rPr>
              <w:t>GAISSF-IMP-010</w:t>
            </w:r>
          </w:p>
        </w:tc>
      </w:tr>
      <w:tr>
        <w:trPr>
          <w:cantSplit/>
        </w:trPr>
        <w:tc>
          <w:tcPr>
            <w:tcW w:type="dxa" w:w="4320"/>
            <w:vAlign w:val="center"/>
            <w:shd w:fill="F3F6F7"/>
          </w:tcPr>
          <w:p>
            <w:pPr>
              <w:spacing w:after="0"/>
            </w:pPr>
            <w:r/>
            <w:r>
              <w:rPr>
                <w:rFonts w:ascii="Aptos" w:hAnsi="Aptos"/>
                <w:b w:val="0"/>
                <w:sz w:val="15"/>
              </w:rPr>
              <w:t>Deployment</w:t>
            </w:r>
          </w:p>
        </w:tc>
        <w:tc>
          <w:tcPr>
            <w:tcW w:type="dxa" w:w="5040"/>
            <w:vAlign w:val="center"/>
            <w:shd w:fill="F3F6F7"/>
          </w:tcPr>
          <w:p>
            <w:pPr>
              <w:spacing w:after="0"/>
            </w:pPr>
            <w:r/>
            <w:r>
              <w:rPr>
                <w:rFonts w:ascii="Aptos" w:hAnsi="Aptos"/>
                <w:b w:val="0"/>
                <w:sz w:val="15"/>
              </w:rPr>
              <w:t>GAISSF-IMP-011</w:t>
            </w:r>
          </w:p>
        </w:tc>
      </w:tr>
      <w:tr>
        <w:trPr>
          <w:cantSplit/>
        </w:trPr>
        <w:tc>
          <w:tcPr>
            <w:tcW w:type="dxa" w:w="4320"/>
            <w:vAlign w:val="center"/>
          </w:tcPr>
          <w:p>
            <w:pPr>
              <w:spacing w:after="0"/>
            </w:pPr>
            <w:r/>
            <w:r>
              <w:rPr>
                <w:rFonts w:ascii="Aptos" w:hAnsi="Aptos"/>
                <w:b w:val="0"/>
                <w:sz w:val="15"/>
              </w:rPr>
              <w:t>Migration</w:t>
            </w:r>
          </w:p>
        </w:tc>
        <w:tc>
          <w:tcPr>
            <w:tcW w:type="dxa" w:w="5040"/>
            <w:vAlign w:val="center"/>
          </w:tcPr>
          <w:p>
            <w:pPr>
              <w:spacing w:after="0"/>
            </w:pPr>
            <w:r/>
            <w:r>
              <w:rPr>
                <w:rFonts w:ascii="Aptos" w:hAnsi="Aptos"/>
                <w:b w:val="0"/>
                <w:sz w:val="15"/>
              </w:rPr>
              <w:t>GAISSF-IMP-012</w:t>
            </w:r>
          </w:p>
        </w:tc>
      </w:tr>
      <w:tr>
        <w:trPr>
          <w:cantSplit/>
        </w:trPr>
        <w:tc>
          <w:tcPr>
            <w:tcW w:type="dxa" w:w="4320"/>
            <w:vAlign w:val="center"/>
            <w:shd w:fill="F3F6F7"/>
          </w:tcPr>
          <w:p>
            <w:pPr>
              <w:spacing w:after="0"/>
            </w:pPr>
            <w:r/>
            <w:r>
              <w:rPr>
                <w:rFonts w:ascii="Aptos" w:hAnsi="Aptos"/>
                <w:b w:val="0"/>
                <w:sz w:val="15"/>
              </w:rPr>
              <w:t>Architecture</w:t>
            </w:r>
          </w:p>
        </w:tc>
        <w:tc>
          <w:tcPr>
            <w:tcW w:type="dxa" w:w="5040"/>
            <w:vAlign w:val="center"/>
            <w:shd w:fill="F3F6F7"/>
          </w:tcPr>
          <w:p>
            <w:pPr>
              <w:spacing w:after="0"/>
            </w:pPr>
            <w:r/>
            <w:r>
              <w:rPr>
                <w:rFonts w:ascii="Aptos" w:hAnsi="Aptos"/>
                <w:b w:val="0"/>
                <w:sz w:val="15"/>
              </w:rPr>
              <w:t>GAISSF-IMP-013</w:t>
            </w:r>
          </w:p>
        </w:tc>
      </w:tr>
      <w:tr>
        <w:trPr>
          <w:cantSplit/>
        </w:trPr>
        <w:tc>
          <w:tcPr>
            <w:tcW w:type="dxa" w:w="4320"/>
            <w:vAlign w:val="center"/>
          </w:tcPr>
          <w:p>
            <w:pPr>
              <w:spacing w:after="0"/>
            </w:pPr>
            <w:r/>
            <w:r>
              <w:rPr>
                <w:rFonts w:ascii="Aptos" w:hAnsi="Aptos"/>
                <w:b w:val="0"/>
                <w:sz w:val="15"/>
              </w:rPr>
              <w:t>Operations</w:t>
            </w:r>
          </w:p>
        </w:tc>
        <w:tc>
          <w:tcPr>
            <w:tcW w:type="dxa" w:w="5040"/>
            <w:vAlign w:val="center"/>
          </w:tcPr>
          <w:p>
            <w:pPr>
              <w:spacing w:after="0"/>
            </w:pPr>
            <w:r/>
            <w:r>
              <w:rPr>
                <w:rFonts w:ascii="Aptos" w:hAnsi="Aptos"/>
                <w:b w:val="0"/>
                <w:sz w:val="15"/>
              </w:rPr>
              <w:t>GAISSF-IMP-014</w:t>
            </w:r>
          </w:p>
        </w:tc>
      </w:tr>
    </w:tbl>
    <w:p/>
    <w:p>
      <w:pPr>
        <w:pStyle w:val="Heading1"/>
      </w:pPr>
      <w:r>
        <w:t>Annex E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full FAQ for GAISSF v1.0</w:t>
            </w:r>
          </w:p>
        </w:tc>
        <w:tc>
          <w:tcPr>
            <w:tcW w:type="dxa" w:w="1584"/>
            <w:vAlign w:val="center"/>
          </w:tcPr>
          <w:p>
            <w:pPr>
              <w:spacing w:after="0"/>
            </w:pPr>
            <w:r/>
            <w:r>
              <w:rPr>
                <w:rFonts w:ascii="Aptos" w:hAnsi="Aptos"/>
                <w:b w:val="0"/>
                <w:sz w:val="15"/>
              </w:rPr>
              <w:t>Final Publication Edition</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GAISSF-NOR-001 and NOR-004 for exact requirements.</w:t>
      </w:r>
    </w:p>
    <w:p>
      <w:pPr>
        <w:pStyle w:val="ListBullet"/>
      </w:pPr>
      <w:r>
        <w:t>The relevant IMP guide for operational detail.</w:t>
      </w:r>
    </w:p>
    <w:p>
      <w:pPr>
        <w:pStyle w:val="Heading1"/>
      </w:pPr>
      <w:r>
        <w:t>Additional legal, regulatory and public-claim questions</w:t>
      </w:r>
    </w:p>
    <w:p>
      <w:pPr>
        <w:pStyle w:val="Heading2"/>
      </w:pPr>
      <w:r>
        <w:t>Does GAISSF create a legal safe harbour?</w:t>
      </w:r>
    </w:p>
    <w:p>
      <w:r>
        <w:t>No. GAISSF does not establish statutory compliance, regulatory approval, immunity from enforcement, permission to operate or a defence to civil liability.</w:t>
      </w:r>
    </w:p>
    <w:p>
      <w:pPr>
        <w:pStyle w:val="Heading2"/>
      </w:pPr>
      <w:r>
        <w:t>Does GAISSF establish the legal standard of care?</w:t>
      </w:r>
    </w:p>
    <w:p>
      <w:r>
        <w:t>No. A legal standard of care is determined by applicable law and facts. GAISSF may be considered as one source of practice evidence, but conformance neither defines nor conclusively satisfies the legal standard.</w:t>
      </w:r>
    </w:p>
    <w:p>
      <w:pPr>
        <w:pStyle w:val="Heading2"/>
      </w:pPr>
      <w:r>
        <w:t>Can certification prevent negligence claims or statutory fines?</w:t>
      </w:r>
    </w:p>
    <w:p>
      <w:r>
        <w:t>No. Certification is scoped and evidence-based. It does not prevent enforcement, litigation, contractual claims or findings concerning conduct outside or within the assessed scope.</w:t>
      </w:r>
    </w:p>
    <w:p>
      <w:pPr>
        <w:pStyle w:val="Heading2"/>
      </w:pPr>
      <w:r>
        <w:t>What is AI washing in the GAISSF context?</w:t>
      </w:r>
    </w:p>
    <w:p>
      <w:r>
        <w:t>AI washing includes inaccurate, exaggerated or insufficiently qualified claims about AI capability, autonomy, safety, security, compliance or certification. Public statements should identify the assessed entity, systems, version, profile, period, exclusions and limitations.</w:t>
      </w:r>
    </w:p>
    <w:p>
      <w:pPr>
        <w:pStyle w:val="Heading2"/>
      </w:pPr>
      <w:r>
        <w:t>What happens when a GAISSF control conflicts with law?</w:t>
      </w:r>
    </w:p>
    <w:p>
      <w:r>
        <w:t>The organization should document the conflict, obtain competent legal review, restrict or redesign the activity where necessary, record the approved treatment and avoid claiming conformance for an unmet mandatory requirement unless the applicable scheme expressly permits that treatment. Conflicting laws or extraterritorial obligations may require suspension or withdrawal from an activity or jurisdiction.</w:t>
      </w:r>
    </w:p>
    <w:p>
      <w:pPr>
        <w:pStyle w:val="Heading2"/>
      </w:pPr>
      <w:r>
        <w:t>Can a high-risk system select Foundational merely because that is the desired certificate?</w:t>
      </w:r>
    </w:p>
    <w:p>
      <w:r>
        <w:t>No. Desired certificate scope does not override the controlled profile, applicability decisions, scheme rules, contractual duties or legal requirements.</w:t>
      </w:r>
    </w:p>
    <w:p>
      <w:pPr>
        <w:pStyle w:val="Heading2"/>
      </w:pPr>
      <w:r>
        <w:t>Notably Absent — legal and regulatory boundary</w:t>
      </w:r>
    </w:p>
    <w:p>
      <w:pPr>
        <w:pStyle w:val="ListBullet"/>
      </w:pPr>
      <w:r>
        <w:t>No market approval or permission-to-operate guarantee.</w:t>
      </w:r>
    </w:p>
    <w:p>
      <w:pPr>
        <w:pStyle w:val="ListBullet"/>
      </w:pPr>
      <w:r>
        <w:t>No immunity from consumer-protection enforcement.</w:t>
      </w:r>
    </w:p>
    <w:p>
      <w:pPr>
        <w:pStyle w:val="ListBullet"/>
      </w:pPr>
      <w:r>
        <w:t>No claim that mandatory local law always resolves every cross-border conflict without further analysis.</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Adoption support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GAISSF-IMP-015 | GAISSF® v1.0 Frequently Asked Questions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QQuestion">
    <w:name w:val="FAQ Question"/>
    <w:pPr>
      <w:keepNext/>
      <w:spacing w:before="140" w:after="40"/>
    </w:pPr>
    <w:rPr>
      <w:rFonts w:ascii="Aptos" w:hAnsi="Aptos"/>
      <w:b/>
      <w:color w:val="17324D"/>
      <w:sz w:val="20"/>
    </w:rPr>
  </w:style>
  <w:style w:type="paragraph" w:customStyle="1" w:styleId="FAQAnswer">
    <w:name w:val="FAQ Answer"/>
    <w:pPr>
      <w:spacing w:after="100" w:line="247" w:lineRule="auto"/>
    </w:pPr>
    <w:rPr>
      <w:rFonts w:ascii="Aptos" w:hAnsi="Aptos"/>
      <w:sz w:val="18"/>
    </w:r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Frequently Asked Questions</dc:title>
  <dc:subject>Adoption support and common questions</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