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160"/>
        <w:jc w:val="center"/>
      </w:pPr>
      <w:r>
        <w:rPr>
          <w:b/>
          <w:color w:val="17324D"/>
          <w:sz w:val="60"/>
        </w:rPr>
        <w:t>GAISSF® v1.0</w:t>
      </w:r>
    </w:p>
    <w:p>
      <w:pPr>
        <w:jc w:val="center"/>
      </w:pPr>
      <w:r>
        <w:rPr>
          <w:b/>
          <w:color w:val="205B65"/>
          <w:sz w:val="48"/>
        </w:rPr>
        <w:t>Evidence Collection Guide</w:t>
      </w:r>
    </w:p>
    <w:p>
      <w:pPr>
        <w:jc w:val="center"/>
      </w:pPr>
      <w:r>
        <w:rPr>
          <w:color w:val="4C6B7A"/>
          <w:sz w:val="23"/>
        </w:rPr>
        <w:t>Artifacts, Collection Methods, Integrity, Sampling and Assessor Readiness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736"/>
            <w:vAlign w:val="center"/>
            <w:shd w:fill="17324D"/>
          </w:tcPr>
          <w:p>
            <w:pPr>
              <w:spacing w:after="0"/>
            </w:pPr>
            <w:r/>
            <w:r>
              <w:rPr>
                <w:rFonts w:ascii="Aptos" w:hAnsi="Aptos"/>
                <w:b/>
                <w:color w:val="FFFFFF"/>
                <w:sz w:val="15"/>
              </w:rPr>
              <w:t>Field</w:t>
            </w:r>
          </w:p>
        </w:tc>
        <w:tc>
          <w:tcPr>
            <w:tcW w:type="dxa" w:w="6912"/>
            <w:vAlign w:val="center"/>
            <w:shd w:fill="17324D"/>
          </w:tcPr>
          <w:p>
            <w:pPr>
              <w:spacing w:after="0"/>
            </w:pPr>
            <w:r/>
            <w:r>
              <w:rPr>
                <w:rFonts w:ascii="Aptos" w:hAnsi="Aptos"/>
                <w:b/>
                <w:color w:val="FFFFFF"/>
                <w:sz w:val="15"/>
              </w:rPr>
              <w:t>Value</w:t>
            </w:r>
          </w:p>
        </w:tc>
      </w:tr>
      <w:tr>
        <w:trPr>
          <w:cantSplit/>
        </w:trPr>
        <w:tc>
          <w:tcPr>
            <w:tcW w:type="dxa" w:w="2736"/>
            <w:vAlign w:val="center"/>
          </w:tcPr>
          <w:p>
            <w:pPr>
              <w:spacing w:after="0"/>
            </w:pPr>
            <w:r/>
            <w:r>
              <w:rPr>
                <w:rFonts w:ascii="Aptos" w:hAnsi="Aptos"/>
                <w:b w:val="0"/>
                <w:sz w:val="15"/>
              </w:rPr>
              <w:t>Document ID</w:t>
            </w:r>
          </w:p>
        </w:tc>
        <w:tc>
          <w:tcPr>
            <w:tcW w:type="dxa" w:w="6912"/>
            <w:vAlign w:val="center"/>
          </w:tcPr>
          <w:p>
            <w:pPr>
              <w:spacing w:after="0"/>
            </w:pPr>
            <w:r/>
            <w:r>
              <w:rPr>
                <w:rFonts w:ascii="Aptos" w:hAnsi="Aptos"/>
                <w:b w:val="0"/>
                <w:sz w:val="15"/>
              </w:rPr>
              <w:t>GAISSF-IMP-017</w:t>
            </w:r>
          </w:p>
        </w:tc>
      </w:tr>
      <w:tr>
        <w:trPr>
          <w:cantSplit/>
        </w:trPr>
        <w:tc>
          <w:tcPr>
            <w:tcW w:type="dxa" w:w="2736"/>
            <w:vAlign w:val="center"/>
            <w:shd w:fill="F3F6F7"/>
          </w:tcPr>
          <w:p>
            <w:pPr>
              <w:spacing w:after="0"/>
            </w:pPr>
            <w:r/>
            <w:r>
              <w:rPr>
                <w:rFonts w:ascii="Aptos" w:hAnsi="Aptos"/>
                <w:b w:val="0"/>
                <w:sz w:val="15"/>
              </w:rPr>
              <w:t>Version</w:t>
            </w:r>
          </w:p>
        </w:tc>
        <w:tc>
          <w:tcPr>
            <w:tcW w:type="dxa" w:w="6912"/>
            <w:vAlign w:val="center"/>
            <w:shd w:fill="F3F6F7"/>
          </w:tcPr>
          <w:p>
            <w:pPr>
              <w:spacing w:after="0"/>
            </w:pPr>
            <w:r/>
            <w:r>
              <w:rPr>
                <w:rFonts w:ascii="Aptos" w:hAnsi="Aptos"/>
                <w:b w:val="0"/>
                <w:sz w:val="15"/>
              </w:rPr>
              <w:t>1.0</w:t>
            </w:r>
          </w:p>
        </w:tc>
      </w:tr>
      <w:tr>
        <w:trPr>
          <w:cantSplit/>
        </w:trPr>
        <w:tc>
          <w:tcPr>
            <w:tcW w:type="dxa" w:w="2736"/>
            <w:vAlign w:val="center"/>
          </w:tcPr>
          <w:p>
            <w:pPr>
              <w:spacing w:after="0"/>
            </w:pPr>
            <w:r/>
            <w:r>
              <w:rPr>
                <w:rFonts w:ascii="Aptos" w:hAnsi="Aptos"/>
                <w:b w:val="0"/>
                <w:sz w:val="15"/>
              </w:rPr>
              <w:t>Status</w:t>
            </w:r>
          </w:p>
        </w:tc>
        <w:tc>
          <w:tcPr>
            <w:tcW w:type="dxa" w:w="6912"/>
            <w:vAlign w:val="center"/>
          </w:tcPr>
          <w:p>
            <w:pPr>
              <w:spacing w:after="0"/>
            </w:pPr>
            <w:r/>
            <w:r>
              <w:rPr>
                <w:rFonts w:ascii="Aptos" w:hAnsi="Aptos"/>
                <w:b w:val="0"/>
                <w:sz w:val="15"/>
              </w:rPr>
              <w:t>Final Publication Edition</w:t>
            </w:r>
          </w:p>
        </w:tc>
      </w:tr>
      <w:tr>
        <w:trPr>
          <w:cantSplit/>
        </w:trPr>
        <w:tc>
          <w:tcPr>
            <w:tcW w:type="dxa" w:w="2736"/>
            <w:vAlign w:val="center"/>
            <w:shd w:fill="F3F6F7"/>
          </w:tcPr>
          <w:p>
            <w:pPr>
              <w:spacing w:after="0"/>
            </w:pPr>
            <w:r/>
            <w:r>
              <w:rPr>
                <w:rFonts w:ascii="Aptos" w:hAnsi="Aptos"/>
                <w:b w:val="0"/>
                <w:sz w:val="15"/>
              </w:rPr>
              <w:t>Classification</w:t>
            </w:r>
          </w:p>
        </w:tc>
        <w:tc>
          <w:tcPr>
            <w:tcW w:type="dxa" w:w="6912"/>
            <w:vAlign w:val="center"/>
            <w:shd w:fill="F3F6F7"/>
          </w:tcPr>
          <w:p>
            <w:pPr>
              <w:spacing w:after="0"/>
            </w:pPr>
            <w:r/>
            <w:r>
              <w:rPr>
                <w:rFonts w:ascii="Aptos" w:hAnsi="Aptos"/>
                <w:b w:val="0"/>
                <w:sz w:val="15"/>
              </w:rPr>
              <w:t>Implementation guidance — informative</w:t>
            </w:r>
          </w:p>
        </w:tc>
      </w:tr>
      <w:tr>
        <w:trPr>
          <w:cantSplit/>
        </w:trPr>
        <w:tc>
          <w:tcPr>
            <w:tcW w:type="dxa" w:w="2736"/>
            <w:vAlign w:val="center"/>
          </w:tcPr>
          <w:p>
            <w:pPr>
              <w:spacing w:after="0"/>
            </w:pPr>
            <w:r/>
            <w:r>
              <w:rPr>
                <w:rFonts w:ascii="Aptos" w:hAnsi="Aptos"/>
                <w:b w:val="0"/>
                <w:sz w:val="15"/>
              </w:rPr>
              <w:t>Publisher</w:t>
            </w:r>
          </w:p>
        </w:tc>
        <w:tc>
          <w:tcPr>
            <w:tcW w:type="dxa" w:w="6912"/>
            <w:vAlign w:val="center"/>
          </w:tcPr>
          <w:p>
            <w:pPr>
              <w:spacing w:after="0"/>
            </w:pPr>
            <w:r/>
            <w:r>
              <w:rPr>
                <w:rFonts w:ascii="Aptos" w:hAnsi="Aptos"/>
                <w:b w:val="0"/>
                <w:sz w:val="15"/>
              </w:rPr>
              <w:t>ODA3 Institute</w:t>
            </w:r>
          </w:p>
        </w:tc>
      </w:tr>
      <w:tr>
        <w:trPr>
          <w:cantSplit/>
        </w:trPr>
        <w:tc>
          <w:tcPr>
            <w:tcW w:type="dxa" w:w="2736"/>
            <w:vAlign w:val="center"/>
            <w:shd w:fill="F3F6F7"/>
          </w:tcPr>
          <w:p>
            <w:pPr>
              <w:spacing w:after="0"/>
            </w:pPr>
            <w:r/>
            <w:r>
              <w:rPr>
                <w:rFonts w:ascii="Aptos" w:hAnsi="Aptos"/>
                <w:b w:val="0"/>
                <w:sz w:val="15"/>
              </w:rPr>
              <w:t>Legal entity</w:t>
            </w:r>
          </w:p>
        </w:tc>
        <w:tc>
          <w:tcPr>
            <w:tcW w:type="dxa" w:w="6912"/>
            <w:vAlign w:val="center"/>
            <w:shd w:fill="F3F6F7"/>
          </w:tcPr>
          <w:p>
            <w:pPr>
              <w:spacing w:after="0"/>
            </w:pPr>
            <w:r/>
            <w:r>
              <w:rPr>
                <w:rFonts w:ascii="Aptos" w:hAnsi="Aptos"/>
                <w:b w:val="0"/>
                <w:sz w:val="15"/>
              </w:rPr>
              <w:t>ODA3 Pvt Ltd</w:t>
            </w:r>
          </w:p>
        </w:tc>
      </w:tr>
      <w:tr>
        <w:trPr>
          <w:cantSplit/>
        </w:trPr>
        <w:tc>
          <w:tcPr>
            <w:tcW w:type="dxa" w:w="2736"/>
            <w:vAlign w:val="center"/>
          </w:tcPr>
          <w:p>
            <w:pPr>
              <w:spacing w:after="0"/>
            </w:pPr>
            <w:r/>
            <w:r>
              <w:rPr>
                <w:rFonts w:ascii="Aptos" w:hAnsi="Aptos"/>
                <w:b w:val="0"/>
                <w:sz w:val="15"/>
              </w:rPr>
              <w:t>Authoritative normative source</w:t>
            </w:r>
          </w:p>
        </w:tc>
        <w:tc>
          <w:tcPr>
            <w:tcW w:type="dxa" w:w="6912"/>
            <w:vAlign w:val="center"/>
          </w:tcPr>
          <w:p>
            <w:pPr>
              <w:spacing w:after="0"/>
            </w:pPr>
            <w:r/>
            <w:r>
              <w:rPr>
                <w:rFonts w:ascii="Aptos" w:hAnsi="Aptos"/>
                <w:b w:val="0"/>
                <w:sz w:val="15"/>
              </w:rPr>
              <w:t>GAISSF-NOR-001</w:t>
            </w:r>
          </w:p>
        </w:tc>
      </w:tr>
      <w:tr>
        <w:trPr>
          <w:cantSplit/>
        </w:trPr>
        <w:tc>
          <w:tcPr>
            <w:tcW w:type="dxa" w:w="2736"/>
            <w:vAlign w:val="center"/>
            <w:shd w:fill="F3F6F7"/>
          </w:tcPr>
          <w:p>
            <w:pPr>
              <w:spacing w:after="0"/>
            </w:pPr>
            <w:r/>
            <w:r>
              <w:rPr>
                <w:rFonts w:ascii="Aptos" w:hAnsi="Aptos"/>
                <w:b w:val="0"/>
                <w:sz w:val="15"/>
              </w:rPr>
              <w:t>Control baseline</w:t>
            </w:r>
          </w:p>
        </w:tc>
        <w:tc>
          <w:tcPr>
            <w:tcW w:type="dxa" w:w="6912"/>
            <w:vAlign w:val="center"/>
            <w:shd w:fill="F3F6F7"/>
          </w:tcPr>
          <w:p>
            <w:pPr>
              <w:spacing w:after="0"/>
            </w:pPr>
            <w:r/>
            <w:r>
              <w:rPr>
                <w:rFonts w:ascii="Aptos" w:hAnsi="Aptos"/>
                <w:b w:val="0"/>
                <w:sz w:val="15"/>
              </w:rPr>
              <w:t>59 controls across nine domains</w:t>
            </w:r>
          </w:p>
        </w:tc>
      </w:tr>
      <w:tr>
        <w:trPr>
          <w:cantSplit/>
        </w:trPr>
        <w:tc>
          <w:tcPr>
            <w:tcW w:type="dxa" w:w="2736"/>
            <w:vAlign w:val="center"/>
          </w:tcPr>
          <w:p>
            <w:pPr>
              <w:spacing w:after="0"/>
            </w:pPr>
            <w:r/>
            <w:r>
              <w:rPr>
                <w:rFonts w:ascii="Aptos" w:hAnsi="Aptos"/>
                <w:b w:val="0"/>
                <w:sz w:val="15"/>
              </w:rPr>
              <w:t>Publication date</w:t>
            </w:r>
          </w:p>
        </w:tc>
        <w:tc>
          <w:tcPr>
            <w:tcW w:type="dxa" w:w="6912"/>
            <w:vAlign w:val="center"/>
          </w:tcPr>
          <w:p>
            <w:pPr>
              <w:spacing w:after="0"/>
            </w:pPr>
            <w:r/>
            <w:r>
              <w:rPr>
                <w:rFonts w:ascii="Aptos" w:hAnsi="Aptos"/>
                <w:b w:val="0"/>
                <w:sz w:val="15"/>
              </w:rPr>
              <w:t>29 June 2026</w:t>
            </w:r>
          </w:p>
        </w:tc>
      </w:tr>
    </w:tbl>
    <w:p/>
    <w:p>
      <w:pPr>
        <w:pStyle w:val="SmallNote"/>
        <w:jc w:val="center"/>
      </w:pPr>
      <w:r>
        <w:t>This guide explains how to gather and maintain reliable GAISSF evidence. It does not replace the exact evidence expectations in the normative control records or the judgement of competent assessors.</w:t>
      </w:r>
    </w:p>
    <w:p>
      <w:r/>
    </w:p>
    <w:p>
      <w:pPr>
        <w:pStyle w:val="Heading1"/>
      </w:pPr>
      <w:r>
        <w:t>Document Control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Attribute</w:t>
            </w:r>
          </w:p>
        </w:tc>
        <w:tc>
          <w:tcPr>
            <w:tcW w:type="dxa" w:w="7056"/>
            <w:vAlign w:val="center"/>
            <w:shd w:fill="17324D"/>
          </w:tcPr>
          <w:p>
            <w:pPr>
              <w:spacing w:after="0"/>
            </w:pPr>
            <w:r/>
            <w:r>
              <w:rPr>
                <w:rFonts w:ascii="Aptos" w:hAnsi="Aptos"/>
                <w:b/>
                <w:color w:val="FFFFFF"/>
                <w:sz w:val="15"/>
              </w:rPr>
              <w:t>Controlled value</w:t>
            </w:r>
          </w:p>
        </w:tc>
      </w:tr>
      <w:tr>
        <w:trPr>
          <w:cantSplit/>
        </w:trPr>
        <w:tc>
          <w:tcPr>
            <w:tcW w:type="dxa" w:w="2592"/>
            <w:vAlign w:val="center"/>
          </w:tcPr>
          <w:p>
            <w:pPr>
              <w:spacing w:after="0"/>
            </w:pPr>
            <w:r/>
            <w:r>
              <w:rPr>
                <w:rFonts w:ascii="Aptos" w:hAnsi="Aptos"/>
                <w:b w:val="0"/>
                <w:sz w:val="15"/>
              </w:rPr>
              <w:t>Title</w:t>
            </w:r>
          </w:p>
        </w:tc>
        <w:tc>
          <w:tcPr>
            <w:tcW w:type="dxa" w:w="7056"/>
            <w:vAlign w:val="center"/>
          </w:tcPr>
          <w:p>
            <w:pPr>
              <w:spacing w:after="0"/>
            </w:pPr>
            <w:r/>
            <w:r>
              <w:rPr>
                <w:rFonts w:ascii="Aptos" w:hAnsi="Aptos"/>
                <w:b w:val="0"/>
                <w:sz w:val="15"/>
              </w:rPr>
              <w:t>GAISSF® v1.0 Evidence Collection Guide</w:t>
            </w:r>
          </w:p>
        </w:tc>
      </w:tr>
      <w:tr>
        <w:trPr>
          <w:cantSplit/>
        </w:trPr>
        <w:tc>
          <w:tcPr>
            <w:tcW w:type="dxa" w:w="2592"/>
            <w:vAlign w:val="center"/>
            <w:shd w:fill="F3F6F7"/>
          </w:tcPr>
          <w:p>
            <w:pPr>
              <w:spacing w:after="0"/>
            </w:pPr>
            <w:r/>
            <w:r>
              <w:rPr>
                <w:rFonts w:ascii="Aptos" w:hAnsi="Aptos"/>
                <w:b w:val="0"/>
                <w:sz w:val="15"/>
              </w:rPr>
              <w:t>Document ID</w:t>
            </w:r>
          </w:p>
        </w:tc>
        <w:tc>
          <w:tcPr>
            <w:tcW w:type="dxa" w:w="7056"/>
            <w:vAlign w:val="center"/>
            <w:shd w:fill="F3F6F7"/>
          </w:tcPr>
          <w:p>
            <w:pPr>
              <w:spacing w:after="0"/>
            </w:pPr>
            <w:r/>
            <w:r>
              <w:rPr>
                <w:rFonts w:ascii="Aptos" w:hAnsi="Aptos"/>
                <w:b w:val="0"/>
                <w:sz w:val="15"/>
              </w:rPr>
              <w:t>GAISSF-IMP-017</w:t>
            </w:r>
          </w:p>
        </w:tc>
      </w:tr>
      <w:tr>
        <w:trPr>
          <w:cantSplit/>
        </w:trPr>
        <w:tc>
          <w:tcPr>
            <w:tcW w:type="dxa" w:w="2592"/>
            <w:vAlign w:val="center"/>
          </w:tcPr>
          <w:p>
            <w:pPr>
              <w:spacing w:after="0"/>
            </w:pPr>
            <w:r/>
            <w:r>
              <w:rPr>
                <w:rFonts w:ascii="Aptos" w:hAnsi="Aptos"/>
                <w:b w:val="0"/>
                <w:sz w:val="15"/>
              </w:rPr>
              <w:t>Purpose</w:t>
            </w:r>
          </w:p>
        </w:tc>
        <w:tc>
          <w:tcPr>
            <w:tcW w:type="dxa" w:w="7056"/>
            <w:vAlign w:val="center"/>
          </w:tcPr>
          <w:p>
            <w:pPr>
              <w:spacing w:after="0"/>
            </w:pPr>
            <w:r/>
            <w:r>
              <w:rPr>
                <w:rFonts w:ascii="Aptos" w:hAnsi="Aptos"/>
                <w:b w:val="0"/>
                <w:sz w:val="15"/>
              </w:rPr>
              <w:t>Provide a complete method for identifying, collecting, protecting, evaluating and presenting evidence of GAISSF control implementation and operation</w:t>
            </w:r>
          </w:p>
        </w:tc>
      </w:tr>
      <w:tr>
        <w:trPr>
          <w:cantSplit/>
        </w:trPr>
        <w:tc>
          <w:tcPr>
            <w:tcW w:type="dxa" w:w="2592"/>
            <w:vAlign w:val="center"/>
            <w:shd w:fill="F3F6F7"/>
          </w:tcPr>
          <w:p>
            <w:pPr>
              <w:spacing w:after="0"/>
            </w:pPr>
            <w:r/>
            <w:r>
              <w:rPr>
                <w:rFonts w:ascii="Aptos" w:hAnsi="Aptos"/>
                <w:b w:val="0"/>
                <w:sz w:val="15"/>
              </w:rPr>
              <w:t>Primary audience</w:t>
            </w:r>
          </w:p>
        </w:tc>
        <w:tc>
          <w:tcPr>
            <w:tcW w:type="dxa" w:w="7056"/>
            <w:vAlign w:val="center"/>
            <w:shd w:fill="F3F6F7"/>
          </w:tcPr>
          <w:p>
            <w:pPr>
              <w:spacing w:after="0"/>
            </w:pPr>
            <w:r/>
            <w:r>
              <w:rPr>
                <w:rFonts w:ascii="Aptos" w:hAnsi="Aptos"/>
                <w:b w:val="0"/>
                <w:sz w:val="15"/>
              </w:rPr>
              <w:t>Control owners, control operators, AI engineering, MLOps, DevSecOps, governance, compliance, internal audit, evidence custodians, assessors and certification teams</w:t>
            </w:r>
          </w:p>
        </w:tc>
      </w:tr>
      <w:tr>
        <w:trPr>
          <w:cantSplit/>
        </w:trPr>
        <w:tc>
          <w:tcPr>
            <w:tcW w:type="dxa" w:w="2592"/>
            <w:vAlign w:val="center"/>
          </w:tcPr>
          <w:p>
            <w:pPr>
              <w:spacing w:after="0"/>
            </w:pPr>
            <w:r/>
            <w:r>
              <w:rPr>
                <w:rFonts w:ascii="Aptos" w:hAnsi="Aptos"/>
                <w:b w:val="0"/>
                <w:sz w:val="15"/>
              </w:rPr>
              <w:t>Dependencies</w:t>
            </w:r>
          </w:p>
        </w:tc>
        <w:tc>
          <w:tcPr>
            <w:tcW w:type="dxa" w:w="7056"/>
            <w:vAlign w:val="center"/>
          </w:tcPr>
          <w:p>
            <w:pPr>
              <w:spacing w:after="0"/>
            </w:pPr>
            <w:r/>
            <w:r>
              <w:rPr>
                <w:rFonts w:ascii="Aptos" w:hAnsi="Aptos"/>
                <w:b w:val="0"/>
                <w:sz w:val="15"/>
              </w:rPr>
              <w:t>GAISSF-NOR-001 through GAISSF-NOR-008 and GAISSF-IMP-009 through GAISSF-IMP-016</w:t>
            </w:r>
          </w:p>
        </w:tc>
      </w:tr>
      <w:tr>
        <w:trPr>
          <w:cantSplit/>
        </w:trPr>
        <w:tc>
          <w:tcPr>
            <w:tcW w:type="dxa" w:w="2592"/>
            <w:vAlign w:val="center"/>
            <w:shd w:fill="F3F6F7"/>
          </w:tcPr>
          <w:p>
            <w:pPr>
              <w:spacing w:after="0"/>
            </w:pPr>
            <w:r/>
            <w:r>
              <w:rPr>
                <w:rFonts w:ascii="Aptos" w:hAnsi="Aptos"/>
                <w:b w:val="0"/>
                <w:sz w:val="15"/>
              </w:rPr>
              <w:t>Classification</w:t>
            </w:r>
          </w:p>
        </w:tc>
        <w:tc>
          <w:tcPr>
            <w:tcW w:type="dxa" w:w="7056"/>
            <w:vAlign w:val="center"/>
            <w:shd w:fill="F3F6F7"/>
          </w:tcPr>
          <w:p>
            <w:pPr>
              <w:spacing w:after="0"/>
            </w:pPr>
            <w:r/>
            <w:r>
              <w:rPr>
                <w:rFonts w:ascii="Aptos" w:hAnsi="Aptos"/>
                <w:b w:val="0"/>
                <w:sz w:val="15"/>
              </w:rPr>
              <w:t>Informative implementation guidance</w:t>
            </w:r>
          </w:p>
        </w:tc>
      </w:tr>
      <w:tr>
        <w:trPr>
          <w:cantSplit/>
        </w:trPr>
        <w:tc>
          <w:tcPr>
            <w:tcW w:type="dxa" w:w="2592"/>
            <w:vAlign w:val="center"/>
          </w:tcPr>
          <w:p>
            <w:pPr>
              <w:spacing w:after="0"/>
            </w:pPr>
            <w:r/>
            <w:r>
              <w:rPr>
                <w:rFonts w:ascii="Aptos" w:hAnsi="Aptos"/>
                <w:b w:val="0"/>
                <w:sz w:val="15"/>
              </w:rPr>
              <w:t>Precedence</w:t>
            </w:r>
          </w:p>
        </w:tc>
        <w:tc>
          <w:tcPr>
            <w:tcW w:type="dxa" w:w="7056"/>
            <w:vAlign w:val="center"/>
          </w:tcPr>
          <w:p>
            <w:pPr>
              <w:spacing w:after="0"/>
            </w:pPr>
            <w:r/>
            <w:r>
              <w:rPr>
                <w:rFonts w:ascii="Aptos" w:hAnsi="Aptos"/>
                <w:b w:val="0"/>
                <w:sz w:val="15"/>
              </w:rPr>
              <w:t>GAISSF-NOR-001 and GAISSF-NOR-004 prevail</w:t>
            </w:r>
          </w:p>
        </w:tc>
      </w:tr>
      <w:tr>
        <w:trPr>
          <w:cantSplit/>
        </w:trPr>
        <w:tc>
          <w:tcPr>
            <w:tcW w:type="dxa" w:w="2592"/>
            <w:vAlign w:val="center"/>
            <w:shd w:fill="F3F6F7"/>
          </w:tcPr>
          <w:p>
            <w:pPr>
              <w:spacing w:after="0"/>
            </w:pPr>
            <w:r/>
            <w:r>
              <w:rPr>
                <w:rFonts w:ascii="Aptos" w:hAnsi="Aptos"/>
                <w:b w:val="0"/>
                <w:sz w:val="15"/>
              </w:rPr>
              <w:t>Distribution</w:t>
            </w:r>
          </w:p>
        </w:tc>
        <w:tc>
          <w:tcPr>
            <w:tcW w:type="dxa" w:w="7056"/>
            <w:vAlign w:val="center"/>
            <w:shd w:fill="F3F6F7"/>
          </w:tcPr>
          <w:p>
            <w:pPr>
              <w:spacing w:after="0"/>
            </w:pPr>
            <w:r/>
            <w:r>
              <w:rPr>
                <w:rFonts w:ascii="Aptos" w:hAnsi="Aptos"/>
                <w:b w:val="0"/>
                <w:sz w:val="15"/>
              </w:rPr>
              <w:t>Public — Website and GitHub</w:t>
            </w:r>
          </w:p>
        </w:tc>
      </w:tr>
    </w:tbl>
    <w:p/>
    <w:p>
      <w:pPr>
        <w:pStyle w:val="Heading1"/>
      </w:pPr>
      <w:r>
        <w:t>Legal and Reliance Notice</w:t>
      </w:r>
    </w:p>
    <w:p>
      <w:r>
        <w:t>© 2026 ODA3 Pvt Ltd. Published market-facing by ODA3 Institute.</w:t>
      </w:r>
    </w:p>
    <w:p>
      <w:r>
        <w:t>GAISSF® is used as a framework mark. Third-party names and marks remain the property of their respective owners.</w:t>
      </w:r>
    </w:p>
    <w:p>
      <w:r>
        <w:t>This guide does not constitute legal, regulatory, safety, engineering, certification or audit advice.</w:t>
      </w:r>
      <w:r>
        <w:t xml:space="preserve"> It does not create a legal safe harbour, establish a legal standard of care, or determine statutory compliance in any jurisdiction.</w:t>
      </w:r>
    </w:p>
    <w:p>
      <w:r>
        <w:t>Evidence sufficiency depends on scope, risk, profile, control design, operating period and assessor judgement. No artifact type is automatically sufficient in every context.</w:t>
      </w:r>
    </w:p>
    <w:p>
      <w:pPr>
        <w:pStyle w:val="Heading1"/>
      </w:pPr>
      <w:r>
        <w:t>1. Purpose and Scope</w:t>
      </w:r>
    </w:p>
    <w:p>
      <w:r>
        <w:t>This guide defines the evidence lifecycle for GAISSF adoption, assessment, certification readiness and continuing conformance. It covers evidence planning, ownership, collection, metadata, integrity, sampling, automation, chain of custody, privacy, retention, review, export and retirement.</w:t>
      </w:r>
    </w:p>
    <w:p>
      <w:r>
        <w:t>It applies to governance evidence, technical evidence, operating records, supplier evidence, model and data records, security and safety testing, agentic-AI telemetry, physical-AI evidence and management-review artifacts.</w:t>
      </w:r>
    </w:p>
    <w:p>
      <w:pPr>
        <w:pStyle w:val="Heading1"/>
      </w:pPr>
      <w:r>
        <w:t>2. Evidence Principles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Principle</w:t>
            </w:r>
          </w:p>
        </w:tc>
        <w:tc>
          <w:tcPr>
            <w:tcW w:type="dxa" w:w="6768"/>
            <w:vAlign w:val="center"/>
            <w:shd w:fill="17324D"/>
          </w:tcPr>
          <w:p>
            <w:pPr>
              <w:spacing w:after="0"/>
            </w:pPr>
            <w:r/>
            <w:r>
              <w:rPr>
                <w:rFonts w:ascii="Aptos" w:hAnsi="Aptos"/>
                <w:b/>
                <w:color w:val="FFFFFF"/>
                <w:sz w:val="15"/>
              </w:rPr>
              <w:t>Operational meaning</w:t>
            </w:r>
          </w:p>
        </w:tc>
      </w:tr>
      <w:tr>
        <w:trPr>
          <w:cantSplit/>
        </w:trPr>
        <w:tc>
          <w:tcPr>
            <w:tcW w:type="dxa" w:w="2880"/>
            <w:vAlign w:val="center"/>
          </w:tcPr>
          <w:p>
            <w:pPr>
              <w:spacing w:after="0"/>
            </w:pPr>
            <w:r/>
            <w:r>
              <w:rPr>
                <w:rFonts w:ascii="Aptos" w:hAnsi="Aptos"/>
                <w:b w:val="0"/>
                <w:sz w:val="15"/>
              </w:rPr>
              <w:t>Evidence supports a claim</w:t>
            </w:r>
          </w:p>
        </w:tc>
        <w:tc>
          <w:tcPr>
            <w:tcW w:type="dxa" w:w="6768"/>
            <w:vAlign w:val="center"/>
          </w:tcPr>
          <w:p>
            <w:pPr>
              <w:spacing w:after="0"/>
            </w:pPr>
            <w:r/>
            <w:r>
              <w:rPr>
                <w:rFonts w:ascii="Aptos" w:hAnsi="Aptos"/>
                <w:b w:val="0"/>
                <w:sz w:val="15"/>
              </w:rPr>
              <w:t>Every artifact should support a specific control, scope, period and assertion.</w:t>
            </w:r>
          </w:p>
        </w:tc>
      </w:tr>
      <w:tr>
        <w:trPr>
          <w:cantSplit/>
        </w:trPr>
        <w:tc>
          <w:tcPr>
            <w:tcW w:type="dxa" w:w="2880"/>
            <w:vAlign w:val="center"/>
            <w:shd w:fill="F3F6F7"/>
          </w:tcPr>
          <w:p>
            <w:pPr>
              <w:spacing w:after="0"/>
            </w:pPr>
            <w:r/>
            <w:r>
              <w:rPr>
                <w:rFonts w:ascii="Aptos" w:hAnsi="Aptos"/>
                <w:b w:val="0"/>
                <w:sz w:val="15"/>
              </w:rPr>
              <w:t>Operation is stronger than intention</w:t>
            </w:r>
          </w:p>
        </w:tc>
        <w:tc>
          <w:tcPr>
            <w:tcW w:type="dxa" w:w="6768"/>
            <w:vAlign w:val="center"/>
            <w:shd w:fill="F3F6F7"/>
          </w:tcPr>
          <w:p>
            <w:pPr>
              <w:spacing w:after="0"/>
            </w:pPr>
            <w:r/>
            <w:r>
              <w:rPr>
                <w:rFonts w:ascii="Aptos" w:hAnsi="Aptos"/>
                <w:b w:val="0"/>
                <w:sz w:val="15"/>
              </w:rPr>
              <w:t>Policies and designs are necessary but rarely sufficient without proof of implementation and recurring operation.</w:t>
            </w:r>
          </w:p>
        </w:tc>
      </w:tr>
      <w:tr>
        <w:trPr>
          <w:cantSplit/>
        </w:trPr>
        <w:tc>
          <w:tcPr>
            <w:tcW w:type="dxa" w:w="2880"/>
            <w:vAlign w:val="center"/>
          </w:tcPr>
          <w:p>
            <w:pPr>
              <w:spacing w:after="0"/>
            </w:pPr>
            <w:r/>
            <w:r>
              <w:rPr>
                <w:rFonts w:ascii="Aptos" w:hAnsi="Aptos"/>
                <w:b w:val="0"/>
                <w:sz w:val="15"/>
              </w:rPr>
              <w:t>Scope must be explicit</w:t>
            </w:r>
          </w:p>
        </w:tc>
        <w:tc>
          <w:tcPr>
            <w:tcW w:type="dxa" w:w="6768"/>
            <w:vAlign w:val="center"/>
          </w:tcPr>
          <w:p>
            <w:pPr>
              <w:spacing w:after="0"/>
            </w:pPr>
            <w:r/>
            <w:r>
              <w:rPr>
                <w:rFonts w:ascii="Aptos" w:hAnsi="Aptos"/>
                <w:b w:val="0"/>
                <w:sz w:val="15"/>
              </w:rPr>
              <w:t>Evidence should identify the system, component, population, supplier, environment and period represented.</w:t>
            </w:r>
          </w:p>
        </w:tc>
      </w:tr>
      <w:tr>
        <w:trPr>
          <w:cantSplit/>
        </w:trPr>
        <w:tc>
          <w:tcPr>
            <w:tcW w:type="dxa" w:w="2880"/>
            <w:vAlign w:val="center"/>
            <w:shd w:fill="F3F6F7"/>
          </w:tcPr>
          <w:p>
            <w:pPr>
              <w:spacing w:after="0"/>
            </w:pPr>
            <w:r/>
            <w:r>
              <w:rPr>
                <w:rFonts w:ascii="Aptos" w:hAnsi="Aptos"/>
                <w:b w:val="0"/>
                <w:sz w:val="15"/>
              </w:rPr>
              <w:t>Integrity matters</w:t>
            </w:r>
          </w:p>
        </w:tc>
        <w:tc>
          <w:tcPr>
            <w:tcW w:type="dxa" w:w="6768"/>
            <w:vAlign w:val="center"/>
            <w:shd w:fill="F3F6F7"/>
          </w:tcPr>
          <w:p>
            <w:pPr>
              <w:spacing w:after="0"/>
            </w:pPr>
            <w:r/>
            <w:r>
              <w:rPr>
                <w:rFonts w:ascii="Aptos" w:hAnsi="Aptos"/>
                <w:b w:val="0"/>
                <w:sz w:val="15"/>
              </w:rPr>
              <w:t>Artifacts should be protected from alteration and attributable to their source.</w:t>
            </w:r>
          </w:p>
        </w:tc>
      </w:tr>
      <w:tr>
        <w:trPr>
          <w:cantSplit/>
        </w:trPr>
        <w:tc>
          <w:tcPr>
            <w:tcW w:type="dxa" w:w="2880"/>
            <w:vAlign w:val="center"/>
          </w:tcPr>
          <w:p>
            <w:pPr>
              <w:spacing w:after="0"/>
            </w:pPr>
            <w:r/>
            <w:r>
              <w:rPr>
                <w:rFonts w:ascii="Aptos" w:hAnsi="Aptos"/>
                <w:b w:val="0"/>
                <w:sz w:val="15"/>
              </w:rPr>
              <w:t>Failures are evidence</w:t>
            </w:r>
          </w:p>
        </w:tc>
        <w:tc>
          <w:tcPr>
            <w:tcW w:type="dxa" w:w="6768"/>
            <w:vAlign w:val="center"/>
          </w:tcPr>
          <w:p>
            <w:pPr>
              <w:spacing w:after="0"/>
            </w:pPr>
            <w:r/>
            <w:r>
              <w:rPr>
                <w:rFonts w:ascii="Aptos" w:hAnsi="Aptos"/>
                <w:b w:val="0"/>
                <w:sz w:val="15"/>
              </w:rPr>
              <w:t>Failed, negative and inconclusive results must be retained and explained.</w:t>
            </w:r>
          </w:p>
        </w:tc>
      </w:tr>
      <w:tr>
        <w:trPr>
          <w:cantSplit/>
        </w:trPr>
        <w:tc>
          <w:tcPr>
            <w:tcW w:type="dxa" w:w="2880"/>
            <w:vAlign w:val="center"/>
            <w:shd w:fill="F3F6F7"/>
          </w:tcPr>
          <w:p>
            <w:pPr>
              <w:spacing w:after="0"/>
            </w:pPr>
            <w:r/>
            <w:r>
              <w:rPr>
                <w:rFonts w:ascii="Aptos" w:hAnsi="Aptos"/>
                <w:b w:val="0"/>
                <w:sz w:val="15"/>
              </w:rPr>
              <w:t>Provenance must be preserved</w:t>
            </w:r>
          </w:p>
        </w:tc>
        <w:tc>
          <w:tcPr>
            <w:tcW w:type="dxa" w:w="6768"/>
            <w:vAlign w:val="center"/>
            <w:shd w:fill="F3F6F7"/>
          </w:tcPr>
          <w:p>
            <w:pPr>
              <w:spacing w:after="0"/>
            </w:pPr>
            <w:r/>
            <w:r>
              <w:rPr>
                <w:rFonts w:ascii="Aptos" w:hAnsi="Aptos"/>
                <w:b w:val="0"/>
                <w:sz w:val="15"/>
              </w:rPr>
              <w:t>The origin, collection method, transformations and custody of evidence should be known.</w:t>
            </w:r>
          </w:p>
        </w:tc>
      </w:tr>
      <w:tr>
        <w:trPr>
          <w:cantSplit/>
        </w:trPr>
        <w:tc>
          <w:tcPr>
            <w:tcW w:type="dxa" w:w="2880"/>
            <w:vAlign w:val="center"/>
          </w:tcPr>
          <w:p>
            <w:pPr>
              <w:spacing w:after="0"/>
            </w:pPr>
            <w:r/>
            <w:r>
              <w:rPr>
                <w:rFonts w:ascii="Aptos" w:hAnsi="Aptos"/>
                <w:b w:val="0"/>
                <w:sz w:val="15"/>
              </w:rPr>
              <w:t>Evidence should be proportionate</w:t>
            </w:r>
          </w:p>
        </w:tc>
        <w:tc>
          <w:tcPr>
            <w:tcW w:type="dxa" w:w="6768"/>
            <w:vAlign w:val="center"/>
          </w:tcPr>
          <w:p>
            <w:pPr>
              <w:spacing w:after="0"/>
            </w:pPr>
            <w:r/>
            <w:r>
              <w:rPr>
                <w:rFonts w:ascii="Aptos" w:hAnsi="Aptos"/>
                <w:b w:val="0"/>
                <w:sz w:val="15"/>
              </w:rPr>
              <w:t>High-risk and high-autonomy systems require stronger, more direct and more frequent evidence.</w:t>
            </w:r>
          </w:p>
        </w:tc>
      </w:tr>
      <w:tr>
        <w:trPr>
          <w:cantSplit/>
        </w:trPr>
        <w:tc>
          <w:tcPr>
            <w:tcW w:type="dxa" w:w="2880"/>
            <w:vAlign w:val="center"/>
            <w:shd w:fill="F3F6F7"/>
          </w:tcPr>
          <w:p>
            <w:pPr>
              <w:spacing w:after="0"/>
            </w:pPr>
            <w:r/>
            <w:r>
              <w:rPr>
                <w:rFonts w:ascii="Aptos" w:hAnsi="Aptos"/>
                <w:b w:val="0"/>
                <w:sz w:val="15"/>
              </w:rPr>
              <w:t>Privacy and minimization still apply</w:t>
            </w:r>
          </w:p>
        </w:tc>
        <w:tc>
          <w:tcPr>
            <w:tcW w:type="dxa" w:w="6768"/>
            <w:vAlign w:val="center"/>
            <w:shd w:fill="F3F6F7"/>
          </w:tcPr>
          <w:p>
            <w:pPr>
              <w:spacing w:after="0"/>
            </w:pPr>
            <w:r/>
            <w:r>
              <w:rPr>
                <w:rFonts w:ascii="Aptos" w:hAnsi="Aptos"/>
                <w:b w:val="0"/>
                <w:sz w:val="15"/>
              </w:rPr>
              <w:t>Evidence collection should not create unnecessary personal, confidential or regulated data exposure.</w:t>
            </w:r>
          </w:p>
        </w:tc>
      </w:tr>
      <w:tr>
        <w:trPr>
          <w:cantSplit/>
        </w:trPr>
        <w:tc>
          <w:tcPr>
            <w:tcW w:type="dxa" w:w="2880"/>
            <w:vAlign w:val="center"/>
          </w:tcPr>
          <w:p>
            <w:pPr>
              <w:spacing w:after="0"/>
            </w:pPr>
            <w:r/>
            <w:r>
              <w:rPr>
                <w:rFonts w:ascii="Aptos" w:hAnsi="Aptos"/>
                <w:b w:val="0"/>
                <w:sz w:val="15"/>
              </w:rPr>
              <w:t>Reproducibility improves assurance</w:t>
            </w:r>
          </w:p>
        </w:tc>
        <w:tc>
          <w:tcPr>
            <w:tcW w:type="dxa" w:w="6768"/>
            <w:vAlign w:val="center"/>
          </w:tcPr>
          <w:p>
            <w:pPr>
              <w:spacing w:after="0"/>
            </w:pPr>
            <w:r/>
            <w:r>
              <w:rPr>
                <w:rFonts w:ascii="Aptos" w:hAnsi="Aptos"/>
                <w:b w:val="0"/>
                <w:sz w:val="15"/>
              </w:rPr>
              <w:t>Technical results should be repeatable where the system permits.</w:t>
            </w:r>
          </w:p>
        </w:tc>
      </w:tr>
    </w:tbl>
    <w:p/>
    <w:p>
      <w:pPr>
        <w:pStyle w:val="Heading1"/>
      </w:pPr>
      <w:r>
        <w:t>3. Evidence Lifecycle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1728"/>
            <w:vAlign w:val="center"/>
            <w:shd w:fill="17324D"/>
          </w:tcPr>
          <w:p>
            <w:pPr>
              <w:spacing w:after="0"/>
            </w:pPr>
            <w:r/>
            <w:r>
              <w:rPr>
                <w:rFonts w:ascii="Aptos" w:hAnsi="Aptos"/>
                <w:b/>
                <w:color w:val="FFFFFF"/>
                <w:sz w:val="15"/>
              </w:rPr>
              <w:t>Stage</w:t>
            </w:r>
          </w:p>
        </w:tc>
        <w:tc>
          <w:tcPr>
            <w:tcW w:type="dxa" w:w="5184"/>
            <w:vAlign w:val="center"/>
            <w:shd w:fill="17324D"/>
          </w:tcPr>
          <w:p>
            <w:pPr>
              <w:spacing w:after="0"/>
            </w:pPr>
            <w:r/>
            <w:r>
              <w:rPr>
                <w:rFonts w:ascii="Aptos" w:hAnsi="Aptos"/>
                <w:b/>
                <w:color w:val="FFFFFF"/>
                <w:sz w:val="15"/>
              </w:rPr>
              <w:t>Key activities</w:t>
            </w:r>
          </w:p>
        </w:tc>
        <w:tc>
          <w:tcPr>
            <w:tcW w:type="dxa" w:w="2736"/>
            <w:vAlign w:val="center"/>
            <w:shd w:fill="17324D"/>
          </w:tcPr>
          <w:p>
            <w:pPr>
              <w:spacing w:after="0"/>
            </w:pPr>
            <w:r/>
            <w:r>
              <w:rPr>
                <w:rFonts w:ascii="Aptos" w:hAnsi="Aptos"/>
                <w:b/>
                <w:color w:val="FFFFFF"/>
                <w:sz w:val="15"/>
              </w:rPr>
              <w:t>Output</w:t>
            </w:r>
          </w:p>
        </w:tc>
      </w:tr>
      <w:tr>
        <w:trPr>
          <w:cantSplit/>
        </w:trPr>
        <w:tc>
          <w:tcPr>
            <w:tcW w:type="dxa" w:w="1728"/>
            <w:vAlign w:val="center"/>
          </w:tcPr>
          <w:p>
            <w:pPr>
              <w:spacing w:after="0"/>
            </w:pPr>
            <w:r/>
            <w:r>
              <w:rPr>
                <w:rFonts w:ascii="Aptos" w:hAnsi="Aptos"/>
                <w:b w:val="0"/>
                <w:sz w:val="15"/>
              </w:rPr>
              <w:t>Plan</w:t>
            </w:r>
          </w:p>
        </w:tc>
        <w:tc>
          <w:tcPr>
            <w:tcW w:type="dxa" w:w="5184"/>
            <w:vAlign w:val="center"/>
          </w:tcPr>
          <w:p>
            <w:pPr>
              <w:spacing w:after="0"/>
            </w:pPr>
            <w:r/>
            <w:r>
              <w:rPr>
                <w:rFonts w:ascii="Aptos" w:hAnsi="Aptos"/>
                <w:b w:val="0"/>
                <w:sz w:val="15"/>
              </w:rPr>
              <w:t>Identify control claims, artifact types, owners, periods and collection methods</w:t>
            </w:r>
          </w:p>
        </w:tc>
        <w:tc>
          <w:tcPr>
            <w:tcW w:type="dxa" w:w="2736"/>
            <w:vAlign w:val="center"/>
          </w:tcPr>
          <w:p>
            <w:pPr>
              <w:spacing w:after="0"/>
            </w:pPr>
            <w:r/>
            <w:r>
              <w:rPr>
                <w:rFonts w:ascii="Aptos" w:hAnsi="Aptos"/>
                <w:b w:val="0"/>
                <w:sz w:val="15"/>
              </w:rPr>
              <w:t>Evidence plan</w:t>
            </w:r>
          </w:p>
        </w:tc>
      </w:tr>
      <w:tr>
        <w:trPr>
          <w:cantSplit/>
        </w:trPr>
        <w:tc>
          <w:tcPr>
            <w:tcW w:type="dxa" w:w="1728"/>
            <w:vAlign w:val="center"/>
            <w:shd w:fill="F3F6F7"/>
          </w:tcPr>
          <w:p>
            <w:pPr>
              <w:spacing w:after="0"/>
            </w:pPr>
            <w:r/>
            <w:r>
              <w:rPr>
                <w:rFonts w:ascii="Aptos" w:hAnsi="Aptos"/>
                <w:b w:val="0"/>
                <w:sz w:val="15"/>
              </w:rPr>
              <w:t>Generate</w:t>
            </w:r>
          </w:p>
        </w:tc>
        <w:tc>
          <w:tcPr>
            <w:tcW w:type="dxa" w:w="5184"/>
            <w:vAlign w:val="center"/>
            <w:shd w:fill="F3F6F7"/>
          </w:tcPr>
          <w:p>
            <w:pPr>
              <w:spacing w:after="0"/>
            </w:pPr>
            <w:r/>
            <w:r>
              <w:rPr>
                <w:rFonts w:ascii="Aptos" w:hAnsi="Aptos"/>
                <w:b w:val="0"/>
                <w:sz w:val="15"/>
              </w:rPr>
              <w:t>Operate the control or execute the test</w:t>
            </w:r>
          </w:p>
        </w:tc>
        <w:tc>
          <w:tcPr>
            <w:tcW w:type="dxa" w:w="2736"/>
            <w:vAlign w:val="center"/>
            <w:shd w:fill="F3F6F7"/>
          </w:tcPr>
          <w:p>
            <w:pPr>
              <w:spacing w:after="0"/>
            </w:pPr>
            <w:r/>
            <w:r>
              <w:rPr>
                <w:rFonts w:ascii="Aptos" w:hAnsi="Aptos"/>
                <w:b w:val="0"/>
                <w:sz w:val="15"/>
              </w:rPr>
              <w:t>Raw source artifacts</w:t>
            </w:r>
          </w:p>
        </w:tc>
      </w:tr>
      <w:tr>
        <w:trPr>
          <w:cantSplit/>
        </w:trPr>
        <w:tc>
          <w:tcPr>
            <w:tcW w:type="dxa" w:w="1728"/>
            <w:vAlign w:val="center"/>
          </w:tcPr>
          <w:p>
            <w:pPr>
              <w:spacing w:after="0"/>
            </w:pPr>
            <w:r/>
            <w:r>
              <w:rPr>
                <w:rFonts w:ascii="Aptos" w:hAnsi="Aptos"/>
                <w:b w:val="0"/>
                <w:sz w:val="15"/>
              </w:rPr>
              <w:t>Collect</w:t>
            </w:r>
          </w:p>
        </w:tc>
        <w:tc>
          <w:tcPr>
            <w:tcW w:type="dxa" w:w="5184"/>
            <w:vAlign w:val="center"/>
          </w:tcPr>
          <w:p>
            <w:pPr>
              <w:spacing w:after="0"/>
            </w:pPr>
            <w:r/>
            <w:r>
              <w:rPr>
                <w:rFonts w:ascii="Aptos" w:hAnsi="Aptos"/>
                <w:b w:val="0"/>
                <w:sz w:val="15"/>
              </w:rPr>
              <w:t>Acquire artifacts using approved methods</w:t>
            </w:r>
          </w:p>
        </w:tc>
        <w:tc>
          <w:tcPr>
            <w:tcW w:type="dxa" w:w="2736"/>
            <w:vAlign w:val="center"/>
          </w:tcPr>
          <w:p>
            <w:pPr>
              <w:spacing w:after="0"/>
            </w:pPr>
            <w:r/>
            <w:r>
              <w:rPr>
                <w:rFonts w:ascii="Aptos" w:hAnsi="Aptos"/>
                <w:b w:val="0"/>
                <w:sz w:val="15"/>
              </w:rPr>
              <w:t>Collected evidence</w:t>
            </w:r>
          </w:p>
        </w:tc>
      </w:tr>
      <w:tr>
        <w:trPr>
          <w:cantSplit/>
        </w:trPr>
        <w:tc>
          <w:tcPr>
            <w:tcW w:type="dxa" w:w="1728"/>
            <w:vAlign w:val="center"/>
            <w:shd w:fill="F3F6F7"/>
          </w:tcPr>
          <w:p>
            <w:pPr>
              <w:spacing w:after="0"/>
            </w:pPr>
            <w:r/>
            <w:r>
              <w:rPr>
                <w:rFonts w:ascii="Aptos" w:hAnsi="Aptos"/>
                <w:b w:val="0"/>
                <w:sz w:val="15"/>
              </w:rPr>
              <w:t>Normalize</w:t>
            </w:r>
          </w:p>
        </w:tc>
        <w:tc>
          <w:tcPr>
            <w:tcW w:type="dxa" w:w="5184"/>
            <w:vAlign w:val="center"/>
            <w:shd w:fill="F3F6F7"/>
          </w:tcPr>
          <w:p>
            <w:pPr>
              <w:spacing w:after="0"/>
            </w:pPr>
            <w:r/>
            <w:r>
              <w:rPr>
                <w:rFonts w:ascii="Aptos" w:hAnsi="Aptos"/>
                <w:b w:val="0"/>
                <w:sz w:val="15"/>
              </w:rPr>
              <w:t>Apply naming, metadata, format and redaction rules</w:t>
            </w:r>
          </w:p>
        </w:tc>
        <w:tc>
          <w:tcPr>
            <w:tcW w:type="dxa" w:w="2736"/>
            <w:vAlign w:val="center"/>
            <w:shd w:fill="F3F6F7"/>
          </w:tcPr>
          <w:p>
            <w:pPr>
              <w:spacing w:after="0"/>
            </w:pPr>
            <w:r/>
            <w:r>
              <w:rPr>
                <w:rFonts w:ascii="Aptos" w:hAnsi="Aptos"/>
                <w:b w:val="0"/>
                <w:sz w:val="15"/>
              </w:rPr>
              <w:t>Controlled evidence record</w:t>
            </w:r>
          </w:p>
        </w:tc>
      </w:tr>
      <w:tr>
        <w:trPr>
          <w:cantSplit/>
        </w:trPr>
        <w:tc>
          <w:tcPr>
            <w:tcW w:type="dxa" w:w="1728"/>
            <w:vAlign w:val="center"/>
          </w:tcPr>
          <w:p>
            <w:pPr>
              <w:spacing w:after="0"/>
            </w:pPr>
            <w:r/>
            <w:r>
              <w:rPr>
                <w:rFonts w:ascii="Aptos" w:hAnsi="Aptos"/>
                <w:b w:val="0"/>
                <w:sz w:val="15"/>
              </w:rPr>
              <w:t>Validate</w:t>
            </w:r>
          </w:p>
        </w:tc>
        <w:tc>
          <w:tcPr>
            <w:tcW w:type="dxa" w:w="5184"/>
            <w:vAlign w:val="center"/>
          </w:tcPr>
          <w:p>
            <w:pPr>
              <w:spacing w:after="0"/>
            </w:pPr>
            <w:r/>
            <w:r>
              <w:rPr>
                <w:rFonts w:ascii="Aptos" w:hAnsi="Aptos"/>
                <w:b w:val="0"/>
                <w:sz w:val="15"/>
              </w:rPr>
              <w:t>Check scope, completeness, integrity, currency and consistency</w:t>
            </w:r>
          </w:p>
        </w:tc>
        <w:tc>
          <w:tcPr>
            <w:tcW w:type="dxa" w:w="2736"/>
            <w:vAlign w:val="center"/>
          </w:tcPr>
          <w:p>
            <w:pPr>
              <w:spacing w:after="0"/>
            </w:pPr>
            <w:r/>
            <w:r>
              <w:rPr>
                <w:rFonts w:ascii="Aptos" w:hAnsi="Aptos"/>
                <w:b w:val="0"/>
                <w:sz w:val="15"/>
              </w:rPr>
              <w:t>Accepted or rejected evidence</w:t>
            </w:r>
          </w:p>
        </w:tc>
      </w:tr>
      <w:tr>
        <w:trPr>
          <w:cantSplit/>
        </w:trPr>
        <w:tc>
          <w:tcPr>
            <w:tcW w:type="dxa" w:w="1728"/>
            <w:vAlign w:val="center"/>
            <w:shd w:fill="F3F6F7"/>
          </w:tcPr>
          <w:p>
            <w:pPr>
              <w:spacing w:after="0"/>
            </w:pPr>
            <w:r/>
            <w:r>
              <w:rPr>
                <w:rFonts w:ascii="Aptos" w:hAnsi="Aptos"/>
                <w:b w:val="0"/>
                <w:sz w:val="15"/>
              </w:rPr>
              <w:t>Index</w:t>
            </w:r>
          </w:p>
        </w:tc>
        <w:tc>
          <w:tcPr>
            <w:tcW w:type="dxa" w:w="5184"/>
            <w:vAlign w:val="center"/>
            <w:shd w:fill="F3F6F7"/>
          </w:tcPr>
          <w:p>
            <w:pPr>
              <w:spacing w:after="0"/>
            </w:pPr>
            <w:r/>
            <w:r>
              <w:rPr>
                <w:rFonts w:ascii="Aptos" w:hAnsi="Aptos"/>
                <w:b w:val="0"/>
                <w:sz w:val="15"/>
              </w:rPr>
              <w:t>Link to control, system, period, owner and repository</w:t>
            </w:r>
          </w:p>
        </w:tc>
        <w:tc>
          <w:tcPr>
            <w:tcW w:type="dxa" w:w="2736"/>
            <w:vAlign w:val="center"/>
            <w:shd w:fill="F3F6F7"/>
          </w:tcPr>
          <w:p>
            <w:pPr>
              <w:spacing w:after="0"/>
            </w:pPr>
            <w:r/>
            <w:r>
              <w:rPr>
                <w:rFonts w:ascii="Aptos" w:hAnsi="Aptos"/>
                <w:b w:val="0"/>
                <w:sz w:val="15"/>
              </w:rPr>
              <w:t>Evidence index</w:t>
            </w:r>
          </w:p>
        </w:tc>
      </w:tr>
      <w:tr>
        <w:trPr>
          <w:cantSplit/>
        </w:trPr>
        <w:tc>
          <w:tcPr>
            <w:tcW w:type="dxa" w:w="1728"/>
            <w:vAlign w:val="center"/>
          </w:tcPr>
          <w:p>
            <w:pPr>
              <w:spacing w:after="0"/>
            </w:pPr>
            <w:r/>
            <w:r>
              <w:rPr>
                <w:rFonts w:ascii="Aptos" w:hAnsi="Aptos"/>
                <w:b w:val="0"/>
                <w:sz w:val="15"/>
              </w:rPr>
              <w:t>Protect</w:t>
            </w:r>
          </w:p>
        </w:tc>
        <w:tc>
          <w:tcPr>
            <w:tcW w:type="dxa" w:w="5184"/>
            <w:vAlign w:val="center"/>
          </w:tcPr>
          <w:p>
            <w:pPr>
              <w:spacing w:after="0"/>
            </w:pPr>
            <w:r/>
            <w:r>
              <w:rPr>
                <w:rFonts w:ascii="Aptos" w:hAnsi="Aptos"/>
                <w:b w:val="0"/>
                <w:sz w:val="15"/>
              </w:rPr>
              <w:t>Apply access, integrity, retention and backup controls</w:t>
            </w:r>
          </w:p>
        </w:tc>
        <w:tc>
          <w:tcPr>
            <w:tcW w:type="dxa" w:w="2736"/>
            <w:vAlign w:val="center"/>
          </w:tcPr>
          <w:p>
            <w:pPr>
              <w:spacing w:after="0"/>
            </w:pPr>
            <w:r/>
            <w:r>
              <w:rPr>
                <w:rFonts w:ascii="Aptos" w:hAnsi="Aptos"/>
                <w:b w:val="0"/>
                <w:sz w:val="15"/>
              </w:rPr>
              <w:t>Protected repository</w:t>
            </w:r>
          </w:p>
        </w:tc>
      </w:tr>
      <w:tr>
        <w:trPr>
          <w:cantSplit/>
        </w:trPr>
        <w:tc>
          <w:tcPr>
            <w:tcW w:type="dxa" w:w="1728"/>
            <w:vAlign w:val="center"/>
            <w:shd w:fill="F3F6F7"/>
          </w:tcPr>
          <w:p>
            <w:pPr>
              <w:spacing w:after="0"/>
            </w:pPr>
            <w:r/>
            <w:r>
              <w:rPr>
                <w:rFonts w:ascii="Aptos" w:hAnsi="Aptos"/>
                <w:b w:val="0"/>
                <w:sz w:val="15"/>
              </w:rPr>
              <w:t>Use</w:t>
            </w:r>
          </w:p>
        </w:tc>
        <w:tc>
          <w:tcPr>
            <w:tcW w:type="dxa" w:w="5184"/>
            <w:vAlign w:val="center"/>
            <w:shd w:fill="F3F6F7"/>
          </w:tcPr>
          <w:p>
            <w:pPr>
              <w:spacing w:after="0"/>
            </w:pPr>
            <w:r/>
            <w:r>
              <w:rPr>
                <w:rFonts w:ascii="Aptos" w:hAnsi="Aptos"/>
                <w:b w:val="0"/>
                <w:sz w:val="15"/>
              </w:rPr>
              <w:t>Support assessment, review, certification or decision</w:t>
            </w:r>
          </w:p>
        </w:tc>
        <w:tc>
          <w:tcPr>
            <w:tcW w:type="dxa" w:w="2736"/>
            <w:vAlign w:val="center"/>
            <w:shd w:fill="F3F6F7"/>
          </w:tcPr>
          <w:p>
            <w:pPr>
              <w:spacing w:after="0"/>
            </w:pPr>
            <w:r/>
            <w:r>
              <w:rPr>
                <w:rFonts w:ascii="Aptos" w:hAnsi="Aptos"/>
                <w:b w:val="0"/>
                <w:sz w:val="15"/>
              </w:rPr>
              <w:t>Evidence package</w:t>
            </w:r>
          </w:p>
        </w:tc>
      </w:tr>
      <w:tr>
        <w:trPr>
          <w:cantSplit/>
        </w:trPr>
        <w:tc>
          <w:tcPr>
            <w:tcW w:type="dxa" w:w="1728"/>
            <w:vAlign w:val="center"/>
          </w:tcPr>
          <w:p>
            <w:pPr>
              <w:spacing w:after="0"/>
            </w:pPr>
            <w:r/>
            <w:r>
              <w:rPr>
                <w:rFonts w:ascii="Aptos" w:hAnsi="Aptos"/>
                <w:b w:val="0"/>
                <w:sz w:val="15"/>
              </w:rPr>
              <w:t>Refresh</w:t>
            </w:r>
          </w:p>
        </w:tc>
        <w:tc>
          <w:tcPr>
            <w:tcW w:type="dxa" w:w="5184"/>
            <w:vAlign w:val="center"/>
          </w:tcPr>
          <w:p>
            <w:pPr>
              <w:spacing w:after="0"/>
            </w:pPr>
            <w:r/>
            <w:r>
              <w:rPr>
                <w:rFonts w:ascii="Aptos" w:hAnsi="Aptos"/>
                <w:b w:val="0"/>
                <w:sz w:val="15"/>
              </w:rPr>
              <w:t>Replace expired, stale or superseded artifacts</w:t>
            </w:r>
          </w:p>
        </w:tc>
        <w:tc>
          <w:tcPr>
            <w:tcW w:type="dxa" w:w="2736"/>
            <w:vAlign w:val="center"/>
          </w:tcPr>
          <w:p>
            <w:pPr>
              <w:spacing w:after="0"/>
            </w:pPr>
            <w:r/>
            <w:r>
              <w:rPr>
                <w:rFonts w:ascii="Aptos" w:hAnsi="Aptos"/>
                <w:b w:val="0"/>
                <w:sz w:val="15"/>
              </w:rPr>
              <w:t>Current evidence set</w:t>
            </w:r>
          </w:p>
        </w:tc>
      </w:tr>
      <w:tr>
        <w:trPr>
          <w:cantSplit/>
        </w:trPr>
        <w:tc>
          <w:tcPr>
            <w:tcW w:type="dxa" w:w="1728"/>
            <w:vAlign w:val="center"/>
            <w:shd w:fill="F3F6F7"/>
          </w:tcPr>
          <w:p>
            <w:pPr>
              <w:spacing w:after="0"/>
            </w:pPr>
            <w:r/>
            <w:r>
              <w:rPr>
                <w:rFonts w:ascii="Aptos" w:hAnsi="Aptos"/>
                <w:b w:val="0"/>
                <w:sz w:val="15"/>
              </w:rPr>
              <w:t>Retire</w:t>
            </w:r>
          </w:p>
        </w:tc>
        <w:tc>
          <w:tcPr>
            <w:tcW w:type="dxa" w:w="5184"/>
            <w:vAlign w:val="center"/>
            <w:shd w:fill="F3F6F7"/>
          </w:tcPr>
          <w:p>
            <w:pPr>
              <w:spacing w:after="0"/>
            </w:pPr>
            <w:r/>
            <w:r>
              <w:rPr>
                <w:rFonts w:ascii="Aptos" w:hAnsi="Aptos"/>
                <w:b w:val="0"/>
                <w:sz w:val="15"/>
              </w:rPr>
              <w:t>Archive or dispose according to obligations</w:t>
            </w:r>
          </w:p>
        </w:tc>
        <w:tc>
          <w:tcPr>
            <w:tcW w:type="dxa" w:w="2736"/>
            <w:vAlign w:val="center"/>
            <w:shd w:fill="F3F6F7"/>
          </w:tcPr>
          <w:p>
            <w:pPr>
              <w:spacing w:after="0"/>
            </w:pPr>
            <w:r/>
            <w:r>
              <w:rPr>
                <w:rFonts w:ascii="Aptos" w:hAnsi="Aptos"/>
                <w:b w:val="0"/>
                <w:sz w:val="15"/>
              </w:rPr>
              <w:t>Retirement record</w:t>
            </w:r>
          </w:p>
        </w:tc>
      </w:tr>
    </w:tbl>
    <w:p/>
    <w:p>
      <w:pPr>
        <w:pStyle w:val="Heading1"/>
      </w:pPr>
      <w:r>
        <w:t>4. Evidence Roles and Responsibilities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Role</w:t>
            </w:r>
          </w:p>
        </w:tc>
        <w:tc>
          <w:tcPr>
            <w:tcW w:type="dxa" w:w="7056"/>
            <w:vAlign w:val="center"/>
            <w:shd w:fill="17324D"/>
          </w:tcPr>
          <w:p>
            <w:pPr>
              <w:spacing w:after="0"/>
            </w:pPr>
            <w:r/>
            <w:r>
              <w:rPr>
                <w:rFonts w:ascii="Aptos" w:hAnsi="Aptos"/>
                <w:b/>
                <w:color w:val="FFFFFF"/>
                <w:sz w:val="15"/>
              </w:rPr>
              <w:t>Responsibility</w:t>
            </w:r>
          </w:p>
        </w:tc>
      </w:tr>
      <w:tr>
        <w:trPr>
          <w:cantSplit/>
        </w:trPr>
        <w:tc>
          <w:tcPr>
            <w:tcW w:type="dxa" w:w="2592"/>
            <w:vAlign w:val="center"/>
          </w:tcPr>
          <w:p>
            <w:pPr>
              <w:spacing w:after="0"/>
            </w:pPr>
            <w:r/>
            <w:r>
              <w:rPr>
                <w:rFonts w:ascii="Aptos" w:hAnsi="Aptos"/>
                <w:b w:val="0"/>
                <w:sz w:val="15"/>
              </w:rPr>
              <w:t>Control owner</w:t>
            </w:r>
          </w:p>
        </w:tc>
        <w:tc>
          <w:tcPr>
            <w:tcW w:type="dxa" w:w="7056"/>
            <w:vAlign w:val="center"/>
          </w:tcPr>
          <w:p>
            <w:pPr>
              <w:spacing w:after="0"/>
            </w:pPr>
            <w:r/>
            <w:r>
              <w:rPr>
                <w:rFonts w:ascii="Aptos" w:hAnsi="Aptos"/>
                <w:b w:val="0"/>
                <w:sz w:val="15"/>
              </w:rPr>
              <w:t>Defines the claim, approves evidence expectations and accepts gaps</w:t>
            </w:r>
          </w:p>
        </w:tc>
      </w:tr>
      <w:tr>
        <w:trPr>
          <w:cantSplit/>
        </w:trPr>
        <w:tc>
          <w:tcPr>
            <w:tcW w:type="dxa" w:w="2592"/>
            <w:vAlign w:val="center"/>
            <w:shd w:fill="F3F6F7"/>
          </w:tcPr>
          <w:p>
            <w:pPr>
              <w:spacing w:after="0"/>
            </w:pPr>
            <w:r/>
            <w:r>
              <w:rPr>
                <w:rFonts w:ascii="Aptos" w:hAnsi="Aptos"/>
                <w:b w:val="0"/>
                <w:sz w:val="15"/>
              </w:rPr>
              <w:t>Control operator</w:t>
            </w:r>
          </w:p>
        </w:tc>
        <w:tc>
          <w:tcPr>
            <w:tcW w:type="dxa" w:w="7056"/>
            <w:vAlign w:val="center"/>
            <w:shd w:fill="F3F6F7"/>
          </w:tcPr>
          <w:p>
            <w:pPr>
              <w:spacing w:after="0"/>
            </w:pPr>
            <w:r/>
            <w:r>
              <w:rPr>
                <w:rFonts w:ascii="Aptos" w:hAnsi="Aptos"/>
                <w:b w:val="0"/>
                <w:sz w:val="15"/>
              </w:rPr>
              <w:t>Performs recurring activities and generates operating evidence</w:t>
            </w:r>
          </w:p>
        </w:tc>
      </w:tr>
      <w:tr>
        <w:trPr>
          <w:cantSplit/>
        </w:trPr>
        <w:tc>
          <w:tcPr>
            <w:tcW w:type="dxa" w:w="2592"/>
            <w:vAlign w:val="center"/>
          </w:tcPr>
          <w:p>
            <w:pPr>
              <w:spacing w:after="0"/>
            </w:pPr>
            <w:r/>
            <w:r>
              <w:rPr>
                <w:rFonts w:ascii="Aptos" w:hAnsi="Aptos"/>
                <w:b w:val="0"/>
                <w:sz w:val="15"/>
              </w:rPr>
              <w:t>Evidence custodian</w:t>
            </w:r>
          </w:p>
        </w:tc>
        <w:tc>
          <w:tcPr>
            <w:tcW w:type="dxa" w:w="7056"/>
            <w:vAlign w:val="center"/>
          </w:tcPr>
          <w:p>
            <w:pPr>
              <w:spacing w:after="0"/>
            </w:pPr>
            <w:r/>
            <w:r>
              <w:rPr>
                <w:rFonts w:ascii="Aptos" w:hAnsi="Aptos"/>
                <w:b w:val="0"/>
                <w:sz w:val="15"/>
              </w:rPr>
              <w:t>Collects, indexes, protects and maintains artifacts</w:t>
            </w:r>
          </w:p>
        </w:tc>
      </w:tr>
      <w:tr>
        <w:trPr>
          <w:cantSplit/>
        </w:trPr>
        <w:tc>
          <w:tcPr>
            <w:tcW w:type="dxa" w:w="2592"/>
            <w:vAlign w:val="center"/>
            <w:shd w:fill="F3F6F7"/>
          </w:tcPr>
          <w:p>
            <w:pPr>
              <w:spacing w:after="0"/>
            </w:pPr>
            <w:r/>
            <w:r>
              <w:rPr>
                <w:rFonts w:ascii="Aptos" w:hAnsi="Aptos"/>
                <w:b w:val="0"/>
                <w:sz w:val="15"/>
              </w:rPr>
              <w:t>System owner</w:t>
            </w:r>
          </w:p>
        </w:tc>
        <w:tc>
          <w:tcPr>
            <w:tcW w:type="dxa" w:w="7056"/>
            <w:vAlign w:val="center"/>
            <w:shd w:fill="F3F6F7"/>
          </w:tcPr>
          <w:p>
            <w:pPr>
              <w:spacing w:after="0"/>
            </w:pPr>
            <w:r/>
            <w:r>
              <w:rPr>
                <w:rFonts w:ascii="Aptos" w:hAnsi="Aptos"/>
                <w:b w:val="0"/>
                <w:sz w:val="15"/>
              </w:rPr>
              <w:t>Confirms system scope, versions and operational context</w:t>
            </w:r>
          </w:p>
        </w:tc>
      </w:tr>
      <w:tr>
        <w:trPr>
          <w:cantSplit/>
        </w:trPr>
        <w:tc>
          <w:tcPr>
            <w:tcW w:type="dxa" w:w="2592"/>
            <w:vAlign w:val="center"/>
          </w:tcPr>
          <w:p>
            <w:pPr>
              <w:spacing w:after="0"/>
            </w:pPr>
            <w:r/>
            <w:r>
              <w:rPr>
                <w:rFonts w:ascii="Aptos" w:hAnsi="Aptos"/>
                <w:b w:val="0"/>
                <w:sz w:val="15"/>
              </w:rPr>
              <w:t>Data/model owner</w:t>
            </w:r>
          </w:p>
        </w:tc>
        <w:tc>
          <w:tcPr>
            <w:tcW w:type="dxa" w:w="7056"/>
            <w:vAlign w:val="center"/>
          </w:tcPr>
          <w:p>
            <w:pPr>
              <w:spacing w:after="0"/>
            </w:pPr>
            <w:r/>
            <w:r>
              <w:rPr>
                <w:rFonts w:ascii="Aptos" w:hAnsi="Aptos"/>
                <w:b w:val="0"/>
                <w:sz w:val="15"/>
              </w:rPr>
              <w:t>Provides lineage, configuration and evaluation records</w:t>
            </w:r>
          </w:p>
        </w:tc>
      </w:tr>
      <w:tr>
        <w:trPr>
          <w:cantSplit/>
        </w:trPr>
        <w:tc>
          <w:tcPr>
            <w:tcW w:type="dxa" w:w="2592"/>
            <w:vAlign w:val="center"/>
            <w:shd w:fill="F3F6F7"/>
          </w:tcPr>
          <w:p>
            <w:pPr>
              <w:spacing w:after="0"/>
            </w:pPr>
            <w:r/>
            <w:r>
              <w:rPr>
                <w:rFonts w:ascii="Aptos" w:hAnsi="Aptos"/>
                <w:b w:val="0"/>
                <w:sz w:val="15"/>
              </w:rPr>
              <w:t>Supplier manager</w:t>
            </w:r>
          </w:p>
        </w:tc>
        <w:tc>
          <w:tcPr>
            <w:tcW w:type="dxa" w:w="7056"/>
            <w:vAlign w:val="center"/>
            <w:shd w:fill="F3F6F7"/>
          </w:tcPr>
          <w:p>
            <w:pPr>
              <w:spacing w:after="0"/>
            </w:pPr>
            <w:r/>
            <w:r>
              <w:rPr>
                <w:rFonts w:ascii="Aptos" w:hAnsi="Aptos"/>
                <w:b w:val="0"/>
                <w:sz w:val="15"/>
              </w:rPr>
              <w:t>Obtains inherited-control and third-party evidence</w:t>
            </w:r>
          </w:p>
        </w:tc>
      </w:tr>
      <w:tr>
        <w:trPr>
          <w:cantSplit/>
        </w:trPr>
        <w:tc>
          <w:tcPr>
            <w:tcW w:type="dxa" w:w="2592"/>
            <w:vAlign w:val="center"/>
          </w:tcPr>
          <w:p>
            <w:pPr>
              <w:spacing w:after="0"/>
            </w:pPr>
            <w:r/>
            <w:r>
              <w:rPr>
                <w:rFonts w:ascii="Aptos" w:hAnsi="Aptos"/>
                <w:b w:val="0"/>
                <w:sz w:val="15"/>
              </w:rPr>
              <w:t>Internal assurance</w:t>
            </w:r>
          </w:p>
        </w:tc>
        <w:tc>
          <w:tcPr>
            <w:tcW w:type="dxa" w:w="7056"/>
            <w:vAlign w:val="center"/>
          </w:tcPr>
          <w:p>
            <w:pPr>
              <w:spacing w:after="0"/>
            </w:pPr>
            <w:r/>
            <w:r>
              <w:rPr>
                <w:rFonts w:ascii="Aptos" w:hAnsi="Aptos"/>
                <w:b w:val="0"/>
                <w:sz w:val="15"/>
              </w:rPr>
              <w:t>Challenges evidence sufficiency and performs independent tests</w:t>
            </w:r>
          </w:p>
        </w:tc>
      </w:tr>
      <w:tr>
        <w:trPr>
          <w:cantSplit/>
        </w:trPr>
        <w:tc>
          <w:tcPr>
            <w:tcW w:type="dxa" w:w="2592"/>
            <w:vAlign w:val="center"/>
            <w:shd w:fill="F3F6F7"/>
          </w:tcPr>
          <w:p>
            <w:pPr>
              <w:spacing w:after="0"/>
            </w:pPr>
            <w:r/>
            <w:r>
              <w:rPr>
                <w:rFonts w:ascii="Aptos" w:hAnsi="Aptos"/>
                <w:b w:val="0"/>
                <w:sz w:val="15"/>
              </w:rPr>
              <w:t>Privacy/legal</w:t>
            </w:r>
          </w:p>
        </w:tc>
        <w:tc>
          <w:tcPr>
            <w:tcW w:type="dxa" w:w="7056"/>
            <w:vAlign w:val="center"/>
            <w:shd w:fill="F3F6F7"/>
          </w:tcPr>
          <w:p>
            <w:pPr>
              <w:spacing w:after="0"/>
            </w:pPr>
            <w:r/>
            <w:r>
              <w:rPr>
                <w:rFonts w:ascii="Aptos" w:hAnsi="Aptos"/>
                <w:b w:val="0"/>
                <w:sz w:val="15"/>
              </w:rPr>
              <w:t>Reviews collection, retention, disclosure and redaction constraints</w:t>
            </w:r>
          </w:p>
        </w:tc>
      </w:tr>
      <w:tr>
        <w:trPr>
          <w:cantSplit/>
        </w:trPr>
        <w:tc>
          <w:tcPr>
            <w:tcW w:type="dxa" w:w="2592"/>
            <w:vAlign w:val="center"/>
          </w:tcPr>
          <w:p>
            <w:pPr>
              <w:spacing w:after="0"/>
            </w:pPr>
            <w:r/>
            <w:r>
              <w:rPr>
                <w:rFonts w:ascii="Aptos" w:hAnsi="Aptos"/>
                <w:b w:val="0"/>
                <w:sz w:val="15"/>
              </w:rPr>
              <w:t>Certification liaison</w:t>
            </w:r>
          </w:p>
        </w:tc>
        <w:tc>
          <w:tcPr>
            <w:tcW w:type="dxa" w:w="7056"/>
            <w:vAlign w:val="center"/>
          </w:tcPr>
          <w:p>
            <w:pPr>
              <w:spacing w:after="0"/>
            </w:pPr>
            <w:r/>
            <w:r>
              <w:rPr>
                <w:rFonts w:ascii="Aptos" w:hAnsi="Aptos"/>
                <w:b w:val="0"/>
                <w:sz w:val="15"/>
              </w:rPr>
              <w:t>Coordinates evidence packages, assessor access and claims</w:t>
            </w:r>
          </w:p>
        </w:tc>
      </w:tr>
      <w:tr>
        <w:trPr>
          <w:cantSplit/>
        </w:trPr>
        <w:tc>
          <w:tcPr>
            <w:tcW w:type="dxa" w:w="2592"/>
            <w:vAlign w:val="center"/>
            <w:shd w:fill="F3F6F7"/>
          </w:tcPr>
          <w:p>
            <w:pPr>
              <w:spacing w:after="0"/>
            </w:pPr>
            <w:r/>
            <w:r>
              <w:rPr>
                <w:rFonts w:ascii="Aptos" w:hAnsi="Aptos"/>
                <w:b w:val="0"/>
                <w:sz w:val="15"/>
              </w:rPr>
              <w:t>Repository administrator</w:t>
            </w:r>
          </w:p>
        </w:tc>
        <w:tc>
          <w:tcPr>
            <w:tcW w:type="dxa" w:w="7056"/>
            <w:vAlign w:val="center"/>
            <w:shd w:fill="F3F6F7"/>
          </w:tcPr>
          <w:p>
            <w:pPr>
              <w:spacing w:after="0"/>
            </w:pPr>
            <w:r/>
            <w:r>
              <w:rPr>
                <w:rFonts w:ascii="Aptos" w:hAnsi="Aptos"/>
                <w:b w:val="0"/>
                <w:sz w:val="15"/>
              </w:rPr>
              <w:t>Maintains access, integrity, backup and audit trails</w:t>
            </w:r>
          </w:p>
        </w:tc>
      </w:tr>
    </w:tbl>
    <w:p/>
    <w:p>
      <w:pPr>
        <w:pStyle w:val="Heading1"/>
      </w:pPr>
      <w:r>
        <w:t>5. Evidence Classification</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160"/>
            <w:vAlign w:val="center"/>
            <w:shd w:fill="17324D"/>
          </w:tcPr>
          <w:p>
            <w:pPr>
              <w:spacing w:after="0"/>
            </w:pPr>
            <w:r/>
            <w:r>
              <w:rPr>
                <w:rFonts w:ascii="Aptos" w:hAnsi="Aptos"/>
                <w:b/>
                <w:color w:val="FFFFFF"/>
                <w:sz w:val="15"/>
              </w:rPr>
              <w:t>Class</w:t>
            </w:r>
          </w:p>
        </w:tc>
        <w:tc>
          <w:tcPr>
            <w:tcW w:type="dxa" w:w="4896"/>
            <w:vAlign w:val="center"/>
            <w:shd w:fill="17324D"/>
          </w:tcPr>
          <w:p>
            <w:pPr>
              <w:spacing w:after="0"/>
            </w:pPr>
            <w:r/>
            <w:r>
              <w:rPr>
                <w:rFonts w:ascii="Aptos" w:hAnsi="Aptos"/>
                <w:b/>
                <w:color w:val="FFFFFF"/>
                <w:sz w:val="15"/>
              </w:rPr>
              <w:t>Examples</w:t>
            </w:r>
          </w:p>
        </w:tc>
        <w:tc>
          <w:tcPr>
            <w:tcW w:type="dxa" w:w="2592"/>
            <w:vAlign w:val="center"/>
            <w:shd w:fill="17324D"/>
          </w:tcPr>
          <w:p>
            <w:pPr>
              <w:spacing w:after="0"/>
            </w:pPr>
            <w:r/>
            <w:r>
              <w:rPr>
                <w:rFonts w:ascii="Aptos" w:hAnsi="Aptos"/>
                <w:b/>
                <w:color w:val="FFFFFF"/>
                <w:sz w:val="15"/>
              </w:rPr>
              <w:t>Typical strength</w:t>
            </w:r>
          </w:p>
        </w:tc>
      </w:tr>
      <w:tr>
        <w:trPr>
          <w:cantSplit/>
        </w:trPr>
        <w:tc>
          <w:tcPr>
            <w:tcW w:type="dxa" w:w="2160"/>
            <w:vAlign w:val="center"/>
          </w:tcPr>
          <w:p>
            <w:pPr>
              <w:spacing w:after="0"/>
            </w:pPr>
            <w:r/>
            <w:r>
              <w:rPr>
                <w:rFonts w:ascii="Aptos" w:hAnsi="Aptos"/>
                <w:b w:val="0"/>
                <w:sz w:val="15"/>
              </w:rPr>
              <w:t>Governance</w:t>
            </w:r>
          </w:p>
        </w:tc>
        <w:tc>
          <w:tcPr>
            <w:tcW w:type="dxa" w:w="4896"/>
            <w:vAlign w:val="center"/>
          </w:tcPr>
          <w:p>
            <w:pPr>
              <w:spacing w:after="0"/>
            </w:pPr>
            <w:r/>
            <w:r>
              <w:rPr>
                <w:rFonts w:ascii="Aptos" w:hAnsi="Aptos"/>
                <w:b w:val="0"/>
                <w:sz w:val="15"/>
              </w:rPr>
              <w:t>Charters, approvals, RACI, minutes, risk decisions</w:t>
            </w:r>
          </w:p>
        </w:tc>
        <w:tc>
          <w:tcPr>
            <w:tcW w:type="dxa" w:w="2592"/>
            <w:vAlign w:val="center"/>
          </w:tcPr>
          <w:p>
            <w:pPr>
              <w:spacing w:after="0"/>
            </w:pPr>
            <w:r/>
            <w:r>
              <w:rPr>
                <w:rFonts w:ascii="Aptos" w:hAnsi="Aptos"/>
                <w:b w:val="0"/>
                <w:sz w:val="15"/>
              </w:rPr>
              <w:t>Strong for accountability and decision rights</w:t>
            </w:r>
          </w:p>
        </w:tc>
      </w:tr>
      <w:tr>
        <w:trPr>
          <w:cantSplit/>
        </w:trPr>
        <w:tc>
          <w:tcPr>
            <w:tcW w:type="dxa" w:w="2160"/>
            <w:vAlign w:val="center"/>
            <w:shd w:fill="F3F6F7"/>
          </w:tcPr>
          <w:p>
            <w:pPr>
              <w:spacing w:after="0"/>
            </w:pPr>
            <w:r/>
            <w:r>
              <w:rPr>
                <w:rFonts w:ascii="Aptos" w:hAnsi="Aptos"/>
                <w:b w:val="0"/>
                <w:sz w:val="15"/>
              </w:rPr>
              <w:t>Design</w:t>
            </w:r>
          </w:p>
        </w:tc>
        <w:tc>
          <w:tcPr>
            <w:tcW w:type="dxa" w:w="4896"/>
            <w:vAlign w:val="center"/>
            <w:shd w:fill="F3F6F7"/>
          </w:tcPr>
          <w:p>
            <w:pPr>
              <w:spacing w:after="0"/>
            </w:pPr>
            <w:r/>
            <w:r>
              <w:rPr>
                <w:rFonts w:ascii="Aptos" w:hAnsi="Aptos"/>
                <w:b w:val="0"/>
                <w:sz w:val="15"/>
              </w:rPr>
              <w:t>Policies, standards, procedures, architecture, threat models</w:t>
            </w:r>
          </w:p>
        </w:tc>
        <w:tc>
          <w:tcPr>
            <w:tcW w:type="dxa" w:w="2592"/>
            <w:vAlign w:val="center"/>
            <w:shd w:fill="F3F6F7"/>
          </w:tcPr>
          <w:p>
            <w:pPr>
              <w:spacing w:after="0"/>
            </w:pPr>
            <w:r/>
            <w:r>
              <w:rPr>
                <w:rFonts w:ascii="Aptos" w:hAnsi="Aptos"/>
                <w:b w:val="0"/>
                <w:sz w:val="15"/>
              </w:rPr>
              <w:t>Shows intended control design</w:t>
            </w:r>
          </w:p>
        </w:tc>
      </w:tr>
      <w:tr>
        <w:trPr>
          <w:cantSplit/>
        </w:trPr>
        <w:tc>
          <w:tcPr>
            <w:tcW w:type="dxa" w:w="2160"/>
            <w:vAlign w:val="center"/>
          </w:tcPr>
          <w:p>
            <w:pPr>
              <w:spacing w:after="0"/>
            </w:pPr>
            <w:r/>
            <w:r>
              <w:rPr>
                <w:rFonts w:ascii="Aptos" w:hAnsi="Aptos"/>
                <w:b w:val="0"/>
                <w:sz w:val="15"/>
              </w:rPr>
              <w:t>Implementation</w:t>
            </w:r>
          </w:p>
        </w:tc>
        <w:tc>
          <w:tcPr>
            <w:tcW w:type="dxa" w:w="4896"/>
            <w:vAlign w:val="center"/>
          </w:tcPr>
          <w:p>
            <w:pPr>
              <w:spacing w:after="0"/>
            </w:pPr>
            <w:r/>
            <w:r>
              <w:rPr>
                <w:rFonts w:ascii="Aptos" w:hAnsi="Aptos"/>
                <w:b w:val="0"/>
                <w:sz w:val="15"/>
              </w:rPr>
              <w:t>Configurations, code, release records, deployment manifests</w:t>
            </w:r>
          </w:p>
        </w:tc>
        <w:tc>
          <w:tcPr>
            <w:tcW w:type="dxa" w:w="2592"/>
            <w:vAlign w:val="center"/>
          </w:tcPr>
          <w:p>
            <w:pPr>
              <w:spacing w:after="0"/>
            </w:pPr>
            <w:r/>
            <w:r>
              <w:rPr>
                <w:rFonts w:ascii="Aptos" w:hAnsi="Aptos"/>
                <w:b w:val="0"/>
                <w:sz w:val="15"/>
              </w:rPr>
              <w:t>Shows mechanism exists in scope</w:t>
            </w:r>
          </w:p>
        </w:tc>
      </w:tr>
      <w:tr>
        <w:trPr>
          <w:cantSplit/>
        </w:trPr>
        <w:tc>
          <w:tcPr>
            <w:tcW w:type="dxa" w:w="2160"/>
            <w:vAlign w:val="center"/>
            <w:shd w:fill="F3F6F7"/>
          </w:tcPr>
          <w:p>
            <w:pPr>
              <w:spacing w:after="0"/>
            </w:pPr>
            <w:r/>
            <w:r>
              <w:rPr>
                <w:rFonts w:ascii="Aptos" w:hAnsi="Aptos"/>
                <w:b w:val="0"/>
                <w:sz w:val="15"/>
              </w:rPr>
              <w:t>Operating</w:t>
            </w:r>
          </w:p>
        </w:tc>
        <w:tc>
          <w:tcPr>
            <w:tcW w:type="dxa" w:w="4896"/>
            <w:vAlign w:val="center"/>
            <w:shd w:fill="F3F6F7"/>
          </w:tcPr>
          <w:p>
            <w:pPr>
              <w:spacing w:after="0"/>
            </w:pPr>
            <w:r/>
            <w:r>
              <w:rPr>
                <w:rFonts w:ascii="Aptos" w:hAnsi="Aptos"/>
                <w:b w:val="0"/>
                <w:sz w:val="15"/>
              </w:rPr>
              <w:t>Logs, tickets, reviews, approvals, recurring tests</w:t>
            </w:r>
          </w:p>
        </w:tc>
        <w:tc>
          <w:tcPr>
            <w:tcW w:type="dxa" w:w="2592"/>
            <w:vAlign w:val="center"/>
            <w:shd w:fill="F3F6F7"/>
          </w:tcPr>
          <w:p>
            <w:pPr>
              <w:spacing w:after="0"/>
            </w:pPr>
            <w:r/>
            <w:r>
              <w:rPr>
                <w:rFonts w:ascii="Aptos" w:hAnsi="Aptos"/>
                <w:b w:val="0"/>
                <w:sz w:val="15"/>
              </w:rPr>
              <w:t>Shows control operated during a period</w:t>
            </w:r>
          </w:p>
        </w:tc>
      </w:tr>
      <w:tr>
        <w:trPr>
          <w:cantSplit/>
        </w:trPr>
        <w:tc>
          <w:tcPr>
            <w:tcW w:type="dxa" w:w="2160"/>
            <w:vAlign w:val="center"/>
          </w:tcPr>
          <w:p>
            <w:pPr>
              <w:spacing w:after="0"/>
            </w:pPr>
            <w:r/>
            <w:r>
              <w:rPr>
                <w:rFonts w:ascii="Aptos" w:hAnsi="Aptos"/>
                <w:b w:val="0"/>
                <w:sz w:val="15"/>
              </w:rPr>
              <w:t>Outcome</w:t>
            </w:r>
          </w:p>
        </w:tc>
        <w:tc>
          <w:tcPr>
            <w:tcW w:type="dxa" w:w="4896"/>
            <w:vAlign w:val="center"/>
          </w:tcPr>
          <w:p>
            <w:pPr>
              <w:spacing w:after="0"/>
            </w:pPr>
            <w:r/>
            <w:r>
              <w:rPr>
                <w:rFonts w:ascii="Aptos" w:hAnsi="Aptos"/>
                <w:b w:val="0"/>
                <w:sz w:val="15"/>
              </w:rPr>
              <w:t>Risk reduction, attack prevention, incident containment, safety performance</w:t>
            </w:r>
          </w:p>
        </w:tc>
        <w:tc>
          <w:tcPr>
            <w:tcW w:type="dxa" w:w="2592"/>
            <w:vAlign w:val="center"/>
          </w:tcPr>
          <w:p>
            <w:pPr>
              <w:spacing w:after="0"/>
            </w:pPr>
            <w:r/>
            <w:r>
              <w:rPr>
                <w:rFonts w:ascii="Aptos" w:hAnsi="Aptos"/>
                <w:b w:val="0"/>
                <w:sz w:val="15"/>
              </w:rPr>
              <w:t>Shows effectiveness</w:t>
            </w:r>
          </w:p>
        </w:tc>
      </w:tr>
      <w:tr>
        <w:trPr>
          <w:cantSplit/>
        </w:trPr>
        <w:tc>
          <w:tcPr>
            <w:tcW w:type="dxa" w:w="2160"/>
            <w:vAlign w:val="center"/>
            <w:shd w:fill="F3F6F7"/>
          </w:tcPr>
          <w:p>
            <w:pPr>
              <w:spacing w:after="0"/>
            </w:pPr>
            <w:r/>
            <w:r>
              <w:rPr>
                <w:rFonts w:ascii="Aptos" w:hAnsi="Aptos"/>
                <w:b w:val="0"/>
                <w:sz w:val="15"/>
              </w:rPr>
              <w:t>Assurance</w:t>
            </w:r>
          </w:p>
        </w:tc>
        <w:tc>
          <w:tcPr>
            <w:tcW w:type="dxa" w:w="4896"/>
            <w:vAlign w:val="center"/>
            <w:shd w:fill="F3F6F7"/>
          </w:tcPr>
          <w:p>
            <w:pPr>
              <w:spacing w:after="0"/>
            </w:pPr>
            <w:r/>
            <w:r>
              <w:rPr>
                <w:rFonts w:ascii="Aptos" w:hAnsi="Aptos"/>
                <w:b w:val="0"/>
                <w:sz w:val="15"/>
              </w:rPr>
              <w:t>Internal audit, independent testing, certification or review</w:t>
            </w:r>
          </w:p>
        </w:tc>
        <w:tc>
          <w:tcPr>
            <w:tcW w:type="dxa" w:w="2592"/>
            <w:vAlign w:val="center"/>
            <w:shd w:fill="F3F6F7"/>
          </w:tcPr>
          <w:p>
            <w:pPr>
              <w:spacing w:after="0"/>
            </w:pPr>
            <w:r/>
            <w:r>
              <w:rPr>
                <w:rFonts w:ascii="Aptos" w:hAnsi="Aptos"/>
                <w:b w:val="0"/>
                <w:sz w:val="15"/>
              </w:rPr>
              <w:t>Provides challenge and validation</w:t>
            </w:r>
          </w:p>
        </w:tc>
      </w:tr>
      <w:tr>
        <w:trPr>
          <w:cantSplit/>
        </w:trPr>
        <w:tc>
          <w:tcPr>
            <w:tcW w:type="dxa" w:w="2160"/>
            <w:vAlign w:val="center"/>
          </w:tcPr>
          <w:p>
            <w:pPr>
              <w:spacing w:after="0"/>
            </w:pPr>
            <w:r/>
            <w:r>
              <w:rPr>
                <w:rFonts w:ascii="Aptos" w:hAnsi="Aptos"/>
                <w:b w:val="0"/>
                <w:sz w:val="15"/>
              </w:rPr>
              <w:t>Supplier</w:t>
            </w:r>
          </w:p>
        </w:tc>
        <w:tc>
          <w:tcPr>
            <w:tcW w:type="dxa" w:w="4896"/>
            <w:vAlign w:val="center"/>
          </w:tcPr>
          <w:p>
            <w:pPr>
              <w:spacing w:after="0"/>
            </w:pPr>
            <w:r/>
            <w:r>
              <w:rPr>
                <w:rFonts w:ascii="Aptos" w:hAnsi="Aptos"/>
                <w:b w:val="0"/>
                <w:sz w:val="15"/>
              </w:rPr>
              <w:t>Contracts, attestations, audit reports, service records</w:t>
            </w:r>
          </w:p>
        </w:tc>
        <w:tc>
          <w:tcPr>
            <w:tcW w:type="dxa" w:w="2592"/>
            <w:vAlign w:val="center"/>
          </w:tcPr>
          <w:p>
            <w:pPr>
              <w:spacing w:after="0"/>
            </w:pPr>
            <w:r/>
            <w:r>
              <w:rPr>
                <w:rFonts w:ascii="Aptos" w:hAnsi="Aptos"/>
                <w:b w:val="0"/>
                <w:sz w:val="15"/>
              </w:rPr>
              <w:t>Supports inherited-control claims</w:t>
            </w:r>
          </w:p>
        </w:tc>
      </w:tr>
      <w:tr>
        <w:trPr>
          <w:cantSplit/>
        </w:trPr>
        <w:tc>
          <w:tcPr>
            <w:tcW w:type="dxa" w:w="2160"/>
            <w:vAlign w:val="center"/>
            <w:shd w:fill="F3F6F7"/>
          </w:tcPr>
          <w:p>
            <w:pPr>
              <w:spacing w:after="0"/>
            </w:pPr>
            <w:r/>
            <w:r>
              <w:rPr>
                <w:rFonts w:ascii="Aptos" w:hAnsi="Aptos"/>
                <w:b w:val="0"/>
                <w:sz w:val="15"/>
              </w:rPr>
              <w:t>Incident/change</w:t>
            </w:r>
          </w:p>
        </w:tc>
        <w:tc>
          <w:tcPr>
            <w:tcW w:type="dxa" w:w="4896"/>
            <w:vAlign w:val="center"/>
            <w:shd w:fill="F3F6F7"/>
          </w:tcPr>
          <w:p>
            <w:pPr>
              <w:spacing w:after="0"/>
            </w:pPr>
            <w:r/>
            <w:r>
              <w:rPr>
                <w:rFonts w:ascii="Aptos" w:hAnsi="Aptos"/>
                <w:b w:val="0"/>
                <w:sz w:val="15"/>
              </w:rPr>
              <w:t>Incident timelines, corrective actions, change and rollback records</w:t>
            </w:r>
          </w:p>
        </w:tc>
        <w:tc>
          <w:tcPr>
            <w:tcW w:type="dxa" w:w="2592"/>
            <w:vAlign w:val="center"/>
            <w:shd w:fill="F3F6F7"/>
          </w:tcPr>
          <w:p>
            <w:pPr>
              <w:spacing w:after="0"/>
            </w:pPr>
            <w:r/>
            <w:r>
              <w:rPr>
                <w:rFonts w:ascii="Aptos" w:hAnsi="Aptos"/>
                <w:b w:val="0"/>
                <w:sz w:val="15"/>
              </w:rPr>
              <w:t>Shows response and improvement</w:t>
            </w:r>
          </w:p>
        </w:tc>
      </w:tr>
    </w:tbl>
    <w:p/>
    <w:p>
      <w:pPr>
        <w:pStyle w:val="Heading1"/>
      </w:pPr>
      <w:r>
        <w:t>6. Evidence Sufficiency Model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304"/>
            <w:vAlign w:val="center"/>
            <w:shd w:fill="17324D"/>
          </w:tcPr>
          <w:p>
            <w:pPr>
              <w:spacing w:after="0"/>
            </w:pPr>
            <w:r/>
            <w:r>
              <w:rPr>
                <w:rFonts w:ascii="Aptos" w:hAnsi="Aptos"/>
                <w:b/>
                <w:color w:val="FFFFFF"/>
                <w:sz w:val="15"/>
              </w:rPr>
              <w:t>Dimension</w:t>
            </w:r>
          </w:p>
        </w:tc>
        <w:tc>
          <w:tcPr>
            <w:tcW w:type="dxa" w:w="7344"/>
            <w:vAlign w:val="center"/>
            <w:shd w:fill="17324D"/>
          </w:tcPr>
          <w:p>
            <w:pPr>
              <w:spacing w:after="0"/>
            </w:pPr>
            <w:r/>
            <w:r>
              <w:rPr>
                <w:rFonts w:ascii="Aptos" w:hAnsi="Aptos"/>
                <w:b/>
                <w:color w:val="FFFFFF"/>
                <w:sz w:val="15"/>
              </w:rPr>
              <w:t>Questions</w:t>
            </w:r>
          </w:p>
        </w:tc>
      </w:tr>
      <w:tr>
        <w:trPr>
          <w:cantSplit/>
        </w:trPr>
        <w:tc>
          <w:tcPr>
            <w:tcW w:type="dxa" w:w="2304"/>
            <w:vAlign w:val="center"/>
          </w:tcPr>
          <w:p>
            <w:pPr>
              <w:spacing w:after="0"/>
            </w:pPr>
            <w:r/>
            <w:r>
              <w:rPr>
                <w:rFonts w:ascii="Aptos" w:hAnsi="Aptos"/>
                <w:b w:val="0"/>
                <w:sz w:val="15"/>
              </w:rPr>
              <w:t>Relevance</w:t>
            </w:r>
          </w:p>
        </w:tc>
        <w:tc>
          <w:tcPr>
            <w:tcW w:type="dxa" w:w="7344"/>
            <w:vAlign w:val="center"/>
          </w:tcPr>
          <w:p>
            <w:pPr>
              <w:spacing w:after="0"/>
            </w:pPr>
            <w:r/>
            <w:r>
              <w:rPr>
                <w:rFonts w:ascii="Aptos" w:hAnsi="Aptos"/>
                <w:b w:val="0"/>
                <w:sz w:val="15"/>
              </w:rPr>
              <w:t>Does the artifact support the exact control claim?</w:t>
            </w:r>
          </w:p>
        </w:tc>
      </w:tr>
      <w:tr>
        <w:trPr>
          <w:cantSplit/>
        </w:trPr>
        <w:tc>
          <w:tcPr>
            <w:tcW w:type="dxa" w:w="2304"/>
            <w:vAlign w:val="center"/>
            <w:shd w:fill="F3F6F7"/>
          </w:tcPr>
          <w:p>
            <w:pPr>
              <w:spacing w:after="0"/>
            </w:pPr>
            <w:r/>
            <w:r>
              <w:rPr>
                <w:rFonts w:ascii="Aptos" w:hAnsi="Aptos"/>
                <w:b w:val="0"/>
                <w:sz w:val="15"/>
              </w:rPr>
              <w:t>Scope</w:t>
            </w:r>
          </w:p>
        </w:tc>
        <w:tc>
          <w:tcPr>
            <w:tcW w:type="dxa" w:w="7344"/>
            <w:vAlign w:val="center"/>
            <w:shd w:fill="F3F6F7"/>
          </w:tcPr>
          <w:p>
            <w:pPr>
              <w:spacing w:after="0"/>
            </w:pPr>
            <w:r/>
            <w:r>
              <w:rPr>
                <w:rFonts w:ascii="Aptos" w:hAnsi="Aptos"/>
                <w:b w:val="0"/>
                <w:sz w:val="15"/>
              </w:rPr>
              <w:t>Does it cover the assessed systems, users, suppliers, regions and period?</w:t>
            </w:r>
          </w:p>
        </w:tc>
      </w:tr>
      <w:tr>
        <w:trPr>
          <w:cantSplit/>
        </w:trPr>
        <w:tc>
          <w:tcPr>
            <w:tcW w:type="dxa" w:w="2304"/>
            <w:vAlign w:val="center"/>
          </w:tcPr>
          <w:p>
            <w:pPr>
              <w:spacing w:after="0"/>
            </w:pPr>
            <w:r/>
            <w:r>
              <w:rPr>
                <w:rFonts w:ascii="Aptos" w:hAnsi="Aptos"/>
                <w:b w:val="0"/>
                <w:sz w:val="15"/>
              </w:rPr>
              <w:t>Authenticity</w:t>
            </w:r>
          </w:p>
        </w:tc>
        <w:tc>
          <w:tcPr>
            <w:tcW w:type="dxa" w:w="7344"/>
            <w:vAlign w:val="center"/>
          </w:tcPr>
          <w:p>
            <w:pPr>
              <w:spacing w:after="0"/>
            </w:pPr>
            <w:r/>
            <w:r>
              <w:rPr>
                <w:rFonts w:ascii="Aptos" w:hAnsi="Aptos"/>
                <w:b w:val="0"/>
                <w:sz w:val="15"/>
              </w:rPr>
              <w:t>Can the source and creator be verified?</w:t>
            </w:r>
          </w:p>
        </w:tc>
      </w:tr>
      <w:tr>
        <w:trPr>
          <w:cantSplit/>
        </w:trPr>
        <w:tc>
          <w:tcPr>
            <w:tcW w:type="dxa" w:w="2304"/>
            <w:vAlign w:val="center"/>
            <w:shd w:fill="F3F6F7"/>
          </w:tcPr>
          <w:p>
            <w:pPr>
              <w:spacing w:after="0"/>
            </w:pPr>
            <w:r/>
            <w:r>
              <w:rPr>
                <w:rFonts w:ascii="Aptos" w:hAnsi="Aptos"/>
                <w:b w:val="0"/>
                <w:sz w:val="15"/>
              </w:rPr>
              <w:t>Integrity</w:t>
            </w:r>
          </w:p>
        </w:tc>
        <w:tc>
          <w:tcPr>
            <w:tcW w:type="dxa" w:w="7344"/>
            <w:vAlign w:val="center"/>
            <w:shd w:fill="F3F6F7"/>
          </w:tcPr>
          <w:p>
            <w:pPr>
              <w:spacing w:after="0"/>
            </w:pPr>
            <w:r/>
            <w:r>
              <w:rPr>
                <w:rFonts w:ascii="Aptos" w:hAnsi="Aptos"/>
                <w:b w:val="0"/>
                <w:sz w:val="15"/>
              </w:rPr>
              <w:t>Is unauthorized alteration detectable or prevented?</w:t>
            </w:r>
          </w:p>
        </w:tc>
      </w:tr>
      <w:tr>
        <w:trPr>
          <w:cantSplit/>
        </w:trPr>
        <w:tc>
          <w:tcPr>
            <w:tcW w:type="dxa" w:w="2304"/>
            <w:vAlign w:val="center"/>
          </w:tcPr>
          <w:p>
            <w:pPr>
              <w:spacing w:after="0"/>
            </w:pPr>
            <w:r/>
            <w:r>
              <w:rPr>
                <w:rFonts w:ascii="Aptos" w:hAnsi="Aptos"/>
                <w:b w:val="0"/>
                <w:sz w:val="15"/>
              </w:rPr>
              <w:t>Currency</w:t>
            </w:r>
          </w:p>
        </w:tc>
        <w:tc>
          <w:tcPr>
            <w:tcW w:type="dxa" w:w="7344"/>
            <w:vAlign w:val="center"/>
          </w:tcPr>
          <w:p>
            <w:pPr>
              <w:spacing w:after="0"/>
            </w:pPr>
            <w:r/>
            <w:r>
              <w:rPr>
                <w:rFonts w:ascii="Aptos" w:hAnsi="Aptos"/>
                <w:b w:val="0"/>
                <w:sz w:val="15"/>
              </w:rPr>
              <w:t>Does it reflect the current approved implementation?</w:t>
            </w:r>
          </w:p>
        </w:tc>
      </w:tr>
      <w:tr>
        <w:trPr>
          <w:cantSplit/>
        </w:trPr>
        <w:tc>
          <w:tcPr>
            <w:tcW w:type="dxa" w:w="2304"/>
            <w:vAlign w:val="center"/>
            <w:shd w:fill="F3F6F7"/>
          </w:tcPr>
          <w:p>
            <w:pPr>
              <w:spacing w:after="0"/>
            </w:pPr>
            <w:r/>
            <w:r>
              <w:rPr>
                <w:rFonts w:ascii="Aptos" w:hAnsi="Aptos"/>
                <w:b w:val="0"/>
                <w:sz w:val="15"/>
              </w:rPr>
              <w:t>Completeness</w:t>
            </w:r>
          </w:p>
        </w:tc>
        <w:tc>
          <w:tcPr>
            <w:tcW w:type="dxa" w:w="7344"/>
            <w:vAlign w:val="center"/>
            <w:shd w:fill="F3F6F7"/>
          </w:tcPr>
          <w:p>
            <w:pPr>
              <w:spacing w:after="0"/>
            </w:pPr>
            <w:r/>
            <w:r>
              <w:rPr>
                <w:rFonts w:ascii="Aptos" w:hAnsi="Aptos"/>
                <w:b w:val="0"/>
                <w:sz w:val="15"/>
              </w:rPr>
              <w:t>Are failures, exceptions and missing populations visible?</w:t>
            </w:r>
          </w:p>
        </w:tc>
      </w:tr>
      <w:tr>
        <w:trPr>
          <w:cantSplit/>
        </w:trPr>
        <w:tc>
          <w:tcPr>
            <w:tcW w:type="dxa" w:w="2304"/>
            <w:vAlign w:val="center"/>
          </w:tcPr>
          <w:p>
            <w:pPr>
              <w:spacing w:after="0"/>
            </w:pPr>
            <w:r/>
            <w:r>
              <w:rPr>
                <w:rFonts w:ascii="Aptos" w:hAnsi="Aptos"/>
                <w:b w:val="0"/>
                <w:sz w:val="15"/>
              </w:rPr>
              <w:t>Consistency</w:t>
            </w:r>
          </w:p>
        </w:tc>
        <w:tc>
          <w:tcPr>
            <w:tcW w:type="dxa" w:w="7344"/>
            <w:vAlign w:val="center"/>
          </w:tcPr>
          <w:p>
            <w:pPr>
              <w:spacing w:after="0"/>
            </w:pPr>
            <w:r/>
            <w:r>
              <w:rPr>
                <w:rFonts w:ascii="Aptos" w:hAnsi="Aptos"/>
                <w:b w:val="0"/>
                <w:sz w:val="15"/>
              </w:rPr>
              <w:t>Does it agree with other records and the approved baseline?</w:t>
            </w:r>
          </w:p>
        </w:tc>
      </w:tr>
      <w:tr>
        <w:trPr>
          <w:cantSplit/>
        </w:trPr>
        <w:tc>
          <w:tcPr>
            <w:tcW w:type="dxa" w:w="2304"/>
            <w:vAlign w:val="center"/>
            <w:shd w:fill="F3F6F7"/>
          </w:tcPr>
          <w:p>
            <w:pPr>
              <w:spacing w:after="0"/>
            </w:pPr>
            <w:r/>
            <w:r>
              <w:rPr>
                <w:rFonts w:ascii="Aptos" w:hAnsi="Aptos"/>
                <w:b w:val="0"/>
                <w:sz w:val="15"/>
              </w:rPr>
              <w:t>Reproducibility</w:t>
            </w:r>
          </w:p>
        </w:tc>
        <w:tc>
          <w:tcPr>
            <w:tcW w:type="dxa" w:w="7344"/>
            <w:vAlign w:val="center"/>
            <w:shd w:fill="F3F6F7"/>
          </w:tcPr>
          <w:p>
            <w:pPr>
              <w:spacing w:after="0"/>
            </w:pPr>
            <w:r/>
            <w:r>
              <w:rPr>
                <w:rFonts w:ascii="Aptos" w:hAnsi="Aptos"/>
                <w:b w:val="0"/>
                <w:sz w:val="15"/>
              </w:rPr>
              <w:t>Can the result be repeated or independently checked?</w:t>
            </w:r>
          </w:p>
        </w:tc>
      </w:tr>
      <w:tr>
        <w:trPr>
          <w:cantSplit/>
        </w:trPr>
        <w:tc>
          <w:tcPr>
            <w:tcW w:type="dxa" w:w="2304"/>
            <w:vAlign w:val="center"/>
          </w:tcPr>
          <w:p>
            <w:pPr>
              <w:spacing w:after="0"/>
            </w:pPr>
            <w:r/>
            <w:r>
              <w:rPr>
                <w:rFonts w:ascii="Aptos" w:hAnsi="Aptos"/>
                <w:b w:val="0"/>
                <w:sz w:val="15"/>
              </w:rPr>
              <w:t>Independence</w:t>
            </w:r>
          </w:p>
        </w:tc>
        <w:tc>
          <w:tcPr>
            <w:tcW w:type="dxa" w:w="7344"/>
            <w:vAlign w:val="center"/>
          </w:tcPr>
          <w:p>
            <w:pPr>
              <w:spacing w:after="0"/>
            </w:pPr>
            <w:r/>
            <w:r>
              <w:rPr>
                <w:rFonts w:ascii="Aptos" w:hAnsi="Aptos"/>
                <w:b w:val="0"/>
                <w:sz w:val="15"/>
              </w:rPr>
              <w:t>Is appropriate challenge or separation present?</w:t>
            </w:r>
          </w:p>
        </w:tc>
      </w:tr>
      <w:tr>
        <w:trPr>
          <w:cantSplit/>
        </w:trPr>
        <w:tc>
          <w:tcPr>
            <w:tcW w:type="dxa" w:w="2304"/>
            <w:vAlign w:val="center"/>
            <w:shd w:fill="F3F6F7"/>
          </w:tcPr>
          <w:p>
            <w:pPr>
              <w:spacing w:after="0"/>
            </w:pPr>
            <w:r/>
            <w:r>
              <w:rPr>
                <w:rFonts w:ascii="Aptos" w:hAnsi="Aptos"/>
                <w:b w:val="0"/>
                <w:sz w:val="15"/>
              </w:rPr>
              <w:t>Limitations</w:t>
            </w:r>
          </w:p>
        </w:tc>
        <w:tc>
          <w:tcPr>
            <w:tcW w:type="dxa" w:w="7344"/>
            <w:vAlign w:val="center"/>
            <w:shd w:fill="F3F6F7"/>
          </w:tcPr>
          <w:p>
            <w:pPr>
              <w:spacing w:after="0"/>
            </w:pPr>
            <w:r/>
            <w:r>
              <w:rPr>
                <w:rFonts w:ascii="Aptos" w:hAnsi="Aptos"/>
                <w:b w:val="0"/>
                <w:sz w:val="15"/>
              </w:rPr>
              <w:t>Are sampling, opacity and uncertainty recorded?</w:t>
            </w:r>
          </w:p>
        </w:tc>
      </w:tr>
    </w:tbl>
    <w:p/>
    <w:p>
      <w:pPr>
        <w:pStyle w:val="Heading1"/>
      </w:pPr>
      <w:r>
        <w:t>7. Evidence Planning</w:t>
      </w:r>
    </w:p>
    <w:p>
      <w:r>
        <w:t>An evidence plan should be created before implementation or assessment, not assembled at the last moment.</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Planning field</w:t>
            </w:r>
          </w:p>
        </w:tc>
        <w:tc>
          <w:tcPr>
            <w:tcW w:type="dxa" w:w="7200"/>
            <w:vAlign w:val="center"/>
            <w:shd w:fill="17324D"/>
          </w:tcPr>
          <w:p>
            <w:pPr>
              <w:spacing w:after="0"/>
            </w:pPr>
            <w:r/>
            <w:r>
              <w:rPr>
                <w:rFonts w:ascii="Aptos" w:hAnsi="Aptos"/>
                <w:b/>
                <w:color w:val="FFFFFF"/>
                <w:sz w:val="15"/>
              </w:rPr>
              <w:t>Required content</w:t>
            </w:r>
          </w:p>
        </w:tc>
      </w:tr>
      <w:tr>
        <w:trPr>
          <w:cantSplit/>
        </w:trPr>
        <w:tc>
          <w:tcPr>
            <w:tcW w:type="dxa" w:w="2448"/>
            <w:vAlign w:val="center"/>
          </w:tcPr>
          <w:p>
            <w:pPr>
              <w:spacing w:after="0"/>
            </w:pPr>
            <w:r/>
            <w:r>
              <w:rPr>
                <w:rFonts w:ascii="Aptos" w:hAnsi="Aptos"/>
                <w:b w:val="0"/>
                <w:sz w:val="15"/>
              </w:rPr>
              <w:t>Control ID</w:t>
            </w:r>
          </w:p>
        </w:tc>
        <w:tc>
          <w:tcPr>
            <w:tcW w:type="dxa" w:w="7200"/>
            <w:vAlign w:val="center"/>
          </w:tcPr>
          <w:p>
            <w:pPr>
              <w:spacing w:after="0"/>
            </w:pPr>
            <w:r/>
            <w:r>
              <w:rPr>
                <w:rFonts w:ascii="Aptos" w:hAnsi="Aptos"/>
                <w:b w:val="0"/>
                <w:sz w:val="15"/>
              </w:rPr>
              <w:t>Exact GAISSF control identifier</w:t>
            </w:r>
          </w:p>
        </w:tc>
      </w:tr>
      <w:tr>
        <w:trPr>
          <w:cantSplit/>
        </w:trPr>
        <w:tc>
          <w:tcPr>
            <w:tcW w:type="dxa" w:w="2448"/>
            <w:vAlign w:val="center"/>
            <w:shd w:fill="F3F6F7"/>
          </w:tcPr>
          <w:p>
            <w:pPr>
              <w:spacing w:after="0"/>
            </w:pPr>
            <w:r/>
            <w:r>
              <w:rPr>
                <w:rFonts w:ascii="Aptos" w:hAnsi="Aptos"/>
                <w:b w:val="0"/>
                <w:sz w:val="15"/>
              </w:rPr>
              <w:t>Claim</w:t>
            </w:r>
          </w:p>
        </w:tc>
        <w:tc>
          <w:tcPr>
            <w:tcW w:type="dxa" w:w="7200"/>
            <w:vAlign w:val="center"/>
            <w:shd w:fill="F3F6F7"/>
          </w:tcPr>
          <w:p>
            <w:pPr>
              <w:spacing w:after="0"/>
            </w:pPr>
            <w:r/>
            <w:r>
              <w:rPr>
                <w:rFonts w:ascii="Aptos" w:hAnsi="Aptos"/>
                <w:b w:val="0"/>
                <w:sz w:val="15"/>
              </w:rPr>
              <w:t>What implementation or operating outcome must be demonstrated</w:t>
            </w:r>
          </w:p>
        </w:tc>
      </w:tr>
      <w:tr>
        <w:trPr>
          <w:cantSplit/>
        </w:trPr>
        <w:tc>
          <w:tcPr>
            <w:tcW w:type="dxa" w:w="2448"/>
            <w:vAlign w:val="center"/>
          </w:tcPr>
          <w:p>
            <w:pPr>
              <w:spacing w:after="0"/>
            </w:pPr>
            <w:r/>
            <w:r>
              <w:rPr>
                <w:rFonts w:ascii="Aptos" w:hAnsi="Aptos"/>
                <w:b w:val="0"/>
                <w:sz w:val="15"/>
              </w:rPr>
              <w:t>Scope</w:t>
            </w:r>
          </w:p>
        </w:tc>
        <w:tc>
          <w:tcPr>
            <w:tcW w:type="dxa" w:w="7200"/>
            <w:vAlign w:val="center"/>
          </w:tcPr>
          <w:p>
            <w:pPr>
              <w:spacing w:after="0"/>
            </w:pPr>
            <w:r/>
            <w:r>
              <w:rPr>
                <w:rFonts w:ascii="Aptos" w:hAnsi="Aptos"/>
                <w:b w:val="0"/>
                <w:sz w:val="15"/>
              </w:rPr>
              <w:t>System, component, supplier, environment and population</w:t>
            </w:r>
          </w:p>
        </w:tc>
      </w:tr>
      <w:tr>
        <w:trPr>
          <w:cantSplit/>
        </w:trPr>
        <w:tc>
          <w:tcPr>
            <w:tcW w:type="dxa" w:w="2448"/>
            <w:vAlign w:val="center"/>
            <w:shd w:fill="F3F6F7"/>
          </w:tcPr>
          <w:p>
            <w:pPr>
              <w:spacing w:after="0"/>
            </w:pPr>
            <w:r/>
            <w:r>
              <w:rPr>
                <w:rFonts w:ascii="Aptos" w:hAnsi="Aptos"/>
                <w:b w:val="0"/>
                <w:sz w:val="15"/>
              </w:rPr>
              <w:t>Artifact types</w:t>
            </w:r>
          </w:p>
        </w:tc>
        <w:tc>
          <w:tcPr>
            <w:tcW w:type="dxa" w:w="7200"/>
            <w:vAlign w:val="center"/>
            <w:shd w:fill="F3F6F7"/>
          </w:tcPr>
          <w:p>
            <w:pPr>
              <w:spacing w:after="0"/>
            </w:pPr>
            <w:r/>
            <w:r>
              <w:rPr>
                <w:rFonts w:ascii="Aptos" w:hAnsi="Aptos"/>
                <w:b w:val="0"/>
                <w:sz w:val="15"/>
              </w:rPr>
              <w:t>Preferred and supporting evidence</w:t>
            </w:r>
          </w:p>
        </w:tc>
      </w:tr>
      <w:tr>
        <w:trPr>
          <w:cantSplit/>
        </w:trPr>
        <w:tc>
          <w:tcPr>
            <w:tcW w:type="dxa" w:w="2448"/>
            <w:vAlign w:val="center"/>
          </w:tcPr>
          <w:p>
            <w:pPr>
              <w:spacing w:after="0"/>
            </w:pPr>
            <w:r/>
            <w:r>
              <w:rPr>
                <w:rFonts w:ascii="Aptos" w:hAnsi="Aptos"/>
                <w:b w:val="0"/>
                <w:sz w:val="15"/>
              </w:rPr>
              <w:t>Source</w:t>
            </w:r>
          </w:p>
        </w:tc>
        <w:tc>
          <w:tcPr>
            <w:tcW w:type="dxa" w:w="7200"/>
            <w:vAlign w:val="center"/>
          </w:tcPr>
          <w:p>
            <w:pPr>
              <w:spacing w:after="0"/>
            </w:pPr>
            <w:r/>
            <w:r>
              <w:rPr>
                <w:rFonts w:ascii="Aptos" w:hAnsi="Aptos"/>
                <w:b w:val="0"/>
                <w:sz w:val="15"/>
              </w:rPr>
              <w:t>System, repository, person or supplier</w:t>
            </w:r>
          </w:p>
        </w:tc>
      </w:tr>
      <w:tr>
        <w:trPr>
          <w:cantSplit/>
        </w:trPr>
        <w:tc>
          <w:tcPr>
            <w:tcW w:type="dxa" w:w="2448"/>
            <w:vAlign w:val="center"/>
            <w:shd w:fill="F3F6F7"/>
          </w:tcPr>
          <w:p>
            <w:pPr>
              <w:spacing w:after="0"/>
            </w:pPr>
            <w:r/>
            <w:r>
              <w:rPr>
                <w:rFonts w:ascii="Aptos" w:hAnsi="Aptos"/>
                <w:b w:val="0"/>
                <w:sz w:val="15"/>
              </w:rPr>
              <w:t>Owner</w:t>
            </w:r>
          </w:p>
        </w:tc>
        <w:tc>
          <w:tcPr>
            <w:tcW w:type="dxa" w:w="7200"/>
            <w:vAlign w:val="center"/>
            <w:shd w:fill="F3F6F7"/>
          </w:tcPr>
          <w:p>
            <w:pPr>
              <w:spacing w:after="0"/>
            </w:pPr>
            <w:r/>
            <w:r>
              <w:rPr>
                <w:rFonts w:ascii="Aptos" w:hAnsi="Aptos"/>
                <w:b w:val="0"/>
                <w:sz w:val="15"/>
              </w:rPr>
              <w:t>Responsible generator and custodian</w:t>
            </w:r>
          </w:p>
        </w:tc>
      </w:tr>
      <w:tr>
        <w:trPr>
          <w:cantSplit/>
        </w:trPr>
        <w:tc>
          <w:tcPr>
            <w:tcW w:type="dxa" w:w="2448"/>
            <w:vAlign w:val="center"/>
          </w:tcPr>
          <w:p>
            <w:pPr>
              <w:spacing w:after="0"/>
            </w:pPr>
            <w:r/>
            <w:r>
              <w:rPr>
                <w:rFonts w:ascii="Aptos" w:hAnsi="Aptos"/>
                <w:b w:val="0"/>
                <w:sz w:val="15"/>
              </w:rPr>
              <w:t>Frequency</w:t>
            </w:r>
          </w:p>
        </w:tc>
        <w:tc>
          <w:tcPr>
            <w:tcW w:type="dxa" w:w="7200"/>
            <w:vAlign w:val="center"/>
          </w:tcPr>
          <w:p>
            <w:pPr>
              <w:spacing w:after="0"/>
            </w:pPr>
            <w:r/>
            <w:r>
              <w:rPr>
                <w:rFonts w:ascii="Aptos" w:hAnsi="Aptos"/>
                <w:b w:val="0"/>
                <w:sz w:val="15"/>
              </w:rPr>
              <w:t>Continuous, event-driven, daily, monthly, quarterly or annual</w:t>
            </w:r>
          </w:p>
        </w:tc>
      </w:tr>
      <w:tr>
        <w:trPr>
          <w:cantSplit/>
        </w:trPr>
        <w:tc>
          <w:tcPr>
            <w:tcW w:type="dxa" w:w="2448"/>
            <w:vAlign w:val="center"/>
            <w:shd w:fill="F3F6F7"/>
          </w:tcPr>
          <w:p>
            <w:pPr>
              <w:spacing w:after="0"/>
            </w:pPr>
            <w:r/>
            <w:r>
              <w:rPr>
                <w:rFonts w:ascii="Aptos" w:hAnsi="Aptos"/>
                <w:b w:val="0"/>
                <w:sz w:val="15"/>
              </w:rPr>
              <w:t>Evidence period</w:t>
            </w:r>
          </w:p>
        </w:tc>
        <w:tc>
          <w:tcPr>
            <w:tcW w:type="dxa" w:w="7200"/>
            <w:vAlign w:val="center"/>
            <w:shd w:fill="F3F6F7"/>
          </w:tcPr>
          <w:p>
            <w:pPr>
              <w:spacing w:after="0"/>
            </w:pPr>
            <w:r/>
            <w:r>
              <w:rPr>
                <w:rFonts w:ascii="Aptos" w:hAnsi="Aptos"/>
                <w:b w:val="0"/>
                <w:sz w:val="15"/>
              </w:rPr>
              <w:t>Start and end dates</w:t>
            </w:r>
          </w:p>
        </w:tc>
      </w:tr>
      <w:tr>
        <w:trPr>
          <w:cantSplit/>
        </w:trPr>
        <w:tc>
          <w:tcPr>
            <w:tcW w:type="dxa" w:w="2448"/>
            <w:vAlign w:val="center"/>
          </w:tcPr>
          <w:p>
            <w:pPr>
              <w:spacing w:after="0"/>
            </w:pPr>
            <w:r/>
            <w:r>
              <w:rPr>
                <w:rFonts w:ascii="Aptos" w:hAnsi="Aptos"/>
                <w:b w:val="0"/>
                <w:sz w:val="15"/>
              </w:rPr>
              <w:t>Collection method</w:t>
            </w:r>
          </w:p>
        </w:tc>
        <w:tc>
          <w:tcPr>
            <w:tcW w:type="dxa" w:w="7200"/>
            <w:vAlign w:val="center"/>
          </w:tcPr>
          <w:p>
            <w:pPr>
              <w:spacing w:after="0"/>
            </w:pPr>
            <w:r/>
            <w:r>
              <w:rPr>
                <w:rFonts w:ascii="Aptos" w:hAnsi="Aptos"/>
                <w:b w:val="0"/>
                <w:sz w:val="15"/>
              </w:rPr>
              <w:t>Automated export, API, query, observation, interview or manual record</w:t>
            </w:r>
          </w:p>
        </w:tc>
      </w:tr>
      <w:tr>
        <w:trPr>
          <w:cantSplit/>
        </w:trPr>
        <w:tc>
          <w:tcPr>
            <w:tcW w:type="dxa" w:w="2448"/>
            <w:vAlign w:val="center"/>
            <w:shd w:fill="F3F6F7"/>
          </w:tcPr>
          <w:p>
            <w:pPr>
              <w:spacing w:after="0"/>
            </w:pPr>
            <w:r/>
            <w:r>
              <w:rPr>
                <w:rFonts w:ascii="Aptos" w:hAnsi="Aptos"/>
                <w:b w:val="0"/>
                <w:sz w:val="15"/>
              </w:rPr>
              <w:t>Integrity method</w:t>
            </w:r>
          </w:p>
        </w:tc>
        <w:tc>
          <w:tcPr>
            <w:tcW w:type="dxa" w:w="7200"/>
            <w:vAlign w:val="center"/>
            <w:shd w:fill="F3F6F7"/>
          </w:tcPr>
          <w:p>
            <w:pPr>
              <w:spacing w:after="0"/>
            </w:pPr>
            <w:r/>
            <w:r>
              <w:rPr>
                <w:rFonts w:ascii="Aptos" w:hAnsi="Aptos"/>
                <w:b w:val="0"/>
                <w:sz w:val="15"/>
              </w:rPr>
              <w:t>Hash, signature, immutable storage, repository audit or custody record</w:t>
            </w:r>
          </w:p>
        </w:tc>
      </w:tr>
      <w:tr>
        <w:trPr>
          <w:cantSplit/>
        </w:trPr>
        <w:tc>
          <w:tcPr>
            <w:tcW w:type="dxa" w:w="2448"/>
            <w:vAlign w:val="center"/>
          </w:tcPr>
          <w:p>
            <w:pPr>
              <w:spacing w:after="0"/>
            </w:pPr>
            <w:r/>
            <w:r>
              <w:rPr>
                <w:rFonts w:ascii="Aptos" w:hAnsi="Aptos"/>
                <w:b w:val="0"/>
                <w:sz w:val="15"/>
              </w:rPr>
              <w:t>Retention</w:t>
            </w:r>
          </w:p>
        </w:tc>
        <w:tc>
          <w:tcPr>
            <w:tcW w:type="dxa" w:w="7200"/>
            <w:vAlign w:val="center"/>
          </w:tcPr>
          <w:p>
            <w:pPr>
              <w:spacing w:after="0"/>
            </w:pPr>
            <w:r/>
            <w:r>
              <w:rPr>
                <w:rFonts w:ascii="Aptos" w:hAnsi="Aptos"/>
                <w:b w:val="0"/>
                <w:sz w:val="15"/>
              </w:rPr>
              <w:t>Required retention period and disposal method</w:t>
            </w:r>
          </w:p>
        </w:tc>
      </w:tr>
      <w:tr>
        <w:trPr>
          <w:cantSplit/>
        </w:trPr>
        <w:tc>
          <w:tcPr>
            <w:tcW w:type="dxa" w:w="2448"/>
            <w:vAlign w:val="center"/>
            <w:shd w:fill="F3F6F7"/>
          </w:tcPr>
          <w:p>
            <w:pPr>
              <w:spacing w:after="0"/>
            </w:pPr>
            <w:r/>
            <w:r>
              <w:rPr>
                <w:rFonts w:ascii="Aptos" w:hAnsi="Aptos"/>
                <w:b w:val="0"/>
                <w:sz w:val="15"/>
              </w:rPr>
              <w:t>Limitations</w:t>
            </w:r>
          </w:p>
        </w:tc>
        <w:tc>
          <w:tcPr>
            <w:tcW w:type="dxa" w:w="7200"/>
            <w:vAlign w:val="center"/>
            <w:shd w:fill="F3F6F7"/>
          </w:tcPr>
          <w:p>
            <w:pPr>
              <w:spacing w:after="0"/>
            </w:pPr>
            <w:r/>
            <w:r>
              <w:rPr>
                <w:rFonts w:ascii="Aptos" w:hAnsi="Aptos"/>
                <w:b w:val="0"/>
                <w:sz w:val="15"/>
              </w:rPr>
              <w:t>Known gaps or constraints</w:t>
            </w:r>
          </w:p>
        </w:tc>
      </w:tr>
    </w:tbl>
    <w:p/>
    <w:p>
      <w:pPr>
        <w:pStyle w:val="Heading1"/>
      </w:pPr>
      <w:r>
        <w:t>8. Collection Methods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448"/>
            <w:vAlign w:val="center"/>
            <w:shd w:fill="17324D"/>
          </w:tcPr>
          <w:p>
            <w:pPr>
              <w:spacing w:after="0"/>
            </w:pPr>
            <w:r/>
            <w:r>
              <w:rPr>
                <w:rFonts w:ascii="Aptos" w:hAnsi="Aptos"/>
                <w:b/>
                <w:color w:val="FFFFFF"/>
                <w:sz w:val="15"/>
              </w:rPr>
              <w:t>Method</w:t>
            </w:r>
          </w:p>
        </w:tc>
        <w:tc>
          <w:tcPr>
            <w:tcW w:type="dxa" w:w="3888"/>
            <w:vAlign w:val="center"/>
            <w:shd w:fill="17324D"/>
          </w:tcPr>
          <w:p>
            <w:pPr>
              <w:spacing w:after="0"/>
            </w:pPr>
            <w:r/>
            <w:r>
              <w:rPr>
                <w:rFonts w:ascii="Aptos" w:hAnsi="Aptos"/>
                <w:b/>
                <w:color w:val="FFFFFF"/>
                <w:sz w:val="15"/>
              </w:rPr>
              <w:t>Best use</w:t>
            </w:r>
          </w:p>
        </w:tc>
        <w:tc>
          <w:tcPr>
            <w:tcW w:type="dxa" w:w="3312"/>
            <w:vAlign w:val="center"/>
            <w:shd w:fill="17324D"/>
          </w:tcPr>
          <w:p>
            <w:pPr>
              <w:spacing w:after="0"/>
            </w:pPr>
            <w:r/>
            <w:r>
              <w:rPr>
                <w:rFonts w:ascii="Aptos" w:hAnsi="Aptos"/>
                <w:b/>
                <w:color w:val="FFFFFF"/>
                <w:sz w:val="15"/>
              </w:rPr>
              <w:t>Control considerations</w:t>
            </w:r>
          </w:p>
        </w:tc>
      </w:tr>
      <w:tr>
        <w:trPr>
          <w:cantSplit/>
        </w:trPr>
        <w:tc>
          <w:tcPr>
            <w:tcW w:type="dxa" w:w="2448"/>
            <w:vAlign w:val="center"/>
          </w:tcPr>
          <w:p>
            <w:pPr>
              <w:spacing w:after="0"/>
            </w:pPr>
            <w:r/>
            <w:r>
              <w:rPr>
                <w:rFonts w:ascii="Aptos" w:hAnsi="Aptos"/>
                <w:b w:val="0"/>
                <w:sz w:val="15"/>
              </w:rPr>
              <w:t>Automated API/export</w:t>
            </w:r>
          </w:p>
        </w:tc>
        <w:tc>
          <w:tcPr>
            <w:tcW w:type="dxa" w:w="3888"/>
            <w:vAlign w:val="center"/>
          </w:tcPr>
          <w:p>
            <w:pPr>
              <w:spacing w:after="0"/>
            </w:pPr>
            <w:r/>
            <w:r>
              <w:rPr>
                <w:rFonts w:ascii="Aptos" w:hAnsi="Aptos"/>
                <w:b w:val="0"/>
                <w:sz w:val="15"/>
              </w:rPr>
              <w:t>Logs, configurations, inventory, metrics and tickets</w:t>
            </w:r>
          </w:p>
        </w:tc>
        <w:tc>
          <w:tcPr>
            <w:tcW w:type="dxa" w:w="3312"/>
            <w:vAlign w:val="center"/>
          </w:tcPr>
          <w:p>
            <w:pPr>
              <w:spacing w:after="0"/>
            </w:pPr>
            <w:r/>
            <w:r>
              <w:rPr>
                <w:rFonts w:ascii="Aptos" w:hAnsi="Aptos"/>
                <w:b w:val="0"/>
                <w:sz w:val="15"/>
              </w:rPr>
              <w:t>Authenticate source; record query, time and filters</w:t>
            </w:r>
          </w:p>
        </w:tc>
      </w:tr>
      <w:tr>
        <w:trPr>
          <w:cantSplit/>
        </w:trPr>
        <w:tc>
          <w:tcPr>
            <w:tcW w:type="dxa" w:w="2448"/>
            <w:vAlign w:val="center"/>
            <w:shd w:fill="F3F6F7"/>
          </w:tcPr>
          <w:p>
            <w:pPr>
              <w:spacing w:after="0"/>
            </w:pPr>
            <w:r/>
            <w:r>
              <w:rPr>
                <w:rFonts w:ascii="Aptos" w:hAnsi="Aptos"/>
                <w:b w:val="0"/>
                <w:sz w:val="15"/>
              </w:rPr>
              <w:t>Direct repository capture</w:t>
            </w:r>
          </w:p>
        </w:tc>
        <w:tc>
          <w:tcPr>
            <w:tcW w:type="dxa" w:w="3888"/>
            <w:vAlign w:val="center"/>
            <w:shd w:fill="F3F6F7"/>
          </w:tcPr>
          <w:p>
            <w:pPr>
              <w:spacing w:after="0"/>
            </w:pPr>
            <w:r/>
            <w:r>
              <w:rPr>
                <w:rFonts w:ascii="Aptos" w:hAnsi="Aptos"/>
                <w:b w:val="0"/>
                <w:sz w:val="15"/>
              </w:rPr>
              <w:t>Policies, architecture, approvals and versioned documents</w:t>
            </w:r>
          </w:p>
        </w:tc>
        <w:tc>
          <w:tcPr>
            <w:tcW w:type="dxa" w:w="3312"/>
            <w:vAlign w:val="center"/>
            <w:shd w:fill="F3F6F7"/>
          </w:tcPr>
          <w:p>
            <w:pPr>
              <w:spacing w:after="0"/>
            </w:pPr>
            <w:r/>
            <w:r>
              <w:rPr>
                <w:rFonts w:ascii="Aptos" w:hAnsi="Aptos"/>
                <w:b w:val="0"/>
                <w:sz w:val="15"/>
              </w:rPr>
              <w:t>Preserve version history and metadata</w:t>
            </w:r>
          </w:p>
        </w:tc>
      </w:tr>
      <w:tr>
        <w:trPr>
          <w:cantSplit/>
        </w:trPr>
        <w:tc>
          <w:tcPr>
            <w:tcW w:type="dxa" w:w="2448"/>
            <w:vAlign w:val="center"/>
          </w:tcPr>
          <w:p>
            <w:pPr>
              <w:spacing w:after="0"/>
            </w:pPr>
            <w:r/>
            <w:r>
              <w:rPr>
                <w:rFonts w:ascii="Aptos" w:hAnsi="Aptos"/>
                <w:b w:val="0"/>
                <w:sz w:val="15"/>
              </w:rPr>
              <w:t>Database/query extraction</w:t>
            </w:r>
          </w:p>
        </w:tc>
        <w:tc>
          <w:tcPr>
            <w:tcW w:type="dxa" w:w="3888"/>
            <w:vAlign w:val="center"/>
          </w:tcPr>
          <w:p>
            <w:pPr>
              <w:spacing w:after="0"/>
            </w:pPr>
            <w:r/>
            <w:r>
              <w:rPr>
                <w:rFonts w:ascii="Aptos" w:hAnsi="Aptos"/>
                <w:b w:val="0"/>
                <w:sz w:val="15"/>
              </w:rPr>
              <w:t>Populations, access, events and control execution</w:t>
            </w:r>
          </w:p>
        </w:tc>
        <w:tc>
          <w:tcPr>
            <w:tcW w:type="dxa" w:w="3312"/>
            <w:vAlign w:val="center"/>
          </w:tcPr>
          <w:p>
            <w:pPr>
              <w:spacing w:after="0"/>
            </w:pPr>
            <w:r/>
            <w:r>
              <w:rPr>
                <w:rFonts w:ascii="Aptos" w:hAnsi="Aptos"/>
                <w:b w:val="0"/>
                <w:sz w:val="15"/>
              </w:rPr>
              <w:t>Save query logic and row counts</w:t>
            </w:r>
          </w:p>
        </w:tc>
      </w:tr>
      <w:tr>
        <w:trPr>
          <w:cantSplit/>
        </w:trPr>
        <w:tc>
          <w:tcPr>
            <w:tcW w:type="dxa" w:w="2448"/>
            <w:vAlign w:val="center"/>
            <w:shd w:fill="F3F6F7"/>
          </w:tcPr>
          <w:p>
            <w:pPr>
              <w:spacing w:after="0"/>
            </w:pPr>
            <w:r/>
            <w:r>
              <w:rPr>
                <w:rFonts w:ascii="Aptos" w:hAnsi="Aptos"/>
                <w:b w:val="0"/>
                <w:sz w:val="15"/>
              </w:rPr>
              <w:t>System observation</w:t>
            </w:r>
          </w:p>
        </w:tc>
        <w:tc>
          <w:tcPr>
            <w:tcW w:type="dxa" w:w="3888"/>
            <w:vAlign w:val="center"/>
            <w:shd w:fill="F3F6F7"/>
          </w:tcPr>
          <w:p>
            <w:pPr>
              <w:spacing w:after="0"/>
            </w:pPr>
            <w:r/>
            <w:r>
              <w:rPr>
                <w:rFonts w:ascii="Aptos" w:hAnsi="Aptos"/>
                <w:b w:val="0"/>
                <w:sz w:val="15"/>
              </w:rPr>
              <w:t>Human oversight, physical controls and workflow execution</w:t>
            </w:r>
          </w:p>
        </w:tc>
        <w:tc>
          <w:tcPr>
            <w:tcW w:type="dxa" w:w="3312"/>
            <w:vAlign w:val="center"/>
            <w:shd w:fill="F3F6F7"/>
          </w:tcPr>
          <w:p>
            <w:pPr>
              <w:spacing w:after="0"/>
            </w:pPr>
            <w:r/>
            <w:r>
              <w:rPr>
                <w:rFonts w:ascii="Aptos" w:hAnsi="Aptos"/>
                <w:b w:val="0"/>
                <w:sz w:val="15"/>
              </w:rPr>
              <w:t>Record observer, time, conditions and deviations</w:t>
            </w:r>
          </w:p>
        </w:tc>
      </w:tr>
      <w:tr>
        <w:trPr>
          <w:cantSplit/>
        </w:trPr>
        <w:tc>
          <w:tcPr>
            <w:tcW w:type="dxa" w:w="2448"/>
            <w:vAlign w:val="center"/>
          </w:tcPr>
          <w:p>
            <w:pPr>
              <w:spacing w:after="0"/>
            </w:pPr>
            <w:r/>
            <w:r>
              <w:rPr>
                <w:rFonts w:ascii="Aptos" w:hAnsi="Aptos"/>
                <w:b w:val="0"/>
                <w:sz w:val="15"/>
              </w:rPr>
              <w:t>Interview</w:t>
            </w:r>
          </w:p>
        </w:tc>
        <w:tc>
          <w:tcPr>
            <w:tcW w:type="dxa" w:w="3888"/>
            <w:vAlign w:val="center"/>
          </w:tcPr>
          <w:p>
            <w:pPr>
              <w:spacing w:after="0"/>
            </w:pPr>
            <w:r/>
            <w:r>
              <w:rPr>
                <w:rFonts w:ascii="Aptos" w:hAnsi="Aptos"/>
                <w:b w:val="0"/>
                <w:sz w:val="15"/>
              </w:rPr>
              <w:t>Roles, process understanding and control operation</w:t>
            </w:r>
          </w:p>
        </w:tc>
        <w:tc>
          <w:tcPr>
            <w:tcW w:type="dxa" w:w="3312"/>
            <w:vAlign w:val="center"/>
          </w:tcPr>
          <w:p>
            <w:pPr>
              <w:spacing w:after="0"/>
            </w:pPr>
            <w:r/>
            <w:r>
              <w:rPr>
                <w:rFonts w:ascii="Aptos" w:hAnsi="Aptos"/>
                <w:b w:val="0"/>
                <w:sz w:val="15"/>
              </w:rPr>
              <w:t>Corroborate with direct evidence</w:t>
            </w:r>
          </w:p>
        </w:tc>
      </w:tr>
      <w:tr>
        <w:trPr>
          <w:cantSplit/>
        </w:trPr>
        <w:tc>
          <w:tcPr>
            <w:tcW w:type="dxa" w:w="2448"/>
            <w:vAlign w:val="center"/>
            <w:shd w:fill="F3F6F7"/>
          </w:tcPr>
          <w:p>
            <w:pPr>
              <w:spacing w:after="0"/>
            </w:pPr>
            <w:r/>
            <w:r>
              <w:rPr>
                <w:rFonts w:ascii="Aptos" w:hAnsi="Aptos"/>
                <w:b w:val="0"/>
                <w:sz w:val="15"/>
              </w:rPr>
              <w:t>Re-performance</w:t>
            </w:r>
          </w:p>
        </w:tc>
        <w:tc>
          <w:tcPr>
            <w:tcW w:type="dxa" w:w="3888"/>
            <w:vAlign w:val="center"/>
            <w:shd w:fill="F3F6F7"/>
          </w:tcPr>
          <w:p>
            <w:pPr>
              <w:spacing w:after="0"/>
            </w:pPr>
            <w:r/>
            <w:r>
              <w:rPr>
                <w:rFonts w:ascii="Aptos" w:hAnsi="Aptos"/>
                <w:b w:val="0"/>
                <w:sz w:val="15"/>
              </w:rPr>
              <w:t>Testing technical or procedural control operation</w:t>
            </w:r>
          </w:p>
        </w:tc>
        <w:tc>
          <w:tcPr>
            <w:tcW w:type="dxa" w:w="3312"/>
            <w:vAlign w:val="center"/>
            <w:shd w:fill="F3F6F7"/>
          </w:tcPr>
          <w:p>
            <w:pPr>
              <w:spacing w:after="0"/>
            </w:pPr>
            <w:r/>
            <w:r>
              <w:rPr>
                <w:rFonts w:ascii="Aptos" w:hAnsi="Aptos"/>
                <w:b w:val="0"/>
                <w:sz w:val="15"/>
              </w:rPr>
              <w:t>Use controlled steps and expected outcomes</w:t>
            </w:r>
          </w:p>
        </w:tc>
      </w:tr>
      <w:tr>
        <w:trPr>
          <w:cantSplit/>
        </w:trPr>
        <w:tc>
          <w:tcPr>
            <w:tcW w:type="dxa" w:w="2448"/>
            <w:vAlign w:val="center"/>
          </w:tcPr>
          <w:p>
            <w:pPr>
              <w:spacing w:after="0"/>
            </w:pPr>
            <w:r/>
            <w:r>
              <w:rPr>
                <w:rFonts w:ascii="Aptos" w:hAnsi="Aptos"/>
                <w:b w:val="0"/>
                <w:sz w:val="15"/>
              </w:rPr>
              <w:t>Screenshot/photo</w:t>
            </w:r>
          </w:p>
        </w:tc>
        <w:tc>
          <w:tcPr>
            <w:tcW w:type="dxa" w:w="3888"/>
            <w:vAlign w:val="center"/>
          </w:tcPr>
          <w:p>
            <w:pPr>
              <w:spacing w:after="0"/>
            </w:pPr>
            <w:r/>
            <w:r>
              <w:rPr>
                <w:rFonts w:ascii="Aptos" w:hAnsi="Aptos"/>
                <w:b w:val="0"/>
                <w:sz w:val="15"/>
              </w:rPr>
              <w:t>Visual configuration or physical state</w:t>
            </w:r>
          </w:p>
        </w:tc>
        <w:tc>
          <w:tcPr>
            <w:tcW w:type="dxa" w:w="3312"/>
            <w:vAlign w:val="center"/>
          </w:tcPr>
          <w:p>
            <w:pPr>
              <w:spacing w:after="0"/>
            </w:pPr>
            <w:r/>
            <w:r>
              <w:rPr>
                <w:rFonts w:ascii="Aptos" w:hAnsi="Aptos"/>
                <w:b w:val="0"/>
                <w:sz w:val="15"/>
              </w:rPr>
              <w:t>Include context, timestamp and source; avoid using alone</w:t>
            </w:r>
          </w:p>
        </w:tc>
      </w:tr>
      <w:tr>
        <w:trPr>
          <w:cantSplit/>
        </w:trPr>
        <w:tc>
          <w:tcPr>
            <w:tcW w:type="dxa" w:w="2448"/>
            <w:vAlign w:val="center"/>
            <w:shd w:fill="F3F6F7"/>
          </w:tcPr>
          <w:p>
            <w:pPr>
              <w:spacing w:after="0"/>
            </w:pPr>
            <w:r/>
            <w:r>
              <w:rPr>
                <w:rFonts w:ascii="Aptos" w:hAnsi="Aptos"/>
                <w:b w:val="0"/>
                <w:sz w:val="15"/>
              </w:rPr>
              <w:t>Supplier request</w:t>
            </w:r>
          </w:p>
        </w:tc>
        <w:tc>
          <w:tcPr>
            <w:tcW w:type="dxa" w:w="3888"/>
            <w:vAlign w:val="center"/>
            <w:shd w:fill="F3F6F7"/>
          </w:tcPr>
          <w:p>
            <w:pPr>
              <w:spacing w:after="0"/>
            </w:pPr>
            <w:r/>
            <w:r>
              <w:rPr>
                <w:rFonts w:ascii="Aptos" w:hAnsi="Aptos"/>
                <w:b w:val="0"/>
                <w:sz w:val="15"/>
              </w:rPr>
              <w:t>External attestations, reports and service evidence</w:t>
            </w:r>
          </w:p>
        </w:tc>
        <w:tc>
          <w:tcPr>
            <w:tcW w:type="dxa" w:w="3312"/>
            <w:vAlign w:val="center"/>
            <w:shd w:fill="F3F6F7"/>
          </w:tcPr>
          <w:p>
            <w:pPr>
              <w:spacing w:after="0"/>
            </w:pPr>
            <w:r/>
            <w:r>
              <w:rPr>
                <w:rFonts w:ascii="Aptos" w:hAnsi="Aptos"/>
                <w:b w:val="0"/>
                <w:sz w:val="15"/>
              </w:rPr>
              <w:t>Record scope, version, period and limitations</w:t>
            </w:r>
          </w:p>
        </w:tc>
      </w:tr>
      <w:tr>
        <w:trPr>
          <w:cantSplit/>
        </w:trPr>
        <w:tc>
          <w:tcPr>
            <w:tcW w:type="dxa" w:w="2448"/>
            <w:vAlign w:val="center"/>
          </w:tcPr>
          <w:p>
            <w:pPr>
              <w:spacing w:after="0"/>
            </w:pPr>
            <w:r/>
            <w:r>
              <w:rPr>
                <w:rFonts w:ascii="Aptos" w:hAnsi="Aptos"/>
                <w:b w:val="0"/>
                <w:sz w:val="15"/>
              </w:rPr>
              <w:t>Sampling</w:t>
            </w:r>
          </w:p>
        </w:tc>
        <w:tc>
          <w:tcPr>
            <w:tcW w:type="dxa" w:w="3888"/>
            <w:vAlign w:val="center"/>
          </w:tcPr>
          <w:p>
            <w:pPr>
              <w:spacing w:after="0"/>
            </w:pPr>
            <w:r/>
            <w:r>
              <w:rPr>
                <w:rFonts w:ascii="Aptos" w:hAnsi="Aptos"/>
                <w:b w:val="0"/>
                <w:sz w:val="15"/>
              </w:rPr>
              <w:t>Large transaction or event populations</w:t>
            </w:r>
          </w:p>
        </w:tc>
        <w:tc>
          <w:tcPr>
            <w:tcW w:type="dxa" w:w="3312"/>
            <w:vAlign w:val="center"/>
          </w:tcPr>
          <w:p>
            <w:pPr>
              <w:spacing w:after="0"/>
            </w:pPr>
            <w:r/>
            <w:r>
              <w:rPr>
                <w:rFonts w:ascii="Aptos" w:hAnsi="Aptos"/>
                <w:b w:val="0"/>
                <w:sz w:val="15"/>
              </w:rPr>
              <w:t>Define population, method, sample size and exceptions</w:t>
            </w:r>
          </w:p>
        </w:tc>
      </w:tr>
    </w:tbl>
    <w:p/>
    <w:p>
      <w:pPr>
        <w:pStyle w:val="Heading1"/>
      </w:pPr>
      <w:r>
        <w:t>9. Evidence Metadata and Naming</w:t>
      </w:r>
    </w:p>
    <w:p>
      <w:r>
        <w:t>Recommended naming pattern: [SYSTEM]-[CONTROL-ID]-[ARTIFACT-TYPE]-[PERIOD/DATE]-[SEQUENCE]-[VERSION].</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Metadata field</w:t>
            </w:r>
          </w:p>
        </w:tc>
        <w:tc>
          <w:tcPr>
            <w:tcW w:type="dxa" w:w="7200"/>
            <w:vAlign w:val="center"/>
            <w:shd w:fill="17324D"/>
          </w:tcPr>
          <w:p>
            <w:pPr>
              <w:spacing w:after="0"/>
            </w:pPr>
            <w:r/>
            <w:r>
              <w:rPr>
                <w:rFonts w:ascii="Aptos" w:hAnsi="Aptos"/>
                <w:b/>
                <w:color w:val="FFFFFF"/>
                <w:sz w:val="15"/>
              </w:rPr>
              <w:t>Description</w:t>
            </w:r>
          </w:p>
        </w:tc>
      </w:tr>
      <w:tr>
        <w:trPr>
          <w:cantSplit/>
        </w:trPr>
        <w:tc>
          <w:tcPr>
            <w:tcW w:type="dxa" w:w="2448"/>
            <w:vAlign w:val="center"/>
          </w:tcPr>
          <w:p>
            <w:pPr>
              <w:spacing w:after="0"/>
            </w:pPr>
            <w:r/>
            <w:r>
              <w:rPr>
                <w:rFonts w:ascii="Aptos" w:hAnsi="Aptos"/>
                <w:b w:val="0"/>
                <w:sz w:val="15"/>
              </w:rPr>
              <w:t>Evidence ID</w:t>
            </w:r>
          </w:p>
        </w:tc>
        <w:tc>
          <w:tcPr>
            <w:tcW w:type="dxa" w:w="7200"/>
            <w:vAlign w:val="center"/>
          </w:tcPr>
          <w:p>
            <w:pPr>
              <w:spacing w:after="0"/>
            </w:pPr>
            <w:r/>
            <w:r>
              <w:rPr>
                <w:rFonts w:ascii="Aptos" w:hAnsi="Aptos"/>
                <w:b w:val="0"/>
                <w:sz w:val="15"/>
              </w:rPr>
              <w:t>Unique stable identifier</w:t>
            </w:r>
          </w:p>
        </w:tc>
      </w:tr>
      <w:tr>
        <w:trPr>
          <w:cantSplit/>
        </w:trPr>
        <w:tc>
          <w:tcPr>
            <w:tcW w:type="dxa" w:w="2448"/>
            <w:vAlign w:val="center"/>
            <w:shd w:fill="F3F6F7"/>
          </w:tcPr>
          <w:p>
            <w:pPr>
              <w:spacing w:after="0"/>
            </w:pPr>
            <w:r/>
            <w:r>
              <w:rPr>
                <w:rFonts w:ascii="Aptos" w:hAnsi="Aptos"/>
                <w:b w:val="0"/>
                <w:sz w:val="15"/>
              </w:rPr>
              <w:t>Control ID</w:t>
            </w:r>
          </w:p>
        </w:tc>
        <w:tc>
          <w:tcPr>
            <w:tcW w:type="dxa" w:w="7200"/>
            <w:vAlign w:val="center"/>
            <w:shd w:fill="F3F6F7"/>
          </w:tcPr>
          <w:p>
            <w:pPr>
              <w:spacing w:after="0"/>
            </w:pPr>
            <w:r/>
            <w:r>
              <w:rPr>
                <w:rFonts w:ascii="Aptos" w:hAnsi="Aptos"/>
                <w:b w:val="0"/>
                <w:sz w:val="15"/>
              </w:rPr>
              <w:t>Mapped GAISSF control</w:t>
            </w:r>
          </w:p>
        </w:tc>
      </w:tr>
      <w:tr>
        <w:trPr>
          <w:cantSplit/>
        </w:trPr>
        <w:tc>
          <w:tcPr>
            <w:tcW w:type="dxa" w:w="2448"/>
            <w:vAlign w:val="center"/>
          </w:tcPr>
          <w:p>
            <w:pPr>
              <w:spacing w:after="0"/>
            </w:pPr>
            <w:r/>
            <w:r>
              <w:rPr>
                <w:rFonts w:ascii="Aptos" w:hAnsi="Aptos"/>
                <w:b w:val="0"/>
                <w:sz w:val="15"/>
              </w:rPr>
              <w:t>System/scope</w:t>
            </w:r>
          </w:p>
        </w:tc>
        <w:tc>
          <w:tcPr>
            <w:tcW w:type="dxa" w:w="7200"/>
            <w:vAlign w:val="center"/>
          </w:tcPr>
          <w:p>
            <w:pPr>
              <w:spacing w:after="0"/>
            </w:pPr>
            <w:r/>
            <w:r>
              <w:rPr>
                <w:rFonts w:ascii="Aptos" w:hAnsi="Aptos"/>
                <w:b w:val="0"/>
                <w:sz w:val="15"/>
              </w:rPr>
              <w:t>System, component, supplier or location</w:t>
            </w:r>
          </w:p>
        </w:tc>
      </w:tr>
      <w:tr>
        <w:trPr>
          <w:cantSplit/>
        </w:trPr>
        <w:tc>
          <w:tcPr>
            <w:tcW w:type="dxa" w:w="2448"/>
            <w:vAlign w:val="center"/>
            <w:shd w:fill="F3F6F7"/>
          </w:tcPr>
          <w:p>
            <w:pPr>
              <w:spacing w:after="0"/>
            </w:pPr>
            <w:r/>
            <w:r>
              <w:rPr>
                <w:rFonts w:ascii="Aptos" w:hAnsi="Aptos"/>
                <w:b w:val="0"/>
                <w:sz w:val="15"/>
              </w:rPr>
              <w:t>Artifact type</w:t>
            </w:r>
          </w:p>
        </w:tc>
        <w:tc>
          <w:tcPr>
            <w:tcW w:type="dxa" w:w="7200"/>
            <w:vAlign w:val="center"/>
            <w:shd w:fill="F3F6F7"/>
          </w:tcPr>
          <w:p>
            <w:pPr>
              <w:spacing w:after="0"/>
            </w:pPr>
            <w:r/>
            <w:r>
              <w:rPr>
                <w:rFonts w:ascii="Aptos" w:hAnsi="Aptos"/>
                <w:b w:val="0"/>
                <w:sz w:val="15"/>
              </w:rPr>
              <w:t>Policy, configuration, log, test, review, incident or other</w:t>
            </w:r>
          </w:p>
        </w:tc>
      </w:tr>
      <w:tr>
        <w:trPr>
          <w:cantSplit/>
        </w:trPr>
        <w:tc>
          <w:tcPr>
            <w:tcW w:type="dxa" w:w="2448"/>
            <w:vAlign w:val="center"/>
          </w:tcPr>
          <w:p>
            <w:pPr>
              <w:spacing w:after="0"/>
            </w:pPr>
            <w:r/>
            <w:r>
              <w:rPr>
                <w:rFonts w:ascii="Aptos" w:hAnsi="Aptos"/>
                <w:b w:val="0"/>
                <w:sz w:val="15"/>
              </w:rPr>
              <w:t>Source</w:t>
            </w:r>
          </w:p>
        </w:tc>
        <w:tc>
          <w:tcPr>
            <w:tcW w:type="dxa" w:w="7200"/>
            <w:vAlign w:val="center"/>
          </w:tcPr>
          <w:p>
            <w:pPr>
              <w:spacing w:after="0"/>
            </w:pPr>
            <w:r/>
            <w:r>
              <w:rPr>
                <w:rFonts w:ascii="Aptos" w:hAnsi="Aptos"/>
                <w:b w:val="0"/>
                <w:sz w:val="15"/>
              </w:rPr>
              <w:t>Originating system or person</w:t>
            </w:r>
          </w:p>
        </w:tc>
      </w:tr>
      <w:tr>
        <w:trPr>
          <w:cantSplit/>
        </w:trPr>
        <w:tc>
          <w:tcPr>
            <w:tcW w:type="dxa" w:w="2448"/>
            <w:vAlign w:val="center"/>
            <w:shd w:fill="F3F6F7"/>
          </w:tcPr>
          <w:p>
            <w:pPr>
              <w:spacing w:after="0"/>
            </w:pPr>
            <w:r/>
            <w:r>
              <w:rPr>
                <w:rFonts w:ascii="Aptos" w:hAnsi="Aptos"/>
                <w:b w:val="0"/>
                <w:sz w:val="15"/>
              </w:rPr>
              <w:t>Collector</w:t>
            </w:r>
          </w:p>
        </w:tc>
        <w:tc>
          <w:tcPr>
            <w:tcW w:type="dxa" w:w="7200"/>
            <w:vAlign w:val="center"/>
            <w:shd w:fill="F3F6F7"/>
          </w:tcPr>
          <w:p>
            <w:pPr>
              <w:spacing w:after="0"/>
            </w:pPr>
            <w:r/>
            <w:r>
              <w:rPr>
                <w:rFonts w:ascii="Aptos" w:hAnsi="Aptos"/>
                <w:b w:val="0"/>
                <w:sz w:val="15"/>
              </w:rPr>
              <w:t>Person or service that collected it</w:t>
            </w:r>
          </w:p>
        </w:tc>
      </w:tr>
      <w:tr>
        <w:trPr>
          <w:cantSplit/>
        </w:trPr>
        <w:tc>
          <w:tcPr>
            <w:tcW w:type="dxa" w:w="2448"/>
            <w:vAlign w:val="center"/>
          </w:tcPr>
          <w:p>
            <w:pPr>
              <w:spacing w:after="0"/>
            </w:pPr>
            <w:r/>
            <w:r>
              <w:rPr>
                <w:rFonts w:ascii="Aptos" w:hAnsi="Aptos"/>
                <w:b w:val="0"/>
                <w:sz w:val="15"/>
              </w:rPr>
              <w:t>Collection time</w:t>
            </w:r>
          </w:p>
        </w:tc>
        <w:tc>
          <w:tcPr>
            <w:tcW w:type="dxa" w:w="7200"/>
            <w:vAlign w:val="center"/>
          </w:tcPr>
          <w:p>
            <w:pPr>
              <w:spacing w:after="0"/>
            </w:pPr>
            <w:r/>
            <w:r>
              <w:rPr>
                <w:rFonts w:ascii="Aptos" w:hAnsi="Aptos"/>
                <w:b w:val="0"/>
                <w:sz w:val="15"/>
              </w:rPr>
              <w:t>Date, time and timezone</w:t>
            </w:r>
          </w:p>
        </w:tc>
      </w:tr>
      <w:tr>
        <w:trPr>
          <w:cantSplit/>
        </w:trPr>
        <w:tc>
          <w:tcPr>
            <w:tcW w:type="dxa" w:w="2448"/>
            <w:vAlign w:val="center"/>
            <w:shd w:fill="F3F6F7"/>
          </w:tcPr>
          <w:p>
            <w:pPr>
              <w:spacing w:after="0"/>
            </w:pPr>
            <w:r/>
            <w:r>
              <w:rPr>
                <w:rFonts w:ascii="Aptos" w:hAnsi="Aptos"/>
                <w:b w:val="0"/>
                <w:sz w:val="15"/>
              </w:rPr>
              <w:t>Evidence period</w:t>
            </w:r>
          </w:p>
        </w:tc>
        <w:tc>
          <w:tcPr>
            <w:tcW w:type="dxa" w:w="7200"/>
            <w:vAlign w:val="center"/>
            <w:shd w:fill="F3F6F7"/>
          </w:tcPr>
          <w:p>
            <w:pPr>
              <w:spacing w:after="0"/>
            </w:pPr>
            <w:r/>
            <w:r>
              <w:rPr>
                <w:rFonts w:ascii="Aptos" w:hAnsi="Aptos"/>
                <w:b w:val="0"/>
                <w:sz w:val="15"/>
              </w:rPr>
              <w:t>Period represented</w:t>
            </w:r>
          </w:p>
        </w:tc>
      </w:tr>
      <w:tr>
        <w:trPr>
          <w:cantSplit/>
        </w:trPr>
        <w:tc>
          <w:tcPr>
            <w:tcW w:type="dxa" w:w="2448"/>
            <w:vAlign w:val="center"/>
          </w:tcPr>
          <w:p>
            <w:pPr>
              <w:spacing w:after="0"/>
            </w:pPr>
            <w:r/>
            <w:r>
              <w:rPr>
                <w:rFonts w:ascii="Aptos" w:hAnsi="Aptos"/>
                <w:b w:val="0"/>
                <w:sz w:val="15"/>
              </w:rPr>
              <w:t>Version</w:t>
            </w:r>
          </w:p>
        </w:tc>
        <w:tc>
          <w:tcPr>
            <w:tcW w:type="dxa" w:w="7200"/>
            <w:vAlign w:val="center"/>
          </w:tcPr>
          <w:p>
            <w:pPr>
              <w:spacing w:after="0"/>
            </w:pPr>
            <w:r/>
            <w:r>
              <w:rPr>
                <w:rFonts w:ascii="Aptos" w:hAnsi="Aptos"/>
                <w:b w:val="0"/>
                <w:sz w:val="15"/>
              </w:rPr>
              <w:t>Model, policy, code, data or document version</w:t>
            </w:r>
          </w:p>
        </w:tc>
      </w:tr>
      <w:tr>
        <w:trPr>
          <w:cantSplit/>
        </w:trPr>
        <w:tc>
          <w:tcPr>
            <w:tcW w:type="dxa" w:w="2448"/>
            <w:vAlign w:val="center"/>
            <w:shd w:fill="F3F6F7"/>
          </w:tcPr>
          <w:p>
            <w:pPr>
              <w:spacing w:after="0"/>
            </w:pPr>
            <w:r/>
            <w:r>
              <w:rPr>
                <w:rFonts w:ascii="Aptos" w:hAnsi="Aptos"/>
                <w:b w:val="0"/>
                <w:sz w:val="15"/>
              </w:rPr>
              <w:t>Integrity value</w:t>
            </w:r>
          </w:p>
        </w:tc>
        <w:tc>
          <w:tcPr>
            <w:tcW w:type="dxa" w:w="7200"/>
            <w:vAlign w:val="center"/>
            <w:shd w:fill="F3F6F7"/>
          </w:tcPr>
          <w:p>
            <w:pPr>
              <w:spacing w:after="0"/>
            </w:pPr>
            <w:r/>
            <w:r>
              <w:rPr>
                <w:rFonts w:ascii="Aptos" w:hAnsi="Aptos"/>
                <w:b w:val="0"/>
                <w:sz w:val="15"/>
              </w:rPr>
              <w:t>Hash, signature or repository identifier</w:t>
            </w:r>
          </w:p>
        </w:tc>
      </w:tr>
      <w:tr>
        <w:trPr>
          <w:cantSplit/>
        </w:trPr>
        <w:tc>
          <w:tcPr>
            <w:tcW w:type="dxa" w:w="2448"/>
            <w:vAlign w:val="center"/>
          </w:tcPr>
          <w:p>
            <w:pPr>
              <w:spacing w:after="0"/>
            </w:pPr>
            <w:r/>
            <w:r>
              <w:rPr>
                <w:rFonts w:ascii="Aptos" w:hAnsi="Aptos"/>
                <w:b w:val="0"/>
                <w:sz w:val="15"/>
              </w:rPr>
              <w:t>Classification</w:t>
            </w:r>
          </w:p>
        </w:tc>
        <w:tc>
          <w:tcPr>
            <w:tcW w:type="dxa" w:w="7200"/>
            <w:vAlign w:val="center"/>
          </w:tcPr>
          <w:p>
            <w:pPr>
              <w:spacing w:after="0"/>
            </w:pPr>
            <w:r/>
            <w:r>
              <w:rPr>
                <w:rFonts w:ascii="Aptos" w:hAnsi="Aptos"/>
                <w:b w:val="0"/>
                <w:sz w:val="15"/>
              </w:rPr>
              <w:t>Public, internal, confidential, restricted or regulated</w:t>
            </w:r>
          </w:p>
        </w:tc>
      </w:tr>
      <w:tr>
        <w:trPr>
          <w:cantSplit/>
        </w:trPr>
        <w:tc>
          <w:tcPr>
            <w:tcW w:type="dxa" w:w="2448"/>
            <w:vAlign w:val="center"/>
            <w:shd w:fill="F3F6F7"/>
          </w:tcPr>
          <w:p>
            <w:pPr>
              <w:spacing w:after="0"/>
            </w:pPr>
            <w:r/>
            <w:r>
              <w:rPr>
                <w:rFonts w:ascii="Aptos" w:hAnsi="Aptos"/>
                <w:b w:val="0"/>
                <w:sz w:val="15"/>
              </w:rPr>
              <w:t>Status</w:t>
            </w:r>
          </w:p>
        </w:tc>
        <w:tc>
          <w:tcPr>
            <w:tcW w:type="dxa" w:w="7200"/>
            <w:vAlign w:val="center"/>
            <w:shd w:fill="F3F6F7"/>
          </w:tcPr>
          <w:p>
            <w:pPr>
              <w:spacing w:after="0"/>
            </w:pPr>
            <w:r/>
            <w:r>
              <w:rPr>
                <w:rFonts w:ascii="Aptos" w:hAnsi="Aptos"/>
                <w:b w:val="0"/>
                <w:sz w:val="15"/>
              </w:rPr>
              <w:t>Draft, accepted, rejected, expired, superseded or archived</w:t>
            </w:r>
          </w:p>
        </w:tc>
      </w:tr>
      <w:tr>
        <w:trPr>
          <w:cantSplit/>
        </w:trPr>
        <w:tc>
          <w:tcPr>
            <w:tcW w:type="dxa" w:w="2448"/>
            <w:vAlign w:val="center"/>
          </w:tcPr>
          <w:p>
            <w:pPr>
              <w:spacing w:after="0"/>
            </w:pPr>
            <w:r/>
            <w:r>
              <w:rPr>
                <w:rFonts w:ascii="Aptos" w:hAnsi="Aptos"/>
                <w:b w:val="0"/>
                <w:sz w:val="15"/>
              </w:rPr>
              <w:t>Limitations</w:t>
            </w:r>
          </w:p>
        </w:tc>
        <w:tc>
          <w:tcPr>
            <w:tcW w:type="dxa" w:w="7200"/>
            <w:vAlign w:val="center"/>
          </w:tcPr>
          <w:p>
            <w:pPr>
              <w:spacing w:after="0"/>
            </w:pPr>
            <w:r/>
            <w:r>
              <w:rPr>
                <w:rFonts w:ascii="Aptos" w:hAnsi="Aptos"/>
                <w:b w:val="0"/>
                <w:sz w:val="15"/>
              </w:rPr>
              <w:t>Sampling, opacity, missing fields or known defects</w:t>
            </w:r>
          </w:p>
        </w:tc>
      </w:tr>
    </w:tbl>
    <w:p/>
    <w:p>
      <w:pPr>
        <w:pStyle w:val="Heading1"/>
      </w:pPr>
      <w:r>
        <w:t>10. Integrity and Chain of Custody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Control</w:t>
            </w:r>
          </w:p>
        </w:tc>
        <w:tc>
          <w:tcPr>
            <w:tcW w:type="dxa" w:w="6768"/>
            <w:vAlign w:val="center"/>
            <w:shd w:fill="17324D"/>
          </w:tcPr>
          <w:p>
            <w:pPr>
              <w:spacing w:after="0"/>
            </w:pPr>
            <w:r/>
            <w:r>
              <w:rPr>
                <w:rFonts w:ascii="Aptos" w:hAnsi="Aptos"/>
                <w:b/>
                <w:color w:val="FFFFFF"/>
                <w:sz w:val="15"/>
              </w:rPr>
              <w:t>Implementation</w:t>
            </w:r>
          </w:p>
        </w:tc>
      </w:tr>
      <w:tr>
        <w:trPr>
          <w:cantSplit/>
        </w:trPr>
        <w:tc>
          <w:tcPr>
            <w:tcW w:type="dxa" w:w="2880"/>
            <w:vAlign w:val="center"/>
          </w:tcPr>
          <w:p>
            <w:pPr>
              <w:spacing w:after="0"/>
            </w:pPr>
            <w:r/>
            <w:r>
              <w:rPr>
                <w:rFonts w:ascii="Aptos" w:hAnsi="Aptos"/>
                <w:b w:val="0"/>
                <w:sz w:val="15"/>
              </w:rPr>
              <w:t>Source authentication</w:t>
            </w:r>
          </w:p>
        </w:tc>
        <w:tc>
          <w:tcPr>
            <w:tcW w:type="dxa" w:w="6768"/>
            <w:vAlign w:val="center"/>
          </w:tcPr>
          <w:p>
            <w:pPr>
              <w:spacing w:after="0"/>
            </w:pPr>
            <w:r/>
            <w:r>
              <w:rPr>
                <w:rFonts w:ascii="Aptos" w:hAnsi="Aptos"/>
                <w:b w:val="0"/>
                <w:sz w:val="15"/>
              </w:rPr>
              <w:t>Use authenticated APIs, signed exports or trusted repository access</w:t>
            </w:r>
          </w:p>
        </w:tc>
      </w:tr>
      <w:tr>
        <w:trPr>
          <w:cantSplit/>
        </w:trPr>
        <w:tc>
          <w:tcPr>
            <w:tcW w:type="dxa" w:w="2880"/>
            <w:vAlign w:val="center"/>
            <w:shd w:fill="F3F6F7"/>
          </w:tcPr>
          <w:p>
            <w:pPr>
              <w:spacing w:after="0"/>
            </w:pPr>
            <w:r/>
            <w:r>
              <w:rPr>
                <w:rFonts w:ascii="Aptos" w:hAnsi="Aptos"/>
                <w:b w:val="0"/>
                <w:sz w:val="15"/>
              </w:rPr>
              <w:t>Hashing</w:t>
            </w:r>
          </w:p>
        </w:tc>
        <w:tc>
          <w:tcPr>
            <w:tcW w:type="dxa" w:w="6768"/>
            <w:vAlign w:val="center"/>
            <w:shd w:fill="F3F6F7"/>
          </w:tcPr>
          <w:p>
            <w:pPr>
              <w:spacing w:after="0"/>
            </w:pPr>
            <w:r/>
            <w:r>
              <w:rPr>
                <w:rFonts w:ascii="Aptos" w:hAnsi="Aptos"/>
                <w:b w:val="0"/>
                <w:sz w:val="15"/>
              </w:rPr>
              <w:t>Calculate and record a cryptographic hash for collected files where proportionate</w:t>
            </w:r>
          </w:p>
        </w:tc>
      </w:tr>
      <w:tr>
        <w:trPr>
          <w:cantSplit/>
        </w:trPr>
        <w:tc>
          <w:tcPr>
            <w:tcW w:type="dxa" w:w="2880"/>
            <w:vAlign w:val="center"/>
          </w:tcPr>
          <w:p>
            <w:pPr>
              <w:spacing w:after="0"/>
            </w:pPr>
            <w:r/>
            <w:r>
              <w:rPr>
                <w:rFonts w:ascii="Aptos" w:hAnsi="Aptos"/>
                <w:b w:val="0"/>
                <w:sz w:val="15"/>
              </w:rPr>
              <w:t>Timestamping</w:t>
            </w:r>
          </w:p>
        </w:tc>
        <w:tc>
          <w:tcPr>
            <w:tcW w:type="dxa" w:w="6768"/>
            <w:vAlign w:val="center"/>
          </w:tcPr>
          <w:p>
            <w:pPr>
              <w:spacing w:after="0"/>
            </w:pPr>
            <w:r/>
            <w:r>
              <w:rPr>
                <w:rFonts w:ascii="Aptos" w:hAnsi="Aptos"/>
                <w:b w:val="0"/>
                <w:sz w:val="15"/>
              </w:rPr>
              <w:t>Use synchronized systems and record timezone</w:t>
            </w:r>
          </w:p>
        </w:tc>
      </w:tr>
      <w:tr>
        <w:trPr>
          <w:cantSplit/>
        </w:trPr>
        <w:tc>
          <w:tcPr>
            <w:tcW w:type="dxa" w:w="2880"/>
            <w:vAlign w:val="center"/>
            <w:shd w:fill="F3F6F7"/>
          </w:tcPr>
          <w:p>
            <w:pPr>
              <w:spacing w:after="0"/>
            </w:pPr>
            <w:r/>
            <w:r>
              <w:rPr>
                <w:rFonts w:ascii="Aptos" w:hAnsi="Aptos"/>
                <w:b w:val="0"/>
                <w:sz w:val="15"/>
              </w:rPr>
              <w:t>Read-only preservation</w:t>
            </w:r>
          </w:p>
        </w:tc>
        <w:tc>
          <w:tcPr>
            <w:tcW w:type="dxa" w:w="6768"/>
            <w:vAlign w:val="center"/>
            <w:shd w:fill="F3F6F7"/>
          </w:tcPr>
          <w:p>
            <w:pPr>
              <w:spacing w:after="0"/>
            </w:pPr>
            <w:r/>
            <w:r>
              <w:rPr>
                <w:rFonts w:ascii="Aptos" w:hAnsi="Aptos"/>
                <w:b w:val="0"/>
                <w:sz w:val="15"/>
              </w:rPr>
              <w:t>Store original artifacts without editing</w:t>
            </w:r>
          </w:p>
        </w:tc>
      </w:tr>
      <w:tr>
        <w:trPr>
          <w:cantSplit/>
        </w:trPr>
        <w:tc>
          <w:tcPr>
            <w:tcW w:type="dxa" w:w="2880"/>
            <w:vAlign w:val="center"/>
          </w:tcPr>
          <w:p>
            <w:pPr>
              <w:spacing w:after="0"/>
            </w:pPr>
            <w:r/>
            <w:r>
              <w:rPr>
                <w:rFonts w:ascii="Aptos" w:hAnsi="Aptos"/>
                <w:b w:val="0"/>
                <w:sz w:val="15"/>
              </w:rPr>
              <w:t>Transformation log</w:t>
            </w:r>
          </w:p>
        </w:tc>
        <w:tc>
          <w:tcPr>
            <w:tcW w:type="dxa" w:w="6768"/>
            <w:vAlign w:val="center"/>
          </w:tcPr>
          <w:p>
            <w:pPr>
              <w:spacing w:after="0"/>
            </w:pPr>
            <w:r/>
            <w:r>
              <w:rPr>
                <w:rFonts w:ascii="Aptos" w:hAnsi="Aptos"/>
                <w:b w:val="0"/>
                <w:sz w:val="15"/>
              </w:rPr>
              <w:t>Record redaction, format conversion, filtering and aggregation</w:t>
            </w:r>
          </w:p>
        </w:tc>
      </w:tr>
      <w:tr>
        <w:trPr>
          <w:cantSplit/>
        </w:trPr>
        <w:tc>
          <w:tcPr>
            <w:tcW w:type="dxa" w:w="2880"/>
            <w:vAlign w:val="center"/>
            <w:shd w:fill="F3F6F7"/>
          </w:tcPr>
          <w:p>
            <w:pPr>
              <w:spacing w:after="0"/>
            </w:pPr>
            <w:r/>
            <w:r>
              <w:rPr>
                <w:rFonts w:ascii="Aptos" w:hAnsi="Aptos"/>
                <w:b w:val="0"/>
                <w:sz w:val="15"/>
              </w:rPr>
              <w:t>Access control</w:t>
            </w:r>
          </w:p>
        </w:tc>
        <w:tc>
          <w:tcPr>
            <w:tcW w:type="dxa" w:w="6768"/>
            <w:vAlign w:val="center"/>
            <w:shd w:fill="F3F6F7"/>
          </w:tcPr>
          <w:p>
            <w:pPr>
              <w:spacing w:after="0"/>
            </w:pPr>
            <w:r/>
            <w:r>
              <w:rPr>
                <w:rFonts w:ascii="Aptos" w:hAnsi="Aptos"/>
                <w:b w:val="0"/>
                <w:sz w:val="15"/>
              </w:rPr>
              <w:t>Restrict modification and export rights</w:t>
            </w:r>
          </w:p>
        </w:tc>
      </w:tr>
      <w:tr>
        <w:trPr>
          <w:cantSplit/>
        </w:trPr>
        <w:tc>
          <w:tcPr>
            <w:tcW w:type="dxa" w:w="2880"/>
            <w:vAlign w:val="center"/>
          </w:tcPr>
          <w:p>
            <w:pPr>
              <w:spacing w:after="0"/>
            </w:pPr>
            <w:r/>
            <w:r>
              <w:rPr>
                <w:rFonts w:ascii="Aptos" w:hAnsi="Aptos"/>
                <w:b w:val="0"/>
                <w:sz w:val="15"/>
              </w:rPr>
              <w:t>Audit trail</w:t>
            </w:r>
          </w:p>
        </w:tc>
        <w:tc>
          <w:tcPr>
            <w:tcW w:type="dxa" w:w="6768"/>
            <w:vAlign w:val="center"/>
          </w:tcPr>
          <w:p>
            <w:pPr>
              <w:spacing w:after="0"/>
            </w:pPr>
            <w:r/>
            <w:r>
              <w:rPr>
                <w:rFonts w:ascii="Aptos" w:hAnsi="Aptos"/>
                <w:b w:val="0"/>
                <w:sz w:val="15"/>
              </w:rPr>
              <w:t>Retain evidence of upload, access, change and deletion</w:t>
            </w:r>
          </w:p>
        </w:tc>
      </w:tr>
      <w:tr>
        <w:trPr>
          <w:cantSplit/>
        </w:trPr>
        <w:tc>
          <w:tcPr>
            <w:tcW w:type="dxa" w:w="2880"/>
            <w:vAlign w:val="center"/>
            <w:shd w:fill="F3F6F7"/>
          </w:tcPr>
          <w:p>
            <w:pPr>
              <w:spacing w:after="0"/>
            </w:pPr>
            <w:r/>
            <w:r>
              <w:rPr>
                <w:rFonts w:ascii="Aptos" w:hAnsi="Aptos"/>
                <w:b w:val="0"/>
                <w:sz w:val="15"/>
              </w:rPr>
              <w:t>Custody transfer</w:t>
            </w:r>
          </w:p>
        </w:tc>
        <w:tc>
          <w:tcPr>
            <w:tcW w:type="dxa" w:w="6768"/>
            <w:vAlign w:val="center"/>
            <w:shd w:fill="F3F6F7"/>
          </w:tcPr>
          <w:p>
            <w:pPr>
              <w:spacing w:after="0"/>
            </w:pPr>
            <w:r/>
            <w:r>
              <w:rPr>
                <w:rFonts w:ascii="Aptos" w:hAnsi="Aptos"/>
                <w:b w:val="0"/>
                <w:sz w:val="15"/>
              </w:rPr>
              <w:t>Record sender, recipient, date, purpose and integrity verification</w:t>
            </w:r>
          </w:p>
        </w:tc>
      </w:tr>
      <w:tr>
        <w:trPr>
          <w:cantSplit/>
        </w:trPr>
        <w:tc>
          <w:tcPr>
            <w:tcW w:type="dxa" w:w="2880"/>
            <w:vAlign w:val="center"/>
          </w:tcPr>
          <w:p>
            <w:pPr>
              <w:spacing w:after="0"/>
            </w:pPr>
            <w:r/>
            <w:r>
              <w:rPr>
                <w:rFonts w:ascii="Aptos" w:hAnsi="Aptos"/>
                <w:b w:val="0"/>
                <w:sz w:val="15"/>
              </w:rPr>
              <w:t>Backup</w:t>
            </w:r>
          </w:p>
        </w:tc>
        <w:tc>
          <w:tcPr>
            <w:tcW w:type="dxa" w:w="6768"/>
            <w:vAlign w:val="center"/>
          </w:tcPr>
          <w:p>
            <w:pPr>
              <w:spacing w:after="0"/>
            </w:pPr>
            <w:r/>
            <w:r>
              <w:rPr>
                <w:rFonts w:ascii="Aptos" w:hAnsi="Aptos"/>
                <w:b w:val="0"/>
                <w:sz w:val="15"/>
              </w:rPr>
              <w:t>Protect against loss while preserving confidentiality and retention rules</w:t>
            </w:r>
          </w:p>
        </w:tc>
      </w:tr>
    </w:tbl>
    <w:p/>
    <w:p>
      <w:pPr>
        <w:pStyle w:val="Heading1"/>
      </w:pPr>
      <w:r>
        <w:t>11. Sampling</w:t>
      </w:r>
    </w:p>
    <w:p>
      <w:r>
        <w:t>Sampling is appropriate where populations are too large for complete inspection, but the sampling method must support the control claim.</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448"/>
            <w:vAlign w:val="center"/>
            <w:shd w:fill="17324D"/>
          </w:tcPr>
          <w:p>
            <w:pPr>
              <w:spacing w:after="0"/>
            </w:pPr>
            <w:r/>
            <w:r>
              <w:rPr>
                <w:rFonts w:ascii="Aptos" w:hAnsi="Aptos"/>
                <w:b/>
                <w:color w:val="FFFFFF"/>
                <w:sz w:val="15"/>
              </w:rPr>
              <w:t>Sampling element</w:t>
            </w:r>
          </w:p>
        </w:tc>
        <w:tc>
          <w:tcPr>
            <w:tcW w:type="dxa" w:w="7200"/>
            <w:vAlign w:val="center"/>
            <w:shd w:fill="17324D"/>
          </w:tcPr>
          <w:p>
            <w:pPr>
              <w:spacing w:after="0"/>
            </w:pPr>
            <w:r/>
            <w:r>
              <w:rPr>
                <w:rFonts w:ascii="Aptos" w:hAnsi="Aptos"/>
                <w:b/>
                <w:color w:val="FFFFFF"/>
                <w:sz w:val="15"/>
              </w:rPr>
              <w:t>Required record</w:t>
            </w:r>
          </w:p>
        </w:tc>
      </w:tr>
      <w:tr>
        <w:trPr>
          <w:cantSplit/>
        </w:trPr>
        <w:tc>
          <w:tcPr>
            <w:tcW w:type="dxa" w:w="2448"/>
            <w:vAlign w:val="center"/>
          </w:tcPr>
          <w:p>
            <w:pPr>
              <w:spacing w:after="0"/>
            </w:pPr>
            <w:r/>
            <w:r>
              <w:rPr>
                <w:rFonts w:ascii="Aptos" w:hAnsi="Aptos"/>
                <w:b w:val="0"/>
                <w:sz w:val="15"/>
              </w:rPr>
              <w:t>Population</w:t>
            </w:r>
          </w:p>
        </w:tc>
        <w:tc>
          <w:tcPr>
            <w:tcW w:type="dxa" w:w="7200"/>
            <w:vAlign w:val="center"/>
          </w:tcPr>
          <w:p>
            <w:pPr>
              <w:spacing w:after="0"/>
            </w:pPr>
            <w:r/>
            <w:r>
              <w:rPr>
                <w:rFonts w:ascii="Aptos" w:hAnsi="Aptos"/>
                <w:b w:val="0"/>
                <w:sz w:val="15"/>
              </w:rPr>
              <w:t>Complete defined set from which the sample is drawn</w:t>
            </w:r>
          </w:p>
        </w:tc>
      </w:tr>
      <w:tr>
        <w:trPr>
          <w:cantSplit/>
        </w:trPr>
        <w:tc>
          <w:tcPr>
            <w:tcW w:type="dxa" w:w="2448"/>
            <w:vAlign w:val="center"/>
            <w:shd w:fill="F3F6F7"/>
          </w:tcPr>
          <w:p>
            <w:pPr>
              <w:spacing w:after="0"/>
            </w:pPr>
            <w:r/>
            <w:r>
              <w:rPr>
                <w:rFonts w:ascii="Aptos" w:hAnsi="Aptos"/>
                <w:b w:val="0"/>
                <w:sz w:val="15"/>
              </w:rPr>
              <w:t>Period</w:t>
            </w:r>
          </w:p>
        </w:tc>
        <w:tc>
          <w:tcPr>
            <w:tcW w:type="dxa" w:w="7200"/>
            <w:vAlign w:val="center"/>
            <w:shd w:fill="F3F6F7"/>
          </w:tcPr>
          <w:p>
            <w:pPr>
              <w:spacing w:after="0"/>
            </w:pPr>
            <w:r/>
            <w:r>
              <w:rPr>
                <w:rFonts w:ascii="Aptos" w:hAnsi="Aptos"/>
                <w:b w:val="0"/>
                <w:sz w:val="15"/>
              </w:rPr>
              <w:t>Time window represented</w:t>
            </w:r>
          </w:p>
        </w:tc>
      </w:tr>
      <w:tr>
        <w:trPr>
          <w:cantSplit/>
        </w:trPr>
        <w:tc>
          <w:tcPr>
            <w:tcW w:type="dxa" w:w="2448"/>
            <w:vAlign w:val="center"/>
          </w:tcPr>
          <w:p>
            <w:pPr>
              <w:spacing w:after="0"/>
            </w:pPr>
            <w:r/>
            <w:r>
              <w:rPr>
                <w:rFonts w:ascii="Aptos" w:hAnsi="Aptos"/>
                <w:b w:val="0"/>
                <w:sz w:val="15"/>
              </w:rPr>
              <w:t>Method</w:t>
            </w:r>
          </w:p>
        </w:tc>
        <w:tc>
          <w:tcPr>
            <w:tcW w:type="dxa" w:w="7200"/>
            <w:vAlign w:val="center"/>
          </w:tcPr>
          <w:p>
            <w:pPr>
              <w:spacing w:after="0"/>
            </w:pPr>
            <w:r/>
            <w:r>
              <w:rPr>
                <w:rFonts w:ascii="Aptos" w:hAnsi="Aptos"/>
                <w:b w:val="0"/>
                <w:sz w:val="15"/>
              </w:rPr>
              <w:t>Random, stratified, risk-based, judgemental or systematic</w:t>
            </w:r>
          </w:p>
        </w:tc>
      </w:tr>
      <w:tr>
        <w:trPr>
          <w:cantSplit/>
        </w:trPr>
        <w:tc>
          <w:tcPr>
            <w:tcW w:type="dxa" w:w="2448"/>
            <w:vAlign w:val="center"/>
            <w:shd w:fill="F3F6F7"/>
          </w:tcPr>
          <w:p>
            <w:pPr>
              <w:spacing w:after="0"/>
            </w:pPr>
            <w:r/>
            <w:r>
              <w:rPr>
                <w:rFonts w:ascii="Aptos" w:hAnsi="Aptos"/>
                <w:b w:val="0"/>
                <w:sz w:val="15"/>
              </w:rPr>
              <w:t>Sample size</w:t>
            </w:r>
          </w:p>
        </w:tc>
        <w:tc>
          <w:tcPr>
            <w:tcW w:type="dxa" w:w="7200"/>
            <w:vAlign w:val="center"/>
            <w:shd w:fill="F3F6F7"/>
          </w:tcPr>
          <w:p>
            <w:pPr>
              <w:spacing w:after="0"/>
            </w:pPr>
            <w:r/>
            <w:r>
              <w:rPr>
                <w:rFonts w:ascii="Aptos" w:hAnsi="Aptos"/>
                <w:b w:val="0"/>
                <w:sz w:val="15"/>
              </w:rPr>
              <w:t>Number selected and rationale</w:t>
            </w:r>
          </w:p>
        </w:tc>
      </w:tr>
      <w:tr>
        <w:trPr>
          <w:cantSplit/>
        </w:trPr>
        <w:tc>
          <w:tcPr>
            <w:tcW w:type="dxa" w:w="2448"/>
            <w:vAlign w:val="center"/>
          </w:tcPr>
          <w:p>
            <w:pPr>
              <w:spacing w:after="0"/>
            </w:pPr>
            <w:r/>
            <w:r>
              <w:rPr>
                <w:rFonts w:ascii="Aptos" w:hAnsi="Aptos"/>
                <w:b w:val="0"/>
                <w:sz w:val="15"/>
              </w:rPr>
              <w:t>Strata</w:t>
            </w:r>
          </w:p>
        </w:tc>
        <w:tc>
          <w:tcPr>
            <w:tcW w:type="dxa" w:w="7200"/>
            <w:vAlign w:val="center"/>
          </w:tcPr>
          <w:p>
            <w:pPr>
              <w:spacing w:after="0"/>
            </w:pPr>
            <w:r/>
            <w:r>
              <w:rPr>
                <w:rFonts w:ascii="Aptos" w:hAnsi="Aptos"/>
                <w:b w:val="0"/>
                <w:sz w:val="15"/>
              </w:rPr>
              <w:t>Risk, region, user type, model, supplier or severity groups</w:t>
            </w:r>
          </w:p>
        </w:tc>
      </w:tr>
      <w:tr>
        <w:trPr>
          <w:cantSplit/>
        </w:trPr>
        <w:tc>
          <w:tcPr>
            <w:tcW w:type="dxa" w:w="2448"/>
            <w:vAlign w:val="center"/>
            <w:shd w:fill="F3F6F7"/>
          </w:tcPr>
          <w:p>
            <w:pPr>
              <w:spacing w:after="0"/>
            </w:pPr>
            <w:r/>
            <w:r>
              <w:rPr>
                <w:rFonts w:ascii="Aptos" w:hAnsi="Aptos"/>
                <w:b w:val="0"/>
                <w:sz w:val="15"/>
              </w:rPr>
              <w:t>Selection logic</w:t>
            </w:r>
          </w:p>
        </w:tc>
        <w:tc>
          <w:tcPr>
            <w:tcW w:type="dxa" w:w="7200"/>
            <w:vAlign w:val="center"/>
            <w:shd w:fill="F3F6F7"/>
          </w:tcPr>
          <w:p>
            <w:pPr>
              <w:spacing w:after="0"/>
            </w:pPr>
            <w:r/>
            <w:r>
              <w:rPr>
                <w:rFonts w:ascii="Aptos" w:hAnsi="Aptos"/>
                <w:b w:val="0"/>
                <w:sz w:val="15"/>
              </w:rPr>
              <w:t>Query, random seed or documented judgement</w:t>
            </w:r>
          </w:p>
        </w:tc>
      </w:tr>
      <w:tr>
        <w:trPr>
          <w:cantSplit/>
        </w:trPr>
        <w:tc>
          <w:tcPr>
            <w:tcW w:type="dxa" w:w="2448"/>
            <w:vAlign w:val="center"/>
          </w:tcPr>
          <w:p>
            <w:pPr>
              <w:spacing w:after="0"/>
            </w:pPr>
            <w:r/>
            <w:r>
              <w:rPr>
                <w:rFonts w:ascii="Aptos" w:hAnsi="Aptos"/>
                <w:b w:val="0"/>
                <w:sz w:val="15"/>
              </w:rPr>
              <w:t>Exceptions</w:t>
            </w:r>
          </w:p>
        </w:tc>
        <w:tc>
          <w:tcPr>
            <w:tcW w:type="dxa" w:w="7200"/>
            <w:vAlign w:val="center"/>
          </w:tcPr>
          <w:p>
            <w:pPr>
              <w:spacing w:after="0"/>
            </w:pPr>
            <w:r/>
            <w:r>
              <w:rPr>
                <w:rFonts w:ascii="Aptos" w:hAnsi="Aptos"/>
                <w:b w:val="0"/>
                <w:sz w:val="15"/>
              </w:rPr>
              <w:t>Failures and deviations found</w:t>
            </w:r>
          </w:p>
        </w:tc>
      </w:tr>
      <w:tr>
        <w:trPr>
          <w:cantSplit/>
        </w:trPr>
        <w:tc>
          <w:tcPr>
            <w:tcW w:type="dxa" w:w="2448"/>
            <w:vAlign w:val="center"/>
            <w:shd w:fill="F3F6F7"/>
          </w:tcPr>
          <w:p>
            <w:pPr>
              <w:spacing w:after="0"/>
            </w:pPr>
            <w:r/>
            <w:r>
              <w:rPr>
                <w:rFonts w:ascii="Aptos" w:hAnsi="Aptos"/>
                <w:b w:val="0"/>
                <w:sz w:val="15"/>
              </w:rPr>
              <w:t>Projection limits</w:t>
            </w:r>
          </w:p>
        </w:tc>
        <w:tc>
          <w:tcPr>
            <w:tcW w:type="dxa" w:w="7200"/>
            <w:vAlign w:val="center"/>
            <w:shd w:fill="F3F6F7"/>
          </w:tcPr>
          <w:p>
            <w:pPr>
              <w:spacing w:after="0"/>
            </w:pPr>
            <w:r/>
            <w:r>
              <w:rPr>
                <w:rFonts w:ascii="Aptos" w:hAnsi="Aptos"/>
                <w:b w:val="0"/>
                <w:sz w:val="15"/>
              </w:rPr>
              <w:t>What cannot be inferred from the sample</w:t>
            </w:r>
          </w:p>
        </w:tc>
      </w:tr>
      <w:tr>
        <w:trPr>
          <w:cantSplit/>
        </w:trPr>
        <w:tc>
          <w:tcPr>
            <w:tcW w:type="dxa" w:w="2448"/>
            <w:vAlign w:val="center"/>
          </w:tcPr>
          <w:p>
            <w:pPr>
              <w:spacing w:after="0"/>
            </w:pPr>
            <w:r/>
            <w:r>
              <w:rPr>
                <w:rFonts w:ascii="Aptos" w:hAnsi="Aptos"/>
                <w:b w:val="0"/>
                <w:sz w:val="15"/>
              </w:rPr>
              <w:t>Follow-up</w:t>
            </w:r>
          </w:p>
        </w:tc>
        <w:tc>
          <w:tcPr>
            <w:tcW w:type="dxa" w:w="7200"/>
            <w:vAlign w:val="center"/>
          </w:tcPr>
          <w:p>
            <w:pPr>
              <w:spacing w:after="0"/>
            </w:pPr>
            <w:r/>
            <w:r>
              <w:rPr>
                <w:rFonts w:ascii="Aptos" w:hAnsi="Aptos"/>
                <w:b w:val="0"/>
                <w:sz w:val="15"/>
              </w:rPr>
              <w:t>Expansion or targeted testing triggered by findings</w:t>
            </w:r>
          </w:p>
        </w:tc>
      </w:tr>
    </w:tbl>
    <w:p/>
    <w:p>
      <w:pPr>
        <w:pStyle w:val="Heading1"/>
      </w:pPr>
      <w:r>
        <w:t>12. Automation and Continuous Evidence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Capability</w:t>
            </w:r>
          </w:p>
        </w:tc>
        <w:tc>
          <w:tcPr>
            <w:tcW w:type="dxa" w:w="6768"/>
            <w:vAlign w:val="center"/>
            <w:shd w:fill="17324D"/>
          </w:tcPr>
          <w:p>
            <w:pPr>
              <w:spacing w:after="0"/>
            </w:pPr>
            <w:r/>
            <w:r>
              <w:rPr>
                <w:rFonts w:ascii="Aptos" w:hAnsi="Aptos"/>
                <w:b/>
                <w:color w:val="FFFFFF"/>
                <w:sz w:val="15"/>
              </w:rPr>
              <w:t>Implementation guidance</w:t>
            </w:r>
          </w:p>
        </w:tc>
      </w:tr>
      <w:tr>
        <w:trPr>
          <w:cantSplit/>
        </w:trPr>
        <w:tc>
          <w:tcPr>
            <w:tcW w:type="dxa" w:w="2880"/>
            <w:vAlign w:val="center"/>
          </w:tcPr>
          <w:p>
            <w:pPr>
              <w:spacing w:after="0"/>
            </w:pPr>
            <w:r/>
            <w:r>
              <w:rPr>
                <w:rFonts w:ascii="Aptos" w:hAnsi="Aptos"/>
                <w:b w:val="0"/>
                <w:sz w:val="15"/>
              </w:rPr>
              <w:t>Evidence-as-code</w:t>
            </w:r>
          </w:p>
        </w:tc>
        <w:tc>
          <w:tcPr>
            <w:tcW w:type="dxa" w:w="6768"/>
            <w:vAlign w:val="center"/>
          </w:tcPr>
          <w:p>
            <w:pPr>
              <w:spacing w:after="0"/>
            </w:pPr>
            <w:r/>
            <w:r>
              <w:rPr>
                <w:rFonts w:ascii="Aptos" w:hAnsi="Aptos"/>
                <w:b w:val="0"/>
                <w:sz w:val="15"/>
              </w:rPr>
              <w:t>Generate control evidence from infrastructure, policy and configuration pipelines</w:t>
            </w:r>
          </w:p>
        </w:tc>
      </w:tr>
      <w:tr>
        <w:trPr>
          <w:cantSplit/>
        </w:trPr>
        <w:tc>
          <w:tcPr>
            <w:tcW w:type="dxa" w:w="2880"/>
            <w:vAlign w:val="center"/>
            <w:shd w:fill="F3F6F7"/>
          </w:tcPr>
          <w:p>
            <w:pPr>
              <w:spacing w:after="0"/>
            </w:pPr>
            <w:r/>
            <w:r>
              <w:rPr>
                <w:rFonts w:ascii="Aptos" w:hAnsi="Aptos"/>
                <w:b w:val="0"/>
                <w:sz w:val="15"/>
              </w:rPr>
              <w:t>Continuous control monitoring</w:t>
            </w:r>
          </w:p>
        </w:tc>
        <w:tc>
          <w:tcPr>
            <w:tcW w:type="dxa" w:w="6768"/>
            <w:vAlign w:val="center"/>
            <w:shd w:fill="F3F6F7"/>
          </w:tcPr>
          <w:p>
            <w:pPr>
              <w:spacing w:after="0"/>
            </w:pPr>
            <w:r/>
            <w:r>
              <w:rPr>
                <w:rFonts w:ascii="Aptos" w:hAnsi="Aptos"/>
                <w:b w:val="0"/>
                <w:sz w:val="15"/>
              </w:rPr>
              <w:t>Collect signals showing control health and exceptions</w:t>
            </w:r>
          </w:p>
        </w:tc>
      </w:tr>
      <w:tr>
        <w:trPr>
          <w:cantSplit/>
        </w:trPr>
        <w:tc>
          <w:tcPr>
            <w:tcW w:type="dxa" w:w="2880"/>
            <w:vAlign w:val="center"/>
          </w:tcPr>
          <w:p>
            <w:pPr>
              <w:spacing w:after="0"/>
            </w:pPr>
            <w:r/>
            <w:r>
              <w:rPr>
                <w:rFonts w:ascii="Aptos" w:hAnsi="Aptos"/>
                <w:b w:val="0"/>
                <w:sz w:val="15"/>
              </w:rPr>
              <w:t>Automated manifests</w:t>
            </w:r>
          </w:p>
        </w:tc>
        <w:tc>
          <w:tcPr>
            <w:tcW w:type="dxa" w:w="6768"/>
            <w:vAlign w:val="center"/>
          </w:tcPr>
          <w:p>
            <w:pPr>
              <w:spacing w:after="0"/>
            </w:pPr>
            <w:r/>
            <w:r>
              <w:rPr>
                <w:rFonts w:ascii="Aptos" w:hAnsi="Aptos"/>
                <w:b w:val="0"/>
                <w:sz w:val="15"/>
              </w:rPr>
              <w:t>Package model, code, data, prompt and policy versions with releases</w:t>
            </w:r>
          </w:p>
        </w:tc>
      </w:tr>
      <w:tr>
        <w:trPr>
          <w:cantSplit/>
        </w:trPr>
        <w:tc>
          <w:tcPr>
            <w:tcW w:type="dxa" w:w="2880"/>
            <w:vAlign w:val="center"/>
            <w:shd w:fill="F3F6F7"/>
          </w:tcPr>
          <w:p>
            <w:pPr>
              <w:spacing w:after="0"/>
            </w:pPr>
            <w:r/>
            <w:r>
              <w:rPr>
                <w:rFonts w:ascii="Aptos" w:hAnsi="Aptos"/>
                <w:b w:val="0"/>
                <w:sz w:val="15"/>
              </w:rPr>
              <w:t>API evidence collection</w:t>
            </w:r>
          </w:p>
        </w:tc>
        <w:tc>
          <w:tcPr>
            <w:tcW w:type="dxa" w:w="6768"/>
            <w:vAlign w:val="center"/>
            <w:shd w:fill="F3F6F7"/>
          </w:tcPr>
          <w:p>
            <w:pPr>
              <w:spacing w:after="0"/>
            </w:pPr>
            <w:r/>
            <w:r>
              <w:rPr>
                <w:rFonts w:ascii="Aptos" w:hAnsi="Aptos"/>
                <w:b w:val="0"/>
                <w:sz w:val="15"/>
              </w:rPr>
              <w:t>Use scheduled authenticated extraction with logged queries</w:t>
            </w:r>
          </w:p>
        </w:tc>
      </w:tr>
      <w:tr>
        <w:trPr>
          <w:cantSplit/>
        </w:trPr>
        <w:tc>
          <w:tcPr>
            <w:tcW w:type="dxa" w:w="2880"/>
            <w:vAlign w:val="center"/>
          </w:tcPr>
          <w:p>
            <w:pPr>
              <w:spacing w:after="0"/>
            </w:pPr>
            <w:r/>
            <w:r>
              <w:rPr>
                <w:rFonts w:ascii="Aptos" w:hAnsi="Aptos"/>
                <w:b w:val="0"/>
                <w:sz w:val="15"/>
              </w:rPr>
              <w:t>Immutable event streams</w:t>
            </w:r>
          </w:p>
        </w:tc>
        <w:tc>
          <w:tcPr>
            <w:tcW w:type="dxa" w:w="6768"/>
            <w:vAlign w:val="center"/>
          </w:tcPr>
          <w:p>
            <w:pPr>
              <w:spacing w:after="0"/>
            </w:pPr>
            <w:r/>
            <w:r>
              <w:rPr>
                <w:rFonts w:ascii="Aptos" w:hAnsi="Aptos"/>
                <w:b w:val="0"/>
                <w:sz w:val="15"/>
              </w:rPr>
              <w:t>Protect critical security, agentic and safety telemetry</w:t>
            </w:r>
          </w:p>
        </w:tc>
      </w:tr>
      <w:tr>
        <w:trPr>
          <w:cantSplit/>
        </w:trPr>
        <w:tc>
          <w:tcPr>
            <w:tcW w:type="dxa" w:w="2880"/>
            <w:vAlign w:val="center"/>
            <w:shd w:fill="F3F6F7"/>
          </w:tcPr>
          <w:p>
            <w:pPr>
              <w:spacing w:after="0"/>
            </w:pPr>
            <w:r/>
            <w:r>
              <w:rPr>
                <w:rFonts w:ascii="Aptos" w:hAnsi="Aptos"/>
                <w:b w:val="0"/>
                <w:sz w:val="15"/>
              </w:rPr>
              <w:t>Evidence quality checks</w:t>
            </w:r>
          </w:p>
        </w:tc>
        <w:tc>
          <w:tcPr>
            <w:tcW w:type="dxa" w:w="6768"/>
            <w:vAlign w:val="center"/>
            <w:shd w:fill="F3F6F7"/>
          </w:tcPr>
          <w:p>
            <w:pPr>
              <w:spacing w:after="0"/>
            </w:pPr>
            <w:r/>
            <w:r>
              <w:rPr>
                <w:rFonts w:ascii="Aptos" w:hAnsi="Aptos"/>
                <w:b w:val="0"/>
                <w:sz w:val="15"/>
              </w:rPr>
              <w:t>Detect missing fields, stale records, failed jobs and scope gaps</w:t>
            </w:r>
          </w:p>
        </w:tc>
      </w:tr>
      <w:tr>
        <w:trPr>
          <w:cantSplit/>
        </w:trPr>
        <w:tc>
          <w:tcPr>
            <w:tcW w:type="dxa" w:w="2880"/>
            <w:vAlign w:val="center"/>
          </w:tcPr>
          <w:p>
            <w:pPr>
              <w:spacing w:after="0"/>
            </w:pPr>
            <w:r/>
            <w:r>
              <w:rPr>
                <w:rFonts w:ascii="Aptos" w:hAnsi="Aptos"/>
                <w:b w:val="0"/>
                <w:sz w:val="15"/>
              </w:rPr>
              <w:t>Human review</w:t>
            </w:r>
          </w:p>
        </w:tc>
        <w:tc>
          <w:tcPr>
            <w:tcW w:type="dxa" w:w="6768"/>
            <w:vAlign w:val="center"/>
          </w:tcPr>
          <w:p>
            <w:pPr>
              <w:spacing w:after="0"/>
            </w:pPr>
            <w:r/>
            <w:r>
              <w:rPr>
                <w:rFonts w:ascii="Aptos" w:hAnsi="Aptos"/>
                <w:b w:val="0"/>
                <w:sz w:val="15"/>
              </w:rPr>
              <w:t>Retain oversight for interpretation, conflicts and high-impact decisions</w:t>
            </w:r>
          </w:p>
        </w:tc>
      </w:tr>
    </w:tbl>
    <w:p/>
    <w:p>
      <w:pPr>
        <w:pStyle w:val="Heading1"/>
      </w:pPr>
      <w:r>
        <w:t>13. Privacy, Confidentiality and Redaction</w:t>
      </w:r>
    </w:p>
    <w:p>
      <w:pPr>
        <w:pStyle w:val="ListNumber"/>
      </w:pPr>
      <w:r>
        <w:t>Collect only the personal and confidential data necessary to support the control claim.</w:t>
      </w:r>
    </w:p>
    <w:p>
      <w:pPr>
        <w:pStyle w:val="ListNumber"/>
      </w:pPr>
      <w:r>
        <w:t>Classify evidence before storage and sharing.</w:t>
      </w:r>
    </w:p>
    <w:p>
      <w:pPr>
        <w:pStyle w:val="ListNumber"/>
      </w:pPr>
      <w:r>
        <w:t>Use redaction, tokenization or minimization where raw content is not required.</w:t>
      </w:r>
    </w:p>
    <w:p>
      <w:pPr>
        <w:pStyle w:val="ListNumber"/>
      </w:pPr>
      <w:r>
        <w:t>Preserve an unaltered controlled original where lawful and necessary.</w:t>
      </w:r>
    </w:p>
    <w:p>
      <w:pPr>
        <w:pStyle w:val="ListNumber"/>
      </w:pPr>
      <w:r>
        <w:t>Document every transformation applied to an assessor copy.</w:t>
      </w:r>
    </w:p>
    <w:p>
      <w:pPr>
        <w:pStyle w:val="ListNumber"/>
      </w:pPr>
      <w:r>
        <w:t>Restrict cross-border transfer and third-party disclosure according to applicable obligations.</w:t>
      </w:r>
    </w:p>
    <w:p>
      <w:pPr>
        <w:pStyle w:val="ListNumber"/>
      </w:pPr>
      <w:r>
        <w:t>Do not redact information that is necessary to understand a material failure without recording the limitation.</w:t>
      </w:r>
    </w:p>
    <w:p>
      <w:pPr>
        <w:pStyle w:val="Heading1"/>
      </w:pPr>
      <w:r>
        <w:t>14. Domain Evidence Patterns</w:t>
      </w:r>
    </w:p>
    <w:p>
      <w:pPr>
        <w:pStyle w:val="EvidencePattern"/>
      </w:pPr>
      <w:r>
        <w:t>14.1 D1 - Model and Data Integrity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provenance, integrity, versioning, resilience and controlled modification.</w:t>
            </w:r>
          </w:p>
        </w:tc>
        <w:tc>
          <w:tcPr>
            <w:tcW w:type="dxa" w:w="2304"/>
            <w:vAlign w:val="center"/>
          </w:tcPr>
          <w:p>
            <w:pPr>
              <w:spacing w:after="0"/>
            </w:pPr>
            <w:r/>
            <w:r>
              <w:rPr>
                <w:rFonts w:ascii="Aptos" w:hAnsi="Aptos"/>
                <w:b w:val="0"/>
                <w:sz w:val="15"/>
              </w:rPr>
              <w:t>Model registry; dataset lineage; signatures/hashes; training manifests; poisoning tests; adapter and merge records.</w:t>
            </w:r>
          </w:p>
        </w:tc>
        <w:tc>
          <w:tcPr>
            <w:tcW w:type="dxa" w:w="2376"/>
            <w:vAlign w:val="center"/>
          </w:tcPr>
          <w:p>
            <w:pPr>
              <w:spacing w:after="0"/>
            </w:pPr>
            <w:r/>
            <w:r>
              <w:rPr>
                <w:rFonts w:ascii="Aptos" w:hAnsi="Aptos"/>
                <w:b w:val="0"/>
                <w:sz w:val="15"/>
              </w:rPr>
              <w:t>Export from registries and pipelines; capture signed manifests; preserve test harness and raw results.</w:t>
            </w:r>
          </w:p>
        </w:tc>
        <w:tc>
          <w:tcPr>
            <w:tcW w:type="dxa" w:w="2088"/>
            <w:vAlign w:val="center"/>
          </w:tcPr>
          <w:p>
            <w:pPr>
              <w:spacing w:after="0"/>
            </w:pPr>
            <w:r/>
            <w:r>
              <w:rPr>
                <w:rFonts w:ascii="Aptos" w:hAnsi="Aptos"/>
                <w:b w:val="0"/>
                <w:sz w:val="15"/>
              </w:rPr>
              <w:t>Versions align with production; lineage is complete; failed checks retained; source authenticity verified.</w:t>
            </w:r>
          </w:p>
        </w:tc>
        <w:tc>
          <w:tcPr>
            <w:tcW w:type="dxa" w:w="1944"/>
            <w:vAlign w:val="center"/>
          </w:tcPr>
          <w:p>
            <w:pPr>
              <w:spacing w:after="0"/>
            </w:pPr>
            <w:r/>
            <w:r>
              <w:rPr>
                <w:rFonts w:ascii="Aptos" w:hAnsi="Aptos"/>
                <w:b w:val="0"/>
                <w:sz w:val="15"/>
              </w:rPr>
              <w:t>Screenshots without registry data; missing training-data lineage; silent provider or model changes.</w:t>
            </w:r>
          </w:p>
        </w:tc>
      </w:tr>
    </w:tbl>
    <w:p/>
    <w:p>
      <w:pPr>
        <w:pStyle w:val="EvidencePattern"/>
      </w:pPr>
      <w:r>
        <w:t>14.2 D2 - Adversarial Robustness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that prompt injection, jailbreak, multimodal and tool-call attacks are tested and managed.</w:t>
            </w:r>
          </w:p>
        </w:tc>
        <w:tc>
          <w:tcPr>
            <w:tcW w:type="dxa" w:w="2304"/>
            <w:vAlign w:val="center"/>
          </w:tcPr>
          <w:p>
            <w:pPr>
              <w:spacing w:after="0"/>
            </w:pPr>
            <w:r/>
            <w:r>
              <w:rPr>
                <w:rFonts w:ascii="Aptos" w:hAnsi="Aptos"/>
                <w:b w:val="0"/>
                <w:sz w:val="15"/>
              </w:rPr>
              <w:t>Threat model; red-team plan; attack corpus; test outputs; mitigations; retest records; monitoring alerts.</w:t>
            </w:r>
          </w:p>
        </w:tc>
        <w:tc>
          <w:tcPr>
            <w:tcW w:type="dxa" w:w="2376"/>
            <w:vAlign w:val="center"/>
          </w:tcPr>
          <w:p>
            <w:pPr>
              <w:spacing w:after="0"/>
            </w:pPr>
            <w:r/>
            <w:r>
              <w:rPr>
                <w:rFonts w:ascii="Aptos" w:hAnsi="Aptos"/>
                <w:b w:val="0"/>
                <w:sz w:val="15"/>
              </w:rPr>
              <w:t>Run controlled adversarial tests against pinned versions; preserve prompts, parameters, results and environment.</w:t>
            </w:r>
          </w:p>
        </w:tc>
        <w:tc>
          <w:tcPr>
            <w:tcW w:type="dxa" w:w="2088"/>
            <w:vAlign w:val="center"/>
          </w:tcPr>
          <w:p>
            <w:pPr>
              <w:spacing w:after="0"/>
            </w:pPr>
            <w:r/>
            <w:r>
              <w:rPr>
                <w:rFonts w:ascii="Aptos" w:hAnsi="Aptos"/>
                <w:b w:val="0"/>
                <w:sz w:val="15"/>
              </w:rPr>
              <w:t>Tests are representative; repeatability is understood; successful attacks are not omitted.</w:t>
            </w:r>
          </w:p>
        </w:tc>
        <w:tc>
          <w:tcPr>
            <w:tcW w:type="dxa" w:w="1944"/>
            <w:vAlign w:val="center"/>
          </w:tcPr>
          <w:p>
            <w:pPr>
              <w:spacing w:after="0"/>
            </w:pPr>
            <w:r/>
            <w:r>
              <w:rPr>
                <w:rFonts w:ascii="Aptos" w:hAnsi="Aptos"/>
                <w:b w:val="0"/>
                <w:sz w:val="15"/>
              </w:rPr>
              <w:t>Only reporting pass rate; changing model or policy between tests; no evidence of failed scenarios.</w:t>
            </w:r>
          </w:p>
        </w:tc>
      </w:tr>
    </w:tbl>
    <w:p/>
    <w:p>
      <w:pPr>
        <w:pStyle w:val="EvidencePattern"/>
      </w:pPr>
      <w:r>
        <w:t>14.3 D3 - Agentic Risk and Autonomous Systems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bounded authority, secure delegation, memory controls and containment.</w:t>
            </w:r>
          </w:p>
        </w:tc>
        <w:tc>
          <w:tcPr>
            <w:tcW w:type="dxa" w:w="2304"/>
            <w:vAlign w:val="center"/>
          </w:tcPr>
          <w:p>
            <w:pPr>
              <w:spacing w:after="0"/>
            </w:pPr>
            <w:r/>
            <w:r>
              <w:rPr>
                <w:rFonts w:ascii="Aptos" w:hAnsi="Aptos"/>
                <w:b w:val="0"/>
                <w:sz w:val="15"/>
              </w:rPr>
              <w:t>Agent identity records; tool allowlists; approval logs; delegation chains; memory policies; kill-switch tests.</w:t>
            </w:r>
          </w:p>
        </w:tc>
        <w:tc>
          <w:tcPr>
            <w:tcW w:type="dxa" w:w="2376"/>
            <w:vAlign w:val="center"/>
          </w:tcPr>
          <w:p>
            <w:pPr>
              <w:spacing w:after="0"/>
            </w:pPr>
            <w:r/>
            <w:r>
              <w:rPr>
                <w:rFonts w:ascii="Aptos" w:hAnsi="Aptos"/>
                <w:b w:val="0"/>
                <w:sz w:val="15"/>
              </w:rPr>
              <w:t>Collect plans, tool calls, approvals, state transitions and containment exercises.</w:t>
            </w:r>
          </w:p>
        </w:tc>
        <w:tc>
          <w:tcPr>
            <w:tcW w:type="dxa" w:w="2088"/>
            <w:vAlign w:val="center"/>
          </w:tcPr>
          <w:p>
            <w:pPr>
              <w:spacing w:after="0"/>
            </w:pPr>
            <w:r/>
            <w:r>
              <w:rPr>
                <w:rFonts w:ascii="Aptos" w:hAnsi="Aptos"/>
                <w:b w:val="0"/>
                <w:sz w:val="15"/>
              </w:rPr>
              <w:t>Actions are attributable; permissions match approved objectives; replay and bypass tests are included.</w:t>
            </w:r>
          </w:p>
        </w:tc>
        <w:tc>
          <w:tcPr>
            <w:tcW w:type="dxa" w:w="1944"/>
            <w:vAlign w:val="center"/>
          </w:tcPr>
          <w:p>
            <w:pPr>
              <w:spacing w:after="0"/>
            </w:pPr>
            <w:r/>
            <w:r>
              <w:rPr>
                <w:rFonts w:ascii="Aptos" w:hAnsi="Aptos"/>
                <w:b w:val="0"/>
                <w:sz w:val="15"/>
              </w:rPr>
              <w:t>Shared credentials; missing parent-child identity; logging outputs but not tool actions or approvals.</w:t>
            </w:r>
          </w:p>
        </w:tc>
      </w:tr>
    </w:tbl>
    <w:p/>
    <w:p>
      <w:pPr>
        <w:pStyle w:val="EvidencePattern"/>
      </w:pPr>
      <w:r>
        <w:t>14.4 D4 - Supply Chain and Third-Party AI</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inventory, due diligence, artifact scanning and ongoing supplier control.</w:t>
            </w:r>
          </w:p>
        </w:tc>
        <w:tc>
          <w:tcPr>
            <w:tcW w:type="dxa" w:w="2304"/>
            <w:vAlign w:val="center"/>
          </w:tcPr>
          <w:p>
            <w:pPr>
              <w:spacing w:after="0"/>
            </w:pPr>
            <w:r/>
            <w:r>
              <w:rPr>
                <w:rFonts w:ascii="Aptos" w:hAnsi="Aptos"/>
                <w:b w:val="0"/>
                <w:sz w:val="15"/>
              </w:rPr>
              <w:t>AI BOM; supplier assessments; contracts; registry records; scan reports; change notifications; exit plans.</w:t>
            </w:r>
          </w:p>
        </w:tc>
        <w:tc>
          <w:tcPr>
            <w:tcW w:type="dxa" w:w="2376"/>
            <w:vAlign w:val="center"/>
          </w:tcPr>
          <w:p>
            <w:pPr>
              <w:spacing w:after="0"/>
            </w:pPr>
            <w:r/>
            <w:r>
              <w:rPr>
                <w:rFonts w:ascii="Aptos" w:hAnsi="Aptos"/>
                <w:b w:val="0"/>
                <w:sz w:val="15"/>
              </w:rPr>
              <w:t>Collect from procurement, registries, CI/CD, supplier portals and contract systems.</w:t>
            </w:r>
          </w:p>
        </w:tc>
        <w:tc>
          <w:tcPr>
            <w:tcW w:type="dxa" w:w="2088"/>
            <w:vAlign w:val="center"/>
          </w:tcPr>
          <w:p>
            <w:pPr>
              <w:spacing w:after="0"/>
            </w:pPr>
            <w:r/>
            <w:r>
              <w:rPr>
                <w:rFonts w:ascii="Aptos" w:hAnsi="Aptos"/>
                <w:b w:val="0"/>
                <w:sz w:val="15"/>
              </w:rPr>
              <w:t>Scope, edition, period and inherited-control limitations are explicit.</w:t>
            </w:r>
          </w:p>
        </w:tc>
        <w:tc>
          <w:tcPr>
            <w:tcW w:type="dxa" w:w="1944"/>
            <w:vAlign w:val="center"/>
          </w:tcPr>
          <w:p>
            <w:pPr>
              <w:spacing w:after="0"/>
            </w:pPr>
            <w:r/>
            <w:r>
              <w:rPr>
                <w:rFonts w:ascii="Aptos" w:hAnsi="Aptos"/>
                <w:b w:val="0"/>
                <w:sz w:val="15"/>
              </w:rPr>
              <w:t>Treating a generic certificate as complete evidence; stale supplier records; missing subprocessor visibility.</w:t>
            </w:r>
          </w:p>
        </w:tc>
      </w:tr>
    </w:tbl>
    <w:p/>
    <w:p>
      <w:pPr>
        <w:pStyle w:val="EvidencePattern"/>
      </w:pPr>
      <w:r>
        <w:t>14.5 D5 - Content Safety and Privacy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harmful-output controls, leakage prevention, copyright and privacy safeguards.</w:t>
            </w:r>
          </w:p>
        </w:tc>
        <w:tc>
          <w:tcPr>
            <w:tcW w:type="dxa" w:w="2304"/>
            <w:vAlign w:val="center"/>
          </w:tcPr>
          <w:p>
            <w:pPr>
              <w:spacing w:after="0"/>
            </w:pPr>
            <w:r/>
            <w:r>
              <w:rPr>
                <w:rFonts w:ascii="Aptos" w:hAnsi="Aptos"/>
                <w:b w:val="0"/>
                <w:sz w:val="15"/>
              </w:rPr>
              <w:t>Safety evaluations; DLP events; privacy assessments; retention records; leakage tests; user-rights records.</w:t>
            </w:r>
          </w:p>
        </w:tc>
        <w:tc>
          <w:tcPr>
            <w:tcW w:type="dxa" w:w="2376"/>
            <w:vAlign w:val="center"/>
          </w:tcPr>
          <w:p>
            <w:pPr>
              <w:spacing w:after="0"/>
            </w:pPr>
            <w:r/>
            <w:r>
              <w:rPr>
                <w:rFonts w:ascii="Aptos" w:hAnsi="Aptos"/>
                <w:b w:val="0"/>
                <w:sz w:val="15"/>
              </w:rPr>
              <w:t>Sample representative outputs and events; execute privacy and leakage tests; retain false positives/negatives.</w:t>
            </w:r>
          </w:p>
        </w:tc>
        <w:tc>
          <w:tcPr>
            <w:tcW w:type="dxa" w:w="2088"/>
            <w:vAlign w:val="center"/>
          </w:tcPr>
          <w:p>
            <w:pPr>
              <w:spacing w:after="0"/>
            </w:pPr>
            <w:r/>
            <w:r>
              <w:rPr>
                <w:rFonts w:ascii="Aptos" w:hAnsi="Aptos"/>
                <w:b w:val="0"/>
                <w:sz w:val="15"/>
              </w:rPr>
              <w:t>Sensitive content is minimized; populations and thresholds are documented.</w:t>
            </w:r>
          </w:p>
        </w:tc>
        <w:tc>
          <w:tcPr>
            <w:tcW w:type="dxa" w:w="1944"/>
            <w:vAlign w:val="center"/>
          </w:tcPr>
          <w:p>
            <w:pPr>
              <w:spacing w:after="0"/>
            </w:pPr>
            <w:r/>
            <w:r>
              <w:rPr>
                <w:rFonts w:ascii="Aptos" w:hAnsi="Aptos"/>
                <w:b w:val="0"/>
                <w:sz w:val="15"/>
              </w:rPr>
              <w:t>Using only policy documents; over-redacting failures; no evidence of user or data-subject handling.</w:t>
            </w:r>
          </w:p>
        </w:tc>
      </w:tr>
    </w:tbl>
    <w:p/>
    <w:p>
      <w:pPr>
        <w:pStyle w:val="EvidencePattern"/>
      </w:pPr>
      <w:r>
        <w:t>14.6 D6 - Governance and Human Oversight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accountability, auditability, incident readiness, lifecycle governance and resilience.</w:t>
            </w:r>
          </w:p>
        </w:tc>
        <w:tc>
          <w:tcPr>
            <w:tcW w:type="dxa" w:w="2304"/>
            <w:vAlign w:val="center"/>
          </w:tcPr>
          <w:p>
            <w:pPr>
              <w:spacing w:after="0"/>
            </w:pPr>
            <w:r/>
            <w:r>
              <w:rPr>
                <w:rFonts w:ascii="Aptos" w:hAnsi="Aptos"/>
                <w:b w:val="0"/>
                <w:sz w:val="15"/>
              </w:rPr>
              <w:t>Charters; RACI; minutes; model cards; incident exercises; decommission records; management reviews.</w:t>
            </w:r>
          </w:p>
        </w:tc>
        <w:tc>
          <w:tcPr>
            <w:tcW w:type="dxa" w:w="2376"/>
            <w:vAlign w:val="center"/>
          </w:tcPr>
          <w:p>
            <w:pPr>
              <w:spacing w:after="0"/>
            </w:pPr>
            <w:r/>
            <w:r>
              <w:rPr>
                <w:rFonts w:ascii="Aptos" w:hAnsi="Aptos"/>
                <w:b w:val="0"/>
                <w:sz w:val="15"/>
              </w:rPr>
              <w:t>Collect from governance, GRC, service management and records repositories.</w:t>
            </w:r>
          </w:p>
        </w:tc>
        <w:tc>
          <w:tcPr>
            <w:tcW w:type="dxa" w:w="2088"/>
            <w:vAlign w:val="center"/>
          </w:tcPr>
          <w:p>
            <w:pPr>
              <w:spacing w:after="0"/>
            </w:pPr>
            <w:r/>
            <w:r>
              <w:rPr>
                <w:rFonts w:ascii="Aptos" w:hAnsi="Aptos"/>
                <w:b w:val="0"/>
                <w:sz w:val="15"/>
              </w:rPr>
              <w:t>Decisions, owners and dates are clear; meeting evidence shows action, not attendance only.</w:t>
            </w:r>
          </w:p>
        </w:tc>
        <w:tc>
          <w:tcPr>
            <w:tcW w:type="dxa" w:w="1944"/>
            <w:vAlign w:val="center"/>
          </w:tcPr>
          <w:p>
            <w:pPr>
              <w:spacing w:after="0"/>
            </w:pPr>
            <w:r/>
            <w:r>
              <w:rPr>
                <w:rFonts w:ascii="Aptos" w:hAnsi="Aptos"/>
                <w:b w:val="0"/>
                <w:sz w:val="15"/>
              </w:rPr>
              <w:t>Unsigned minutes; outdated model cards; no linkage from decisions to actions or controls.</w:t>
            </w:r>
          </w:p>
        </w:tc>
      </w:tr>
    </w:tbl>
    <w:p/>
    <w:p>
      <w:pPr>
        <w:pStyle w:val="EvidencePattern"/>
      </w:pPr>
      <w:r>
        <w:t>14.7 D7 - Human and Societal Harms</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training, authentication, social-engineering defenses and user-impact controls.</w:t>
            </w:r>
          </w:p>
        </w:tc>
        <w:tc>
          <w:tcPr>
            <w:tcW w:type="dxa" w:w="2304"/>
            <w:vAlign w:val="center"/>
          </w:tcPr>
          <w:p>
            <w:pPr>
              <w:spacing w:after="0"/>
            </w:pPr>
            <w:r/>
            <w:r>
              <w:rPr>
                <w:rFonts w:ascii="Aptos" w:hAnsi="Aptos"/>
                <w:b w:val="0"/>
                <w:sz w:val="15"/>
              </w:rPr>
              <w:t>Simulation results; training completion; authentication tests; deepfake exercises; social-engineering incidents.</w:t>
            </w:r>
          </w:p>
        </w:tc>
        <w:tc>
          <w:tcPr>
            <w:tcW w:type="dxa" w:w="2376"/>
            <w:vAlign w:val="center"/>
          </w:tcPr>
          <w:p>
            <w:pPr>
              <w:spacing w:after="0"/>
            </w:pPr>
            <w:r/>
            <w:r>
              <w:rPr>
                <w:rFonts w:ascii="Aptos" w:hAnsi="Aptos"/>
                <w:b w:val="0"/>
                <w:sz w:val="15"/>
              </w:rPr>
              <w:t>Extract training populations and outcomes; observe exercises; review incident and user-recourse records.</w:t>
            </w:r>
          </w:p>
        </w:tc>
        <w:tc>
          <w:tcPr>
            <w:tcW w:type="dxa" w:w="2088"/>
            <w:vAlign w:val="center"/>
          </w:tcPr>
          <w:p>
            <w:pPr>
              <w:spacing w:after="0"/>
            </w:pPr>
            <w:r/>
            <w:r>
              <w:rPr>
                <w:rFonts w:ascii="Aptos" w:hAnsi="Aptos"/>
                <w:b w:val="0"/>
                <w:sz w:val="15"/>
              </w:rPr>
              <w:t>Population coverage and effectiveness are measured; vulnerable groups are considered.</w:t>
            </w:r>
          </w:p>
        </w:tc>
        <w:tc>
          <w:tcPr>
            <w:tcW w:type="dxa" w:w="1944"/>
            <w:vAlign w:val="center"/>
          </w:tcPr>
          <w:p>
            <w:pPr>
              <w:spacing w:after="0"/>
            </w:pPr>
            <w:r/>
            <w:r>
              <w:rPr>
                <w:rFonts w:ascii="Aptos" w:hAnsi="Aptos"/>
                <w:b w:val="0"/>
                <w:sz w:val="15"/>
              </w:rPr>
              <w:t>Attendance-only evidence; no effectiveness test; missing records for contractors or external users.</w:t>
            </w:r>
          </w:p>
        </w:tc>
      </w:tr>
    </w:tbl>
    <w:p/>
    <w:p>
      <w:pPr>
        <w:pStyle w:val="EvidencePattern"/>
      </w:pPr>
      <w:r>
        <w:t>14.8 D8 - Regulatory Alignment and Compliance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structured mapping to applicable obligations and standards.</w:t>
            </w:r>
          </w:p>
        </w:tc>
        <w:tc>
          <w:tcPr>
            <w:tcW w:type="dxa" w:w="2304"/>
            <w:vAlign w:val="center"/>
          </w:tcPr>
          <w:p>
            <w:pPr>
              <w:spacing w:after="0"/>
            </w:pPr>
            <w:r/>
            <w:r>
              <w:rPr>
                <w:rFonts w:ascii="Aptos" w:hAnsi="Aptos"/>
                <w:b w:val="0"/>
                <w:sz w:val="15"/>
              </w:rPr>
              <w:t>Legal register; gap assessments; regulatory mappings; reporting procedures; compliance reviews.</w:t>
            </w:r>
          </w:p>
        </w:tc>
        <w:tc>
          <w:tcPr>
            <w:tcW w:type="dxa" w:w="2376"/>
            <w:vAlign w:val="center"/>
          </w:tcPr>
          <w:p>
            <w:pPr>
              <w:spacing w:after="0"/>
            </w:pPr>
            <w:r/>
            <w:r>
              <w:rPr>
                <w:rFonts w:ascii="Aptos" w:hAnsi="Aptos"/>
                <w:b w:val="0"/>
                <w:sz w:val="15"/>
              </w:rPr>
              <w:t>Collect controlled legal interpretations, crosswalks, approvals and reporting evidence.</w:t>
            </w:r>
          </w:p>
        </w:tc>
        <w:tc>
          <w:tcPr>
            <w:tcW w:type="dxa" w:w="2088"/>
            <w:vAlign w:val="center"/>
          </w:tcPr>
          <w:p>
            <w:pPr>
              <w:spacing w:after="0"/>
            </w:pPr>
            <w:r/>
            <w:r>
              <w:rPr>
                <w:rFonts w:ascii="Aptos" w:hAnsi="Aptos"/>
                <w:b w:val="0"/>
                <w:sz w:val="15"/>
              </w:rPr>
              <w:t>Jurisdiction, edition and applicability are current; mapping limitations are explicit.</w:t>
            </w:r>
          </w:p>
        </w:tc>
        <w:tc>
          <w:tcPr>
            <w:tcW w:type="dxa" w:w="1944"/>
            <w:vAlign w:val="center"/>
          </w:tcPr>
          <w:p>
            <w:pPr>
              <w:spacing w:after="0"/>
            </w:pPr>
            <w:r/>
            <w:r>
              <w:rPr>
                <w:rFonts w:ascii="Aptos" w:hAnsi="Aptos"/>
                <w:b w:val="0"/>
                <w:sz w:val="15"/>
              </w:rPr>
              <w:t>Claiming legal compliance from a crosswalk alone; citing obsolete sources; no legal owner.</w:t>
            </w:r>
          </w:p>
        </w:tc>
      </w:tr>
    </w:tbl>
    <w:p/>
    <w:p>
      <w:pPr>
        <w:pStyle w:val="EvidencePattern"/>
      </w:pPr>
      <w:r>
        <w:t>14.9 D9 - Physical AI Safety</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Demonstrate safe-state behavior, override, command integrity and incident reconstruction.</w:t>
            </w:r>
          </w:p>
        </w:tc>
        <w:tc>
          <w:tcPr>
            <w:tcW w:type="dxa" w:w="2304"/>
            <w:vAlign w:val="center"/>
          </w:tcPr>
          <w:p>
            <w:pPr>
              <w:spacing w:after="0"/>
            </w:pPr>
            <w:r/>
            <w:r>
              <w:rPr>
                <w:rFonts w:ascii="Aptos" w:hAnsi="Aptos"/>
                <w:b w:val="0"/>
                <w:sz w:val="15"/>
              </w:rPr>
              <w:t>Hazard analysis; simulation/HIL results; override tests; safety-supervisor logs; sensor calibration; incident telemetry.</w:t>
            </w:r>
          </w:p>
        </w:tc>
        <w:tc>
          <w:tcPr>
            <w:tcW w:type="dxa" w:w="2376"/>
            <w:vAlign w:val="center"/>
          </w:tcPr>
          <w:p>
            <w:pPr>
              <w:spacing w:after="0"/>
            </w:pPr>
            <w:r/>
            <w:r>
              <w:rPr>
                <w:rFonts w:ascii="Aptos" w:hAnsi="Aptos"/>
                <w:b w:val="0"/>
                <w:sz w:val="15"/>
              </w:rPr>
              <w:t>Observe physical tests; collect synchronized commands, sensor states and safety events; preserve test conditions.</w:t>
            </w:r>
          </w:p>
        </w:tc>
        <w:tc>
          <w:tcPr>
            <w:tcW w:type="dxa" w:w="2088"/>
            <w:vAlign w:val="center"/>
          </w:tcPr>
          <w:p>
            <w:pPr>
              <w:spacing w:after="0"/>
            </w:pPr>
            <w:r/>
            <w:r>
              <w:rPr>
                <w:rFonts w:ascii="Aptos" w:hAnsi="Aptos"/>
                <w:b w:val="0"/>
                <w:sz w:val="15"/>
              </w:rPr>
              <w:t>Tests reflect realistic operating envelopes; independent safety paths are verified.</w:t>
            </w:r>
          </w:p>
        </w:tc>
        <w:tc>
          <w:tcPr>
            <w:tcW w:type="dxa" w:w="1944"/>
            <w:vAlign w:val="center"/>
          </w:tcPr>
          <w:p>
            <w:pPr>
              <w:spacing w:after="0"/>
            </w:pPr>
            <w:r/>
            <w:r>
              <w:rPr>
                <w:rFonts w:ascii="Aptos" w:hAnsi="Aptos"/>
                <w:b w:val="0"/>
                <w:sz w:val="15"/>
              </w:rPr>
              <w:t>Relying only on software screenshots; incomplete timing data; no evidence of emergency-stop independence.</w:t>
            </w:r>
          </w:p>
        </w:tc>
      </w:tr>
    </w:tbl>
    <w:p/>
    <w:p>
      <w:pPr>
        <w:pStyle w:val="Heading1"/>
      </w:pPr>
      <w:r>
        <w:t>15. Evidence by Artifact Type</w:t>
      </w:r>
    </w:p>
    <w:p>
      <w:pPr>
        <w:pStyle w:val="EvidencePattern"/>
      </w:pPr>
      <w:r>
        <w:t>15.1 Policy and standard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approved intent and mandatory rules</w:t>
            </w:r>
          </w:p>
        </w:tc>
        <w:tc>
          <w:tcPr>
            <w:tcW w:type="dxa" w:w="2304"/>
            <w:vAlign w:val="center"/>
          </w:tcPr>
          <w:p>
            <w:pPr>
              <w:spacing w:after="0"/>
            </w:pPr>
            <w:r/>
            <w:r>
              <w:rPr>
                <w:rFonts w:ascii="Aptos" w:hAnsi="Aptos"/>
                <w:b w:val="0"/>
                <w:sz w:val="15"/>
              </w:rPr>
              <w:t>Controlled document, owner, approval, version, review date</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Approved and current; linked to control</w:t>
            </w:r>
          </w:p>
        </w:tc>
        <w:tc>
          <w:tcPr>
            <w:tcW w:type="dxa" w:w="1944"/>
            <w:vAlign w:val="center"/>
          </w:tcPr>
          <w:p>
            <w:pPr>
              <w:spacing w:after="0"/>
            </w:pPr>
            <w:r/>
            <w:r>
              <w:rPr>
                <w:rFonts w:ascii="Aptos" w:hAnsi="Aptos"/>
                <w:b w:val="0"/>
                <w:sz w:val="15"/>
              </w:rPr>
              <w:t>Draft or unsigned document presented as operating evidence</w:t>
            </w:r>
          </w:p>
        </w:tc>
      </w:tr>
    </w:tbl>
    <w:p/>
    <w:p>
      <w:pPr>
        <w:pStyle w:val="EvidencePattern"/>
      </w:pPr>
      <w:r>
        <w:t>15.2 Procedure and runbook</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repeatable operating method</w:t>
            </w:r>
          </w:p>
        </w:tc>
        <w:tc>
          <w:tcPr>
            <w:tcW w:type="dxa" w:w="2304"/>
            <w:vAlign w:val="center"/>
          </w:tcPr>
          <w:p>
            <w:pPr>
              <w:spacing w:after="0"/>
            </w:pPr>
            <w:r/>
            <w:r>
              <w:rPr>
                <w:rFonts w:ascii="Aptos" w:hAnsi="Aptos"/>
                <w:b w:val="0"/>
                <w:sz w:val="15"/>
              </w:rPr>
              <w:t>Steps, triggers, roles, inputs, outputs, escalation</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Matches actual practice and systems</w:t>
            </w:r>
          </w:p>
        </w:tc>
        <w:tc>
          <w:tcPr>
            <w:tcW w:type="dxa" w:w="1944"/>
            <w:vAlign w:val="center"/>
          </w:tcPr>
          <w:p>
            <w:pPr>
              <w:spacing w:after="0"/>
            </w:pPr>
            <w:r/>
            <w:r>
              <w:rPr>
                <w:rFonts w:ascii="Aptos" w:hAnsi="Aptos"/>
                <w:b w:val="0"/>
                <w:sz w:val="15"/>
              </w:rPr>
              <w:t>Procedure not used or not updated after change</w:t>
            </w:r>
          </w:p>
        </w:tc>
      </w:tr>
    </w:tbl>
    <w:p/>
    <w:p>
      <w:pPr>
        <w:pStyle w:val="EvidencePattern"/>
      </w:pPr>
      <w:r>
        <w:t>15.3 Architecture and data flow</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control placement and boundaries</w:t>
            </w:r>
          </w:p>
        </w:tc>
        <w:tc>
          <w:tcPr>
            <w:tcW w:type="dxa" w:w="2304"/>
            <w:vAlign w:val="center"/>
          </w:tcPr>
          <w:p>
            <w:pPr>
              <w:spacing w:after="0"/>
            </w:pPr>
            <w:r/>
            <w:r>
              <w:rPr>
                <w:rFonts w:ascii="Aptos" w:hAnsi="Aptos"/>
                <w:b w:val="0"/>
                <w:sz w:val="15"/>
              </w:rPr>
              <w:t>Current diagram, components, flows, trust zones, owner</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Matches production and inventory</w:t>
            </w:r>
          </w:p>
        </w:tc>
        <w:tc>
          <w:tcPr>
            <w:tcW w:type="dxa" w:w="1944"/>
            <w:vAlign w:val="center"/>
          </w:tcPr>
          <w:p>
            <w:pPr>
              <w:spacing w:after="0"/>
            </w:pPr>
            <w:r/>
            <w:r>
              <w:rPr>
                <w:rFonts w:ascii="Aptos" w:hAnsi="Aptos"/>
                <w:b w:val="0"/>
                <w:sz w:val="15"/>
              </w:rPr>
              <w:t>High-level diagram omits suppliers or tools</w:t>
            </w:r>
          </w:p>
        </w:tc>
      </w:tr>
    </w:tbl>
    <w:p/>
    <w:p>
      <w:pPr>
        <w:pStyle w:val="EvidencePattern"/>
      </w:pPr>
      <w:r>
        <w:t>15.4 Configuration export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technical implementation</w:t>
            </w:r>
          </w:p>
        </w:tc>
        <w:tc>
          <w:tcPr>
            <w:tcW w:type="dxa" w:w="2304"/>
            <w:vAlign w:val="center"/>
          </w:tcPr>
          <w:p>
            <w:pPr>
              <w:spacing w:after="0"/>
            </w:pPr>
            <w:r/>
            <w:r>
              <w:rPr>
                <w:rFonts w:ascii="Aptos" w:hAnsi="Aptos"/>
                <w:b w:val="0"/>
                <w:sz w:val="15"/>
              </w:rPr>
              <w:t>Authenticated export, version, source, timestamp</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Direct from system; complete relevant fields</w:t>
            </w:r>
          </w:p>
        </w:tc>
        <w:tc>
          <w:tcPr>
            <w:tcW w:type="dxa" w:w="1944"/>
            <w:vAlign w:val="center"/>
          </w:tcPr>
          <w:p>
            <w:pPr>
              <w:spacing w:after="0"/>
            </w:pPr>
            <w:r/>
            <w:r>
              <w:rPr>
                <w:rFonts w:ascii="Aptos" w:hAnsi="Aptos"/>
                <w:b w:val="0"/>
                <w:sz w:val="15"/>
              </w:rPr>
              <w:t>Manual transcription or cropped screenshot</w:t>
            </w:r>
          </w:p>
        </w:tc>
      </w:tr>
    </w:tbl>
    <w:p/>
    <w:p>
      <w:pPr>
        <w:pStyle w:val="EvidencePattern"/>
      </w:pPr>
      <w:r>
        <w:t>15.5 Log or event record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control operation</w:t>
            </w:r>
          </w:p>
        </w:tc>
        <w:tc>
          <w:tcPr>
            <w:tcW w:type="dxa" w:w="2304"/>
            <w:vAlign w:val="center"/>
          </w:tcPr>
          <w:p>
            <w:pPr>
              <w:spacing w:after="0"/>
            </w:pPr>
            <w:r/>
            <w:r>
              <w:rPr>
                <w:rFonts w:ascii="Aptos" w:hAnsi="Aptos"/>
                <w:b w:val="0"/>
                <w:sz w:val="15"/>
              </w:rPr>
              <w:t>Timestamp, actor, action, result, correlation ID</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Complete period and synchronized time</w:t>
            </w:r>
          </w:p>
        </w:tc>
        <w:tc>
          <w:tcPr>
            <w:tcW w:type="dxa" w:w="1944"/>
            <w:vAlign w:val="center"/>
          </w:tcPr>
          <w:p>
            <w:pPr>
              <w:spacing w:after="0"/>
            </w:pPr>
            <w:r/>
            <w:r>
              <w:rPr>
                <w:rFonts w:ascii="Aptos" w:hAnsi="Aptos"/>
                <w:b w:val="0"/>
                <w:sz w:val="15"/>
              </w:rPr>
              <w:t>Missing failures or filtered without record</w:t>
            </w:r>
          </w:p>
        </w:tc>
      </w:tr>
    </w:tbl>
    <w:p/>
    <w:p>
      <w:pPr>
        <w:pStyle w:val="EvidencePattern"/>
      </w:pPr>
      <w:r>
        <w:t>15.6 Test report</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validation and effectiveness</w:t>
            </w:r>
          </w:p>
        </w:tc>
        <w:tc>
          <w:tcPr>
            <w:tcW w:type="dxa" w:w="2304"/>
            <w:vAlign w:val="center"/>
          </w:tcPr>
          <w:p>
            <w:pPr>
              <w:spacing w:after="0"/>
            </w:pPr>
            <w:r/>
            <w:r>
              <w:rPr>
                <w:rFonts w:ascii="Aptos" w:hAnsi="Aptos"/>
                <w:b w:val="0"/>
                <w:sz w:val="15"/>
              </w:rPr>
              <w:t>Scope, version, method, dataset, results, limitations</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Reproducible and includes failed cases</w:t>
            </w:r>
          </w:p>
        </w:tc>
        <w:tc>
          <w:tcPr>
            <w:tcW w:type="dxa" w:w="1944"/>
            <w:vAlign w:val="center"/>
          </w:tcPr>
          <w:p>
            <w:pPr>
              <w:spacing w:after="0"/>
            </w:pPr>
            <w:r/>
            <w:r>
              <w:rPr>
                <w:rFonts w:ascii="Aptos" w:hAnsi="Aptos"/>
                <w:b w:val="0"/>
                <w:sz w:val="15"/>
              </w:rPr>
              <w:t>Only executive summary or pass/fail</w:t>
            </w:r>
          </w:p>
        </w:tc>
      </w:tr>
    </w:tbl>
    <w:p/>
    <w:p>
      <w:pPr>
        <w:pStyle w:val="EvidencePattern"/>
      </w:pPr>
      <w:r>
        <w:t>15.7 Approval record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authorized decision</w:t>
            </w:r>
          </w:p>
        </w:tc>
        <w:tc>
          <w:tcPr>
            <w:tcW w:type="dxa" w:w="2304"/>
            <w:vAlign w:val="center"/>
          </w:tcPr>
          <w:p>
            <w:pPr>
              <w:spacing w:after="0"/>
            </w:pPr>
            <w:r/>
            <w:r>
              <w:rPr>
                <w:rFonts w:ascii="Aptos" w:hAnsi="Aptos"/>
                <w:b w:val="0"/>
                <w:sz w:val="15"/>
              </w:rPr>
              <w:t>Decision, scope, approver, date, conditions</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Authority and conditions are valid</w:t>
            </w:r>
          </w:p>
        </w:tc>
        <w:tc>
          <w:tcPr>
            <w:tcW w:type="dxa" w:w="1944"/>
            <w:vAlign w:val="center"/>
          </w:tcPr>
          <w:p>
            <w:pPr>
              <w:spacing w:after="0"/>
            </w:pPr>
            <w:r/>
            <w:r>
              <w:rPr>
                <w:rFonts w:ascii="Aptos" w:hAnsi="Aptos"/>
                <w:b w:val="0"/>
                <w:sz w:val="15"/>
              </w:rPr>
              <w:t>Email fragment without context or approval authority</w:t>
            </w:r>
          </w:p>
        </w:tc>
      </w:tr>
    </w:tbl>
    <w:p/>
    <w:p>
      <w:pPr>
        <w:pStyle w:val="EvidencePattern"/>
      </w:pPr>
      <w:r>
        <w:t>15.8 Ticket/work item</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workflow and remediation</w:t>
            </w:r>
          </w:p>
        </w:tc>
        <w:tc>
          <w:tcPr>
            <w:tcW w:type="dxa" w:w="2304"/>
            <w:vAlign w:val="center"/>
          </w:tcPr>
          <w:p>
            <w:pPr>
              <w:spacing w:after="0"/>
            </w:pPr>
            <w:r/>
            <w:r>
              <w:rPr>
                <w:rFonts w:ascii="Aptos" w:hAnsi="Aptos"/>
                <w:b w:val="0"/>
                <w:sz w:val="15"/>
              </w:rPr>
              <w:t>Issue, owner, status, dates, closure evidence</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Complete lifecycle and linked artifacts</w:t>
            </w:r>
          </w:p>
        </w:tc>
        <w:tc>
          <w:tcPr>
            <w:tcW w:type="dxa" w:w="1944"/>
            <w:vAlign w:val="center"/>
          </w:tcPr>
          <w:p>
            <w:pPr>
              <w:spacing w:after="0"/>
            </w:pPr>
            <w:r/>
            <w:r>
              <w:rPr>
                <w:rFonts w:ascii="Aptos" w:hAnsi="Aptos"/>
                <w:b w:val="0"/>
                <w:sz w:val="15"/>
              </w:rPr>
              <w:t>Closed without validation</w:t>
            </w:r>
          </w:p>
        </w:tc>
      </w:tr>
    </w:tbl>
    <w:p/>
    <w:p>
      <w:pPr>
        <w:pStyle w:val="EvidencePattern"/>
      </w:pPr>
      <w:r>
        <w:t>15.9 Metric/dashboard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trends and control health</w:t>
            </w:r>
          </w:p>
        </w:tc>
        <w:tc>
          <w:tcPr>
            <w:tcW w:type="dxa" w:w="2304"/>
            <w:vAlign w:val="center"/>
          </w:tcPr>
          <w:p>
            <w:pPr>
              <w:spacing w:after="0"/>
            </w:pPr>
            <w:r/>
            <w:r>
              <w:rPr>
                <w:rFonts w:ascii="Aptos" w:hAnsi="Aptos"/>
                <w:b w:val="0"/>
                <w:sz w:val="15"/>
              </w:rPr>
              <w:t>Definition, source, calculation, threshold, period</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Data lineage and exceptions are visible</w:t>
            </w:r>
          </w:p>
        </w:tc>
        <w:tc>
          <w:tcPr>
            <w:tcW w:type="dxa" w:w="1944"/>
            <w:vAlign w:val="center"/>
          </w:tcPr>
          <w:p>
            <w:pPr>
              <w:spacing w:after="0"/>
            </w:pPr>
            <w:r/>
            <w:r>
              <w:rPr>
                <w:rFonts w:ascii="Aptos" w:hAnsi="Aptos"/>
                <w:b w:val="0"/>
                <w:sz w:val="15"/>
              </w:rPr>
              <w:t>Screenshot without metric definition</w:t>
            </w:r>
          </w:p>
        </w:tc>
      </w:tr>
    </w:tbl>
    <w:p/>
    <w:p>
      <w:pPr>
        <w:pStyle w:val="EvidencePattern"/>
      </w:pPr>
      <w:r>
        <w:t>15.10 Interview/observation</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Corroborate practice and competence</w:t>
            </w:r>
          </w:p>
        </w:tc>
        <w:tc>
          <w:tcPr>
            <w:tcW w:type="dxa" w:w="2304"/>
            <w:vAlign w:val="center"/>
          </w:tcPr>
          <w:p>
            <w:pPr>
              <w:spacing w:after="0"/>
            </w:pPr>
            <w:r/>
            <w:r>
              <w:rPr>
                <w:rFonts w:ascii="Aptos" w:hAnsi="Aptos"/>
                <w:b w:val="0"/>
                <w:sz w:val="15"/>
              </w:rPr>
              <w:t>Participants, questions, observations, time, evidence links</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Supported by direct artifacts</w:t>
            </w:r>
          </w:p>
        </w:tc>
        <w:tc>
          <w:tcPr>
            <w:tcW w:type="dxa" w:w="1944"/>
            <w:vAlign w:val="center"/>
          </w:tcPr>
          <w:p>
            <w:pPr>
              <w:spacing w:after="0"/>
            </w:pPr>
            <w:r/>
            <w:r>
              <w:rPr>
                <w:rFonts w:ascii="Aptos" w:hAnsi="Aptos"/>
                <w:b w:val="0"/>
                <w:sz w:val="15"/>
              </w:rPr>
              <w:t>Used as sole evidence for technical control</w:t>
            </w:r>
          </w:p>
        </w:tc>
      </w:tr>
    </w:tbl>
    <w:p/>
    <w:p>
      <w:pPr>
        <w:pStyle w:val="EvidencePattern"/>
      </w:pPr>
      <w:r>
        <w:t>15.11 Supplier evidence</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Support inherited control claim</w:t>
            </w:r>
          </w:p>
        </w:tc>
        <w:tc>
          <w:tcPr>
            <w:tcW w:type="dxa" w:w="2304"/>
            <w:vAlign w:val="center"/>
          </w:tcPr>
          <w:p>
            <w:pPr>
              <w:spacing w:after="0"/>
            </w:pPr>
            <w:r/>
            <w:r>
              <w:rPr>
                <w:rFonts w:ascii="Aptos" w:hAnsi="Aptos"/>
                <w:b w:val="0"/>
                <w:sz w:val="15"/>
              </w:rPr>
              <w:t>Provider, scope, period, service, limitations</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Current and applicable to assessed service</w:t>
            </w:r>
          </w:p>
        </w:tc>
        <w:tc>
          <w:tcPr>
            <w:tcW w:type="dxa" w:w="1944"/>
            <w:vAlign w:val="center"/>
          </w:tcPr>
          <w:p>
            <w:pPr>
              <w:spacing w:after="0"/>
            </w:pPr>
            <w:r/>
            <w:r>
              <w:rPr>
                <w:rFonts w:ascii="Aptos" w:hAnsi="Aptos"/>
                <w:b w:val="0"/>
                <w:sz w:val="15"/>
              </w:rPr>
              <w:t>Generic corporate report unrelated to product</w:t>
            </w:r>
          </w:p>
        </w:tc>
      </w:tr>
    </w:tbl>
    <w:p/>
    <w:p>
      <w:pPr>
        <w:pStyle w:val="EvidencePattern"/>
      </w:pPr>
      <w:r>
        <w:t>15.12 Physical test record</w:t>
      </w:r>
    </w:p>
    <w:tbl>
      <w:tblPr>
        <w:tblStyle w:val="TableGrid"/>
        <w:tblW w:type="auto" w:w="0"/>
        <w:jc w:val="center"/>
        <w:tblLook w:firstColumn="1" w:firstRow="1" w:lastColumn="0" w:lastRow="0" w:noHBand="0" w:noVBand="1" w:val="04A0"/>
      </w:tblPr>
      <w:tblGrid>
        <w:gridCol w:w="2056"/>
        <w:gridCol w:w="2056"/>
        <w:gridCol w:w="2056"/>
        <w:gridCol w:w="2056"/>
        <w:gridCol w:w="2056"/>
      </w:tblGrid>
      <w:tr>
        <w:trPr>
          <w:tblHeader w:val="true"/>
          <w:cantSplit/>
        </w:trPr>
        <w:tc>
          <w:tcPr>
            <w:tcW w:type="dxa" w:w="1800"/>
            <w:vAlign w:val="center"/>
            <w:shd w:fill="17324D"/>
          </w:tcPr>
          <w:p>
            <w:pPr>
              <w:spacing w:after="0"/>
            </w:pPr>
            <w:r/>
            <w:r>
              <w:rPr>
                <w:rFonts w:ascii="Aptos" w:hAnsi="Aptos"/>
                <w:b/>
                <w:color w:val="FFFFFF"/>
                <w:sz w:val="15"/>
              </w:rPr>
              <w:t>Purpose</w:t>
            </w:r>
          </w:p>
        </w:tc>
        <w:tc>
          <w:tcPr>
            <w:tcW w:type="dxa" w:w="2304"/>
            <w:vAlign w:val="center"/>
            <w:shd w:fill="17324D"/>
          </w:tcPr>
          <w:p>
            <w:pPr>
              <w:spacing w:after="0"/>
            </w:pPr>
            <w:r/>
            <w:r>
              <w:rPr>
                <w:rFonts w:ascii="Aptos" w:hAnsi="Aptos"/>
                <w:b/>
                <w:color w:val="FFFFFF"/>
                <w:sz w:val="15"/>
              </w:rPr>
              <w:t>Preferred artifacts</w:t>
            </w:r>
          </w:p>
        </w:tc>
        <w:tc>
          <w:tcPr>
            <w:tcW w:type="dxa" w:w="2376"/>
            <w:vAlign w:val="center"/>
            <w:shd w:fill="17324D"/>
          </w:tcPr>
          <w:p>
            <w:pPr>
              <w:spacing w:after="0"/>
            </w:pPr>
            <w:r/>
            <w:r>
              <w:rPr>
                <w:rFonts w:ascii="Aptos" w:hAnsi="Aptos"/>
                <w:b/>
                <w:color w:val="FFFFFF"/>
                <w:sz w:val="15"/>
              </w:rPr>
              <w:t>Collection method</w:t>
            </w:r>
          </w:p>
        </w:tc>
        <w:tc>
          <w:tcPr>
            <w:tcW w:type="dxa" w:w="2088"/>
            <w:vAlign w:val="center"/>
            <w:shd w:fill="17324D"/>
          </w:tcPr>
          <w:p>
            <w:pPr>
              <w:spacing w:after="0"/>
            </w:pPr>
            <w:r/>
            <w:r>
              <w:rPr>
                <w:rFonts w:ascii="Aptos" w:hAnsi="Aptos"/>
                <w:b/>
                <w:color w:val="FFFFFF"/>
                <w:sz w:val="15"/>
              </w:rPr>
              <w:t>Quality checks</w:t>
            </w:r>
          </w:p>
        </w:tc>
        <w:tc>
          <w:tcPr>
            <w:tcW w:type="dxa" w:w="1944"/>
            <w:vAlign w:val="center"/>
            <w:shd w:fill="17324D"/>
          </w:tcPr>
          <w:p>
            <w:pPr>
              <w:spacing w:after="0"/>
            </w:pPr>
            <w:r/>
            <w:r>
              <w:rPr>
                <w:rFonts w:ascii="Aptos" w:hAnsi="Aptos"/>
                <w:b/>
                <w:color w:val="FFFFFF"/>
                <w:sz w:val="15"/>
              </w:rPr>
              <w:t>Common pitfalls</w:t>
            </w:r>
          </w:p>
        </w:tc>
      </w:tr>
      <w:tr>
        <w:trPr>
          <w:cantSplit/>
        </w:trPr>
        <w:tc>
          <w:tcPr>
            <w:tcW w:type="dxa" w:w="1800"/>
            <w:vAlign w:val="center"/>
          </w:tcPr>
          <w:p>
            <w:pPr>
              <w:spacing w:after="0"/>
            </w:pPr>
            <w:r/>
            <w:r>
              <w:rPr>
                <w:rFonts w:ascii="Aptos" w:hAnsi="Aptos"/>
                <w:b w:val="0"/>
                <w:sz w:val="15"/>
              </w:rPr>
              <w:t>Show real-world safety operation</w:t>
            </w:r>
          </w:p>
        </w:tc>
        <w:tc>
          <w:tcPr>
            <w:tcW w:type="dxa" w:w="2304"/>
            <w:vAlign w:val="center"/>
          </w:tcPr>
          <w:p>
            <w:pPr>
              <w:spacing w:after="0"/>
            </w:pPr>
            <w:r/>
            <w:r>
              <w:rPr>
                <w:rFonts w:ascii="Aptos" w:hAnsi="Aptos"/>
                <w:b w:val="0"/>
                <w:sz w:val="15"/>
              </w:rPr>
              <w:t>Setup, environment, instrumentation, sequence, result</w:t>
            </w:r>
          </w:p>
        </w:tc>
        <w:tc>
          <w:tcPr>
            <w:tcW w:type="dxa" w:w="2376"/>
            <w:vAlign w:val="center"/>
          </w:tcPr>
          <w:p>
            <w:pPr>
              <w:spacing w:after="0"/>
            </w:pPr>
            <w:r/>
            <w:r>
              <w:rPr>
                <w:rFonts w:ascii="Aptos" w:hAnsi="Aptos"/>
                <w:b w:val="0"/>
                <w:sz w:val="15"/>
              </w:rPr>
              <w:t>Collect from the authoritative source and preserve original metadata.</w:t>
            </w:r>
          </w:p>
        </w:tc>
        <w:tc>
          <w:tcPr>
            <w:tcW w:type="dxa" w:w="2088"/>
            <w:vAlign w:val="center"/>
          </w:tcPr>
          <w:p>
            <w:pPr>
              <w:spacing w:after="0"/>
            </w:pPr>
            <w:r/>
            <w:r>
              <w:rPr>
                <w:rFonts w:ascii="Aptos" w:hAnsi="Aptos"/>
                <w:b w:val="0"/>
                <w:sz w:val="15"/>
              </w:rPr>
              <w:t>Conditions and telemetry are complete</w:t>
            </w:r>
          </w:p>
        </w:tc>
        <w:tc>
          <w:tcPr>
            <w:tcW w:type="dxa" w:w="1944"/>
            <w:vAlign w:val="center"/>
          </w:tcPr>
          <w:p>
            <w:pPr>
              <w:spacing w:after="0"/>
            </w:pPr>
            <w:r/>
            <w:r>
              <w:rPr>
                <w:rFonts w:ascii="Aptos" w:hAnsi="Aptos"/>
                <w:b w:val="0"/>
                <w:sz w:val="15"/>
              </w:rPr>
              <w:t>No repeatability or missing calibration</w:t>
            </w:r>
          </w:p>
        </w:tc>
      </w:tr>
    </w:tbl>
    <w:p/>
    <w:p>
      <w:pPr>
        <w:pStyle w:val="Heading1"/>
      </w:pPr>
      <w:r>
        <w:t>16. Evidence Review and Acceptance</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160"/>
            <w:vAlign w:val="center"/>
            <w:shd w:fill="17324D"/>
          </w:tcPr>
          <w:p>
            <w:pPr>
              <w:spacing w:after="0"/>
            </w:pPr>
            <w:r/>
            <w:r>
              <w:rPr>
                <w:rFonts w:ascii="Aptos" w:hAnsi="Aptos"/>
                <w:b/>
                <w:color w:val="FFFFFF"/>
                <w:sz w:val="15"/>
              </w:rPr>
              <w:t>Decision</w:t>
            </w:r>
          </w:p>
        </w:tc>
        <w:tc>
          <w:tcPr>
            <w:tcW w:type="dxa" w:w="4752"/>
            <w:vAlign w:val="center"/>
            <w:shd w:fill="17324D"/>
          </w:tcPr>
          <w:p>
            <w:pPr>
              <w:spacing w:after="0"/>
            </w:pPr>
            <w:r/>
            <w:r>
              <w:rPr>
                <w:rFonts w:ascii="Aptos" w:hAnsi="Aptos"/>
                <w:b/>
                <w:color w:val="FFFFFF"/>
                <w:sz w:val="15"/>
              </w:rPr>
              <w:t>Criteria</w:t>
            </w:r>
          </w:p>
        </w:tc>
        <w:tc>
          <w:tcPr>
            <w:tcW w:type="dxa" w:w="2736"/>
            <w:vAlign w:val="center"/>
            <w:shd w:fill="17324D"/>
          </w:tcPr>
          <w:p>
            <w:pPr>
              <w:spacing w:after="0"/>
            </w:pPr>
            <w:r/>
            <w:r>
              <w:rPr>
                <w:rFonts w:ascii="Aptos" w:hAnsi="Aptos"/>
                <w:b/>
                <w:color w:val="FFFFFF"/>
                <w:sz w:val="15"/>
              </w:rPr>
              <w:t>Treatment</w:t>
            </w:r>
          </w:p>
        </w:tc>
      </w:tr>
      <w:tr>
        <w:trPr>
          <w:cantSplit/>
        </w:trPr>
        <w:tc>
          <w:tcPr>
            <w:tcW w:type="dxa" w:w="2160"/>
            <w:vAlign w:val="center"/>
          </w:tcPr>
          <w:p>
            <w:pPr>
              <w:spacing w:after="0"/>
            </w:pPr>
            <w:r/>
            <w:r>
              <w:rPr>
                <w:rFonts w:ascii="Aptos" w:hAnsi="Aptos"/>
                <w:b w:val="0"/>
                <w:sz w:val="15"/>
              </w:rPr>
              <w:t>Accepted</w:t>
            </w:r>
          </w:p>
        </w:tc>
        <w:tc>
          <w:tcPr>
            <w:tcW w:type="dxa" w:w="4752"/>
            <w:vAlign w:val="center"/>
          </w:tcPr>
          <w:p>
            <w:pPr>
              <w:spacing w:after="0"/>
            </w:pPr>
            <w:r/>
            <w:r>
              <w:rPr>
                <w:rFonts w:ascii="Aptos" w:hAnsi="Aptos"/>
                <w:b w:val="0"/>
                <w:sz w:val="15"/>
              </w:rPr>
              <w:t>Relevant, current, scope-aligned, authentic, complete and protected</w:t>
            </w:r>
          </w:p>
        </w:tc>
        <w:tc>
          <w:tcPr>
            <w:tcW w:type="dxa" w:w="2736"/>
            <w:vAlign w:val="center"/>
          </w:tcPr>
          <w:p>
            <w:pPr>
              <w:spacing w:after="0"/>
            </w:pPr>
            <w:r/>
            <w:r>
              <w:rPr>
                <w:rFonts w:ascii="Aptos" w:hAnsi="Aptos"/>
                <w:b w:val="0"/>
                <w:sz w:val="15"/>
              </w:rPr>
              <w:t>Index and use</w:t>
            </w:r>
          </w:p>
        </w:tc>
      </w:tr>
      <w:tr>
        <w:trPr>
          <w:cantSplit/>
        </w:trPr>
        <w:tc>
          <w:tcPr>
            <w:tcW w:type="dxa" w:w="2160"/>
            <w:vAlign w:val="center"/>
            <w:shd w:fill="F3F6F7"/>
          </w:tcPr>
          <w:p>
            <w:pPr>
              <w:spacing w:after="0"/>
            </w:pPr>
            <w:r/>
            <w:r>
              <w:rPr>
                <w:rFonts w:ascii="Aptos" w:hAnsi="Aptos"/>
                <w:b w:val="0"/>
                <w:sz w:val="15"/>
              </w:rPr>
              <w:t>Accepted with limitation</w:t>
            </w:r>
          </w:p>
        </w:tc>
        <w:tc>
          <w:tcPr>
            <w:tcW w:type="dxa" w:w="4752"/>
            <w:vAlign w:val="center"/>
            <w:shd w:fill="F3F6F7"/>
          </w:tcPr>
          <w:p>
            <w:pPr>
              <w:spacing w:after="0"/>
            </w:pPr>
            <w:r/>
            <w:r>
              <w:rPr>
                <w:rFonts w:ascii="Aptos" w:hAnsi="Aptos"/>
                <w:b w:val="0"/>
                <w:sz w:val="15"/>
              </w:rPr>
              <w:t>Useful but constrained by sampling, opacity or minor gap</w:t>
            </w:r>
          </w:p>
        </w:tc>
        <w:tc>
          <w:tcPr>
            <w:tcW w:type="dxa" w:w="2736"/>
            <w:vAlign w:val="center"/>
            <w:shd w:fill="F3F6F7"/>
          </w:tcPr>
          <w:p>
            <w:pPr>
              <w:spacing w:after="0"/>
            </w:pPr>
            <w:r/>
            <w:r>
              <w:rPr>
                <w:rFonts w:ascii="Aptos" w:hAnsi="Aptos"/>
                <w:b w:val="0"/>
                <w:sz w:val="15"/>
              </w:rPr>
              <w:t>Record limitation and supplemental action</w:t>
            </w:r>
          </w:p>
        </w:tc>
      </w:tr>
      <w:tr>
        <w:trPr>
          <w:cantSplit/>
        </w:trPr>
        <w:tc>
          <w:tcPr>
            <w:tcW w:type="dxa" w:w="2160"/>
            <w:vAlign w:val="center"/>
          </w:tcPr>
          <w:p>
            <w:pPr>
              <w:spacing w:after="0"/>
            </w:pPr>
            <w:r/>
            <w:r>
              <w:rPr>
                <w:rFonts w:ascii="Aptos" w:hAnsi="Aptos"/>
                <w:b w:val="0"/>
                <w:sz w:val="15"/>
              </w:rPr>
              <w:t>Conditionally accepted</w:t>
            </w:r>
          </w:p>
        </w:tc>
        <w:tc>
          <w:tcPr>
            <w:tcW w:type="dxa" w:w="4752"/>
            <w:vAlign w:val="center"/>
          </w:tcPr>
          <w:p>
            <w:pPr>
              <w:spacing w:after="0"/>
            </w:pPr>
            <w:r/>
            <w:r>
              <w:rPr>
                <w:rFonts w:ascii="Aptos" w:hAnsi="Aptos"/>
                <w:b w:val="0"/>
                <w:sz w:val="15"/>
              </w:rPr>
              <w:t>Temporary evidence pending stronger artifact or period</w:t>
            </w:r>
          </w:p>
        </w:tc>
        <w:tc>
          <w:tcPr>
            <w:tcW w:type="dxa" w:w="2736"/>
            <w:vAlign w:val="center"/>
          </w:tcPr>
          <w:p>
            <w:pPr>
              <w:spacing w:after="0"/>
            </w:pPr>
            <w:r/>
            <w:r>
              <w:rPr>
                <w:rFonts w:ascii="Aptos" w:hAnsi="Aptos"/>
                <w:b w:val="0"/>
                <w:sz w:val="15"/>
              </w:rPr>
              <w:t>Time-bound follow-up</w:t>
            </w:r>
          </w:p>
        </w:tc>
      </w:tr>
      <w:tr>
        <w:trPr>
          <w:cantSplit/>
        </w:trPr>
        <w:tc>
          <w:tcPr>
            <w:tcW w:type="dxa" w:w="2160"/>
            <w:vAlign w:val="center"/>
            <w:shd w:fill="F3F6F7"/>
          </w:tcPr>
          <w:p>
            <w:pPr>
              <w:spacing w:after="0"/>
            </w:pPr>
            <w:r/>
            <w:r>
              <w:rPr>
                <w:rFonts w:ascii="Aptos" w:hAnsi="Aptos"/>
                <w:b w:val="0"/>
                <w:sz w:val="15"/>
              </w:rPr>
              <w:t>Rejected</w:t>
            </w:r>
          </w:p>
        </w:tc>
        <w:tc>
          <w:tcPr>
            <w:tcW w:type="dxa" w:w="4752"/>
            <w:vAlign w:val="center"/>
            <w:shd w:fill="F3F6F7"/>
          </w:tcPr>
          <w:p>
            <w:pPr>
              <w:spacing w:after="0"/>
            </w:pPr>
            <w:r/>
            <w:r>
              <w:rPr>
                <w:rFonts w:ascii="Aptos" w:hAnsi="Aptos"/>
                <w:b w:val="0"/>
                <w:sz w:val="15"/>
              </w:rPr>
              <w:t>Stale, unverifiable, out of scope, altered or insufficient</w:t>
            </w:r>
          </w:p>
        </w:tc>
        <w:tc>
          <w:tcPr>
            <w:tcW w:type="dxa" w:w="2736"/>
            <w:vAlign w:val="center"/>
            <w:shd w:fill="F3F6F7"/>
          </w:tcPr>
          <w:p>
            <w:pPr>
              <w:spacing w:after="0"/>
            </w:pPr>
            <w:r/>
            <w:r>
              <w:rPr>
                <w:rFonts w:ascii="Aptos" w:hAnsi="Aptos"/>
                <w:b w:val="0"/>
                <w:sz w:val="15"/>
              </w:rPr>
              <w:t>Replace or regenerate</w:t>
            </w:r>
          </w:p>
        </w:tc>
      </w:tr>
      <w:tr>
        <w:trPr>
          <w:cantSplit/>
        </w:trPr>
        <w:tc>
          <w:tcPr>
            <w:tcW w:type="dxa" w:w="2160"/>
            <w:vAlign w:val="center"/>
          </w:tcPr>
          <w:p>
            <w:pPr>
              <w:spacing w:after="0"/>
            </w:pPr>
            <w:r/>
            <w:r>
              <w:rPr>
                <w:rFonts w:ascii="Aptos" w:hAnsi="Aptos"/>
                <w:b w:val="0"/>
                <w:sz w:val="15"/>
              </w:rPr>
              <w:t>Escalated</w:t>
            </w:r>
          </w:p>
        </w:tc>
        <w:tc>
          <w:tcPr>
            <w:tcW w:type="dxa" w:w="4752"/>
            <w:vAlign w:val="center"/>
          </w:tcPr>
          <w:p>
            <w:pPr>
              <w:spacing w:after="0"/>
            </w:pPr>
            <w:r/>
            <w:r>
              <w:rPr>
                <w:rFonts w:ascii="Aptos" w:hAnsi="Aptos"/>
                <w:b w:val="0"/>
                <w:sz w:val="15"/>
              </w:rPr>
              <w:t>Conflict, possible manipulation or material missing evidence</w:t>
            </w:r>
          </w:p>
        </w:tc>
        <w:tc>
          <w:tcPr>
            <w:tcW w:type="dxa" w:w="2736"/>
            <w:vAlign w:val="center"/>
          </w:tcPr>
          <w:p>
            <w:pPr>
              <w:spacing w:after="0"/>
            </w:pPr>
            <w:r/>
            <w:r>
              <w:rPr>
                <w:rFonts w:ascii="Aptos" w:hAnsi="Aptos"/>
                <w:b w:val="0"/>
                <w:sz w:val="15"/>
              </w:rPr>
              <w:t>Independent review or incident process</w:t>
            </w:r>
          </w:p>
        </w:tc>
      </w:tr>
    </w:tbl>
    <w:p/>
    <w:p>
      <w:pPr>
        <w:pStyle w:val="Heading1"/>
      </w:pPr>
      <w:r>
        <w:t>17. Evidence Conflicts and Gaps</w:t>
      </w:r>
    </w:p>
    <w:p>
      <w:pPr>
        <w:pStyle w:val="ListNumber"/>
      </w:pPr>
      <w:r>
        <w:t>Do not choose the artifact that supports the desired conclusion.</w:t>
      </w:r>
    </w:p>
    <w:p>
      <w:pPr>
        <w:pStyle w:val="ListNumber"/>
      </w:pPr>
      <w:r>
        <w:t>Reconcile scope, timestamps, versions, definitions and source systems.</w:t>
      </w:r>
    </w:p>
    <w:p>
      <w:pPr>
        <w:pStyle w:val="ListNumber"/>
      </w:pPr>
      <w:r>
        <w:t>Preserve conflicting evidence and record the resolution rationale.</w:t>
      </w:r>
    </w:p>
    <w:p>
      <w:pPr>
        <w:pStyle w:val="ListNumber"/>
      </w:pPr>
      <w:r>
        <w:t>If the conflict cannot be resolved, state uncertainty and treat the control as not fully evidenced.</w:t>
      </w:r>
    </w:p>
    <w:p>
      <w:pPr>
        <w:pStyle w:val="ListNumber"/>
      </w:pPr>
      <w:r>
        <w:t>Material gaps should create findings, exceptions or corrective actions rather than silent assumptions.</w:t>
      </w:r>
    </w:p>
    <w:p>
      <w:pPr>
        <w:pStyle w:val="Heading1"/>
      </w:pPr>
      <w:r>
        <w:t>18. Assessor and Certification Readiness</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880"/>
            <w:vAlign w:val="center"/>
            <w:shd w:fill="17324D"/>
          </w:tcPr>
          <w:p>
            <w:pPr>
              <w:spacing w:after="0"/>
            </w:pPr>
            <w:r/>
            <w:r>
              <w:rPr>
                <w:rFonts w:ascii="Aptos" w:hAnsi="Aptos"/>
                <w:b/>
                <w:color w:val="FFFFFF"/>
                <w:sz w:val="15"/>
              </w:rPr>
              <w:t>Readiness element</w:t>
            </w:r>
          </w:p>
        </w:tc>
        <w:tc>
          <w:tcPr>
            <w:tcW w:type="dxa" w:w="6768"/>
            <w:vAlign w:val="center"/>
            <w:shd w:fill="17324D"/>
          </w:tcPr>
          <w:p>
            <w:pPr>
              <w:spacing w:after="0"/>
            </w:pPr>
            <w:r/>
            <w:r>
              <w:rPr>
                <w:rFonts w:ascii="Aptos" w:hAnsi="Aptos"/>
                <w:b/>
                <w:color w:val="FFFFFF"/>
                <w:sz w:val="15"/>
              </w:rPr>
              <w:t>Expected condition</w:t>
            </w:r>
          </w:p>
        </w:tc>
      </w:tr>
      <w:tr>
        <w:trPr>
          <w:cantSplit/>
        </w:trPr>
        <w:tc>
          <w:tcPr>
            <w:tcW w:type="dxa" w:w="2880"/>
            <w:vAlign w:val="center"/>
          </w:tcPr>
          <w:p>
            <w:pPr>
              <w:spacing w:after="0"/>
            </w:pPr>
            <w:r/>
            <w:r>
              <w:rPr>
                <w:rFonts w:ascii="Aptos" w:hAnsi="Aptos"/>
                <w:b w:val="0"/>
                <w:sz w:val="15"/>
              </w:rPr>
              <w:t>Evidence index</w:t>
            </w:r>
          </w:p>
        </w:tc>
        <w:tc>
          <w:tcPr>
            <w:tcW w:type="dxa" w:w="6768"/>
            <w:vAlign w:val="center"/>
          </w:tcPr>
          <w:p>
            <w:pPr>
              <w:spacing w:after="0"/>
            </w:pPr>
            <w:r/>
            <w:r>
              <w:rPr>
                <w:rFonts w:ascii="Aptos" w:hAnsi="Aptos"/>
                <w:b w:val="0"/>
                <w:sz w:val="15"/>
              </w:rPr>
              <w:t>Complete, current and linked to every applicable control</w:t>
            </w:r>
          </w:p>
        </w:tc>
      </w:tr>
      <w:tr>
        <w:trPr>
          <w:cantSplit/>
        </w:trPr>
        <w:tc>
          <w:tcPr>
            <w:tcW w:type="dxa" w:w="2880"/>
            <w:vAlign w:val="center"/>
            <w:shd w:fill="F3F6F7"/>
          </w:tcPr>
          <w:p>
            <w:pPr>
              <w:spacing w:after="0"/>
            </w:pPr>
            <w:r/>
            <w:r>
              <w:rPr>
                <w:rFonts w:ascii="Aptos" w:hAnsi="Aptos"/>
                <w:b w:val="0"/>
                <w:sz w:val="15"/>
              </w:rPr>
              <w:t>Repository access</w:t>
            </w:r>
          </w:p>
        </w:tc>
        <w:tc>
          <w:tcPr>
            <w:tcW w:type="dxa" w:w="6768"/>
            <w:vAlign w:val="center"/>
            <w:shd w:fill="F3F6F7"/>
          </w:tcPr>
          <w:p>
            <w:pPr>
              <w:spacing w:after="0"/>
            </w:pPr>
            <w:r/>
            <w:r>
              <w:rPr>
                <w:rFonts w:ascii="Aptos" w:hAnsi="Aptos"/>
                <w:b w:val="0"/>
                <w:sz w:val="15"/>
              </w:rPr>
              <w:t>Controlled assessor access with confidentiality protections</w:t>
            </w:r>
          </w:p>
        </w:tc>
      </w:tr>
      <w:tr>
        <w:trPr>
          <w:cantSplit/>
        </w:trPr>
        <w:tc>
          <w:tcPr>
            <w:tcW w:type="dxa" w:w="2880"/>
            <w:vAlign w:val="center"/>
          </w:tcPr>
          <w:p>
            <w:pPr>
              <w:spacing w:after="0"/>
            </w:pPr>
            <w:r/>
            <w:r>
              <w:rPr>
                <w:rFonts w:ascii="Aptos" w:hAnsi="Aptos"/>
                <w:b w:val="0"/>
                <w:sz w:val="15"/>
              </w:rPr>
              <w:t>Evidence package</w:t>
            </w:r>
          </w:p>
        </w:tc>
        <w:tc>
          <w:tcPr>
            <w:tcW w:type="dxa" w:w="6768"/>
            <w:vAlign w:val="center"/>
          </w:tcPr>
          <w:p>
            <w:pPr>
              <w:spacing w:after="0"/>
            </w:pPr>
            <w:r/>
            <w:r>
              <w:rPr>
                <w:rFonts w:ascii="Aptos" w:hAnsi="Aptos"/>
                <w:b w:val="0"/>
                <w:sz w:val="15"/>
              </w:rPr>
              <w:t>Manifest, scope, period, versions and limitations included</w:t>
            </w:r>
          </w:p>
        </w:tc>
      </w:tr>
      <w:tr>
        <w:trPr>
          <w:cantSplit/>
        </w:trPr>
        <w:tc>
          <w:tcPr>
            <w:tcW w:type="dxa" w:w="2880"/>
            <w:vAlign w:val="center"/>
            <w:shd w:fill="F3F6F7"/>
          </w:tcPr>
          <w:p>
            <w:pPr>
              <w:spacing w:after="0"/>
            </w:pPr>
            <w:r/>
            <w:r>
              <w:rPr>
                <w:rFonts w:ascii="Aptos" w:hAnsi="Aptos"/>
                <w:b w:val="0"/>
                <w:sz w:val="15"/>
              </w:rPr>
              <w:t>Populations</w:t>
            </w:r>
          </w:p>
        </w:tc>
        <w:tc>
          <w:tcPr>
            <w:tcW w:type="dxa" w:w="6768"/>
            <w:vAlign w:val="center"/>
            <w:shd w:fill="F3F6F7"/>
          </w:tcPr>
          <w:p>
            <w:pPr>
              <w:spacing w:after="0"/>
            </w:pPr>
            <w:r/>
            <w:r>
              <w:rPr>
                <w:rFonts w:ascii="Aptos" w:hAnsi="Aptos"/>
                <w:b w:val="0"/>
                <w:sz w:val="15"/>
              </w:rPr>
              <w:t>Underlying populations available for assessor sampling</w:t>
            </w:r>
          </w:p>
        </w:tc>
      </w:tr>
      <w:tr>
        <w:trPr>
          <w:cantSplit/>
        </w:trPr>
        <w:tc>
          <w:tcPr>
            <w:tcW w:type="dxa" w:w="2880"/>
            <w:vAlign w:val="center"/>
          </w:tcPr>
          <w:p>
            <w:pPr>
              <w:spacing w:after="0"/>
            </w:pPr>
            <w:r/>
            <w:r>
              <w:rPr>
                <w:rFonts w:ascii="Aptos" w:hAnsi="Aptos"/>
                <w:b w:val="0"/>
                <w:sz w:val="15"/>
              </w:rPr>
              <w:t>Owners</w:t>
            </w:r>
          </w:p>
        </w:tc>
        <w:tc>
          <w:tcPr>
            <w:tcW w:type="dxa" w:w="6768"/>
            <w:vAlign w:val="center"/>
          </w:tcPr>
          <w:p>
            <w:pPr>
              <w:spacing w:after="0"/>
            </w:pPr>
            <w:r/>
            <w:r>
              <w:rPr>
                <w:rFonts w:ascii="Aptos" w:hAnsi="Aptos"/>
                <w:b w:val="0"/>
                <w:sz w:val="15"/>
              </w:rPr>
              <w:t>Control owners and operators available for interview</w:t>
            </w:r>
          </w:p>
        </w:tc>
      </w:tr>
      <w:tr>
        <w:trPr>
          <w:cantSplit/>
        </w:trPr>
        <w:tc>
          <w:tcPr>
            <w:tcW w:type="dxa" w:w="2880"/>
            <w:vAlign w:val="center"/>
            <w:shd w:fill="F3F6F7"/>
          </w:tcPr>
          <w:p>
            <w:pPr>
              <w:spacing w:after="0"/>
            </w:pPr>
            <w:r/>
            <w:r>
              <w:rPr>
                <w:rFonts w:ascii="Aptos" w:hAnsi="Aptos"/>
                <w:b w:val="0"/>
                <w:sz w:val="15"/>
              </w:rPr>
              <w:t>Re-performance</w:t>
            </w:r>
          </w:p>
        </w:tc>
        <w:tc>
          <w:tcPr>
            <w:tcW w:type="dxa" w:w="6768"/>
            <w:vAlign w:val="center"/>
            <w:shd w:fill="F3F6F7"/>
          </w:tcPr>
          <w:p>
            <w:pPr>
              <w:spacing w:after="0"/>
            </w:pPr>
            <w:r/>
            <w:r>
              <w:rPr>
                <w:rFonts w:ascii="Aptos" w:hAnsi="Aptos"/>
                <w:b w:val="0"/>
                <w:sz w:val="15"/>
              </w:rPr>
              <w:t>Critical tests can be reproduced or observed</w:t>
            </w:r>
          </w:p>
        </w:tc>
      </w:tr>
      <w:tr>
        <w:trPr>
          <w:cantSplit/>
        </w:trPr>
        <w:tc>
          <w:tcPr>
            <w:tcW w:type="dxa" w:w="2880"/>
            <w:vAlign w:val="center"/>
          </w:tcPr>
          <w:p>
            <w:pPr>
              <w:spacing w:after="0"/>
            </w:pPr>
            <w:r/>
            <w:r>
              <w:rPr>
                <w:rFonts w:ascii="Aptos" w:hAnsi="Aptos"/>
                <w:b w:val="0"/>
                <w:sz w:val="15"/>
              </w:rPr>
              <w:t>Exceptions</w:t>
            </w:r>
          </w:p>
        </w:tc>
        <w:tc>
          <w:tcPr>
            <w:tcW w:type="dxa" w:w="6768"/>
            <w:vAlign w:val="center"/>
          </w:tcPr>
          <w:p>
            <w:pPr>
              <w:spacing w:after="0"/>
            </w:pPr>
            <w:r/>
            <w:r>
              <w:rPr>
                <w:rFonts w:ascii="Aptos" w:hAnsi="Aptos"/>
                <w:b w:val="0"/>
                <w:sz w:val="15"/>
              </w:rPr>
              <w:t>Open deviations, expiry and residual risk are transparent</w:t>
            </w:r>
          </w:p>
        </w:tc>
      </w:tr>
      <w:tr>
        <w:trPr>
          <w:cantSplit/>
        </w:trPr>
        <w:tc>
          <w:tcPr>
            <w:tcW w:type="dxa" w:w="2880"/>
            <w:vAlign w:val="center"/>
            <w:shd w:fill="F3F6F7"/>
          </w:tcPr>
          <w:p>
            <w:pPr>
              <w:spacing w:after="0"/>
            </w:pPr>
            <w:r/>
            <w:r>
              <w:rPr>
                <w:rFonts w:ascii="Aptos" w:hAnsi="Aptos"/>
                <w:b w:val="0"/>
                <w:sz w:val="15"/>
              </w:rPr>
              <w:t>Failed evidence</w:t>
            </w:r>
          </w:p>
        </w:tc>
        <w:tc>
          <w:tcPr>
            <w:tcW w:type="dxa" w:w="6768"/>
            <w:vAlign w:val="center"/>
            <w:shd w:fill="F3F6F7"/>
          </w:tcPr>
          <w:p>
            <w:pPr>
              <w:spacing w:after="0"/>
            </w:pPr>
            <w:r/>
            <w:r>
              <w:rPr>
                <w:rFonts w:ascii="Aptos" w:hAnsi="Aptos"/>
                <w:b w:val="0"/>
                <w:sz w:val="15"/>
              </w:rPr>
              <w:t>Negative and inconclusive results are retained</w:t>
            </w:r>
          </w:p>
        </w:tc>
      </w:tr>
      <w:tr>
        <w:trPr>
          <w:cantSplit/>
        </w:trPr>
        <w:tc>
          <w:tcPr>
            <w:tcW w:type="dxa" w:w="2880"/>
            <w:vAlign w:val="center"/>
          </w:tcPr>
          <w:p>
            <w:pPr>
              <w:spacing w:after="0"/>
            </w:pPr>
            <w:r/>
            <w:r>
              <w:rPr>
                <w:rFonts w:ascii="Aptos" w:hAnsi="Aptos"/>
                <w:b w:val="0"/>
                <w:sz w:val="15"/>
              </w:rPr>
              <w:t>Change history</w:t>
            </w:r>
          </w:p>
        </w:tc>
        <w:tc>
          <w:tcPr>
            <w:tcW w:type="dxa" w:w="6768"/>
            <w:vAlign w:val="center"/>
          </w:tcPr>
          <w:p>
            <w:pPr>
              <w:spacing w:after="0"/>
            </w:pPr>
            <w:r/>
            <w:r>
              <w:rPr>
                <w:rFonts w:ascii="Aptos" w:hAnsi="Aptos"/>
                <w:b w:val="0"/>
                <w:sz w:val="15"/>
              </w:rPr>
              <w:t>Material changes and evidence refresh are traceable</w:t>
            </w:r>
          </w:p>
        </w:tc>
      </w:tr>
    </w:tbl>
    <w:p/>
    <w:p>
      <w:pPr>
        <w:pStyle w:val="Heading1"/>
      </w:pPr>
      <w:r>
        <w:t>19. Evidence Retention and Disposal</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2592"/>
            <w:vAlign w:val="center"/>
            <w:shd w:fill="17324D"/>
          </w:tcPr>
          <w:p>
            <w:pPr>
              <w:spacing w:after="0"/>
            </w:pPr>
            <w:r/>
            <w:r>
              <w:rPr>
                <w:rFonts w:ascii="Aptos" w:hAnsi="Aptos"/>
                <w:b/>
                <w:color w:val="FFFFFF"/>
                <w:sz w:val="15"/>
              </w:rPr>
              <w:t>Decision factor</w:t>
            </w:r>
          </w:p>
        </w:tc>
        <w:tc>
          <w:tcPr>
            <w:tcW w:type="dxa" w:w="7056"/>
            <w:vAlign w:val="center"/>
            <w:shd w:fill="17324D"/>
          </w:tcPr>
          <w:p>
            <w:pPr>
              <w:spacing w:after="0"/>
            </w:pPr>
            <w:r/>
            <w:r>
              <w:rPr>
                <w:rFonts w:ascii="Aptos" w:hAnsi="Aptos"/>
                <w:b/>
                <w:color w:val="FFFFFF"/>
                <w:sz w:val="15"/>
              </w:rPr>
              <w:t>Consideration</w:t>
            </w:r>
          </w:p>
        </w:tc>
      </w:tr>
      <w:tr>
        <w:trPr>
          <w:cantSplit/>
        </w:trPr>
        <w:tc>
          <w:tcPr>
            <w:tcW w:type="dxa" w:w="2592"/>
            <w:vAlign w:val="center"/>
          </w:tcPr>
          <w:p>
            <w:pPr>
              <w:spacing w:after="0"/>
            </w:pPr>
            <w:r/>
            <w:r>
              <w:rPr>
                <w:rFonts w:ascii="Aptos" w:hAnsi="Aptos"/>
                <w:b w:val="0"/>
                <w:sz w:val="15"/>
              </w:rPr>
              <w:t>Legal/regulatory</w:t>
            </w:r>
          </w:p>
        </w:tc>
        <w:tc>
          <w:tcPr>
            <w:tcW w:type="dxa" w:w="7056"/>
            <w:vAlign w:val="center"/>
          </w:tcPr>
          <w:p>
            <w:pPr>
              <w:spacing w:after="0"/>
            </w:pPr>
            <w:r/>
            <w:r>
              <w:rPr>
                <w:rFonts w:ascii="Aptos" w:hAnsi="Aptos"/>
                <w:b w:val="0"/>
                <w:sz w:val="15"/>
              </w:rPr>
              <w:t>Mandatory retention, reporting, litigation hold and deletion rights</w:t>
            </w:r>
          </w:p>
        </w:tc>
      </w:tr>
      <w:tr>
        <w:trPr>
          <w:cantSplit/>
        </w:trPr>
        <w:tc>
          <w:tcPr>
            <w:tcW w:type="dxa" w:w="2592"/>
            <w:vAlign w:val="center"/>
            <w:shd w:fill="F3F6F7"/>
          </w:tcPr>
          <w:p>
            <w:pPr>
              <w:spacing w:after="0"/>
            </w:pPr>
            <w:r/>
            <w:r>
              <w:rPr>
                <w:rFonts w:ascii="Aptos" w:hAnsi="Aptos"/>
                <w:b w:val="0"/>
                <w:sz w:val="15"/>
              </w:rPr>
              <w:t>Certification</w:t>
            </w:r>
          </w:p>
        </w:tc>
        <w:tc>
          <w:tcPr>
            <w:tcW w:type="dxa" w:w="7056"/>
            <w:vAlign w:val="center"/>
            <w:shd w:fill="F3F6F7"/>
          </w:tcPr>
          <w:p>
            <w:pPr>
              <w:spacing w:after="0"/>
            </w:pPr>
            <w:r/>
            <w:r>
              <w:rPr>
                <w:rFonts w:ascii="Aptos" w:hAnsi="Aptos"/>
                <w:b w:val="0"/>
                <w:sz w:val="15"/>
              </w:rPr>
              <w:t>Assessment cycle, surveillance and appeals</w:t>
            </w:r>
          </w:p>
        </w:tc>
      </w:tr>
      <w:tr>
        <w:trPr>
          <w:cantSplit/>
        </w:trPr>
        <w:tc>
          <w:tcPr>
            <w:tcW w:type="dxa" w:w="2592"/>
            <w:vAlign w:val="center"/>
          </w:tcPr>
          <w:p>
            <w:pPr>
              <w:spacing w:after="0"/>
            </w:pPr>
            <w:r/>
            <w:r>
              <w:rPr>
                <w:rFonts w:ascii="Aptos" w:hAnsi="Aptos"/>
                <w:b w:val="0"/>
                <w:sz w:val="15"/>
              </w:rPr>
              <w:t>Incident</w:t>
            </w:r>
          </w:p>
        </w:tc>
        <w:tc>
          <w:tcPr>
            <w:tcW w:type="dxa" w:w="7056"/>
            <w:vAlign w:val="center"/>
          </w:tcPr>
          <w:p>
            <w:pPr>
              <w:spacing w:after="0"/>
            </w:pPr>
            <w:r/>
            <w:r>
              <w:rPr>
                <w:rFonts w:ascii="Aptos" w:hAnsi="Aptos"/>
                <w:b w:val="0"/>
                <w:sz w:val="15"/>
              </w:rPr>
              <w:t>Investigation, root cause, liability and lessons learned</w:t>
            </w:r>
          </w:p>
        </w:tc>
      </w:tr>
      <w:tr>
        <w:trPr>
          <w:cantSplit/>
        </w:trPr>
        <w:tc>
          <w:tcPr>
            <w:tcW w:type="dxa" w:w="2592"/>
            <w:vAlign w:val="center"/>
            <w:shd w:fill="F3F6F7"/>
          </w:tcPr>
          <w:p>
            <w:pPr>
              <w:spacing w:after="0"/>
            </w:pPr>
            <w:r/>
            <w:r>
              <w:rPr>
                <w:rFonts w:ascii="Aptos" w:hAnsi="Aptos"/>
                <w:b w:val="0"/>
                <w:sz w:val="15"/>
              </w:rPr>
              <w:t>Operational</w:t>
            </w:r>
          </w:p>
        </w:tc>
        <w:tc>
          <w:tcPr>
            <w:tcW w:type="dxa" w:w="7056"/>
            <w:vAlign w:val="center"/>
            <w:shd w:fill="F3F6F7"/>
          </w:tcPr>
          <w:p>
            <w:pPr>
              <w:spacing w:after="0"/>
            </w:pPr>
            <w:r/>
            <w:r>
              <w:rPr>
                <w:rFonts w:ascii="Aptos" w:hAnsi="Aptos"/>
                <w:b w:val="0"/>
                <w:sz w:val="15"/>
              </w:rPr>
              <w:t>Trend analysis, baselines and regression</w:t>
            </w:r>
          </w:p>
        </w:tc>
      </w:tr>
      <w:tr>
        <w:trPr>
          <w:cantSplit/>
        </w:trPr>
        <w:tc>
          <w:tcPr>
            <w:tcW w:type="dxa" w:w="2592"/>
            <w:vAlign w:val="center"/>
          </w:tcPr>
          <w:p>
            <w:pPr>
              <w:spacing w:after="0"/>
            </w:pPr>
            <w:r/>
            <w:r>
              <w:rPr>
                <w:rFonts w:ascii="Aptos" w:hAnsi="Aptos"/>
                <w:b w:val="0"/>
                <w:sz w:val="15"/>
              </w:rPr>
              <w:t>Privacy</w:t>
            </w:r>
          </w:p>
        </w:tc>
        <w:tc>
          <w:tcPr>
            <w:tcW w:type="dxa" w:w="7056"/>
            <w:vAlign w:val="center"/>
          </w:tcPr>
          <w:p>
            <w:pPr>
              <w:spacing w:after="0"/>
            </w:pPr>
            <w:r/>
            <w:r>
              <w:rPr>
                <w:rFonts w:ascii="Aptos" w:hAnsi="Aptos"/>
                <w:b w:val="0"/>
                <w:sz w:val="15"/>
              </w:rPr>
              <w:t>Minimization, purpose limitation and storage limitation</w:t>
            </w:r>
          </w:p>
        </w:tc>
      </w:tr>
      <w:tr>
        <w:trPr>
          <w:cantSplit/>
        </w:trPr>
        <w:tc>
          <w:tcPr>
            <w:tcW w:type="dxa" w:w="2592"/>
            <w:vAlign w:val="center"/>
            <w:shd w:fill="F3F6F7"/>
          </w:tcPr>
          <w:p>
            <w:pPr>
              <w:spacing w:after="0"/>
            </w:pPr>
            <w:r/>
            <w:r>
              <w:rPr>
                <w:rFonts w:ascii="Aptos" w:hAnsi="Aptos"/>
                <w:b w:val="0"/>
                <w:sz w:val="15"/>
              </w:rPr>
              <w:t>Supplier</w:t>
            </w:r>
          </w:p>
        </w:tc>
        <w:tc>
          <w:tcPr>
            <w:tcW w:type="dxa" w:w="7056"/>
            <w:vAlign w:val="center"/>
            <w:shd w:fill="F3F6F7"/>
          </w:tcPr>
          <w:p>
            <w:pPr>
              <w:spacing w:after="0"/>
            </w:pPr>
            <w:r/>
            <w:r>
              <w:rPr>
                <w:rFonts w:ascii="Aptos" w:hAnsi="Aptos"/>
                <w:b w:val="0"/>
                <w:sz w:val="15"/>
              </w:rPr>
              <w:t>Contractual access and post-termination availability</w:t>
            </w:r>
          </w:p>
        </w:tc>
      </w:tr>
      <w:tr>
        <w:trPr>
          <w:cantSplit/>
        </w:trPr>
        <w:tc>
          <w:tcPr>
            <w:tcW w:type="dxa" w:w="2592"/>
            <w:vAlign w:val="center"/>
          </w:tcPr>
          <w:p>
            <w:pPr>
              <w:spacing w:after="0"/>
            </w:pPr>
            <w:r/>
            <w:r>
              <w:rPr>
                <w:rFonts w:ascii="Aptos" w:hAnsi="Aptos"/>
                <w:b w:val="0"/>
                <w:sz w:val="15"/>
              </w:rPr>
              <w:t>Physical safety</w:t>
            </w:r>
          </w:p>
        </w:tc>
        <w:tc>
          <w:tcPr>
            <w:tcW w:type="dxa" w:w="7056"/>
            <w:vAlign w:val="center"/>
          </w:tcPr>
          <w:p>
            <w:pPr>
              <w:spacing w:after="0"/>
            </w:pPr>
            <w:r/>
            <w:r>
              <w:rPr>
                <w:rFonts w:ascii="Aptos" w:hAnsi="Aptos"/>
                <w:b w:val="0"/>
                <w:sz w:val="15"/>
              </w:rPr>
              <w:t>Longer retention may be needed for hazard and incident records</w:t>
            </w:r>
          </w:p>
        </w:tc>
      </w:tr>
    </w:tbl>
    <w:p/>
    <w:p>
      <w:pPr>
        <w:pStyle w:val="Heading1"/>
      </w:pPr>
      <w:r>
        <w:t>20. Evidence Quality Metrics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880"/>
            <w:vAlign w:val="center"/>
            <w:shd w:fill="17324D"/>
          </w:tcPr>
          <w:p>
            <w:pPr>
              <w:spacing w:after="0"/>
            </w:pPr>
            <w:r/>
            <w:r>
              <w:rPr>
                <w:rFonts w:ascii="Aptos" w:hAnsi="Aptos"/>
                <w:b/>
                <w:color w:val="FFFFFF"/>
                <w:sz w:val="15"/>
              </w:rPr>
              <w:t>Metric</w:t>
            </w:r>
          </w:p>
        </w:tc>
        <w:tc>
          <w:tcPr>
            <w:tcW w:type="dxa" w:w="3744"/>
            <w:vAlign w:val="center"/>
            <w:shd w:fill="17324D"/>
          </w:tcPr>
          <w:p>
            <w:pPr>
              <w:spacing w:after="0"/>
            </w:pPr>
            <w:r/>
            <w:r>
              <w:rPr>
                <w:rFonts w:ascii="Aptos" w:hAnsi="Aptos"/>
                <w:b/>
                <w:color w:val="FFFFFF"/>
                <w:sz w:val="15"/>
              </w:rPr>
              <w:t>Purpose</w:t>
            </w:r>
          </w:p>
        </w:tc>
        <w:tc>
          <w:tcPr>
            <w:tcW w:type="dxa" w:w="3024"/>
            <w:vAlign w:val="center"/>
            <w:shd w:fill="17324D"/>
          </w:tcPr>
          <w:p>
            <w:pPr>
              <w:spacing w:after="0"/>
            </w:pPr>
            <w:r/>
            <w:r>
              <w:rPr>
                <w:rFonts w:ascii="Aptos" w:hAnsi="Aptos"/>
                <w:b/>
                <w:color w:val="FFFFFF"/>
                <w:sz w:val="15"/>
              </w:rPr>
              <w:t>Caution</w:t>
            </w:r>
          </w:p>
        </w:tc>
      </w:tr>
      <w:tr>
        <w:trPr>
          <w:cantSplit/>
        </w:trPr>
        <w:tc>
          <w:tcPr>
            <w:tcW w:type="dxa" w:w="2880"/>
            <w:vAlign w:val="center"/>
          </w:tcPr>
          <w:p>
            <w:pPr>
              <w:spacing w:after="0"/>
            </w:pPr>
            <w:r/>
            <w:r>
              <w:rPr>
                <w:rFonts w:ascii="Aptos" w:hAnsi="Aptos"/>
                <w:b w:val="0"/>
                <w:sz w:val="15"/>
              </w:rPr>
              <w:t>Controls with accepted evidence</w:t>
            </w:r>
          </w:p>
        </w:tc>
        <w:tc>
          <w:tcPr>
            <w:tcW w:type="dxa" w:w="3744"/>
            <w:vAlign w:val="center"/>
          </w:tcPr>
          <w:p>
            <w:pPr>
              <w:spacing w:after="0"/>
            </w:pPr>
            <w:r/>
            <w:r>
              <w:rPr>
                <w:rFonts w:ascii="Aptos" w:hAnsi="Aptos"/>
                <w:b w:val="0"/>
                <w:sz w:val="15"/>
              </w:rPr>
              <w:t>Measure coverage</w:t>
            </w:r>
          </w:p>
        </w:tc>
        <w:tc>
          <w:tcPr>
            <w:tcW w:type="dxa" w:w="3024"/>
            <w:vAlign w:val="center"/>
          </w:tcPr>
          <w:p>
            <w:pPr>
              <w:spacing w:after="0"/>
            </w:pPr>
            <w:r/>
            <w:r>
              <w:rPr>
                <w:rFonts w:ascii="Aptos" w:hAnsi="Aptos"/>
                <w:b w:val="0"/>
                <w:sz w:val="15"/>
              </w:rPr>
              <w:t>Does not prove effectiveness</w:t>
            </w:r>
          </w:p>
        </w:tc>
      </w:tr>
      <w:tr>
        <w:trPr>
          <w:cantSplit/>
        </w:trPr>
        <w:tc>
          <w:tcPr>
            <w:tcW w:type="dxa" w:w="2880"/>
            <w:vAlign w:val="center"/>
            <w:shd w:fill="F3F6F7"/>
          </w:tcPr>
          <w:p>
            <w:pPr>
              <w:spacing w:after="0"/>
            </w:pPr>
            <w:r/>
            <w:r>
              <w:rPr>
                <w:rFonts w:ascii="Aptos" w:hAnsi="Aptos"/>
                <w:b w:val="0"/>
                <w:sz w:val="15"/>
              </w:rPr>
              <w:t>Expired evidence</w:t>
            </w:r>
          </w:p>
        </w:tc>
        <w:tc>
          <w:tcPr>
            <w:tcW w:type="dxa" w:w="3744"/>
            <w:vAlign w:val="center"/>
            <w:shd w:fill="F3F6F7"/>
          </w:tcPr>
          <w:p>
            <w:pPr>
              <w:spacing w:after="0"/>
            </w:pPr>
            <w:r/>
            <w:r>
              <w:rPr>
                <w:rFonts w:ascii="Aptos" w:hAnsi="Aptos"/>
                <w:b w:val="0"/>
                <w:sz w:val="15"/>
              </w:rPr>
              <w:t>Detect maintenance gaps</w:t>
            </w:r>
          </w:p>
        </w:tc>
        <w:tc>
          <w:tcPr>
            <w:tcW w:type="dxa" w:w="3024"/>
            <w:vAlign w:val="center"/>
            <w:shd w:fill="F3F6F7"/>
          </w:tcPr>
          <w:p>
            <w:pPr>
              <w:spacing w:after="0"/>
            </w:pPr>
            <w:r/>
            <w:r>
              <w:rPr>
                <w:rFonts w:ascii="Aptos" w:hAnsi="Aptos"/>
                <w:b w:val="0"/>
                <w:sz w:val="15"/>
              </w:rPr>
              <w:t>Different artifact classes have different lifecycles</w:t>
            </w:r>
          </w:p>
        </w:tc>
      </w:tr>
      <w:tr>
        <w:trPr>
          <w:cantSplit/>
        </w:trPr>
        <w:tc>
          <w:tcPr>
            <w:tcW w:type="dxa" w:w="2880"/>
            <w:vAlign w:val="center"/>
          </w:tcPr>
          <w:p>
            <w:pPr>
              <w:spacing w:after="0"/>
            </w:pPr>
            <w:r/>
            <w:r>
              <w:rPr>
                <w:rFonts w:ascii="Aptos" w:hAnsi="Aptos"/>
                <w:b w:val="0"/>
                <w:sz w:val="15"/>
              </w:rPr>
              <w:t>Rejected evidence rate</w:t>
            </w:r>
          </w:p>
        </w:tc>
        <w:tc>
          <w:tcPr>
            <w:tcW w:type="dxa" w:w="3744"/>
            <w:vAlign w:val="center"/>
          </w:tcPr>
          <w:p>
            <w:pPr>
              <w:spacing w:after="0"/>
            </w:pPr>
            <w:r/>
            <w:r>
              <w:rPr>
                <w:rFonts w:ascii="Aptos" w:hAnsi="Aptos"/>
                <w:b w:val="0"/>
                <w:sz w:val="15"/>
              </w:rPr>
              <w:t>Detect systemic quality issues</w:t>
            </w:r>
          </w:p>
        </w:tc>
        <w:tc>
          <w:tcPr>
            <w:tcW w:type="dxa" w:w="3024"/>
            <w:vAlign w:val="center"/>
          </w:tcPr>
          <w:p>
            <w:pPr>
              <w:spacing w:after="0"/>
            </w:pPr>
            <w:r/>
            <w:r>
              <w:rPr>
                <w:rFonts w:ascii="Aptos" w:hAnsi="Aptos"/>
                <w:b w:val="0"/>
                <w:sz w:val="15"/>
              </w:rPr>
              <w:t>High scrutiny can increase rejection</w:t>
            </w:r>
          </w:p>
        </w:tc>
      </w:tr>
      <w:tr>
        <w:trPr>
          <w:cantSplit/>
        </w:trPr>
        <w:tc>
          <w:tcPr>
            <w:tcW w:type="dxa" w:w="2880"/>
            <w:vAlign w:val="center"/>
            <w:shd w:fill="F3F6F7"/>
          </w:tcPr>
          <w:p>
            <w:pPr>
              <w:spacing w:after="0"/>
            </w:pPr>
            <w:r/>
            <w:r>
              <w:rPr>
                <w:rFonts w:ascii="Aptos" w:hAnsi="Aptos"/>
                <w:b w:val="0"/>
                <w:sz w:val="15"/>
              </w:rPr>
              <w:t>Automated collection success</w:t>
            </w:r>
          </w:p>
        </w:tc>
        <w:tc>
          <w:tcPr>
            <w:tcW w:type="dxa" w:w="3744"/>
            <w:vAlign w:val="center"/>
            <w:shd w:fill="F3F6F7"/>
          </w:tcPr>
          <w:p>
            <w:pPr>
              <w:spacing w:after="0"/>
            </w:pPr>
            <w:r/>
            <w:r>
              <w:rPr>
                <w:rFonts w:ascii="Aptos" w:hAnsi="Aptos"/>
                <w:b w:val="0"/>
                <w:sz w:val="15"/>
              </w:rPr>
              <w:t>Monitor pipeline reliability</w:t>
            </w:r>
          </w:p>
        </w:tc>
        <w:tc>
          <w:tcPr>
            <w:tcW w:type="dxa" w:w="3024"/>
            <w:vAlign w:val="center"/>
            <w:shd w:fill="F3F6F7"/>
          </w:tcPr>
          <w:p>
            <w:pPr>
              <w:spacing w:after="0"/>
            </w:pPr>
            <w:r/>
            <w:r>
              <w:rPr>
                <w:rFonts w:ascii="Aptos" w:hAnsi="Aptos"/>
                <w:b w:val="0"/>
                <w:sz w:val="15"/>
              </w:rPr>
              <w:t>Automation can collect incorrect data</w:t>
            </w:r>
          </w:p>
        </w:tc>
      </w:tr>
      <w:tr>
        <w:trPr>
          <w:cantSplit/>
        </w:trPr>
        <w:tc>
          <w:tcPr>
            <w:tcW w:type="dxa" w:w="2880"/>
            <w:vAlign w:val="center"/>
          </w:tcPr>
          <w:p>
            <w:pPr>
              <w:spacing w:after="0"/>
            </w:pPr>
            <w:r/>
            <w:r>
              <w:rPr>
                <w:rFonts w:ascii="Aptos" w:hAnsi="Aptos"/>
                <w:b w:val="0"/>
                <w:sz w:val="15"/>
              </w:rPr>
              <w:t>Evidence conflict rate</w:t>
            </w:r>
          </w:p>
        </w:tc>
        <w:tc>
          <w:tcPr>
            <w:tcW w:type="dxa" w:w="3744"/>
            <w:vAlign w:val="center"/>
          </w:tcPr>
          <w:p>
            <w:pPr>
              <w:spacing w:after="0"/>
            </w:pPr>
            <w:r/>
            <w:r>
              <w:rPr>
                <w:rFonts w:ascii="Aptos" w:hAnsi="Aptos"/>
                <w:b w:val="0"/>
                <w:sz w:val="15"/>
              </w:rPr>
              <w:t>Detect inconsistent systems or definitions</w:t>
            </w:r>
          </w:p>
        </w:tc>
        <w:tc>
          <w:tcPr>
            <w:tcW w:type="dxa" w:w="3024"/>
            <w:vAlign w:val="center"/>
          </w:tcPr>
          <w:p>
            <w:pPr>
              <w:spacing w:after="0"/>
            </w:pPr>
            <w:r/>
            <w:r>
              <w:rPr>
                <w:rFonts w:ascii="Aptos" w:hAnsi="Aptos"/>
                <w:b w:val="0"/>
                <w:sz w:val="15"/>
              </w:rPr>
              <w:t>Some conflict is healthy disclosure</w:t>
            </w:r>
          </w:p>
        </w:tc>
      </w:tr>
      <w:tr>
        <w:trPr>
          <w:cantSplit/>
        </w:trPr>
        <w:tc>
          <w:tcPr>
            <w:tcW w:type="dxa" w:w="2880"/>
            <w:vAlign w:val="center"/>
            <w:shd w:fill="F3F6F7"/>
          </w:tcPr>
          <w:p>
            <w:pPr>
              <w:spacing w:after="0"/>
            </w:pPr>
            <w:r/>
            <w:r>
              <w:rPr>
                <w:rFonts w:ascii="Aptos" w:hAnsi="Aptos"/>
                <w:b w:val="0"/>
                <w:sz w:val="15"/>
              </w:rPr>
              <w:t>Time to fulfill assessor request</w:t>
            </w:r>
          </w:p>
        </w:tc>
        <w:tc>
          <w:tcPr>
            <w:tcW w:type="dxa" w:w="3744"/>
            <w:vAlign w:val="center"/>
            <w:shd w:fill="F3F6F7"/>
          </w:tcPr>
          <w:p>
            <w:pPr>
              <w:spacing w:after="0"/>
            </w:pPr>
            <w:r/>
            <w:r>
              <w:rPr>
                <w:rFonts w:ascii="Aptos" w:hAnsi="Aptos"/>
                <w:b w:val="0"/>
                <w:sz w:val="15"/>
              </w:rPr>
              <w:t>Measure readiness and retrieval</w:t>
            </w:r>
          </w:p>
        </w:tc>
        <w:tc>
          <w:tcPr>
            <w:tcW w:type="dxa" w:w="3024"/>
            <w:vAlign w:val="center"/>
            <w:shd w:fill="F3F6F7"/>
          </w:tcPr>
          <w:p>
            <w:pPr>
              <w:spacing w:after="0"/>
            </w:pPr>
            <w:r/>
            <w:r>
              <w:rPr>
                <w:rFonts w:ascii="Aptos" w:hAnsi="Aptos"/>
                <w:b w:val="0"/>
                <w:sz w:val="15"/>
              </w:rPr>
              <w:t>Speed should not override privacy or accuracy</w:t>
            </w:r>
          </w:p>
        </w:tc>
      </w:tr>
      <w:tr>
        <w:trPr>
          <w:cantSplit/>
        </w:trPr>
        <w:tc>
          <w:tcPr>
            <w:tcW w:type="dxa" w:w="2880"/>
            <w:vAlign w:val="center"/>
          </w:tcPr>
          <w:p>
            <w:pPr>
              <w:spacing w:after="0"/>
            </w:pPr>
            <w:r/>
            <w:r>
              <w:rPr>
                <w:rFonts w:ascii="Aptos" w:hAnsi="Aptos"/>
                <w:b w:val="0"/>
                <w:sz w:val="15"/>
              </w:rPr>
              <w:t>Failed tests retained</w:t>
            </w:r>
          </w:p>
        </w:tc>
        <w:tc>
          <w:tcPr>
            <w:tcW w:type="dxa" w:w="3744"/>
            <w:vAlign w:val="center"/>
          </w:tcPr>
          <w:p>
            <w:pPr>
              <w:spacing w:after="0"/>
            </w:pPr>
            <w:r/>
            <w:r>
              <w:rPr>
                <w:rFonts w:ascii="Aptos" w:hAnsi="Aptos"/>
                <w:b w:val="0"/>
                <w:sz w:val="15"/>
              </w:rPr>
              <w:t>Measure assurance integrity</w:t>
            </w:r>
          </w:p>
        </w:tc>
        <w:tc>
          <w:tcPr>
            <w:tcW w:type="dxa" w:w="3024"/>
            <w:vAlign w:val="center"/>
          </w:tcPr>
          <w:p>
            <w:pPr>
              <w:spacing w:after="0"/>
            </w:pPr>
            <w:r/>
            <w:r>
              <w:rPr>
                <w:rFonts w:ascii="Aptos" w:hAnsi="Aptos"/>
                <w:b w:val="0"/>
                <w:sz w:val="15"/>
              </w:rPr>
              <w:t>Count alone does not show severity</w:t>
            </w:r>
          </w:p>
        </w:tc>
      </w:tr>
    </w:tbl>
    <w:p/>
    <w:p>
      <w:pPr>
        <w:pStyle w:val="Heading1"/>
      </w:pPr>
      <w:r>
        <w:t>21. Common Evidence Anti-Patterns</w:t>
      </w:r>
    </w:p>
    <w:tbl>
      <w:tblPr>
        <w:tblStyle w:val="TableGrid"/>
        <w:tblW w:type="auto" w:w="0"/>
        <w:jc w:val="center"/>
        <w:tblLook w:firstColumn="1" w:firstRow="1" w:lastColumn="0" w:lastRow="0" w:noHBand="0" w:noVBand="1" w:val="04A0"/>
      </w:tblPr>
      <w:tblGrid>
        <w:gridCol w:w="3427"/>
        <w:gridCol w:w="3427"/>
        <w:gridCol w:w="3427"/>
      </w:tblGrid>
      <w:tr>
        <w:trPr>
          <w:tblHeader w:val="true"/>
          <w:cantSplit/>
        </w:trPr>
        <w:tc>
          <w:tcPr>
            <w:tcW w:type="dxa" w:w="2592"/>
            <w:vAlign w:val="center"/>
            <w:shd w:fill="17324D"/>
          </w:tcPr>
          <w:p>
            <w:pPr>
              <w:spacing w:after="0"/>
            </w:pPr>
            <w:r/>
            <w:r>
              <w:rPr>
                <w:rFonts w:ascii="Aptos" w:hAnsi="Aptos"/>
                <w:b/>
                <w:color w:val="FFFFFF"/>
                <w:sz w:val="15"/>
              </w:rPr>
              <w:t>Anti-pattern</w:t>
            </w:r>
          </w:p>
        </w:tc>
        <w:tc>
          <w:tcPr>
            <w:tcW w:type="dxa" w:w="3456"/>
            <w:vAlign w:val="center"/>
            <w:shd w:fill="17324D"/>
          </w:tcPr>
          <w:p>
            <w:pPr>
              <w:spacing w:after="0"/>
            </w:pPr>
            <w:r/>
            <w:r>
              <w:rPr>
                <w:rFonts w:ascii="Aptos" w:hAnsi="Aptos"/>
                <w:b/>
                <w:color w:val="FFFFFF"/>
                <w:sz w:val="15"/>
              </w:rPr>
              <w:t>Why it fails</w:t>
            </w:r>
          </w:p>
        </w:tc>
        <w:tc>
          <w:tcPr>
            <w:tcW w:type="dxa" w:w="3600"/>
            <w:vAlign w:val="center"/>
            <w:shd w:fill="17324D"/>
          </w:tcPr>
          <w:p>
            <w:pPr>
              <w:spacing w:after="0"/>
            </w:pPr>
            <w:r/>
            <w:r>
              <w:rPr>
                <w:rFonts w:ascii="Aptos" w:hAnsi="Aptos"/>
                <w:b/>
                <w:color w:val="FFFFFF"/>
                <w:sz w:val="15"/>
              </w:rPr>
              <w:t>Corrective practice</w:t>
            </w:r>
          </w:p>
        </w:tc>
      </w:tr>
      <w:tr>
        <w:trPr>
          <w:cantSplit/>
        </w:trPr>
        <w:tc>
          <w:tcPr>
            <w:tcW w:type="dxa" w:w="2592"/>
            <w:vAlign w:val="center"/>
          </w:tcPr>
          <w:p>
            <w:pPr>
              <w:spacing w:after="0"/>
            </w:pPr>
            <w:r/>
            <w:r>
              <w:rPr>
                <w:rFonts w:ascii="Aptos" w:hAnsi="Aptos"/>
                <w:b w:val="0"/>
                <w:sz w:val="15"/>
              </w:rPr>
              <w:t>Screenshot-only evidence</w:t>
            </w:r>
          </w:p>
        </w:tc>
        <w:tc>
          <w:tcPr>
            <w:tcW w:type="dxa" w:w="3456"/>
            <w:vAlign w:val="center"/>
          </w:tcPr>
          <w:p>
            <w:pPr>
              <w:spacing w:after="0"/>
            </w:pPr>
            <w:r/>
            <w:r>
              <w:rPr>
                <w:rFonts w:ascii="Aptos" w:hAnsi="Aptos"/>
                <w:b w:val="0"/>
                <w:sz w:val="15"/>
              </w:rPr>
              <w:t>Weak provenance and limited context</w:t>
            </w:r>
          </w:p>
        </w:tc>
        <w:tc>
          <w:tcPr>
            <w:tcW w:type="dxa" w:w="3600"/>
            <w:vAlign w:val="center"/>
          </w:tcPr>
          <w:p>
            <w:pPr>
              <w:spacing w:after="0"/>
            </w:pPr>
            <w:r/>
            <w:r>
              <w:rPr>
                <w:rFonts w:ascii="Aptos" w:hAnsi="Aptos"/>
                <w:b w:val="0"/>
                <w:sz w:val="15"/>
              </w:rPr>
              <w:t>Use direct exports with metadata</w:t>
            </w:r>
          </w:p>
        </w:tc>
      </w:tr>
      <w:tr>
        <w:trPr>
          <w:cantSplit/>
        </w:trPr>
        <w:tc>
          <w:tcPr>
            <w:tcW w:type="dxa" w:w="2592"/>
            <w:vAlign w:val="center"/>
            <w:shd w:fill="F3F6F7"/>
          </w:tcPr>
          <w:p>
            <w:pPr>
              <w:spacing w:after="0"/>
            </w:pPr>
            <w:r/>
            <w:r>
              <w:rPr>
                <w:rFonts w:ascii="Aptos" w:hAnsi="Aptos"/>
                <w:b w:val="0"/>
                <w:sz w:val="15"/>
              </w:rPr>
              <w:t>Policy equals implementation</w:t>
            </w:r>
          </w:p>
        </w:tc>
        <w:tc>
          <w:tcPr>
            <w:tcW w:type="dxa" w:w="3456"/>
            <w:vAlign w:val="center"/>
            <w:shd w:fill="F3F6F7"/>
          </w:tcPr>
          <w:p>
            <w:pPr>
              <w:spacing w:after="0"/>
            </w:pPr>
            <w:r/>
            <w:r>
              <w:rPr>
                <w:rFonts w:ascii="Aptos" w:hAnsi="Aptos"/>
                <w:b w:val="0"/>
                <w:sz w:val="15"/>
              </w:rPr>
              <w:t>Shows intention, not operation</w:t>
            </w:r>
          </w:p>
        </w:tc>
        <w:tc>
          <w:tcPr>
            <w:tcW w:type="dxa" w:w="3600"/>
            <w:vAlign w:val="center"/>
            <w:shd w:fill="F3F6F7"/>
          </w:tcPr>
          <w:p>
            <w:pPr>
              <w:spacing w:after="0"/>
            </w:pPr>
            <w:r/>
            <w:r>
              <w:rPr>
                <w:rFonts w:ascii="Aptos" w:hAnsi="Aptos"/>
                <w:b w:val="0"/>
                <w:sz w:val="15"/>
              </w:rPr>
              <w:t>Add configuration and operating records</w:t>
            </w:r>
          </w:p>
        </w:tc>
      </w:tr>
      <w:tr>
        <w:trPr>
          <w:cantSplit/>
        </w:trPr>
        <w:tc>
          <w:tcPr>
            <w:tcW w:type="dxa" w:w="2592"/>
            <w:vAlign w:val="center"/>
          </w:tcPr>
          <w:p>
            <w:pPr>
              <w:spacing w:after="0"/>
            </w:pPr>
            <w:r/>
            <w:r>
              <w:rPr>
                <w:rFonts w:ascii="Aptos" w:hAnsi="Aptos"/>
                <w:b w:val="0"/>
                <w:sz w:val="15"/>
              </w:rPr>
              <w:t>Cherry-picked success</w:t>
            </w:r>
          </w:p>
        </w:tc>
        <w:tc>
          <w:tcPr>
            <w:tcW w:type="dxa" w:w="3456"/>
            <w:vAlign w:val="center"/>
          </w:tcPr>
          <w:p>
            <w:pPr>
              <w:spacing w:after="0"/>
            </w:pPr>
            <w:r/>
            <w:r>
              <w:rPr>
                <w:rFonts w:ascii="Aptos" w:hAnsi="Aptos"/>
                <w:b w:val="0"/>
                <w:sz w:val="15"/>
              </w:rPr>
              <w:t>Misrepresents effectiveness</w:t>
            </w:r>
          </w:p>
        </w:tc>
        <w:tc>
          <w:tcPr>
            <w:tcW w:type="dxa" w:w="3600"/>
            <w:vAlign w:val="center"/>
          </w:tcPr>
          <w:p>
            <w:pPr>
              <w:spacing w:after="0"/>
            </w:pPr>
            <w:r/>
            <w:r>
              <w:rPr>
                <w:rFonts w:ascii="Aptos" w:hAnsi="Aptos"/>
                <w:b w:val="0"/>
                <w:sz w:val="15"/>
              </w:rPr>
              <w:t>Retain full population or sampling rationale and failures</w:t>
            </w:r>
          </w:p>
        </w:tc>
      </w:tr>
      <w:tr>
        <w:trPr>
          <w:cantSplit/>
        </w:trPr>
        <w:tc>
          <w:tcPr>
            <w:tcW w:type="dxa" w:w="2592"/>
            <w:vAlign w:val="center"/>
            <w:shd w:fill="F3F6F7"/>
          </w:tcPr>
          <w:p>
            <w:pPr>
              <w:spacing w:after="0"/>
            </w:pPr>
            <w:r/>
            <w:r>
              <w:rPr>
                <w:rFonts w:ascii="Aptos" w:hAnsi="Aptos"/>
                <w:b w:val="0"/>
                <w:sz w:val="15"/>
              </w:rPr>
              <w:t>Evidence collected only before audit</w:t>
            </w:r>
          </w:p>
        </w:tc>
        <w:tc>
          <w:tcPr>
            <w:tcW w:type="dxa" w:w="3456"/>
            <w:vAlign w:val="center"/>
            <w:shd w:fill="F3F6F7"/>
          </w:tcPr>
          <w:p>
            <w:pPr>
              <w:spacing w:after="0"/>
            </w:pPr>
            <w:r/>
            <w:r>
              <w:rPr>
                <w:rFonts w:ascii="Aptos" w:hAnsi="Aptos"/>
                <w:b w:val="0"/>
                <w:sz w:val="15"/>
              </w:rPr>
              <w:t>Does not represent normal operation</w:t>
            </w:r>
          </w:p>
        </w:tc>
        <w:tc>
          <w:tcPr>
            <w:tcW w:type="dxa" w:w="3600"/>
            <w:vAlign w:val="center"/>
            <w:shd w:fill="F3F6F7"/>
          </w:tcPr>
          <w:p>
            <w:pPr>
              <w:spacing w:after="0"/>
            </w:pPr>
            <w:r/>
            <w:r>
              <w:rPr>
                <w:rFonts w:ascii="Aptos" w:hAnsi="Aptos"/>
                <w:b w:val="0"/>
                <w:sz w:val="15"/>
              </w:rPr>
              <w:t>Generate continuously through workflows</w:t>
            </w:r>
          </w:p>
        </w:tc>
      </w:tr>
      <w:tr>
        <w:trPr>
          <w:cantSplit/>
        </w:trPr>
        <w:tc>
          <w:tcPr>
            <w:tcW w:type="dxa" w:w="2592"/>
            <w:vAlign w:val="center"/>
          </w:tcPr>
          <w:p>
            <w:pPr>
              <w:spacing w:after="0"/>
            </w:pPr>
            <w:r/>
            <w:r>
              <w:rPr>
                <w:rFonts w:ascii="Aptos" w:hAnsi="Aptos"/>
                <w:b w:val="0"/>
                <w:sz w:val="15"/>
              </w:rPr>
              <w:t>Uncontrolled shared folder</w:t>
            </w:r>
          </w:p>
        </w:tc>
        <w:tc>
          <w:tcPr>
            <w:tcW w:type="dxa" w:w="3456"/>
            <w:vAlign w:val="center"/>
          </w:tcPr>
          <w:p>
            <w:pPr>
              <w:spacing w:after="0"/>
            </w:pPr>
            <w:r/>
            <w:r>
              <w:rPr>
                <w:rFonts w:ascii="Aptos" w:hAnsi="Aptos"/>
                <w:b w:val="0"/>
                <w:sz w:val="15"/>
              </w:rPr>
              <w:t>Weak integrity and access control</w:t>
            </w:r>
          </w:p>
        </w:tc>
        <w:tc>
          <w:tcPr>
            <w:tcW w:type="dxa" w:w="3600"/>
            <w:vAlign w:val="center"/>
          </w:tcPr>
          <w:p>
            <w:pPr>
              <w:spacing w:after="0"/>
            </w:pPr>
            <w:r/>
            <w:r>
              <w:rPr>
                <w:rFonts w:ascii="Aptos" w:hAnsi="Aptos"/>
                <w:b w:val="0"/>
                <w:sz w:val="15"/>
              </w:rPr>
              <w:t>Use managed repository and audit trail</w:t>
            </w:r>
          </w:p>
        </w:tc>
      </w:tr>
      <w:tr>
        <w:trPr>
          <w:cantSplit/>
        </w:trPr>
        <w:tc>
          <w:tcPr>
            <w:tcW w:type="dxa" w:w="2592"/>
            <w:vAlign w:val="center"/>
            <w:shd w:fill="F3F6F7"/>
          </w:tcPr>
          <w:p>
            <w:pPr>
              <w:spacing w:after="0"/>
            </w:pPr>
            <w:r/>
            <w:r>
              <w:rPr>
                <w:rFonts w:ascii="Aptos" w:hAnsi="Aptos"/>
                <w:b w:val="0"/>
                <w:sz w:val="15"/>
              </w:rPr>
              <w:t>Generic supplier certificate</w:t>
            </w:r>
          </w:p>
        </w:tc>
        <w:tc>
          <w:tcPr>
            <w:tcW w:type="dxa" w:w="3456"/>
            <w:vAlign w:val="center"/>
            <w:shd w:fill="F3F6F7"/>
          </w:tcPr>
          <w:p>
            <w:pPr>
              <w:spacing w:after="0"/>
            </w:pPr>
            <w:r/>
            <w:r>
              <w:rPr>
                <w:rFonts w:ascii="Aptos" w:hAnsi="Aptos"/>
                <w:b w:val="0"/>
                <w:sz w:val="15"/>
              </w:rPr>
              <w:t>May not cover service, scope or period</w:t>
            </w:r>
          </w:p>
        </w:tc>
        <w:tc>
          <w:tcPr>
            <w:tcW w:type="dxa" w:w="3600"/>
            <w:vAlign w:val="center"/>
            <w:shd w:fill="F3F6F7"/>
          </w:tcPr>
          <w:p>
            <w:pPr>
              <w:spacing w:after="0"/>
            </w:pPr>
            <w:r/>
            <w:r>
              <w:rPr>
                <w:rFonts w:ascii="Aptos" w:hAnsi="Aptos"/>
                <w:b w:val="0"/>
                <w:sz w:val="15"/>
              </w:rPr>
              <w:t>Request specific inherited-control evidence</w:t>
            </w:r>
          </w:p>
        </w:tc>
      </w:tr>
      <w:tr>
        <w:trPr>
          <w:cantSplit/>
        </w:trPr>
        <w:tc>
          <w:tcPr>
            <w:tcW w:type="dxa" w:w="2592"/>
            <w:vAlign w:val="center"/>
          </w:tcPr>
          <w:p>
            <w:pPr>
              <w:spacing w:after="0"/>
            </w:pPr>
            <w:r/>
            <w:r>
              <w:rPr>
                <w:rFonts w:ascii="Aptos" w:hAnsi="Aptos"/>
                <w:b w:val="0"/>
                <w:sz w:val="15"/>
              </w:rPr>
              <w:t>Unrecorded redaction</w:t>
            </w:r>
          </w:p>
        </w:tc>
        <w:tc>
          <w:tcPr>
            <w:tcW w:type="dxa" w:w="3456"/>
            <w:vAlign w:val="center"/>
          </w:tcPr>
          <w:p>
            <w:pPr>
              <w:spacing w:after="0"/>
            </w:pPr>
            <w:r/>
            <w:r>
              <w:rPr>
                <w:rFonts w:ascii="Aptos" w:hAnsi="Aptos"/>
                <w:b w:val="0"/>
                <w:sz w:val="15"/>
              </w:rPr>
              <w:t>Breaks provenance and may hide material facts</w:t>
            </w:r>
          </w:p>
        </w:tc>
        <w:tc>
          <w:tcPr>
            <w:tcW w:type="dxa" w:w="3600"/>
            <w:vAlign w:val="center"/>
          </w:tcPr>
          <w:p>
            <w:pPr>
              <w:spacing w:after="0"/>
            </w:pPr>
            <w:r/>
            <w:r>
              <w:rPr>
                <w:rFonts w:ascii="Aptos" w:hAnsi="Aptos"/>
                <w:b w:val="0"/>
                <w:sz w:val="15"/>
              </w:rPr>
              <w:t>Preserve original and transformation log</w:t>
            </w:r>
          </w:p>
        </w:tc>
      </w:tr>
      <w:tr>
        <w:trPr>
          <w:cantSplit/>
        </w:trPr>
        <w:tc>
          <w:tcPr>
            <w:tcW w:type="dxa" w:w="2592"/>
            <w:vAlign w:val="center"/>
            <w:shd w:fill="F3F6F7"/>
          </w:tcPr>
          <w:p>
            <w:pPr>
              <w:spacing w:after="0"/>
            </w:pPr>
            <w:r/>
            <w:r>
              <w:rPr>
                <w:rFonts w:ascii="Aptos" w:hAnsi="Aptos"/>
                <w:b w:val="0"/>
                <w:sz w:val="15"/>
              </w:rPr>
              <w:t>Metric without definition</w:t>
            </w:r>
          </w:p>
        </w:tc>
        <w:tc>
          <w:tcPr>
            <w:tcW w:type="dxa" w:w="3456"/>
            <w:vAlign w:val="center"/>
            <w:shd w:fill="F3F6F7"/>
          </w:tcPr>
          <w:p>
            <w:pPr>
              <w:spacing w:after="0"/>
            </w:pPr>
            <w:r/>
            <w:r>
              <w:rPr>
                <w:rFonts w:ascii="Aptos" w:hAnsi="Aptos"/>
                <w:b w:val="0"/>
                <w:sz w:val="15"/>
              </w:rPr>
              <w:t>Cannot be interpreted or reproduced</w:t>
            </w:r>
          </w:p>
        </w:tc>
        <w:tc>
          <w:tcPr>
            <w:tcW w:type="dxa" w:w="3600"/>
            <w:vAlign w:val="center"/>
            <w:shd w:fill="F3F6F7"/>
          </w:tcPr>
          <w:p>
            <w:pPr>
              <w:spacing w:after="0"/>
            </w:pPr>
            <w:r/>
            <w:r>
              <w:rPr>
                <w:rFonts w:ascii="Aptos" w:hAnsi="Aptos"/>
                <w:b w:val="0"/>
                <w:sz w:val="15"/>
              </w:rPr>
              <w:t>Record formula, source, threshold and scope</w:t>
            </w:r>
          </w:p>
        </w:tc>
      </w:tr>
    </w:tbl>
    <w:p/>
    <w:p>
      <w:pPr>
        <w:pStyle w:val="Heading1"/>
      </w:pPr>
      <w:r>
        <w:t>22. Limitations</w:t>
      </w:r>
    </w:p>
    <w:p>
      <w:pPr>
        <w:pStyle w:val="ListBullet"/>
      </w:pPr>
      <w:r>
        <w:t>No universal evidence package is sufficient for every system or control.</w:t>
      </w:r>
    </w:p>
    <w:p>
      <w:pPr>
        <w:pStyle w:val="ListBullet"/>
      </w:pPr>
      <w:r>
        <w:t>Supplier opacity may prevent direct evidence and require alternative assurance.</w:t>
      </w:r>
    </w:p>
    <w:p>
      <w:pPr>
        <w:pStyle w:val="ListBullet"/>
      </w:pPr>
      <w:r>
        <w:t>Automated evidence collection can reproduce incorrect configuration or incomplete scope.</w:t>
      </w:r>
    </w:p>
    <w:p>
      <w:pPr>
        <w:pStyle w:val="ListBullet"/>
      </w:pPr>
      <w:r>
        <w:t>Sampling cannot prove the absence of rare failures outside the sample.</w:t>
      </w:r>
    </w:p>
    <w:p>
      <w:pPr>
        <w:pStyle w:val="ListBullet"/>
      </w:pPr>
      <w:r>
        <w:t>Privacy, safety and legal constraints may limit evidence sharing even when evidence exists.</w:t>
      </w:r>
    </w:p>
    <w:p>
      <w:pPr>
        <w:pStyle w:val="Heading1"/>
      </w:pPr>
      <w:r>
        <w:t>23. Notably Absent</w:t>
      </w:r>
    </w:p>
    <w:p>
      <w:pPr>
        <w:pStyle w:val="ListBullet"/>
      </w:pPr>
      <w:r>
        <w:t>No rule that a certificate or policy automatically satisfies a GAISSF control.</w:t>
      </w:r>
    </w:p>
    <w:p>
      <w:pPr>
        <w:pStyle w:val="ListBullet"/>
      </w:pPr>
      <w:r>
        <w:t>No permission to omit failed, negative or inconclusive evidence.</w:t>
      </w:r>
    </w:p>
    <w:p>
      <w:pPr>
        <w:pStyle w:val="ListBullet"/>
      </w:pPr>
      <w:r>
        <w:t>No fixed evidence-retention period for all organizations.</w:t>
      </w:r>
    </w:p>
    <w:p>
      <w:pPr>
        <w:pStyle w:val="ListBullet"/>
      </w:pPr>
      <w:r>
        <w:t>No universal sample size or testing frequency.</w:t>
      </w:r>
    </w:p>
    <w:p>
      <w:pPr>
        <w:pStyle w:val="ListBullet"/>
      </w:pPr>
      <w:r>
        <w:t>No assumption that screenshots alone establish technical operation.</w:t>
      </w:r>
    </w:p>
    <w:p>
      <w:pPr>
        <w:pStyle w:val="ListBullet"/>
      </w:pPr>
      <w:r>
        <w:t>No requirement to collect unnecessary personal or confidential data.</w:t>
      </w:r>
    </w:p>
    <w:p>
      <w:pPr>
        <w:pStyle w:val="Heading1"/>
      </w:pPr>
      <w:r>
        <w:t>Annex A — Evidence Plan Template</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Control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Claim</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Scope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Artifact types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Source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Generator</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Custodian</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Frequency</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Evidence period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Collection method</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Integrity method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Retention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Limitations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Reviewer</w:t>
            </w:r>
          </w:p>
        </w:tc>
        <w:tc>
          <w:tcPr>
            <w:tcW w:type="dxa" w:w="6624"/>
            <w:vAlign w:val="center"/>
            <w:shd w:fill="F3F6F7"/>
          </w:tcPr>
          <w:p>
            <w:pPr>
              <w:spacing w:after="0"/>
            </w:pPr>
            <w:r/>
            <w:r>
              <w:rPr>
                <w:rFonts w:ascii="Aptos" w:hAnsi="Aptos"/>
                <w:b w:val="0"/>
                <w:sz w:val="15"/>
              </w:rPr>
            </w:r>
          </w:p>
        </w:tc>
      </w:tr>
    </w:tbl>
    <w:p/>
    <w:p>
      <w:pPr>
        <w:pStyle w:val="Heading1"/>
      </w:pPr>
      <w:r>
        <w:t>Annex B — Evidence Index Template</w:t>
      </w:r>
    </w:p>
    <w:tbl>
      <w:tblPr>
        <w:tblStyle w:val="TableGrid"/>
        <w:tblW w:type="auto" w:w="0"/>
        <w:jc w:val="center"/>
        <w:tblLook w:firstColumn="1" w:firstRow="1" w:lastColumn="0" w:lastRow="0" w:noHBand="0" w:noVBand="1" w:val="04A0"/>
      </w:tblPr>
      <w:tblGrid>
        <w:gridCol w:w="1028"/>
        <w:gridCol w:w="1028"/>
        <w:gridCol w:w="1028"/>
        <w:gridCol w:w="1028"/>
        <w:gridCol w:w="1028"/>
        <w:gridCol w:w="1028"/>
        <w:gridCol w:w="1028"/>
        <w:gridCol w:w="1028"/>
        <w:gridCol w:w="1028"/>
        <w:gridCol w:w="1028"/>
      </w:tblGrid>
      <w:tr>
        <w:trPr>
          <w:tblHeader w:val="true"/>
          <w:cantSplit/>
        </w:trPr>
        <w:tc>
          <w:tcPr>
            <w:tcW w:type="dxa" w:w="1152"/>
            <w:vAlign w:val="center"/>
            <w:shd w:fill="17324D"/>
          </w:tcPr>
          <w:p>
            <w:pPr>
              <w:spacing w:after="0"/>
            </w:pPr>
            <w:r/>
            <w:r>
              <w:rPr>
                <w:rFonts w:ascii="Aptos" w:hAnsi="Aptos"/>
                <w:b/>
                <w:color w:val="FFFFFF"/>
                <w:sz w:val="15"/>
              </w:rPr>
              <w:t>Evidence ID</w:t>
            </w:r>
          </w:p>
        </w:tc>
        <w:tc>
          <w:tcPr>
            <w:tcW w:type="dxa" w:w="1008"/>
            <w:vAlign w:val="center"/>
            <w:shd w:fill="17324D"/>
          </w:tcPr>
          <w:p>
            <w:pPr>
              <w:spacing w:after="0"/>
            </w:pPr>
            <w:r/>
            <w:r>
              <w:rPr>
                <w:rFonts w:ascii="Aptos" w:hAnsi="Aptos"/>
                <w:b/>
                <w:color w:val="FFFFFF"/>
                <w:sz w:val="15"/>
              </w:rPr>
              <w:t>Control</w:t>
            </w:r>
          </w:p>
        </w:tc>
        <w:tc>
          <w:tcPr>
            <w:tcW w:type="dxa" w:w="1152"/>
            <w:vAlign w:val="center"/>
            <w:shd w:fill="17324D"/>
          </w:tcPr>
          <w:p>
            <w:pPr>
              <w:spacing w:after="0"/>
            </w:pPr>
            <w:r/>
            <w:r>
              <w:rPr>
                <w:rFonts w:ascii="Aptos" w:hAnsi="Aptos"/>
                <w:b/>
                <w:color w:val="FFFFFF"/>
                <w:sz w:val="15"/>
              </w:rPr>
              <w:t>System</w:t>
            </w:r>
          </w:p>
        </w:tc>
        <w:tc>
          <w:tcPr>
            <w:tcW w:type="dxa" w:w="1152"/>
            <w:vAlign w:val="center"/>
            <w:shd w:fill="17324D"/>
          </w:tcPr>
          <w:p>
            <w:pPr>
              <w:spacing w:after="0"/>
            </w:pPr>
            <w:r/>
            <w:r>
              <w:rPr>
                <w:rFonts w:ascii="Aptos" w:hAnsi="Aptos"/>
                <w:b/>
                <w:color w:val="FFFFFF"/>
                <w:sz w:val="15"/>
              </w:rPr>
              <w:t>Type</w:t>
            </w:r>
          </w:p>
        </w:tc>
        <w:tc>
          <w:tcPr>
            <w:tcW w:type="dxa" w:w="1152"/>
            <w:vAlign w:val="center"/>
            <w:shd w:fill="17324D"/>
          </w:tcPr>
          <w:p>
            <w:pPr>
              <w:spacing w:after="0"/>
            </w:pPr>
            <w:r/>
            <w:r>
              <w:rPr>
                <w:rFonts w:ascii="Aptos" w:hAnsi="Aptos"/>
                <w:b/>
                <w:color w:val="FFFFFF"/>
                <w:sz w:val="15"/>
              </w:rPr>
              <w:t>Period</w:t>
            </w:r>
          </w:p>
        </w:tc>
        <w:tc>
          <w:tcPr>
            <w:tcW w:type="dxa" w:w="1152"/>
            <w:vAlign w:val="center"/>
            <w:shd w:fill="17324D"/>
          </w:tcPr>
          <w:p>
            <w:pPr>
              <w:spacing w:after="0"/>
            </w:pPr>
            <w:r/>
            <w:r>
              <w:rPr>
                <w:rFonts w:ascii="Aptos" w:hAnsi="Aptos"/>
                <w:b/>
                <w:color w:val="FFFFFF"/>
                <w:sz w:val="15"/>
              </w:rPr>
              <w:t>Source</w:t>
            </w:r>
          </w:p>
        </w:tc>
        <w:tc>
          <w:tcPr>
            <w:tcW w:type="dxa" w:w="1152"/>
            <w:vAlign w:val="center"/>
            <w:shd w:fill="17324D"/>
          </w:tcPr>
          <w:p>
            <w:pPr>
              <w:spacing w:after="0"/>
            </w:pPr>
            <w:r/>
            <w:r>
              <w:rPr>
                <w:rFonts w:ascii="Aptos" w:hAnsi="Aptos"/>
                <w:b/>
                <w:color w:val="FFFFFF"/>
                <w:sz w:val="15"/>
              </w:rPr>
              <w:t>Owner</w:t>
            </w:r>
          </w:p>
        </w:tc>
        <w:tc>
          <w:tcPr>
            <w:tcW w:type="dxa" w:w="1152"/>
            <w:vAlign w:val="center"/>
            <w:shd w:fill="17324D"/>
          </w:tcPr>
          <w:p>
            <w:pPr>
              <w:spacing w:after="0"/>
            </w:pPr>
            <w:r/>
            <w:r>
              <w:rPr>
                <w:rFonts w:ascii="Aptos" w:hAnsi="Aptos"/>
                <w:b/>
                <w:color w:val="FFFFFF"/>
                <w:sz w:val="15"/>
              </w:rPr>
              <w:t>Integrity</w:t>
            </w:r>
          </w:p>
        </w:tc>
        <w:tc>
          <w:tcPr>
            <w:tcW w:type="dxa" w:w="1008"/>
            <w:vAlign w:val="center"/>
            <w:shd w:fill="17324D"/>
          </w:tcPr>
          <w:p>
            <w:pPr>
              <w:spacing w:after="0"/>
            </w:pPr>
            <w:r/>
            <w:r>
              <w:rPr>
                <w:rFonts w:ascii="Aptos" w:hAnsi="Aptos"/>
                <w:b/>
                <w:color w:val="FFFFFF"/>
                <w:sz w:val="15"/>
              </w:rPr>
              <w:t>Status</w:t>
            </w:r>
          </w:p>
        </w:tc>
        <w:tc>
          <w:tcPr>
            <w:tcW w:type="dxa" w:w="1296"/>
            <w:vAlign w:val="center"/>
            <w:shd w:fill="17324D"/>
          </w:tcPr>
          <w:p>
            <w:pPr>
              <w:spacing w:after="0"/>
            </w:pPr>
            <w:r/>
            <w:r>
              <w:rPr>
                <w:rFonts w:ascii="Aptos" w:hAnsi="Aptos"/>
                <w:b/>
                <w:color w:val="FFFFFF"/>
                <w:sz w:val="15"/>
              </w:rPr>
              <w:t>Location</w:t>
            </w:r>
          </w:p>
        </w:tc>
      </w:tr>
      <w:tr>
        <w:trPr>
          <w:cantSplit/>
        </w:trPr>
        <w:tc>
          <w:tcPr>
            <w:tcW w:type="dxa" w:w="1152"/>
            <w:vAlign w:val="center"/>
          </w:tcPr>
          <w:p>
            <w:pPr>
              <w:spacing w:after="0"/>
            </w:pPr>
            <w:r/>
            <w:r>
              <w:rPr>
                <w:rFonts w:ascii="Aptos" w:hAnsi="Aptos"/>
                <w:b w:val="0"/>
                <w:sz w:val="15"/>
              </w:rPr>
            </w:r>
          </w:p>
        </w:tc>
        <w:tc>
          <w:tcPr>
            <w:tcW w:type="dxa" w:w="1008"/>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008"/>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r>
      <w:tr>
        <w:trPr>
          <w:cantSplit/>
        </w:trPr>
        <w:tc>
          <w:tcPr>
            <w:tcW w:type="dxa" w:w="1152"/>
            <w:vAlign w:val="center"/>
            <w:shd w:fill="F3F6F7"/>
          </w:tcPr>
          <w:p>
            <w:pPr>
              <w:spacing w:after="0"/>
            </w:pPr>
            <w:r/>
            <w:r>
              <w:rPr>
                <w:rFonts w:ascii="Aptos" w:hAnsi="Aptos"/>
                <w:b w:val="0"/>
                <w:sz w:val="15"/>
              </w:rPr>
            </w:r>
          </w:p>
        </w:tc>
        <w:tc>
          <w:tcPr>
            <w:tcW w:type="dxa" w:w="1008"/>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008"/>
            <w:vAlign w:val="center"/>
            <w:shd w:fill="F3F6F7"/>
          </w:tcPr>
          <w:p>
            <w:pPr>
              <w:spacing w:after="0"/>
            </w:pPr>
            <w:r/>
            <w:r>
              <w:rPr>
                <w:rFonts w:ascii="Aptos" w:hAnsi="Aptos"/>
                <w:b w:val="0"/>
                <w:sz w:val="15"/>
              </w:rPr>
            </w:r>
          </w:p>
        </w:tc>
        <w:tc>
          <w:tcPr>
            <w:tcW w:type="dxa" w:w="1296"/>
            <w:vAlign w:val="center"/>
            <w:shd w:fill="F3F6F7"/>
          </w:tcPr>
          <w:p>
            <w:pPr>
              <w:spacing w:after="0"/>
            </w:pPr>
            <w:r/>
            <w:r>
              <w:rPr>
                <w:rFonts w:ascii="Aptos" w:hAnsi="Aptos"/>
                <w:b w:val="0"/>
                <w:sz w:val="15"/>
              </w:rPr>
            </w:r>
          </w:p>
        </w:tc>
      </w:tr>
      <w:tr>
        <w:trPr>
          <w:cantSplit/>
        </w:trPr>
        <w:tc>
          <w:tcPr>
            <w:tcW w:type="dxa" w:w="1152"/>
            <w:vAlign w:val="center"/>
          </w:tcPr>
          <w:p>
            <w:pPr>
              <w:spacing w:after="0"/>
            </w:pPr>
            <w:r/>
            <w:r>
              <w:rPr>
                <w:rFonts w:ascii="Aptos" w:hAnsi="Aptos"/>
                <w:b w:val="0"/>
                <w:sz w:val="15"/>
              </w:rPr>
            </w:r>
          </w:p>
        </w:tc>
        <w:tc>
          <w:tcPr>
            <w:tcW w:type="dxa" w:w="1008"/>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008"/>
            <w:vAlign w:val="center"/>
          </w:tcPr>
          <w:p>
            <w:pPr>
              <w:spacing w:after="0"/>
            </w:pPr>
            <w:r/>
            <w:r>
              <w:rPr>
                <w:rFonts w:ascii="Aptos" w:hAnsi="Aptos"/>
                <w:b w:val="0"/>
                <w:sz w:val="15"/>
              </w:rPr>
            </w:r>
          </w:p>
        </w:tc>
        <w:tc>
          <w:tcPr>
            <w:tcW w:type="dxa" w:w="1296"/>
            <w:vAlign w:val="center"/>
          </w:tcPr>
          <w:p>
            <w:pPr>
              <w:spacing w:after="0"/>
            </w:pPr>
            <w:r/>
            <w:r>
              <w:rPr>
                <w:rFonts w:ascii="Aptos" w:hAnsi="Aptos"/>
                <w:b w:val="0"/>
                <w:sz w:val="15"/>
              </w:rPr>
            </w:r>
          </w:p>
        </w:tc>
      </w:tr>
    </w:tbl>
    <w:p/>
    <w:p>
      <w:pPr>
        <w:pStyle w:val="Heading1"/>
      </w:pPr>
      <w:r>
        <w:t>Annex C — Chain-of-Custody Record</w:t>
      </w:r>
    </w:p>
    <w:tbl>
      <w:tblPr>
        <w:tblStyle w:val="TableGrid"/>
        <w:tblW w:type="auto" w:w="0"/>
        <w:jc w:val="center"/>
        <w:tblLook w:firstColumn="1" w:firstRow="1" w:lastColumn="0" w:lastRow="0" w:noHBand="0" w:noVBand="1" w:val="04A0"/>
      </w:tblPr>
      <w:tblGrid>
        <w:gridCol w:w="1285"/>
        <w:gridCol w:w="1285"/>
        <w:gridCol w:w="1285"/>
        <w:gridCol w:w="1285"/>
        <w:gridCol w:w="1285"/>
        <w:gridCol w:w="1285"/>
        <w:gridCol w:w="1285"/>
        <w:gridCol w:w="1285"/>
      </w:tblGrid>
      <w:tr>
        <w:trPr>
          <w:tblHeader w:val="true"/>
          <w:cantSplit/>
        </w:trPr>
        <w:tc>
          <w:tcPr>
            <w:tcW w:type="dxa" w:w="1296"/>
            <w:vAlign w:val="center"/>
            <w:shd w:fill="17324D"/>
          </w:tcPr>
          <w:p>
            <w:pPr>
              <w:spacing w:after="0"/>
            </w:pPr>
            <w:r/>
            <w:r>
              <w:rPr>
                <w:rFonts w:ascii="Aptos" w:hAnsi="Aptos"/>
                <w:b/>
                <w:color w:val="FFFFFF"/>
                <w:sz w:val="15"/>
              </w:rPr>
              <w:t>Evidence ID</w:t>
            </w:r>
          </w:p>
        </w:tc>
        <w:tc>
          <w:tcPr>
            <w:tcW w:type="dxa" w:w="1152"/>
            <w:vAlign w:val="center"/>
            <w:shd w:fill="17324D"/>
          </w:tcPr>
          <w:p>
            <w:pPr>
              <w:spacing w:after="0"/>
            </w:pPr>
            <w:r/>
            <w:r>
              <w:rPr>
                <w:rFonts w:ascii="Aptos" w:hAnsi="Aptos"/>
                <w:b/>
                <w:color w:val="FFFFFF"/>
                <w:sz w:val="15"/>
              </w:rPr>
              <w:t>From</w:t>
            </w:r>
          </w:p>
        </w:tc>
        <w:tc>
          <w:tcPr>
            <w:tcW w:type="dxa" w:w="1152"/>
            <w:vAlign w:val="center"/>
            <w:shd w:fill="17324D"/>
          </w:tcPr>
          <w:p>
            <w:pPr>
              <w:spacing w:after="0"/>
            </w:pPr>
            <w:r/>
            <w:r>
              <w:rPr>
                <w:rFonts w:ascii="Aptos" w:hAnsi="Aptos"/>
                <w:b/>
                <w:color w:val="FFFFFF"/>
                <w:sz w:val="15"/>
              </w:rPr>
              <w:t>To</w:t>
            </w:r>
          </w:p>
        </w:tc>
        <w:tc>
          <w:tcPr>
            <w:tcW w:type="dxa" w:w="1440"/>
            <w:vAlign w:val="center"/>
            <w:shd w:fill="17324D"/>
          </w:tcPr>
          <w:p>
            <w:pPr>
              <w:spacing w:after="0"/>
            </w:pPr>
            <w:r/>
            <w:r>
              <w:rPr>
                <w:rFonts w:ascii="Aptos" w:hAnsi="Aptos"/>
                <w:b/>
                <w:color w:val="FFFFFF"/>
                <w:sz w:val="15"/>
              </w:rPr>
              <w:t>Date/time</w:t>
            </w:r>
          </w:p>
        </w:tc>
        <w:tc>
          <w:tcPr>
            <w:tcW w:type="dxa" w:w="1728"/>
            <w:vAlign w:val="center"/>
            <w:shd w:fill="17324D"/>
          </w:tcPr>
          <w:p>
            <w:pPr>
              <w:spacing w:after="0"/>
            </w:pPr>
            <w:r/>
            <w:r>
              <w:rPr>
                <w:rFonts w:ascii="Aptos" w:hAnsi="Aptos"/>
                <w:b/>
                <w:color w:val="FFFFFF"/>
                <w:sz w:val="15"/>
              </w:rPr>
              <w:t>Purpose</w:t>
            </w:r>
          </w:p>
        </w:tc>
        <w:tc>
          <w:tcPr>
            <w:tcW w:type="dxa" w:w="1728"/>
            <w:vAlign w:val="center"/>
            <w:shd w:fill="17324D"/>
          </w:tcPr>
          <w:p>
            <w:pPr>
              <w:spacing w:after="0"/>
            </w:pPr>
            <w:r/>
            <w:r>
              <w:rPr>
                <w:rFonts w:ascii="Aptos" w:hAnsi="Aptos"/>
                <w:b/>
                <w:color w:val="FFFFFF"/>
                <w:sz w:val="15"/>
              </w:rPr>
              <w:t>Hash/signature</w:t>
            </w:r>
          </w:p>
        </w:tc>
        <w:tc>
          <w:tcPr>
            <w:tcW w:type="dxa" w:w="1728"/>
            <w:vAlign w:val="center"/>
            <w:shd w:fill="17324D"/>
          </w:tcPr>
          <w:p>
            <w:pPr>
              <w:spacing w:after="0"/>
            </w:pPr>
            <w:r/>
            <w:r>
              <w:rPr>
                <w:rFonts w:ascii="Aptos" w:hAnsi="Aptos"/>
                <w:b/>
                <w:color w:val="FFFFFF"/>
                <w:sz w:val="15"/>
              </w:rPr>
              <w:t>Transformation</w:t>
            </w:r>
          </w:p>
        </w:tc>
        <w:tc>
          <w:tcPr>
            <w:tcW w:type="dxa" w:w="1440"/>
            <w:vAlign w:val="center"/>
            <w:shd w:fill="17324D"/>
          </w:tcPr>
          <w:p>
            <w:pPr>
              <w:spacing w:after="0"/>
            </w:pPr>
            <w:r/>
            <w:r>
              <w:rPr>
                <w:rFonts w:ascii="Aptos" w:hAnsi="Aptos"/>
                <w:b/>
                <w:color w:val="FFFFFF"/>
                <w:sz w:val="15"/>
              </w:rPr>
              <w:t>Accepted by</w:t>
            </w:r>
          </w:p>
        </w:tc>
      </w:tr>
      <w:tr>
        <w:trPr>
          <w:cantSplit/>
        </w:trPr>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r>
      <w:tr>
        <w:trPr>
          <w:cantSplit/>
        </w:trPr>
        <w:tc>
          <w:tcPr>
            <w:tcW w:type="dxa" w:w="1296"/>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152"/>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c>
          <w:tcPr>
            <w:tcW w:type="dxa" w:w="1728"/>
            <w:vAlign w:val="center"/>
            <w:shd w:fill="F3F6F7"/>
          </w:tcPr>
          <w:p>
            <w:pPr>
              <w:spacing w:after="0"/>
            </w:pPr>
            <w:r/>
            <w:r>
              <w:rPr>
                <w:rFonts w:ascii="Aptos" w:hAnsi="Aptos"/>
                <w:b w:val="0"/>
                <w:sz w:val="15"/>
              </w:rPr>
            </w:r>
          </w:p>
        </w:tc>
        <w:tc>
          <w:tcPr>
            <w:tcW w:type="dxa" w:w="1440"/>
            <w:vAlign w:val="center"/>
            <w:shd w:fill="F3F6F7"/>
          </w:tcPr>
          <w:p>
            <w:pPr>
              <w:spacing w:after="0"/>
            </w:pPr>
            <w:r/>
            <w:r>
              <w:rPr>
                <w:rFonts w:ascii="Aptos" w:hAnsi="Aptos"/>
                <w:b w:val="0"/>
                <w:sz w:val="15"/>
              </w:rPr>
            </w:r>
          </w:p>
        </w:tc>
      </w:tr>
      <w:tr>
        <w:trPr>
          <w:cantSplit/>
        </w:trPr>
        <w:tc>
          <w:tcPr>
            <w:tcW w:type="dxa" w:w="1296"/>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152"/>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728"/>
            <w:vAlign w:val="center"/>
          </w:tcPr>
          <w:p>
            <w:pPr>
              <w:spacing w:after="0"/>
            </w:pPr>
            <w:r/>
            <w:r>
              <w:rPr>
                <w:rFonts w:ascii="Aptos" w:hAnsi="Aptos"/>
                <w:b w:val="0"/>
                <w:sz w:val="15"/>
              </w:rPr>
            </w:r>
          </w:p>
        </w:tc>
        <w:tc>
          <w:tcPr>
            <w:tcW w:type="dxa" w:w="1440"/>
            <w:vAlign w:val="center"/>
          </w:tcPr>
          <w:p>
            <w:pPr>
              <w:spacing w:after="0"/>
            </w:pPr>
            <w:r/>
            <w:r>
              <w:rPr>
                <w:rFonts w:ascii="Aptos" w:hAnsi="Aptos"/>
                <w:b w:val="0"/>
                <w:sz w:val="15"/>
              </w:rPr>
            </w:r>
          </w:p>
        </w:tc>
      </w:tr>
    </w:tbl>
    <w:p/>
    <w:p>
      <w:pPr>
        <w:pStyle w:val="Heading1"/>
      </w:pPr>
      <w:r>
        <w:t>Annex D — Sampling Record</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3024"/>
            <w:vAlign w:val="center"/>
            <w:shd w:fill="17324D"/>
          </w:tcPr>
          <w:p>
            <w:pPr>
              <w:spacing w:after="0"/>
            </w:pPr>
            <w:r/>
            <w:r>
              <w:rPr>
                <w:rFonts w:ascii="Aptos" w:hAnsi="Aptos"/>
                <w:b/>
                <w:color w:val="FFFFFF"/>
                <w:sz w:val="15"/>
              </w:rPr>
              <w:t>Field</w:t>
            </w:r>
          </w:p>
        </w:tc>
        <w:tc>
          <w:tcPr>
            <w:tcW w:type="dxa" w:w="6624"/>
            <w:vAlign w:val="center"/>
            <w:shd w:fill="17324D"/>
          </w:tcPr>
          <w:p>
            <w:pPr>
              <w:spacing w:after="0"/>
            </w:pPr>
            <w:r/>
            <w:r>
              <w:rPr>
                <w:rFonts w:ascii="Aptos" w:hAnsi="Aptos"/>
                <w:b/>
                <w:color w:val="FFFFFF"/>
                <w:sz w:val="15"/>
              </w:rPr>
              <w:t>Entry</w:t>
            </w:r>
          </w:p>
        </w:tc>
      </w:tr>
      <w:tr>
        <w:trPr>
          <w:cantSplit/>
        </w:trPr>
        <w:tc>
          <w:tcPr>
            <w:tcW w:type="dxa" w:w="3024"/>
            <w:vAlign w:val="center"/>
          </w:tcPr>
          <w:p>
            <w:pPr>
              <w:spacing w:after="0"/>
            </w:pPr>
            <w:r/>
            <w:r>
              <w:rPr>
                <w:rFonts w:ascii="Aptos" w:hAnsi="Aptos"/>
                <w:b w:val="0"/>
                <w:sz w:val="15"/>
              </w:rPr>
              <w:t>Control ID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Population</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Period</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Sampling method</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Sample size</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Strata</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Selection logic</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Exceptions</w:t>
            </w:r>
          </w:p>
        </w:tc>
        <w:tc>
          <w:tcPr>
            <w:tcW w:type="dxa" w:w="6624"/>
            <w:vAlign w:val="center"/>
            <w:shd w:fill="F3F6F7"/>
          </w:tcPr>
          <w:p>
            <w:pPr>
              <w:spacing w:after="0"/>
            </w:pPr>
            <w:r/>
            <w:r>
              <w:rPr>
                <w:rFonts w:ascii="Aptos" w:hAnsi="Aptos"/>
                <w:b w:val="0"/>
                <w:sz w:val="15"/>
              </w:rPr>
            </w:r>
          </w:p>
        </w:tc>
      </w:tr>
      <w:tr>
        <w:trPr>
          <w:cantSplit/>
        </w:trPr>
        <w:tc>
          <w:tcPr>
            <w:tcW w:type="dxa" w:w="3024"/>
            <w:vAlign w:val="center"/>
          </w:tcPr>
          <w:p>
            <w:pPr>
              <w:spacing w:after="0"/>
            </w:pPr>
            <w:r/>
            <w:r>
              <w:rPr>
                <w:rFonts w:ascii="Aptos" w:hAnsi="Aptos"/>
                <w:b w:val="0"/>
                <w:sz w:val="15"/>
              </w:rPr>
              <w:t>Projection limits</w:t>
            </w:r>
          </w:p>
        </w:tc>
        <w:tc>
          <w:tcPr>
            <w:tcW w:type="dxa" w:w="6624"/>
            <w:vAlign w:val="center"/>
          </w:tcPr>
          <w:p>
            <w:pPr>
              <w:spacing w:after="0"/>
            </w:pPr>
            <w:r/>
            <w:r>
              <w:rPr>
                <w:rFonts w:ascii="Aptos" w:hAnsi="Aptos"/>
                <w:b w:val="0"/>
                <w:sz w:val="15"/>
              </w:rPr>
            </w:r>
          </w:p>
        </w:tc>
      </w:tr>
      <w:tr>
        <w:trPr>
          <w:cantSplit/>
        </w:trPr>
        <w:tc>
          <w:tcPr>
            <w:tcW w:type="dxa" w:w="3024"/>
            <w:vAlign w:val="center"/>
            <w:shd w:fill="F3F6F7"/>
          </w:tcPr>
          <w:p>
            <w:pPr>
              <w:spacing w:after="0"/>
            </w:pPr>
            <w:r/>
            <w:r>
              <w:rPr>
                <w:rFonts w:ascii="Aptos" w:hAnsi="Aptos"/>
                <w:b w:val="0"/>
                <w:sz w:val="15"/>
              </w:rPr>
              <w:t>Reviewer</w:t>
            </w:r>
          </w:p>
        </w:tc>
        <w:tc>
          <w:tcPr>
            <w:tcW w:type="dxa" w:w="6624"/>
            <w:vAlign w:val="center"/>
            <w:shd w:fill="F3F6F7"/>
          </w:tcPr>
          <w:p>
            <w:pPr>
              <w:spacing w:after="0"/>
            </w:pPr>
            <w:r/>
            <w:r>
              <w:rPr>
                <w:rFonts w:ascii="Aptos" w:hAnsi="Aptos"/>
                <w:b w:val="0"/>
                <w:sz w:val="15"/>
              </w:rPr>
            </w:r>
          </w:p>
        </w:tc>
      </w:tr>
    </w:tbl>
    <w:p/>
    <w:p>
      <w:pPr>
        <w:pStyle w:val="Heading1"/>
      </w:pPr>
      <w:r>
        <w:t>Annex E — Evidence Acceptance Checklist</w:t>
      </w:r>
    </w:p>
    <w:p>
      <w:r>
        <w:t>☐ Artifact supports the exact control claim</w:t>
      </w:r>
    </w:p>
    <w:p>
      <w:r>
        <w:t>☐ Scope and period are explicit</w:t>
      </w:r>
    </w:p>
    <w:p>
      <w:r>
        <w:t>☐ Source and collector are attributable</w:t>
      </w:r>
    </w:p>
    <w:p>
      <w:r>
        <w:t>☐ Version matches the assessed implementation</w:t>
      </w:r>
    </w:p>
    <w:p>
      <w:r>
        <w:t>☐ Integrity is protected or verified</w:t>
      </w:r>
    </w:p>
    <w:p>
      <w:r>
        <w:t>☐ Failures and exceptions are included</w:t>
      </w:r>
    </w:p>
    <w:p>
      <w:r>
        <w:t>☐ Sampling is documented where used</w:t>
      </w:r>
    </w:p>
    <w:p>
      <w:r>
        <w:t>☐ Privacy and confidentiality are addressed</w:t>
      </w:r>
    </w:p>
    <w:p>
      <w:r>
        <w:t>☐ Limitations are recorded</w:t>
      </w:r>
    </w:p>
    <w:p>
      <w:r>
        <w:t>☐ Repository location and retention are assigned</w:t>
      </w:r>
    </w:p>
    <w:p>
      <w:pPr>
        <w:pStyle w:val="Heading1"/>
      </w:pPr>
      <w:r>
        <w:t>Annex F — Source Traceability</w:t>
      </w:r>
    </w:p>
    <w:tbl>
      <w:tblPr>
        <w:tblStyle w:val="TableGrid"/>
        <w:tblW w:type="auto" w:w="0"/>
        <w:jc w:val="center"/>
        <w:tblLook w:firstColumn="1" w:firstRow="1" w:lastColumn="0" w:lastRow="0" w:noHBand="0" w:noVBand="1" w:val="04A0"/>
      </w:tblPr>
      <w:tblGrid>
        <w:gridCol w:w="5141"/>
        <w:gridCol w:w="5141"/>
      </w:tblGrid>
      <w:tr>
        <w:trPr>
          <w:tblHeader w:val="true"/>
          <w:cantSplit/>
        </w:trPr>
        <w:tc>
          <w:tcPr>
            <w:tcW w:type="dxa" w:w="4320"/>
            <w:vAlign w:val="center"/>
            <w:shd w:fill="17324D"/>
          </w:tcPr>
          <w:p>
            <w:pPr>
              <w:spacing w:after="0"/>
            </w:pPr>
            <w:r/>
            <w:r>
              <w:rPr>
                <w:rFonts w:ascii="Aptos" w:hAnsi="Aptos"/>
                <w:b/>
                <w:color w:val="FFFFFF"/>
                <w:sz w:val="15"/>
              </w:rPr>
              <w:t>Evidence subject</w:t>
            </w:r>
          </w:p>
        </w:tc>
        <w:tc>
          <w:tcPr>
            <w:tcW w:type="dxa" w:w="5040"/>
            <w:vAlign w:val="center"/>
            <w:shd w:fill="17324D"/>
          </w:tcPr>
          <w:p>
            <w:pPr>
              <w:spacing w:after="0"/>
            </w:pPr>
            <w:r/>
            <w:r>
              <w:rPr>
                <w:rFonts w:ascii="Aptos" w:hAnsi="Aptos"/>
                <w:b/>
                <w:color w:val="FFFFFF"/>
                <w:sz w:val="15"/>
              </w:rPr>
              <w:t>Controlled source</w:t>
            </w:r>
          </w:p>
        </w:tc>
      </w:tr>
      <w:tr>
        <w:trPr>
          <w:cantSplit/>
        </w:trPr>
        <w:tc>
          <w:tcPr>
            <w:tcW w:type="dxa" w:w="4320"/>
            <w:vAlign w:val="center"/>
          </w:tcPr>
          <w:p>
            <w:pPr>
              <w:spacing w:after="0"/>
            </w:pPr>
            <w:r/>
            <w:r>
              <w:rPr>
                <w:rFonts w:ascii="Aptos" w:hAnsi="Aptos"/>
                <w:b w:val="0"/>
                <w:sz w:val="15"/>
              </w:rPr>
              <w:t>Normative requirements and evidence fields</w:t>
            </w:r>
          </w:p>
        </w:tc>
        <w:tc>
          <w:tcPr>
            <w:tcW w:type="dxa" w:w="5040"/>
            <w:vAlign w:val="center"/>
          </w:tcPr>
          <w:p>
            <w:pPr>
              <w:spacing w:after="0"/>
            </w:pPr>
            <w:r/>
            <w:r>
              <w:rPr>
                <w:rFonts w:ascii="Aptos" w:hAnsi="Aptos"/>
                <w:b w:val="0"/>
                <w:sz w:val="15"/>
              </w:rPr>
              <w:t>GAISSF-NOR-001 and GAISSF-NOR-004</w:t>
            </w:r>
          </w:p>
        </w:tc>
      </w:tr>
      <w:tr>
        <w:trPr>
          <w:cantSplit/>
        </w:trPr>
        <w:tc>
          <w:tcPr>
            <w:tcW w:type="dxa" w:w="4320"/>
            <w:vAlign w:val="center"/>
            <w:shd w:fill="F3F6F7"/>
          </w:tcPr>
          <w:p>
            <w:pPr>
              <w:spacing w:after="0"/>
            </w:pPr>
            <w:r/>
            <w:r>
              <w:rPr>
                <w:rFonts w:ascii="Aptos" w:hAnsi="Aptos"/>
                <w:b w:val="0"/>
                <w:sz w:val="15"/>
              </w:rPr>
              <w:t>Terminology</w:t>
            </w:r>
          </w:p>
        </w:tc>
        <w:tc>
          <w:tcPr>
            <w:tcW w:type="dxa" w:w="5040"/>
            <w:vAlign w:val="center"/>
            <w:shd w:fill="F3F6F7"/>
          </w:tcPr>
          <w:p>
            <w:pPr>
              <w:spacing w:after="0"/>
            </w:pPr>
            <w:r/>
            <w:r>
              <w:rPr>
                <w:rFonts w:ascii="Aptos" w:hAnsi="Aptos"/>
                <w:b w:val="0"/>
                <w:sz w:val="15"/>
              </w:rPr>
              <w:t>GAISSF-NOR-005</w:t>
            </w:r>
          </w:p>
        </w:tc>
      </w:tr>
      <w:tr>
        <w:trPr>
          <w:cantSplit/>
        </w:trPr>
        <w:tc>
          <w:tcPr>
            <w:tcW w:type="dxa" w:w="4320"/>
            <w:vAlign w:val="center"/>
          </w:tcPr>
          <w:p>
            <w:pPr>
              <w:spacing w:after="0"/>
            </w:pPr>
            <w:r/>
            <w:r>
              <w:rPr>
                <w:rFonts w:ascii="Aptos" w:hAnsi="Aptos"/>
                <w:b w:val="0"/>
                <w:sz w:val="15"/>
              </w:rPr>
              <w:t>Source references</w:t>
            </w:r>
          </w:p>
        </w:tc>
        <w:tc>
          <w:tcPr>
            <w:tcW w:type="dxa" w:w="5040"/>
            <w:vAlign w:val="center"/>
          </w:tcPr>
          <w:p>
            <w:pPr>
              <w:spacing w:after="0"/>
            </w:pPr>
            <w:r/>
            <w:r>
              <w:rPr>
                <w:rFonts w:ascii="Aptos" w:hAnsi="Aptos"/>
                <w:b w:val="0"/>
                <w:sz w:val="15"/>
              </w:rPr>
              <w:t>GAISSF-NOR-006</w:t>
            </w:r>
          </w:p>
        </w:tc>
      </w:tr>
      <w:tr>
        <w:trPr>
          <w:cantSplit/>
        </w:trPr>
        <w:tc>
          <w:tcPr>
            <w:tcW w:type="dxa" w:w="4320"/>
            <w:vAlign w:val="center"/>
            <w:shd w:fill="F3F6F7"/>
          </w:tcPr>
          <w:p>
            <w:pPr>
              <w:spacing w:after="0"/>
            </w:pPr>
            <w:r/>
            <w:r>
              <w:rPr>
                <w:rFonts w:ascii="Aptos" w:hAnsi="Aptos"/>
                <w:b w:val="0"/>
                <w:sz w:val="15"/>
              </w:rPr>
              <w:t>Release and change status</w:t>
            </w:r>
          </w:p>
        </w:tc>
        <w:tc>
          <w:tcPr>
            <w:tcW w:type="dxa" w:w="5040"/>
            <w:vAlign w:val="center"/>
            <w:shd w:fill="F3F6F7"/>
          </w:tcPr>
          <w:p>
            <w:pPr>
              <w:spacing w:after="0"/>
            </w:pPr>
            <w:r/>
            <w:r>
              <w:rPr>
                <w:rFonts w:ascii="Aptos" w:hAnsi="Aptos"/>
                <w:b w:val="0"/>
                <w:sz w:val="15"/>
              </w:rPr>
              <w:t>GAISSF-NOR-007 and GAISSF-NOR-008</w:t>
            </w:r>
          </w:p>
        </w:tc>
      </w:tr>
      <w:tr>
        <w:trPr>
          <w:cantSplit/>
        </w:trPr>
        <w:tc>
          <w:tcPr>
            <w:tcW w:type="dxa" w:w="4320"/>
            <w:vAlign w:val="center"/>
          </w:tcPr>
          <w:p>
            <w:pPr>
              <w:spacing w:after="0"/>
            </w:pPr>
            <w:r/>
            <w:r>
              <w:rPr>
                <w:rFonts w:ascii="Aptos" w:hAnsi="Aptos"/>
                <w:b w:val="0"/>
                <w:sz w:val="15"/>
              </w:rPr>
              <w:t>Adoption planning</w:t>
            </w:r>
          </w:p>
        </w:tc>
        <w:tc>
          <w:tcPr>
            <w:tcW w:type="dxa" w:w="5040"/>
            <w:vAlign w:val="center"/>
          </w:tcPr>
          <w:p>
            <w:pPr>
              <w:spacing w:after="0"/>
            </w:pPr>
            <w:r/>
            <w:r>
              <w:rPr>
                <w:rFonts w:ascii="Aptos" w:hAnsi="Aptos"/>
                <w:b w:val="0"/>
                <w:sz w:val="15"/>
              </w:rPr>
              <w:t>GAISSF-IMP-009</w:t>
            </w:r>
          </w:p>
        </w:tc>
      </w:tr>
      <w:tr>
        <w:trPr>
          <w:cantSplit/>
        </w:trPr>
        <w:tc>
          <w:tcPr>
            <w:tcW w:type="dxa" w:w="4320"/>
            <w:vAlign w:val="center"/>
            <w:shd w:fill="F3F6F7"/>
          </w:tcPr>
          <w:p>
            <w:pPr>
              <w:spacing w:after="0"/>
            </w:pPr>
            <w:r/>
            <w:r>
              <w:rPr>
                <w:rFonts w:ascii="Aptos" w:hAnsi="Aptos"/>
                <w:b w:val="0"/>
                <w:sz w:val="15"/>
              </w:rPr>
              <w:t>Implementation workflows</w:t>
            </w:r>
          </w:p>
        </w:tc>
        <w:tc>
          <w:tcPr>
            <w:tcW w:type="dxa" w:w="5040"/>
            <w:vAlign w:val="center"/>
            <w:shd w:fill="F3F6F7"/>
          </w:tcPr>
          <w:p>
            <w:pPr>
              <w:spacing w:after="0"/>
            </w:pPr>
            <w:r/>
            <w:r>
              <w:rPr>
                <w:rFonts w:ascii="Aptos" w:hAnsi="Aptos"/>
                <w:b w:val="0"/>
                <w:sz w:val="15"/>
              </w:rPr>
              <w:t>GAISSF-IMP-010</w:t>
            </w:r>
          </w:p>
        </w:tc>
      </w:tr>
      <w:tr>
        <w:trPr>
          <w:cantSplit/>
        </w:trPr>
        <w:tc>
          <w:tcPr>
            <w:tcW w:type="dxa" w:w="4320"/>
            <w:vAlign w:val="center"/>
          </w:tcPr>
          <w:p>
            <w:pPr>
              <w:spacing w:after="0"/>
            </w:pPr>
            <w:r/>
            <w:r>
              <w:rPr>
                <w:rFonts w:ascii="Aptos" w:hAnsi="Aptos"/>
                <w:b w:val="0"/>
                <w:sz w:val="15"/>
              </w:rPr>
              <w:t>Deployment records</w:t>
            </w:r>
          </w:p>
        </w:tc>
        <w:tc>
          <w:tcPr>
            <w:tcW w:type="dxa" w:w="5040"/>
            <w:vAlign w:val="center"/>
          </w:tcPr>
          <w:p>
            <w:pPr>
              <w:spacing w:after="0"/>
            </w:pPr>
            <w:r/>
            <w:r>
              <w:rPr>
                <w:rFonts w:ascii="Aptos" w:hAnsi="Aptos"/>
                <w:b w:val="0"/>
                <w:sz w:val="15"/>
              </w:rPr>
              <w:t>GAISSF-IMP-011</w:t>
            </w:r>
          </w:p>
        </w:tc>
      </w:tr>
      <w:tr>
        <w:trPr>
          <w:cantSplit/>
        </w:trPr>
        <w:tc>
          <w:tcPr>
            <w:tcW w:type="dxa" w:w="4320"/>
            <w:vAlign w:val="center"/>
            <w:shd w:fill="F3F6F7"/>
          </w:tcPr>
          <w:p>
            <w:pPr>
              <w:spacing w:after="0"/>
            </w:pPr>
            <w:r/>
            <w:r>
              <w:rPr>
                <w:rFonts w:ascii="Aptos" w:hAnsi="Aptos"/>
                <w:b w:val="0"/>
                <w:sz w:val="15"/>
              </w:rPr>
              <w:t>Migration and evidence reuse</w:t>
            </w:r>
          </w:p>
        </w:tc>
        <w:tc>
          <w:tcPr>
            <w:tcW w:type="dxa" w:w="5040"/>
            <w:vAlign w:val="center"/>
            <w:shd w:fill="F3F6F7"/>
          </w:tcPr>
          <w:p>
            <w:pPr>
              <w:spacing w:after="0"/>
            </w:pPr>
            <w:r/>
            <w:r>
              <w:rPr>
                <w:rFonts w:ascii="Aptos" w:hAnsi="Aptos"/>
                <w:b w:val="0"/>
                <w:sz w:val="15"/>
              </w:rPr>
              <w:t>GAISSF-IMP-012</w:t>
            </w:r>
          </w:p>
        </w:tc>
      </w:tr>
      <w:tr>
        <w:trPr>
          <w:cantSplit/>
        </w:trPr>
        <w:tc>
          <w:tcPr>
            <w:tcW w:type="dxa" w:w="4320"/>
            <w:vAlign w:val="center"/>
          </w:tcPr>
          <w:p>
            <w:pPr>
              <w:spacing w:after="0"/>
            </w:pPr>
            <w:r/>
            <w:r>
              <w:rPr>
                <w:rFonts w:ascii="Aptos" w:hAnsi="Aptos"/>
                <w:b w:val="0"/>
                <w:sz w:val="15"/>
              </w:rPr>
              <w:t>Reference architecture and telemetry</w:t>
            </w:r>
          </w:p>
        </w:tc>
        <w:tc>
          <w:tcPr>
            <w:tcW w:type="dxa" w:w="5040"/>
            <w:vAlign w:val="center"/>
          </w:tcPr>
          <w:p>
            <w:pPr>
              <w:spacing w:after="0"/>
            </w:pPr>
            <w:r/>
            <w:r>
              <w:rPr>
                <w:rFonts w:ascii="Aptos" w:hAnsi="Aptos"/>
                <w:b w:val="0"/>
                <w:sz w:val="15"/>
              </w:rPr>
              <w:t>GAISSF-IMP-013</w:t>
            </w:r>
          </w:p>
        </w:tc>
      </w:tr>
      <w:tr>
        <w:trPr>
          <w:cantSplit/>
        </w:trPr>
        <w:tc>
          <w:tcPr>
            <w:tcW w:type="dxa" w:w="4320"/>
            <w:vAlign w:val="center"/>
            <w:shd w:fill="F3F6F7"/>
          </w:tcPr>
          <w:p>
            <w:pPr>
              <w:spacing w:after="0"/>
            </w:pPr>
            <w:r/>
            <w:r>
              <w:rPr>
                <w:rFonts w:ascii="Aptos" w:hAnsi="Aptos"/>
                <w:b w:val="0"/>
                <w:sz w:val="15"/>
              </w:rPr>
              <w:t>Operational evidence maintenance</w:t>
            </w:r>
          </w:p>
        </w:tc>
        <w:tc>
          <w:tcPr>
            <w:tcW w:type="dxa" w:w="5040"/>
            <w:vAlign w:val="center"/>
            <w:shd w:fill="F3F6F7"/>
          </w:tcPr>
          <w:p>
            <w:pPr>
              <w:spacing w:after="0"/>
            </w:pPr>
            <w:r/>
            <w:r>
              <w:rPr>
                <w:rFonts w:ascii="Aptos" w:hAnsi="Aptos"/>
                <w:b w:val="0"/>
                <w:sz w:val="15"/>
              </w:rPr>
              <w:t>GAISSF-IMP-014</w:t>
            </w:r>
          </w:p>
        </w:tc>
      </w:tr>
      <w:tr>
        <w:trPr>
          <w:cantSplit/>
        </w:trPr>
        <w:tc>
          <w:tcPr>
            <w:tcW w:type="dxa" w:w="4320"/>
            <w:vAlign w:val="center"/>
          </w:tcPr>
          <w:p>
            <w:pPr>
              <w:spacing w:after="0"/>
            </w:pPr>
            <w:r/>
            <w:r>
              <w:rPr>
                <w:rFonts w:ascii="Aptos" w:hAnsi="Aptos"/>
                <w:b w:val="0"/>
                <w:sz w:val="15"/>
              </w:rPr>
              <w:t>Interpretation and issue resolution</w:t>
            </w:r>
          </w:p>
        </w:tc>
        <w:tc>
          <w:tcPr>
            <w:tcW w:type="dxa" w:w="5040"/>
            <w:vAlign w:val="center"/>
          </w:tcPr>
          <w:p>
            <w:pPr>
              <w:spacing w:after="0"/>
            </w:pPr>
            <w:r/>
            <w:r>
              <w:rPr>
                <w:rFonts w:ascii="Aptos" w:hAnsi="Aptos"/>
                <w:b w:val="0"/>
                <w:sz w:val="15"/>
              </w:rPr>
              <w:t>GAISSF-IMP-015 and GAISSF-IMP-016</w:t>
            </w:r>
          </w:p>
        </w:tc>
      </w:tr>
    </w:tbl>
    <w:p/>
    <w:p>
      <w:pPr>
        <w:pStyle w:val="Heading1"/>
      </w:pPr>
      <w:r>
        <w:t>Annex G — Publication Record</w:t>
      </w:r>
    </w:p>
    <w:tbl>
      <w:tblPr>
        <w:tblStyle w:val="TableGrid"/>
        <w:tblW w:type="auto" w:w="0"/>
        <w:jc w:val="center"/>
        <w:tblLook w:firstColumn="1" w:firstRow="1" w:lastColumn="0" w:lastRow="0" w:noHBand="0" w:noVBand="1" w:val="04A0"/>
      </w:tblPr>
      <w:tblGrid>
        <w:gridCol w:w="2570"/>
        <w:gridCol w:w="2570"/>
        <w:gridCol w:w="2570"/>
        <w:gridCol w:w="2570"/>
      </w:tblGrid>
      <w:tr>
        <w:trPr>
          <w:tblHeader w:val="true"/>
          <w:cantSplit/>
        </w:trPr>
        <w:tc>
          <w:tcPr>
            <w:tcW w:type="dxa" w:w="1152"/>
            <w:vAlign w:val="center"/>
            <w:shd w:fill="17324D"/>
          </w:tcPr>
          <w:p>
            <w:pPr>
              <w:spacing w:after="0"/>
            </w:pPr>
            <w:r/>
            <w:r>
              <w:rPr>
                <w:rFonts w:ascii="Aptos" w:hAnsi="Aptos"/>
                <w:b/>
                <w:color w:val="FFFFFF"/>
                <w:sz w:val="15"/>
              </w:rPr>
              <w:t>Version</w:t>
            </w:r>
          </w:p>
        </w:tc>
        <w:tc>
          <w:tcPr>
            <w:tcW w:type="dxa" w:w="1728"/>
            <w:vAlign w:val="center"/>
            <w:shd w:fill="17324D"/>
          </w:tcPr>
          <w:p>
            <w:pPr>
              <w:spacing w:after="0"/>
            </w:pPr>
            <w:r/>
            <w:r>
              <w:rPr>
                <w:rFonts w:ascii="Aptos" w:hAnsi="Aptos"/>
                <w:b/>
                <w:color w:val="FFFFFF"/>
                <w:sz w:val="15"/>
              </w:rPr>
              <w:t>Date</w:t>
            </w:r>
          </w:p>
        </w:tc>
        <w:tc>
          <w:tcPr>
            <w:tcW w:type="dxa" w:w="5184"/>
            <w:vAlign w:val="center"/>
            <w:shd w:fill="17324D"/>
          </w:tcPr>
          <w:p>
            <w:pPr>
              <w:spacing w:after="0"/>
            </w:pPr>
            <w:r/>
            <w:r>
              <w:rPr>
                <w:rFonts w:ascii="Aptos" w:hAnsi="Aptos"/>
                <w:b/>
                <w:color w:val="FFFFFF"/>
                <w:sz w:val="15"/>
              </w:rPr>
              <w:t>Change</w:t>
            </w:r>
          </w:p>
        </w:tc>
        <w:tc>
          <w:tcPr>
            <w:tcW w:type="dxa" w:w="1584"/>
            <w:vAlign w:val="center"/>
            <w:shd w:fill="17324D"/>
          </w:tcPr>
          <w:p>
            <w:pPr>
              <w:spacing w:after="0"/>
            </w:pPr>
            <w:r/>
            <w:r>
              <w:rPr>
                <w:rFonts w:ascii="Aptos" w:hAnsi="Aptos"/>
                <w:b/>
                <w:color w:val="FFFFFF"/>
                <w:sz w:val="15"/>
              </w:rPr>
              <w:t>Status</w:t>
            </w:r>
          </w:p>
        </w:tc>
      </w:tr>
      <w:tr>
        <w:trPr>
          <w:cantSplit/>
        </w:trPr>
        <w:tc>
          <w:tcPr>
            <w:tcW w:type="dxa" w:w="1152"/>
            <w:vAlign w:val="center"/>
          </w:tcPr>
          <w:p>
            <w:pPr>
              <w:spacing w:after="0"/>
            </w:pPr>
            <w:r/>
            <w:r>
              <w:rPr>
                <w:rFonts w:ascii="Aptos" w:hAnsi="Aptos"/>
                <w:b w:val="0"/>
                <w:sz w:val="15"/>
              </w:rPr>
              <w:t>1.0</w:t>
            </w:r>
          </w:p>
        </w:tc>
        <w:tc>
          <w:tcPr>
            <w:tcW w:type="dxa" w:w="1728"/>
            <w:vAlign w:val="center"/>
          </w:tcPr>
          <w:p>
            <w:pPr>
              <w:spacing w:after="0"/>
            </w:pPr>
            <w:r/>
            <w:r>
              <w:rPr>
                <w:rFonts w:ascii="Aptos" w:hAnsi="Aptos"/>
                <w:b w:val="0"/>
                <w:sz w:val="15"/>
              </w:rPr>
              <w:t>29 June 2026</w:t>
            </w:r>
          </w:p>
        </w:tc>
        <w:tc>
          <w:tcPr>
            <w:tcW w:type="dxa" w:w="5184"/>
            <w:vAlign w:val="center"/>
          </w:tcPr>
          <w:p>
            <w:pPr>
              <w:spacing w:after="0"/>
            </w:pPr>
            <w:r/>
            <w:r>
              <w:rPr>
                <w:rFonts w:ascii="Aptos" w:hAnsi="Aptos"/>
                <w:b w:val="0"/>
                <w:sz w:val="15"/>
              </w:rPr>
              <w:t>Initial full evidence collection guide for GAISSF v1.0</w:t>
            </w:r>
          </w:p>
        </w:tc>
        <w:tc>
          <w:tcPr>
            <w:tcW w:type="dxa" w:w="1584"/>
            <w:vAlign w:val="center"/>
          </w:tcPr>
          <w:p>
            <w:pPr>
              <w:spacing w:after="0"/>
            </w:pPr>
            <w:r/>
            <w:r>
              <w:rPr>
                <w:rFonts w:ascii="Aptos" w:hAnsi="Aptos"/>
                <w:b w:val="0"/>
                <w:sz w:val="15"/>
              </w:rPr>
              <w:t>Final Publication Edition</w:t>
            </w:r>
          </w:p>
        </w:tc>
      </w:tr>
    </w:tbl>
    <w:p/>
    <w:p>
      <w:r>
        <w:br w:type="page"/>
      </w:r>
    </w:p>
    <w:p>
      <w:pPr>
        <w:pStyle w:val="Heading1"/>
      </w:pPr>
      <w:r>
        <w:t>Legal and Regulatory Integration</w:t>
      </w:r>
    </w:p>
    <w:p>
      <w:r>
        <w:t>GAISSF provides an operational security, safety, governance and evidence framework. It does not determine which laws apply, establish statutory compliance, create a legal safe harbour, define a legal standard of care, replace competent legal advice, or guarantee that evidence collected for GAISSF purposes will satisfy a regulator, court or other authority. Organizations should maintain a jurisdiction-specific legal and regulatory obligations register and map applicable obligations to their GAISSF scope, controls, evidence, reporting processes and decision authorities.</w:t>
      </w:r>
    </w:p>
    <w:p>
      <w:pPr>
        <w:pStyle w:val="Heading2"/>
      </w:pPr>
      <w:r>
        <w:t>Legal and regulatory interface requirements</w:t>
      </w:r>
    </w:p>
    <w:p>
      <w:pPr>
        <w:pStyle w:val="ListBullet"/>
      </w:pPr>
      <w:r>
        <w:t>Identify applicable jurisdictions, regulators, sector rules, contractual duties and internal legal authorities before relying on this guide.</w:t>
      </w:r>
    </w:p>
    <w:p>
      <w:pPr>
        <w:pStyle w:val="ListBullet"/>
      </w:pPr>
      <w:r>
        <w:t>Maintain a controlled obligations register, reporting-clock register, retention schedule, legal-hold process and conflicts-of-obligation procedure.</w:t>
      </w:r>
    </w:p>
    <w:p>
      <w:pPr>
        <w:pStyle w:val="ListBullet"/>
      </w:pPr>
      <w:r>
        <w:t>Treat statutory, regulatory and contractual analysis as a parallel workstream to GAISSF implementation and assurance.</w:t>
      </w:r>
    </w:p>
    <w:p>
      <w:pPr>
        <w:pStyle w:val="ListBullet"/>
      </w:pPr>
      <w:r>
        <w:t>Record the legal basis, responsible owner, scope, decision, evidence, deadline and review date for each material obligation.</w:t>
      </w:r>
    </w:p>
    <w:p>
      <w:pPr>
        <w:pStyle w:val="ListBullet"/>
      </w:pPr>
      <w:r>
        <w:t>Do not represent GAISSF conformance, maturity or certification as legal approval, permission to operate, immunity from enforcement or proof that harm cannot occur.</w:t>
      </w:r>
    </w:p>
    <w:p>
      <w:pPr>
        <w:pStyle w:val="Heading1"/>
      </w:pPr>
      <w:r>
        <w:t>How to use this document</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Reader</w:t>
            </w:r>
          </w:p>
        </w:tc>
        <w:tc>
          <w:tcPr>
            <w:tcW w:type="dxa" w:w="5141"/>
            <w:shd w:fill="17324D"/>
            <w:vAlign w:val="center"/>
          </w:tcPr>
          <w:p>
            <w:r>
              <w:rPr>
                <w:b/>
              </w:rPr>
              <w:t>Recommended use</w:t>
            </w:r>
          </w:p>
        </w:tc>
      </w:tr>
      <w:tr>
        <w:tc>
          <w:tcPr>
            <w:tcW w:type="dxa" w:w="5141"/>
          </w:tcPr>
          <w:p>
            <w:r>
              <w:t>Executive or board reader</w:t>
            </w:r>
          </w:p>
        </w:tc>
        <w:tc>
          <w:tcPr>
            <w:tcW w:type="dxa" w:w="5141"/>
          </w:tcPr>
          <w:p>
            <w:r>
              <w:t>Review purpose, decision rights, legal and regulatory integration, limitations and Notably Absent sections.</w:t>
            </w:r>
          </w:p>
        </w:tc>
      </w:tr>
      <w:tr>
        <w:tc>
          <w:tcPr>
            <w:tcW w:type="dxa" w:w="5141"/>
          </w:tcPr>
          <w:p>
            <w:r>
              <w:t>Program or control owner</w:t>
            </w:r>
          </w:p>
        </w:tc>
        <w:tc>
          <w:tcPr>
            <w:tcW w:type="dxa" w:w="5141"/>
          </w:tcPr>
          <w:p>
            <w:r>
              <w:t>Use workflows, templates, gates, evidence fields and escalation criteria as implementation aids.</w:t>
            </w:r>
          </w:p>
        </w:tc>
      </w:tr>
      <w:tr>
        <w:tc>
          <w:tcPr>
            <w:tcW w:type="dxa" w:w="5141"/>
          </w:tcPr>
          <w:p>
            <w:r>
              <w:t>Engineering or operations team</w:t>
            </w:r>
          </w:p>
        </w:tc>
        <w:tc>
          <w:tcPr>
            <w:tcW w:type="dxa" w:w="5141"/>
          </w:tcPr>
          <w:p>
            <w:r>
              <w:t>Translate guidance into system-specific procedures, configurations, runbooks and testable acceptance criteria.</w:t>
            </w:r>
          </w:p>
        </w:tc>
      </w:tr>
      <w:tr>
        <w:tc>
          <w:tcPr>
            <w:tcW w:type="dxa" w:w="5141"/>
          </w:tcPr>
          <w:p>
            <w:r>
              <w:t>Legal, privacy or compliance team</w:t>
            </w:r>
          </w:p>
        </w:tc>
        <w:tc>
          <w:tcPr>
            <w:tcW w:type="dxa" w:w="5141"/>
          </w:tcPr>
          <w:p>
            <w:r>
              <w:t>Validate jurisdiction-specific obligations, deadlines, retention, disclosure, privilege and regulator-facing requirements.</w:t>
            </w:r>
          </w:p>
        </w:tc>
      </w:tr>
      <w:tr>
        <w:tc>
          <w:tcPr>
            <w:tcW w:type="dxa" w:w="5141"/>
          </w:tcPr>
          <w:p>
            <w:r>
              <w:t>Assessor or auditor</w:t>
            </w:r>
          </w:p>
        </w:tc>
        <w:tc>
          <w:tcPr>
            <w:tcW w:type="dxa" w:w="5141"/>
          </w:tcPr>
          <w:p>
            <w:r>
              <w:t>Use the document as informative context only; test claims against the authoritative normative sources and applicable assessment criteria.</w:t>
            </w:r>
          </w:p>
        </w:tc>
      </w:tr>
    </w:tbl>
    <w:p>
      <w:pPr>
        <w:pStyle w:val="Heading1"/>
      </w:pPr>
      <w:r>
        <w:t>See Also</w:t>
      </w:r>
    </w:p>
    <w:p>
      <w:pPr>
        <w:pStyle w:val="ListBullet"/>
      </w:pPr>
      <w:r>
        <w:t>GAISSF-NOR-004 for exact evidence expectations.</w:t>
      </w:r>
    </w:p>
    <w:p>
      <w:pPr>
        <w:pStyle w:val="ListBullet"/>
      </w:pPr>
      <w:r>
        <w:t>GAISSF-IMP-014 for evidence operations.</w:t>
      </w:r>
    </w:p>
    <w:p>
      <w:pPr>
        <w:pStyle w:val="ListBullet"/>
      </w:pPr>
      <w:r>
        <w:t>GAISSF-IMP-016 for preservation-aware troubleshooting.</w:t>
      </w:r>
    </w:p>
    <w:p>
      <w:pPr>
        <w:pStyle w:val="Heading1"/>
      </w:pPr>
      <w:r>
        <w:t>Evidence-specific regulatory enhancements</w:t>
      </w:r>
    </w:p>
    <w:p>
      <w:pPr>
        <w:pStyle w:val="Heading2"/>
      </w:pPr>
      <w:r>
        <w:t>Legal preservation integration</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Field</w:t>
            </w:r>
          </w:p>
        </w:tc>
        <w:tc>
          <w:tcPr>
            <w:tcW w:type="dxa" w:w="5141"/>
            <w:shd w:fill="17324D"/>
            <w:vAlign w:val="center"/>
          </w:tcPr>
          <w:p>
            <w:r>
              <w:rPr>
                <w:b/>
              </w:rPr>
              <w:t>Required content</w:t>
            </w:r>
          </w:p>
        </w:tc>
      </w:tr>
      <w:tr>
        <w:tc>
          <w:tcPr>
            <w:tcW w:type="dxa" w:w="5141"/>
          </w:tcPr>
          <w:p>
            <w:r>
              <w:t>Trigger and authority</w:t>
            </w:r>
          </w:p>
        </w:tc>
        <w:tc>
          <w:tcPr>
            <w:tcW w:type="dxa" w:w="5141"/>
          </w:tcPr>
          <w:p>
            <w:r>
              <w:t>Why preservation applies and who authorized it.</w:t>
            </w:r>
          </w:p>
        </w:tc>
      </w:tr>
      <w:tr>
        <w:tc>
          <w:tcPr>
            <w:tcW w:type="dxa" w:w="5141"/>
          </w:tcPr>
          <w:p>
            <w:r>
              <w:t>Scope</w:t>
            </w:r>
          </w:p>
        </w:tc>
        <w:tc>
          <w:tcPr>
            <w:tcW w:type="dxa" w:w="5141"/>
          </w:tcPr>
          <w:p>
            <w:r>
              <w:t>Custodians, systems, repositories, dates and evidence types.</w:t>
            </w:r>
          </w:p>
        </w:tc>
      </w:tr>
      <w:tr>
        <w:tc>
          <w:tcPr>
            <w:tcW w:type="dxa" w:w="5141"/>
          </w:tcPr>
          <w:p>
            <w:r>
              <w:t>Hold identifier</w:t>
            </w:r>
          </w:p>
        </w:tc>
        <w:tc>
          <w:tcPr>
            <w:tcW w:type="dxa" w:w="5141"/>
          </w:tcPr>
          <w:p>
            <w:r>
              <w:t>Link to the controlled legal-hold or preservation record.</w:t>
            </w:r>
          </w:p>
        </w:tc>
      </w:tr>
      <w:tr>
        <w:tc>
          <w:tcPr>
            <w:tcW w:type="dxa" w:w="5141"/>
          </w:tcPr>
          <w:p>
            <w:r>
              <w:t>Collection method</w:t>
            </w:r>
          </w:p>
        </w:tc>
        <w:tc>
          <w:tcPr>
            <w:tcW w:type="dxa" w:w="5141"/>
          </w:tcPr>
          <w:p>
            <w:r>
              <w:t>Tool, operator, timestamp and transformation.</w:t>
            </w:r>
          </w:p>
        </w:tc>
      </w:tr>
      <w:tr>
        <w:tc>
          <w:tcPr>
            <w:tcW w:type="dxa" w:w="5141"/>
          </w:tcPr>
          <w:p>
            <w:r>
              <w:t>Chain of custody</w:t>
            </w:r>
          </w:p>
        </w:tc>
        <w:tc>
          <w:tcPr>
            <w:tcW w:type="dxa" w:w="5141"/>
          </w:tcPr>
          <w:p>
            <w:r>
              <w:t>Transfer, access, integrity and storage records.</w:t>
            </w:r>
          </w:p>
        </w:tc>
      </w:tr>
      <w:tr>
        <w:tc>
          <w:tcPr>
            <w:tcW w:type="dxa" w:w="5141"/>
          </w:tcPr>
          <w:p>
            <w:r>
              <w:t>Protection</w:t>
            </w:r>
          </w:p>
        </w:tc>
        <w:tc>
          <w:tcPr>
            <w:tcW w:type="dxa" w:w="5141"/>
          </w:tcPr>
          <w:p>
            <w:r>
              <w:t>Privilege, confidentiality, personal data and security markings.</w:t>
            </w:r>
          </w:p>
        </w:tc>
      </w:tr>
      <w:tr>
        <w:tc>
          <w:tcPr>
            <w:tcW w:type="dxa" w:w="5141"/>
          </w:tcPr>
          <w:p>
            <w:r>
              <w:t>Release</w:t>
            </w:r>
          </w:p>
        </w:tc>
        <w:tc>
          <w:tcPr>
            <w:tcW w:type="dxa" w:w="5141"/>
          </w:tcPr>
          <w:p>
            <w:r>
              <w:t>Authorized end date and resumed-disposal decision.</w:t>
            </w:r>
          </w:p>
        </w:tc>
      </w:tr>
    </w:tbl>
    <w:p>
      <w:r>
        <w:t>Evidence collection does not by itself create a universal duty to preserve. Preservation obligations depend on applicable law, anticipated proceedings, regulatory instructions, contracts and other facts.</w:t>
      </w:r>
    </w:p>
    <w:p>
      <w:pPr>
        <w:pStyle w:val="Heading2"/>
      </w:pPr>
      <w:r>
        <w:t>Regulatory Examination Readiness workflow</w:t>
      </w:r>
    </w:p>
    <w:p>
      <w:pPr>
        <w:pStyle w:val="ListNumber"/>
      </w:pPr>
      <w:r>
        <w:t>Identify the authority, legal basis, request scope and deadline.</w:t>
      </w:r>
    </w:p>
    <w:p>
      <w:pPr>
        <w:pStyle w:val="ListNumber"/>
      </w:pPr>
      <w:r>
        <w:t>Assign evidence, legal, privacy and technical owners.</w:t>
      </w:r>
    </w:p>
    <w:p>
      <w:pPr>
        <w:pStyle w:val="ListNumber"/>
      </w:pPr>
      <w:r>
        <w:t>Map the request to statutory requirements and GAISSF evidence without implying equivalence.</w:t>
      </w:r>
    </w:p>
    <w:p>
      <w:pPr>
        <w:pStyle w:val="ListNumber"/>
      </w:pPr>
      <w:r>
        <w:t>Verify completeness, provenance, integrity and known gaps.</w:t>
      </w:r>
    </w:p>
    <w:p>
      <w:pPr>
        <w:pStyle w:val="ListNumber"/>
      </w:pPr>
      <w:r>
        <w:t>Apply documented redaction, privilege and confidentiality review.</w:t>
      </w:r>
    </w:p>
    <w:p>
      <w:pPr>
        <w:pStyle w:val="ListNumber"/>
      </w:pPr>
      <w:r>
        <w:t>Produce in the required format and secure channel.</w:t>
      </w:r>
    </w:p>
    <w:p>
      <w:pPr>
        <w:pStyle w:val="ListNumber"/>
      </w:pPr>
      <w:r>
        <w:t>Record production, supplements, questions and closure.</w:t>
      </w:r>
    </w:p>
    <w:p>
      <w:pPr>
        <w:pStyle w:val="Heading2"/>
      </w:pPr>
      <w:r>
        <w:t>Decision-logic and explanation evidence pattern</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Evidence item</w:t>
            </w:r>
          </w:p>
        </w:tc>
        <w:tc>
          <w:tcPr>
            <w:tcW w:type="dxa" w:w="5141"/>
            <w:shd w:fill="17324D"/>
            <w:vAlign w:val="center"/>
          </w:tcPr>
          <w:p>
            <w:r>
              <w:rPr>
                <w:b/>
              </w:rPr>
              <w:t>Illustrative content</w:t>
            </w:r>
          </w:p>
        </w:tc>
      </w:tr>
      <w:tr>
        <w:tc>
          <w:tcPr>
            <w:tcW w:type="dxa" w:w="5141"/>
          </w:tcPr>
          <w:p>
            <w:r>
              <w:t>Decision identity</w:t>
            </w:r>
          </w:p>
        </w:tc>
        <w:tc>
          <w:tcPr>
            <w:tcW w:type="dxa" w:w="5141"/>
          </w:tcPr>
          <w:p>
            <w:r>
              <w:t>Transaction, system, model and policy versions.</w:t>
            </w:r>
          </w:p>
        </w:tc>
      </w:tr>
      <w:tr>
        <w:tc>
          <w:tcPr>
            <w:tcW w:type="dxa" w:w="5141"/>
          </w:tcPr>
          <w:p>
            <w:r>
              <w:t>Material context</w:t>
            </w:r>
          </w:p>
        </w:tc>
        <w:tc>
          <w:tcPr>
            <w:tcW w:type="dxa" w:w="5141"/>
          </w:tcPr>
          <w:p>
            <w:r>
              <w:t>Input, relevant features, retrieved sources and constraints.</w:t>
            </w:r>
          </w:p>
        </w:tc>
      </w:tr>
      <w:tr>
        <w:tc>
          <w:tcPr>
            <w:tcW w:type="dxa" w:w="5141"/>
          </w:tcPr>
          <w:p>
            <w:r>
              <w:t>Decision basis</w:t>
            </w:r>
          </w:p>
        </w:tc>
        <w:tc>
          <w:tcPr>
            <w:tcW w:type="dxa" w:w="5141"/>
          </w:tcPr>
          <w:p>
            <w:r>
              <w:t>Rules, reason codes, factors or explanation artifact appropriate to the system.</w:t>
            </w:r>
          </w:p>
        </w:tc>
      </w:tr>
      <w:tr>
        <w:tc>
          <w:tcPr>
            <w:tcW w:type="dxa" w:w="5141"/>
          </w:tcPr>
          <w:p>
            <w:r>
              <w:t>Human role</w:t>
            </w:r>
          </w:p>
        </w:tc>
        <w:tc>
          <w:tcPr>
            <w:tcW w:type="dxa" w:w="5141"/>
          </w:tcPr>
          <w:p>
            <w:r>
              <w:t>Review, override, appeal and approval.</w:t>
            </w:r>
          </w:p>
        </w:tc>
      </w:tr>
      <w:tr>
        <w:tc>
          <w:tcPr>
            <w:tcW w:type="dxa" w:w="5141"/>
          </w:tcPr>
          <w:p>
            <w:r>
              <w:t>Outcome</w:t>
            </w:r>
          </w:p>
        </w:tc>
        <w:tc>
          <w:tcPr>
            <w:tcW w:type="dxa" w:w="5141"/>
          </w:tcPr>
          <w:p>
            <w:r>
              <w:t>Output, action, downstream effect and correction.</w:t>
            </w:r>
          </w:p>
        </w:tc>
      </w:tr>
      <w:tr>
        <w:tc>
          <w:tcPr>
            <w:tcW w:type="dxa" w:w="5141"/>
          </w:tcPr>
          <w:p>
            <w:r>
              <w:t>Limitations</w:t>
            </w:r>
          </w:p>
        </w:tc>
        <w:tc>
          <w:tcPr>
            <w:tcW w:type="dxa" w:w="5141"/>
          </w:tcPr>
          <w:p>
            <w:r>
              <w:t>Uncertainty, unavailable fields, redactions and rationale.</w:t>
            </w:r>
          </w:p>
        </w:tc>
      </w:tr>
    </w:tbl>
    <w:p>
      <w:pPr>
        <w:pStyle w:val="Heading2"/>
      </w:pPr>
      <w:r>
        <w:t>Sample evidence package</w:t>
      </w:r>
    </w:p>
    <w:p>
      <w:r>
        <w:t>Control D1-CTL-01 example: claim—“Model X deployed in Production was trained using approved Dataset Y and Code Version Z.” Evidence may include the model card, dataset lineage record, training manifest, source commit hash, build attestation, registry record and signed deployment approval. Sufficiency remains scope- and risk-dependent.</w:t>
      </w:r>
    </w:p>
    <w:p>
      <w:pPr>
        <w:pStyle w:val="Heading2"/>
      </w:pPr>
      <w:r>
        <w:t>Redaction decision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Field</w:t>
            </w:r>
          </w:p>
        </w:tc>
        <w:tc>
          <w:tcPr>
            <w:tcW w:type="dxa" w:w="5141"/>
            <w:shd w:fill="17324D"/>
            <w:vAlign w:val="center"/>
          </w:tcPr>
          <w:p>
            <w:r>
              <w:rPr>
                <w:b/>
              </w:rPr>
              <w:t>Content</w:t>
            </w:r>
          </w:p>
        </w:tc>
      </w:tr>
      <w:tr>
        <w:tc>
          <w:tcPr>
            <w:tcW w:type="dxa" w:w="5141"/>
          </w:tcPr>
          <w:p>
            <w:r>
              <w:t>Artifact and location</w:t>
            </w:r>
          </w:p>
        </w:tc>
        <w:tc>
          <w:tcPr>
            <w:tcW w:type="dxa" w:w="5141"/>
          </w:tcPr>
          <w:p>
            <w:r>
              <w:t>Evidence identifier and exact portion affected.</w:t>
            </w:r>
          </w:p>
        </w:tc>
      </w:tr>
      <w:tr>
        <w:tc>
          <w:tcPr>
            <w:tcW w:type="dxa" w:w="5141"/>
          </w:tcPr>
          <w:p>
            <w:r>
              <w:t>Reason</w:t>
            </w:r>
          </w:p>
        </w:tc>
        <w:tc>
          <w:tcPr>
            <w:tcW w:type="dxa" w:w="5141"/>
          </w:tcPr>
          <w:p>
            <w:r>
              <w:t>Legal privilege, personal data, security sensitivity, third-party confidentiality or irrelevance.</w:t>
            </w:r>
          </w:p>
        </w:tc>
      </w:tr>
      <w:tr>
        <w:tc>
          <w:tcPr>
            <w:tcW w:type="dxa" w:w="5141"/>
          </w:tcPr>
          <w:p>
            <w:r>
              <w:t>Authority</w:t>
            </w:r>
          </w:p>
        </w:tc>
        <w:tc>
          <w:tcPr>
            <w:tcW w:type="dxa" w:w="5141"/>
          </w:tcPr>
          <w:p>
            <w:r>
              <w:t>Policy, legal basis and approver.</w:t>
            </w:r>
          </w:p>
        </w:tc>
      </w:tr>
      <w:tr>
        <w:tc>
          <w:tcPr>
            <w:tcW w:type="dxa" w:w="5141"/>
          </w:tcPr>
          <w:p>
            <w:r>
              <w:t>Method</w:t>
            </w:r>
          </w:p>
        </w:tc>
        <w:tc>
          <w:tcPr>
            <w:tcW w:type="dxa" w:w="5141"/>
          </w:tcPr>
          <w:p>
            <w:r>
              <w:t>Mask, remove, substitute or controlled unredacted copy.</w:t>
            </w:r>
          </w:p>
        </w:tc>
      </w:tr>
      <w:tr>
        <w:tc>
          <w:tcPr>
            <w:tcW w:type="dxa" w:w="5141"/>
          </w:tcPr>
          <w:p>
            <w:r>
              <w:t>Impact</w:t>
            </w:r>
          </w:p>
        </w:tc>
        <w:tc>
          <w:tcPr>
            <w:tcW w:type="dxa" w:w="5141"/>
          </w:tcPr>
          <w:p>
            <w:r>
              <w:t>Whether the redaction affects the control claim or reviewability.</w:t>
            </w:r>
          </w:p>
        </w:tc>
      </w:tr>
      <w:tr>
        <w:tc>
          <w:tcPr>
            <w:tcW w:type="dxa" w:w="5141"/>
          </w:tcPr>
          <w:p>
            <w:r>
              <w:t>Verification</w:t>
            </w:r>
          </w:p>
        </w:tc>
        <w:tc>
          <w:tcPr>
            <w:tcW w:type="dxa" w:w="5141"/>
          </w:tcPr>
          <w:p>
            <w:r>
              <w:t>Reviewer and date.</w:t>
            </w:r>
          </w:p>
        </w:tc>
      </w:tr>
    </w:tbl>
    <w:p>
      <w:pPr>
        <w:pStyle w:val="Heading2"/>
      </w:pPr>
      <w:r>
        <w:t>Notably Absent — legal and regulatory boundary</w:t>
      </w:r>
    </w:p>
    <w:p>
      <w:pPr>
        <w:pStyle w:val="ListBullet"/>
      </w:pPr>
      <w:r>
        <w:t>No assertion that GAISSF VTSs are regulator-mandated tests.</w:t>
      </w:r>
    </w:p>
    <w:p>
      <w:pPr>
        <w:pStyle w:val="ListBullet"/>
      </w:pPr>
      <w:r>
        <w:t>No universal duty-to-preserve trigger from ordinary evidence collection.</w:t>
      </w:r>
    </w:p>
    <w:p>
      <w:pPr>
        <w:pStyle w:val="ListBullet"/>
      </w:pPr>
      <w:r>
        <w:t>No per-control checklist that supersedes NOR-004 or creates a second control catalogue.</w:t>
      </w:r>
    </w:p>
    <w:p>
      <w:pPr>
        <w:pStyle w:val="Heading1"/>
      </w:pPr>
      <w:r>
        <w:t>Publication revision record</w:t>
      </w:r>
    </w:p>
    <w:tbl>
      <w:tblPr>
        <w:tblStyle w:val="TableGrid"/>
        <w:tblW w:type="auto" w:w="0"/>
        <w:jc w:val="center"/>
        <w:tblLook w:firstColumn="1" w:firstRow="1" w:lastColumn="0" w:lastRow="0" w:noHBand="0" w:noVBand="1" w:val="04A0"/>
      </w:tblPr>
      <w:tblGrid>
        <w:gridCol w:w="5141"/>
        <w:gridCol w:w="5141"/>
      </w:tblGrid>
      <w:tr>
        <w:tc>
          <w:tcPr>
            <w:tcW w:type="dxa" w:w="5141"/>
            <w:shd w:fill="17324D"/>
            <w:vAlign w:val="center"/>
          </w:tcPr>
          <w:p>
            <w:r>
              <w:rPr>
                <w:b/>
              </w:rPr>
              <w:t>Revision</w:t>
            </w:r>
          </w:p>
        </w:tc>
        <w:tc>
          <w:tcPr>
            <w:tcW w:type="dxa" w:w="5141"/>
            <w:shd w:fill="17324D"/>
            <w:vAlign w:val="center"/>
          </w:tcPr>
          <w:p>
            <w:r>
              <w:rPr>
                <w:b/>
              </w:rPr>
              <w:t>Disposition</w:t>
            </w:r>
          </w:p>
        </w:tc>
      </w:tr>
      <w:tr>
        <w:tc>
          <w:tcPr>
            <w:tcW w:type="dxa" w:w="5141"/>
          </w:tcPr>
          <w:p>
            <w:r>
              <w:t>R2 — Regulatory and practitioner refinement</w:t>
            </w:r>
          </w:p>
        </w:tc>
        <w:tc>
          <w:tcPr>
            <w:tcW w:type="dxa" w:w="5141"/>
          </w:tcPr>
          <w:p>
            <w:r>
              <w:t>Added legal and regulatory integration, preservation, reporting, decision-record, public-claim and usability guidance. No normative GAISSF control was added, removed, renamed or amended.</w:t>
            </w:r>
          </w:p>
        </w:tc>
      </w:tr>
      <w:tr>
        <w:tc>
          <w:tcPr>
            <w:tcW w:type="dxa" w:w="5141"/>
          </w:tcPr>
          <w:p>
            <w:r>
              <w:t>Authority boundary</w:t>
            </w:r>
          </w:p>
        </w:tc>
        <w:tc>
          <w:tcPr>
            <w:tcW w:type="dxa" w:w="5141"/>
          </w:tcPr>
          <w:p>
            <w:r>
              <w:t>GAISSF-NOR-001, GAISSF-NOR-004 and controlled profile records remain authoritative.</w:t>
            </w:r>
          </w:p>
        </w:tc>
      </w:tr>
    </w:tbl>
    <w:sectPr w:rsidR="00FC693F" w:rsidRPr="0006063C" w:rsidSect="00034616">
      <w:headerReference w:type="default" r:id="rId9"/>
      <w:footerReference w:type="default" r:id="rId10"/>
      <w:pgSz w:w="12240" w:h="15840"/>
      <w:pgMar w:top="893" w:right="979" w:bottom="893" w:left="9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5"/>
      </w:rPr>
      <w:t xml:space="preserve">Version 1.0 | Implementation guidance | © 2026 ODA3 Pvt Ltd | Page </w:t>
    </w:r>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color w:val="4C6B7A"/>
        <w:sz w:val="16"/>
      </w:rPr>
      <w:t>GAISSF-IMP-017 | GAISSF® v1.0 Evidence Collection Guide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7"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17324D"/>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205B6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7324D"/>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ptos" w:hAnsi="Aptos"/>
      <w:b w:val="0"/>
      <w:i/>
      <w:iCs/>
      <w:color w:val="4C6B7A"/>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60"/>
    </w:pPr>
    <w:rPr>
      <w:rFonts w:ascii="Aptos" w:hAnsi="Aptos"/>
      <w:color w:val="4A5560"/>
      <w:sz w:val="16"/>
    </w:rPr>
  </w:style>
  <w:style w:type="paragraph" w:customStyle="1" w:styleId="EvidencePattern">
    <w:name w:val="Evidence Pattern"/>
    <w:pPr>
      <w:keepNext/>
      <w:spacing w:before="140" w:after="40"/>
    </w:pPr>
    <w:rPr>
      <w:rFonts w:ascii="Aptos" w:hAnsi="Aptos"/>
      <w:b/>
      <w:color w:val="17324D"/>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GAISSF® v1.0 Evidence Collection Guide</dc:title>
  <dc:subject>Artifacts, collection methods, integrity, sampling and assessor readiness</dc:subject>
  <dc:creator>ODA3 Institute</dc:creator>
  <cp:keywords>GAISSF, AI security, AI safety, implementation guidance, ODA3 Institute</cp:keywords>
  <dc:description>Verified and revised publication edition aligned to GAISSF v1.0 authoritative normative sources.</dc:description>
  <cp:lastModifiedBy>ODA3 Institute</cp:lastModifiedBy>
  <cp:revision>1</cp:revision>
  <dcterms:created xsi:type="dcterms:W3CDTF">2013-12-23T23:15:00Z</dcterms:created>
  <dcterms:modified xsi:type="dcterms:W3CDTF">2013-12-23T23:15:00Z</dcterms:modified>
  <cp:category/>
</cp:coreProperties>
</file>