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60"/>
        <w:jc w:val="center"/>
      </w:pPr>
      <w:r>
        <w:rPr>
          <w:b/>
          <w:color w:val="17324D"/>
          <w:sz w:val="60"/>
        </w:rPr>
        <w:t>GAISSF® v1.0</w:t>
      </w:r>
    </w:p>
    <w:p>
      <w:pPr>
        <w:jc w:val="center"/>
      </w:pPr>
      <w:r>
        <w:rPr>
          <w:b/>
          <w:color w:val="205B65"/>
          <w:sz w:val="48"/>
        </w:rPr>
        <w:t>Continuous Improvement Guide</w:t>
      </w:r>
    </w:p>
    <w:p>
      <w:pPr>
        <w:jc w:val="center"/>
      </w:pPr>
      <w:r>
        <w:rPr>
          <w:color w:val="4C6B7A"/>
          <w:sz w:val="23"/>
        </w:rPr>
        <w:t>Program Maturity, Improvement Cycles, Corrective Action and Sustained Evolution</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736"/>
            <w:vAlign w:val="center"/>
            <w:shd w:fill="17324D"/>
          </w:tcPr>
          <w:p>
            <w:pPr>
              <w:spacing w:after="0"/>
            </w:pPr>
            <w:r/>
            <w:r>
              <w:rPr>
                <w:rFonts w:ascii="Aptos" w:hAnsi="Aptos"/>
                <w:b/>
                <w:color w:val="FFFFFF"/>
                <w:sz w:val="15"/>
              </w:rPr>
              <w:t>Field</w:t>
            </w:r>
          </w:p>
        </w:tc>
        <w:tc>
          <w:tcPr>
            <w:tcW w:type="dxa" w:w="6912"/>
            <w:vAlign w:val="center"/>
            <w:shd w:fill="17324D"/>
          </w:tcPr>
          <w:p>
            <w:pPr>
              <w:spacing w:after="0"/>
            </w:pPr>
            <w:r/>
            <w:r>
              <w:rPr>
                <w:rFonts w:ascii="Aptos" w:hAnsi="Aptos"/>
                <w:b/>
                <w:color w:val="FFFFFF"/>
                <w:sz w:val="15"/>
              </w:rPr>
              <w:t>Value</w:t>
            </w:r>
          </w:p>
        </w:tc>
      </w:tr>
      <w:tr>
        <w:trPr>
          <w:cantSplit/>
        </w:trPr>
        <w:tc>
          <w:tcPr>
            <w:tcW w:type="dxa" w:w="2736"/>
            <w:vAlign w:val="center"/>
          </w:tcPr>
          <w:p>
            <w:pPr>
              <w:spacing w:after="0"/>
            </w:pPr>
            <w:r/>
            <w:r>
              <w:rPr>
                <w:rFonts w:ascii="Aptos" w:hAnsi="Aptos"/>
                <w:b w:val="0"/>
                <w:sz w:val="15"/>
              </w:rPr>
              <w:t>Document ID</w:t>
            </w:r>
          </w:p>
        </w:tc>
        <w:tc>
          <w:tcPr>
            <w:tcW w:type="dxa" w:w="6912"/>
            <w:vAlign w:val="center"/>
          </w:tcPr>
          <w:p>
            <w:pPr>
              <w:spacing w:after="0"/>
            </w:pPr>
            <w:r/>
            <w:r>
              <w:rPr>
                <w:rFonts w:ascii="Aptos" w:hAnsi="Aptos"/>
                <w:b w:val="0"/>
                <w:sz w:val="15"/>
              </w:rPr>
              <w:t>GAISSF-IMP-018</w:t>
            </w:r>
          </w:p>
        </w:tc>
      </w:tr>
      <w:tr>
        <w:trPr>
          <w:cantSplit/>
        </w:trPr>
        <w:tc>
          <w:tcPr>
            <w:tcW w:type="dxa" w:w="2736"/>
            <w:vAlign w:val="center"/>
            <w:shd w:fill="F3F6F7"/>
          </w:tcPr>
          <w:p>
            <w:pPr>
              <w:spacing w:after="0"/>
            </w:pPr>
            <w:r/>
            <w:r>
              <w:rPr>
                <w:rFonts w:ascii="Aptos" w:hAnsi="Aptos"/>
                <w:b w:val="0"/>
                <w:sz w:val="15"/>
              </w:rPr>
              <w:t>Version</w:t>
            </w:r>
          </w:p>
        </w:tc>
        <w:tc>
          <w:tcPr>
            <w:tcW w:type="dxa" w:w="6912"/>
            <w:vAlign w:val="center"/>
            <w:shd w:fill="F3F6F7"/>
          </w:tcPr>
          <w:p>
            <w:pPr>
              <w:spacing w:after="0"/>
            </w:pPr>
            <w:r/>
            <w:r>
              <w:rPr>
                <w:rFonts w:ascii="Aptos" w:hAnsi="Aptos"/>
                <w:b w:val="0"/>
                <w:sz w:val="15"/>
              </w:rPr>
              <w:t>1.0</w:t>
            </w:r>
          </w:p>
        </w:tc>
      </w:tr>
      <w:tr>
        <w:trPr>
          <w:cantSplit/>
        </w:trPr>
        <w:tc>
          <w:tcPr>
            <w:tcW w:type="dxa" w:w="2736"/>
            <w:vAlign w:val="center"/>
          </w:tcPr>
          <w:p>
            <w:pPr>
              <w:spacing w:after="0"/>
            </w:pPr>
            <w:r/>
            <w:r>
              <w:rPr>
                <w:rFonts w:ascii="Aptos" w:hAnsi="Aptos"/>
                <w:b w:val="0"/>
                <w:sz w:val="15"/>
              </w:rPr>
              <w:t>Status</w:t>
            </w:r>
          </w:p>
        </w:tc>
        <w:tc>
          <w:tcPr>
            <w:tcW w:type="dxa" w:w="6912"/>
            <w:vAlign w:val="center"/>
          </w:tcPr>
          <w:p>
            <w:pPr>
              <w:spacing w:after="0"/>
            </w:pPr>
            <w:r/>
            <w:r>
              <w:rPr>
                <w:rFonts w:ascii="Aptos" w:hAnsi="Aptos"/>
                <w:b w:val="0"/>
                <w:sz w:val="15"/>
              </w:rPr>
              <w:t>Final Publication Edition</w:t>
            </w:r>
          </w:p>
        </w:tc>
      </w:tr>
      <w:tr>
        <w:trPr>
          <w:cantSplit/>
        </w:trPr>
        <w:tc>
          <w:tcPr>
            <w:tcW w:type="dxa" w:w="2736"/>
            <w:vAlign w:val="center"/>
            <w:shd w:fill="F3F6F7"/>
          </w:tcPr>
          <w:p>
            <w:pPr>
              <w:spacing w:after="0"/>
            </w:pPr>
            <w:r/>
            <w:r>
              <w:rPr>
                <w:rFonts w:ascii="Aptos" w:hAnsi="Aptos"/>
                <w:b w:val="0"/>
                <w:sz w:val="15"/>
              </w:rPr>
              <w:t>Classification</w:t>
            </w:r>
          </w:p>
        </w:tc>
        <w:tc>
          <w:tcPr>
            <w:tcW w:type="dxa" w:w="6912"/>
            <w:vAlign w:val="center"/>
            <w:shd w:fill="F3F6F7"/>
          </w:tcPr>
          <w:p>
            <w:pPr>
              <w:spacing w:after="0"/>
            </w:pPr>
            <w:r/>
            <w:r>
              <w:rPr>
                <w:rFonts w:ascii="Aptos" w:hAnsi="Aptos"/>
                <w:b w:val="0"/>
                <w:sz w:val="15"/>
              </w:rPr>
              <w:t>Implementation guidance — informative</w:t>
            </w:r>
          </w:p>
        </w:tc>
      </w:tr>
      <w:tr>
        <w:trPr>
          <w:cantSplit/>
        </w:trPr>
        <w:tc>
          <w:tcPr>
            <w:tcW w:type="dxa" w:w="2736"/>
            <w:vAlign w:val="center"/>
          </w:tcPr>
          <w:p>
            <w:pPr>
              <w:spacing w:after="0"/>
            </w:pPr>
            <w:r/>
            <w:r>
              <w:rPr>
                <w:rFonts w:ascii="Aptos" w:hAnsi="Aptos"/>
                <w:b w:val="0"/>
                <w:sz w:val="15"/>
              </w:rPr>
              <w:t>Publisher</w:t>
            </w:r>
          </w:p>
        </w:tc>
        <w:tc>
          <w:tcPr>
            <w:tcW w:type="dxa" w:w="6912"/>
            <w:vAlign w:val="center"/>
          </w:tcPr>
          <w:p>
            <w:pPr>
              <w:spacing w:after="0"/>
            </w:pPr>
            <w:r/>
            <w:r>
              <w:rPr>
                <w:rFonts w:ascii="Aptos" w:hAnsi="Aptos"/>
                <w:b w:val="0"/>
                <w:sz w:val="15"/>
              </w:rPr>
              <w:t>ODA3 Institute</w:t>
            </w:r>
          </w:p>
        </w:tc>
      </w:tr>
      <w:tr>
        <w:trPr>
          <w:cantSplit/>
        </w:trPr>
        <w:tc>
          <w:tcPr>
            <w:tcW w:type="dxa" w:w="2736"/>
            <w:vAlign w:val="center"/>
            <w:shd w:fill="F3F6F7"/>
          </w:tcPr>
          <w:p>
            <w:pPr>
              <w:spacing w:after="0"/>
            </w:pPr>
            <w:r/>
            <w:r>
              <w:rPr>
                <w:rFonts w:ascii="Aptos" w:hAnsi="Aptos"/>
                <w:b w:val="0"/>
                <w:sz w:val="15"/>
              </w:rPr>
              <w:t>Legal entity</w:t>
            </w:r>
          </w:p>
        </w:tc>
        <w:tc>
          <w:tcPr>
            <w:tcW w:type="dxa" w:w="6912"/>
            <w:vAlign w:val="center"/>
            <w:shd w:fill="F3F6F7"/>
          </w:tcPr>
          <w:p>
            <w:pPr>
              <w:spacing w:after="0"/>
            </w:pPr>
            <w:r/>
            <w:r>
              <w:rPr>
                <w:rFonts w:ascii="Aptos" w:hAnsi="Aptos"/>
                <w:b w:val="0"/>
                <w:sz w:val="15"/>
              </w:rPr>
              <w:t>ODA3 Pvt Ltd</w:t>
            </w:r>
          </w:p>
        </w:tc>
      </w:tr>
      <w:tr>
        <w:trPr>
          <w:cantSplit/>
        </w:trPr>
        <w:tc>
          <w:tcPr>
            <w:tcW w:type="dxa" w:w="2736"/>
            <w:vAlign w:val="center"/>
          </w:tcPr>
          <w:p>
            <w:pPr>
              <w:spacing w:after="0"/>
            </w:pPr>
            <w:r/>
            <w:r>
              <w:rPr>
                <w:rFonts w:ascii="Aptos" w:hAnsi="Aptos"/>
                <w:b w:val="0"/>
                <w:sz w:val="15"/>
              </w:rPr>
              <w:t>Authoritative normative source</w:t>
            </w:r>
          </w:p>
        </w:tc>
        <w:tc>
          <w:tcPr>
            <w:tcW w:type="dxa" w:w="6912"/>
            <w:vAlign w:val="center"/>
          </w:tcPr>
          <w:p>
            <w:pPr>
              <w:spacing w:after="0"/>
            </w:pPr>
            <w:r/>
            <w:r>
              <w:rPr>
                <w:rFonts w:ascii="Aptos" w:hAnsi="Aptos"/>
                <w:b w:val="0"/>
                <w:sz w:val="15"/>
              </w:rPr>
              <w:t>GAISSF-NOR-001</w:t>
            </w:r>
          </w:p>
        </w:tc>
      </w:tr>
      <w:tr>
        <w:trPr>
          <w:cantSplit/>
        </w:trPr>
        <w:tc>
          <w:tcPr>
            <w:tcW w:type="dxa" w:w="2736"/>
            <w:vAlign w:val="center"/>
            <w:shd w:fill="F3F6F7"/>
          </w:tcPr>
          <w:p>
            <w:pPr>
              <w:spacing w:after="0"/>
            </w:pPr>
            <w:r/>
            <w:r>
              <w:rPr>
                <w:rFonts w:ascii="Aptos" w:hAnsi="Aptos"/>
                <w:b w:val="0"/>
                <w:sz w:val="15"/>
              </w:rPr>
              <w:t>Control baseline</w:t>
            </w:r>
          </w:p>
        </w:tc>
        <w:tc>
          <w:tcPr>
            <w:tcW w:type="dxa" w:w="6912"/>
            <w:vAlign w:val="center"/>
            <w:shd w:fill="F3F6F7"/>
          </w:tcPr>
          <w:p>
            <w:pPr>
              <w:spacing w:after="0"/>
            </w:pPr>
            <w:r/>
            <w:r>
              <w:rPr>
                <w:rFonts w:ascii="Aptos" w:hAnsi="Aptos"/>
                <w:b w:val="0"/>
                <w:sz w:val="15"/>
              </w:rPr>
              <w:t>59 controls across nine domains</w:t>
            </w:r>
          </w:p>
        </w:tc>
      </w:tr>
      <w:tr>
        <w:trPr>
          <w:cantSplit/>
        </w:trPr>
        <w:tc>
          <w:tcPr>
            <w:tcW w:type="dxa" w:w="2736"/>
            <w:vAlign w:val="center"/>
          </w:tcPr>
          <w:p>
            <w:pPr>
              <w:spacing w:after="0"/>
            </w:pPr>
            <w:r/>
            <w:r>
              <w:rPr>
                <w:rFonts w:ascii="Aptos" w:hAnsi="Aptos"/>
                <w:b w:val="0"/>
                <w:sz w:val="15"/>
              </w:rPr>
              <w:t>Publication date</w:t>
            </w:r>
          </w:p>
        </w:tc>
        <w:tc>
          <w:tcPr>
            <w:tcW w:type="dxa" w:w="6912"/>
            <w:vAlign w:val="center"/>
          </w:tcPr>
          <w:p>
            <w:pPr>
              <w:spacing w:after="0"/>
            </w:pPr>
            <w:r/>
            <w:r>
              <w:rPr>
                <w:rFonts w:ascii="Aptos" w:hAnsi="Aptos"/>
                <w:b w:val="0"/>
                <w:sz w:val="15"/>
              </w:rPr>
              <w:t>29 June 2026</w:t>
            </w:r>
          </w:p>
        </w:tc>
      </w:tr>
    </w:tbl>
    <w:p/>
    <w:p>
      <w:pPr>
        <w:pStyle w:val="SmallNote"/>
        <w:jc w:val="center"/>
      </w:pPr>
      <w:r>
        <w:t>This guide explains how to improve GAISSF governance, controls, evidence and operating maturity over time. It does not replace normative requirements or permit maturity scores to compensate for unmet mandatory controls.</w:t>
      </w:r>
    </w:p>
    <w:p>
      <w:r/>
    </w:p>
    <w:p>
      <w:pPr>
        <w:pStyle w:val="Heading1"/>
      </w:pPr>
      <w:r>
        <w:t>Document Control</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592"/>
            <w:vAlign w:val="center"/>
            <w:shd w:fill="17324D"/>
          </w:tcPr>
          <w:p>
            <w:pPr>
              <w:spacing w:after="0"/>
            </w:pPr>
            <w:r/>
            <w:r>
              <w:rPr>
                <w:rFonts w:ascii="Aptos" w:hAnsi="Aptos"/>
                <w:b/>
                <w:color w:val="FFFFFF"/>
                <w:sz w:val="15"/>
              </w:rPr>
              <w:t>Attribute</w:t>
            </w:r>
          </w:p>
        </w:tc>
        <w:tc>
          <w:tcPr>
            <w:tcW w:type="dxa" w:w="7056"/>
            <w:vAlign w:val="center"/>
            <w:shd w:fill="17324D"/>
          </w:tcPr>
          <w:p>
            <w:pPr>
              <w:spacing w:after="0"/>
            </w:pPr>
            <w:r/>
            <w:r>
              <w:rPr>
                <w:rFonts w:ascii="Aptos" w:hAnsi="Aptos"/>
                <w:b/>
                <w:color w:val="FFFFFF"/>
                <w:sz w:val="15"/>
              </w:rPr>
              <w:t>Controlled value</w:t>
            </w:r>
          </w:p>
        </w:tc>
      </w:tr>
      <w:tr>
        <w:trPr>
          <w:cantSplit/>
        </w:trPr>
        <w:tc>
          <w:tcPr>
            <w:tcW w:type="dxa" w:w="2592"/>
            <w:vAlign w:val="center"/>
          </w:tcPr>
          <w:p>
            <w:pPr>
              <w:spacing w:after="0"/>
            </w:pPr>
            <w:r/>
            <w:r>
              <w:rPr>
                <w:rFonts w:ascii="Aptos" w:hAnsi="Aptos"/>
                <w:b w:val="0"/>
                <w:sz w:val="15"/>
              </w:rPr>
              <w:t>Title</w:t>
            </w:r>
          </w:p>
        </w:tc>
        <w:tc>
          <w:tcPr>
            <w:tcW w:type="dxa" w:w="7056"/>
            <w:vAlign w:val="center"/>
          </w:tcPr>
          <w:p>
            <w:pPr>
              <w:spacing w:after="0"/>
            </w:pPr>
            <w:r/>
            <w:r>
              <w:rPr>
                <w:rFonts w:ascii="Aptos" w:hAnsi="Aptos"/>
                <w:b w:val="0"/>
                <w:sz w:val="15"/>
              </w:rPr>
              <w:t>GAISSF® v1.0 Continuous Improvement Guide</w:t>
            </w:r>
          </w:p>
        </w:tc>
      </w:tr>
      <w:tr>
        <w:trPr>
          <w:cantSplit/>
        </w:trPr>
        <w:tc>
          <w:tcPr>
            <w:tcW w:type="dxa" w:w="2592"/>
            <w:vAlign w:val="center"/>
            <w:shd w:fill="F3F6F7"/>
          </w:tcPr>
          <w:p>
            <w:pPr>
              <w:spacing w:after="0"/>
            </w:pPr>
            <w:r/>
            <w:r>
              <w:rPr>
                <w:rFonts w:ascii="Aptos" w:hAnsi="Aptos"/>
                <w:b w:val="0"/>
                <w:sz w:val="15"/>
              </w:rPr>
              <w:t>Document ID</w:t>
            </w:r>
          </w:p>
        </w:tc>
        <w:tc>
          <w:tcPr>
            <w:tcW w:type="dxa" w:w="7056"/>
            <w:vAlign w:val="center"/>
            <w:shd w:fill="F3F6F7"/>
          </w:tcPr>
          <w:p>
            <w:pPr>
              <w:spacing w:after="0"/>
            </w:pPr>
            <w:r/>
            <w:r>
              <w:rPr>
                <w:rFonts w:ascii="Aptos" w:hAnsi="Aptos"/>
                <w:b w:val="0"/>
                <w:sz w:val="15"/>
              </w:rPr>
              <w:t>GAISSF-IMP-018</w:t>
            </w:r>
          </w:p>
        </w:tc>
      </w:tr>
      <w:tr>
        <w:trPr>
          <w:cantSplit/>
        </w:trPr>
        <w:tc>
          <w:tcPr>
            <w:tcW w:type="dxa" w:w="2592"/>
            <w:vAlign w:val="center"/>
          </w:tcPr>
          <w:p>
            <w:pPr>
              <w:spacing w:after="0"/>
            </w:pPr>
            <w:r/>
            <w:r>
              <w:rPr>
                <w:rFonts w:ascii="Aptos" w:hAnsi="Aptos"/>
                <w:b w:val="0"/>
                <w:sz w:val="15"/>
              </w:rPr>
              <w:t>Purpose</w:t>
            </w:r>
          </w:p>
        </w:tc>
        <w:tc>
          <w:tcPr>
            <w:tcW w:type="dxa" w:w="7056"/>
            <w:vAlign w:val="center"/>
          </w:tcPr>
          <w:p>
            <w:pPr>
              <w:spacing w:after="0"/>
            </w:pPr>
            <w:r/>
            <w:r>
              <w:rPr>
                <w:rFonts w:ascii="Aptos" w:hAnsi="Aptos"/>
                <w:b w:val="0"/>
                <w:sz w:val="15"/>
              </w:rPr>
              <w:t>Provide a complete method for assessing maturity, prioritizing improvements, implementing corrective and preventive action, and sustaining GAISSF performance</w:t>
            </w:r>
          </w:p>
        </w:tc>
      </w:tr>
      <w:tr>
        <w:trPr>
          <w:cantSplit/>
        </w:trPr>
        <w:tc>
          <w:tcPr>
            <w:tcW w:type="dxa" w:w="2592"/>
            <w:vAlign w:val="center"/>
            <w:shd w:fill="F3F6F7"/>
          </w:tcPr>
          <w:p>
            <w:pPr>
              <w:spacing w:after="0"/>
            </w:pPr>
            <w:r/>
            <w:r>
              <w:rPr>
                <w:rFonts w:ascii="Aptos" w:hAnsi="Aptos"/>
                <w:b w:val="0"/>
                <w:sz w:val="15"/>
              </w:rPr>
              <w:t>Primary audience</w:t>
            </w:r>
          </w:p>
        </w:tc>
        <w:tc>
          <w:tcPr>
            <w:tcW w:type="dxa" w:w="7056"/>
            <w:vAlign w:val="center"/>
            <w:shd w:fill="F3F6F7"/>
          </w:tcPr>
          <w:p>
            <w:pPr>
              <w:spacing w:after="0"/>
            </w:pPr>
            <w:r/>
            <w:r>
              <w:rPr>
                <w:rFonts w:ascii="Aptos" w:hAnsi="Aptos"/>
                <w:b w:val="0"/>
                <w:sz w:val="15"/>
              </w:rPr>
              <w:t>Executive sponsors, program leads, control owners, risk, internal audit, MLOps, security operations, safety teams, compliance and certification stakeholders</w:t>
            </w:r>
          </w:p>
        </w:tc>
      </w:tr>
      <w:tr>
        <w:trPr>
          <w:cantSplit/>
        </w:trPr>
        <w:tc>
          <w:tcPr>
            <w:tcW w:type="dxa" w:w="2592"/>
            <w:vAlign w:val="center"/>
          </w:tcPr>
          <w:p>
            <w:pPr>
              <w:spacing w:after="0"/>
            </w:pPr>
            <w:r/>
            <w:r>
              <w:rPr>
                <w:rFonts w:ascii="Aptos" w:hAnsi="Aptos"/>
                <w:b w:val="0"/>
                <w:sz w:val="15"/>
              </w:rPr>
              <w:t>Dependencies</w:t>
            </w:r>
          </w:p>
        </w:tc>
        <w:tc>
          <w:tcPr>
            <w:tcW w:type="dxa" w:w="7056"/>
            <w:vAlign w:val="center"/>
          </w:tcPr>
          <w:p>
            <w:pPr>
              <w:spacing w:after="0"/>
            </w:pPr>
            <w:r/>
            <w:r>
              <w:rPr>
                <w:rFonts w:ascii="Aptos" w:hAnsi="Aptos"/>
                <w:b w:val="0"/>
                <w:sz w:val="15"/>
              </w:rPr>
              <w:t>GAISSF-NOR-001 through GAISSF-NOR-008 and GAISSF-IMP-009 through GAISSF-IMP-017</w:t>
            </w:r>
          </w:p>
        </w:tc>
      </w:tr>
      <w:tr>
        <w:trPr>
          <w:cantSplit/>
        </w:trPr>
        <w:tc>
          <w:tcPr>
            <w:tcW w:type="dxa" w:w="2592"/>
            <w:vAlign w:val="center"/>
            <w:shd w:fill="F3F6F7"/>
          </w:tcPr>
          <w:p>
            <w:pPr>
              <w:spacing w:after="0"/>
            </w:pPr>
            <w:r/>
            <w:r>
              <w:rPr>
                <w:rFonts w:ascii="Aptos" w:hAnsi="Aptos"/>
                <w:b w:val="0"/>
                <w:sz w:val="15"/>
              </w:rPr>
              <w:t>Classification</w:t>
            </w:r>
          </w:p>
        </w:tc>
        <w:tc>
          <w:tcPr>
            <w:tcW w:type="dxa" w:w="7056"/>
            <w:vAlign w:val="center"/>
            <w:shd w:fill="F3F6F7"/>
          </w:tcPr>
          <w:p>
            <w:pPr>
              <w:spacing w:after="0"/>
            </w:pPr>
            <w:r/>
            <w:r>
              <w:rPr>
                <w:rFonts w:ascii="Aptos" w:hAnsi="Aptos"/>
                <w:b w:val="0"/>
                <w:sz w:val="15"/>
              </w:rPr>
              <w:t>Informative implementation guidance</w:t>
            </w:r>
          </w:p>
        </w:tc>
      </w:tr>
      <w:tr>
        <w:trPr>
          <w:cantSplit/>
        </w:trPr>
        <w:tc>
          <w:tcPr>
            <w:tcW w:type="dxa" w:w="2592"/>
            <w:vAlign w:val="center"/>
          </w:tcPr>
          <w:p>
            <w:pPr>
              <w:spacing w:after="0"/>
            </w:pPr>
            <w:r/>
            <w:r>
              <w:rPr>
                <w:rFonts w:ascii="Aptos" w:hAnsi="Aptos"/>
                <w:b w:val="0"/>
                <w:sz w:val="15"/>
              </w:rPr>
              <w:t>Precedence</w:t>
            </w:r>
          </w:p>
        </w:tc>
        <w:tc>
          <w:tcPr>
            <w:tcW w:type="dxa" w:w="7056"/>
            <w:vAlign w:val="center"/>
          </w:tcPr>
          <w:p>
            <w:pPr>
              <w:spacing w:after="0"/>
            </w:pPr>
            <w:r/>
            <w:r>
              <w:rPr>
                <w:rFonts w:ascii="Aptos" w:hAnsi="Aptos"/>
                <w:b w:val="0"/>
                <w:sz w:val="15"/>
              </w:rPr>
              <w:t>GAISSF-NOR-001 and GAISSF-NOR-004 prevail</w:t>
            </w:r>
          </w:p>
        </w:tc>
      </w:tr>
      <w:tr>
        <w:trPr>
          <w:cantSplit/>
        </w:trPr>
        <w:tc>
          <w:tcPr>
            <w:tcW w:type="dxa" w:w="2592"/>
            <w:vAlign w:val="center"/>
            <w:shd w:fill="F3F6F7"/>
          </w:tcPr>
          <w:p>
            <w:pPr>
              <w:spacing w:after="0"/>
            </w:pPr>
            <w:r/>
            <w:r>
              <w:rPr>
                <w:rFonts w:ascii="Aptos" w:hAnsi="Aptos"/>
                <w:b w:val="0"/>
                <w:sz w:val="15"/>
              </w:rPr>
              <w:t>Distribution</w:t>
            </w:r>
          </w:p>
        </w:tc>
        <w:tc>
          <w:tcPr>
            <w:tcW w:type="dxa" w:w="7056"/>
            <w:vAlign w:val="center"/>
            <w:shd w:fill="F3F6F7"/>
          </w:tcPr>
          <w:p>
            <w:pPr>
              <w:spacing w:after="0"/>
            </w:pPr>
            <w:r/>
            <w:r>
              <w:rPr>
                <w:rFonts w:ascii="Aptos" w:hAnsi="Aptos"/>
                <w:b w:val="0"/>
                <w:sz w:val="15"/>
              </w:rPr>
              <w:t>Public — Website and GitHub</w:t>
            </w:r>
          </w:p>
        </w:tc>
      </w:tr>
    </w:tbl>
    <w:p/>
    <w:p>
      <w:pPr>
        <w:pStyle w:val="Heading1"/>
      </w:pPr>
      <w:r>
        <w:t>Legal and Reliance Notice</w:t>
      </w:r>
    </w:p>
    <w:p>
      <w:r>
        <w:t>© 2026 ODA3 Pvt Ltd. Published market-facing by ODA3 Institute.</w:t>
      </w:r>
    </w:p>
    <w:p>
      <w:r>
        <w:t>GAISSF® is used as a framework mark. Third-party names and marks remain the property of their respective owners.</w:t>
      </w:r>
    </w:p>
    <w:p>
      <w:r>
        <w:t>This guide does not constitute legal, regulatory, safety, engineering, certification or audit advice.</w:t>
      </w:r>
      <w:r>
        <w:t xml:space="preserve"> It does not create a legal safe harbour, establish a legal standard of care, or determine statutory compliance in any jurisdiction.</w:t>
      </w:r>
    </w:p>
    <w:p>
      <w:r>
        <w:t>Improvement maturity does not substitute for conformance. A sophisticated program may still be nonconforming where a mandatory control is absent or ineffective.</w:t>
      </w:r>
    </w:p>
    <w:p>
      <w:pPr>
        <w:pStyle w:val="Heading1"/>
      </w:pPr>
      <w:r>
        <w:t>1. Purpose and Scope</w:t>
      </w:r>
    </w:p>
    <w:p>
      <w:r>
        <w:t>This guide defines a structured approach for improving GAISSF implementation after initial adoption. It covers maturity assessment, performance review, root-cause analysis, corrective and preventive action, portfolio prioritization, roadmap governance, management review, lessons learned, benchmarking, innovation control and release-driven improvement.</w:t>
      </w:r>
    </w:p>
    <w:p>
      <w:r>
        <w:t>It applies to all GAISSF profiles and to organizational, system, platform, supplier and certification scopes. The method is intended to strengthen both conformance and operational effectiveness without creating a parallel improvement bureaucracy.</w:t>
      </w:r>
    </w:p>
    <w:p>
      <w:pPr>
        <w:pStyle w:val="Heading1"/>
      </w:pPr>
      <w:r>
        <w:t>2. Improvement Principles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880"/>
            <w:vAlign w:val="center"/>
            <w:shd w:fill="17324D"/>
          </w:tcPr>
          <w:p>
            <w:pPr>
              <w:spacing w:after="0"/>
            </w:pPr>
            <w:r/>
            <w:r>
              <w:rPr>
                <w:rFonts w:ascii="Aptos" w:hAnsi="Aptos"/>
                <w:b/>
                <w:color w:val="FFFFFF"/>
                <w:sz w:val="15"/>
              </w:rPr>
              <w:t>Principle</w:t>
            </w:r>
          </w:p>
        </w:tc>
        <w:tc>
          <w:tcPr>
            <w:tcW w:type="dxa" w:w="6768"/>
            <w:vAlign w:val="center"/>
            <w:shd w:fill="17324D"/>
          </w:tcPr>
          <w:p>
            <w:pPr>
              <w:spacing w:after="0"/>
            </w:pPr>
            <w:r/>
            <w:r>
              <w:rPr>
                <w:rFonts w:ascii="Aptos" w:hAnsi="Aptos"/>
                <w:b/>
                <w:color w:val="FFFFFF"/>
                <w:sz w:val="15"/>
              </w:rPr>
              <w:t>Operational meaning</w:t>
            </w:r>
          </w:p>
        </w:tc>
      </w:tr>
      <w:tr>
        <w:trPr>
          <w:cantSplit/>
        </w:trPr>
        <w:tc>
          <w:tcPr>
            <w:tcW w:type="dxa" w:w="2880"/>
            <w:vAlign w:val="center"/>
          </w:tcPr>
          <w:p>
            <w:pPr>
              <w:spacing w:after="0"/>
            </w:pPr>
            <w:r/>
            <w:r>
              <w:rPr>
                <w:rFonts w:ascii="Aptos" w:hAnsi="Aptos"/>
                <w:b w:val="0"/>
                <w:sz w:val="15"/>
              </w:rPr>
              <w:t>Conformance first</w:t>
            </w:r>
          </w:p>
        </w:tc>
        <w:tc>
          <w:tcPr>
            <w:tcW w:type="dxa" w:w="6768"/>
            <w:vAlign w:val="center"/>
          </w:tcPr>
          <w:p>
            <w:pPr>
              <w:spacing w:after="0"/>
            </w:pPr>
            <w:r/>
            <w:r>
              <w:rPr>
                <w:rFonts w:ascii="Aptos" w:hAnsi="Aptos"/>
                <w:b w:val="0"/>
                <w:sz w:val="15"/>
              </w:rPr>
              <w:t>Mandatory control gaps are corrected before cosmetic maturity improvements.</w:t>
            </w:r>
          </w:p>
        </w:tc>
      </w:tr>
      <w:tr>
        <w:trPr>
          <w:cantSplit/>
        </w:trPr>
        <w:tc>
          <w:tcPr>
            <w:tcW w:type="dxa" w:w="2880"/>
            <w:vAlign w:val="center"/>
            <w:shd w:fill="F3F6F7"/>
          </w:tcPr>
          <w:p>
            <w:pPr>
              <w:spacing w:after="0"/>
            </w:pPr>
            <w:r/>
            <w:r>
              <w:rPr>
                <w:rFonts w:ascii="Aptos" w:hAnsi="Aptos"/>
                <w:b w:val="0"/>
                <w:sz w:val="15"/>
              </w:rPr>
              <w:t>Evidence before opinion</w:t>
            </w:r>
          </w:p>
        </w:tc>
        <w:tc>
          <w:tcPr>
            <w:tcW w:type="dxa" w:w="6768"/>
            <w:vAlign w:val="center"/>
            <w:shd w:fill="F3F6F7"/>
          </w:tcPr>
          <w:p>
            <w:pPr>
              <w:spacing w:after="0"/>
            </w:pPr>
            <w:r/>
            <w:r>
              <w:rPr>
                <w:rFonts w:ascii="Aptos" w:hAnsi="Aptos"/>
                <w:b w:val="0"/>
                <w:sz w:val="15"/>
              </w:rPr>
              <w:t>Improvement priorities are based on incidents, metrics, tests, findings and operating evidence.</w:t>
            </w:r>
          </w:p>
        </w:tc>
      </w:tr>
      <w:tr>
        <w:trPr>
          <w:cantSplit/>
        </w:trPr>
        <w:tc>
          <w:tcPr>
            <w:tcW w:type="dxa" w:w="2880"/>
            <w:vAlign w:val="center"/>
          </w:tcPr>
          <w:p>
            <w:pPr>
              <w:spacing w:after="0"/>
            </w:pPr>
            <w:r/>
            <w:r>
              <w:rPr>
                <w:rFonts w:ascii="Aptos" w:hAnsi="Aptos"/>
                <w:b w:val="0"/>
                <w:sz w:val="15"/>
              </w:rPr>
              <w:t>Risk-weighted prioritization</w:t>
            </w:r>
          </w:p>
        </w:tc>
        <w:tc>
          <w:tcPr>
            <w:tcW w:type="dxa" w:w="6768"/>
            <w:vAlign w:val="center"/>
          </w:tcPr>
          <w:p>
            <w:pPr>
              <w:spacing w:after="0"/>
            </w:pPr>
            <w:r/>
            <w:r>
              <w:rPr>
                <w:rFonts w:ascii="Aptos" w:hAnsi="Aptos"/>
                <w:b w:val="0"/>
                <w:sz w:val="15"/>
              </w:rPr>
              <w:t>Work is ranked by potential harm, exposure and dependency, not by visibility or convenience.</w:t>
            </w:r>
          </w:p>
        </w:tc>
      </w:tr>
      <w:tr>
        <w:trPr>
          <w:cantSplit/>
        </w:trPr>
        <w:tc>
          <w:tcPr>
            <w:tcW w:type="dxa" w:w="2880"/>
            <w:vAlign w:val="center"/>
            <w:shd w:fill="F3F6F7"/>
          </w:tcPr>
          <w:p>
            <w:pPr>
              <w:spacing w:after="0"/>
            </w:pPr>
            <w:r/>
            <w:r>
              <w:rPr>
                <w:rFonts w:ascii="Aptos" w:hAnsi="Aptos"/>
                <w:b w:val="0"/>
                <w:sz w:val="15"/>
              </w:rPr>
              <w:t>Root cause over symptom</w:t>
            </w:r>
          </w:p>
        </w:tc>
        <w:tc>
          <w:tcPr>
            <w:tcW w:type="dxa" w:w="6768"/>
            <w:vAlign w:val="center"/>
            <w:shd w:fill="F3F6F7"/>
          </w:tcPr>
          <w:p>
            <w:pPr>
              <w:spacing w:after="0"/>
            </w:pPr>
            <w:r/>
            <w:r>
              <w:rPr>
                <w:rFonts w:ascii="Aptos" w:hAnsi="Aptos"/>
                <w:b w:val="0"/>
                <w:sz w:val="15"/>
              </w:rPr>
              <w:t>Corrective action addresses systemic causes rather than repeatedly patching outputs.</w:t>
            </w:r>
          </w:p>
        </w:tc>
      </w:tr>
      <w:tr>
        <w:trPr>
          <w:cantSplit/>
        </w:trPr>
        <w:tc>
          <w:tcPr>
            <w:tcW w:type="dxa" w:w="2880"/>
            <w:vAlign w:val="center"/>
          </w:tcPr>
          <w:p>
            <w:pPr>
              <w:spacing w:after="0"/>
            </w:pPr>
            <w:r/>
            <w:r>
              <w:rPr>
                <w:rFonts w:ascii="Aptos" w:hAnsi="Aptos"/>
                <w:b w:val="0"/>
                <w:sz w:val="15"/>
              </w:rPr>
              <w:t>Small validated changes</w:t>
            </w:r>
          </w:p>
        </w:tc>
        <w:tc>
          <w:tcPr>
            <w:tcW w:type="dxa" w:w="6768"/>
            <w:vAlign w:val="center"/>
          </w:tcPr>
          <w:p>
            <w:pPr>
              <w:spacing w:after="0"/>
            </w:pPr>
            <w:r/>
            <w:r>
              <w:rPr>
                <w:rFonts w:ascii="Aptos" w:hAnsi="Aptos"/>
                <w:b w:val="0"/>
                <w:sz w:val="15"/>
              </w:rPr>
              <w:t>Improvements are implemented in controlled increments with measurable success criteria.</w:t>
            </w:r>
          </w:p>
        </w:tc>
      </w:tr>
      <w:tr>
        <w:trPr>
          <w:cantSplit/>
        </w:trPr>
        <w:tc>
          <w:tcPr>
            <w:tcW w:type="dxa" w:w="2880"/>
            <w:vAlign w:val="center"/>
            <w:shd w:fill="F3F6F7"/>
          </w:tcPr>
          <w:p>
            <w:pPr>
              <w:spacing w:after="0"/>
            </w:pPr>
            <w:r/>
            <w:r>
              <w:rPr>
                <w:rFonts w:ascii="Aptos" w:hAnsi="Aptos"/>
                <w:b w:val="0"/>
                <w:sz w:val="15"/>
              </w:rPr>
              <w:t>No silent trade-offs</w:t>
            </w:r>
          </w:p>
        </w:tc>
        <w:tc>
          <w:tcPr>
            <w:tcW w:type="dxa" w:w="6768"/>
            <w:vAlign w:val="center"/>
            <w:shd w:fill="F3F6F7"/>
          </w:tcPr>
          <w:p>
            <w:pPr>
              <w:spacing w:after="0"/>
            </w:pPr>
            <w:r/>
            <w:r>
              <w:rPr>
                <w:rFonts w:ascii="Aptos" w:hAnsi="Aptos"/>
                <w:b w:val="0"/>
                <w:sz w:val="15"/>
              </w:rPr>
              <w:t>Cost, performance, usability and risk trade-offs are documented and approved.</w:t>
            </w:r>
          </w:p>
        </w:tc>
      </w:tr>
      <w:tr>
        <w:trPr>
          <w:cantSplit/>
        </w:trPr>
        <w:tc>
          <w:tcPr>
            <w:tcW w:type="dxa" w:w="2880"/>
            <w:vAlign w:val="center"/>
          </w:tcPr>
          <w:p>
            <w:pPr>
              <w:spacing w:after="0"/>
            </w:pPr>
            <w:r/>
            <w:r>
              <w:rPr>
                <w:rFonts w:ascii="Aptos" w:hAnsi="Aptos"/>
                <w:b w:val="0"/>
                <w:sz w:val="15"/>
              </w:rPr>
              <w:t>Learning is cross-system</w:t>
            </w:r>
          </w:p>
        </w:tc>
        <w:tc>
          <w:tcPr>
            <w:tcW w:type="dxa" w:w="6768"/>
            <w:vAlign w:val="center"/>
          </w:tcPr>
          <w:p>
            <w:pPr>
              <w:spacing w:after="0"/>
            </w:pPr>
            <w:r/>
            <w:r>
              <w:rPr>
                <w:rFonts w:ascii="Aptos" w:hAnsi="Aptos"/>
                <w:b w:val="0"/>
                <w:sz w:val="15"/>
              </w:rPr>
              <w:t>Lessons from one system are evaluated for relevance to other systems and suppliers.</w:t>
            </w:r>
          </w:p>
        </w:tc>
      </w:tr>
      <w:tr>
        <w:trPr>
          <w:cantSplit/>
        </w:trPr>
        <w:tc>
          <w:tcPr>
            <w:tcW w:type="dxa" w:w="2880"/>
            <w:vAlign w:val="center"/>
            <w:shd w:fill="F3F6F7"/>
          </w:tcPr>
          <w:p>
            <w:pPr>
              <w:spacing w:after="0"/>
            </w:pPr>
            <w:r/>
            <w:r>
              <w:rPr>
                <w:rFonts w:ascii="Aptos" w:hAnsi="Aptos"/>
                <w:b w:val="0"/>
                <w:sz w:val="15"/>
              </w:rPr>
              <w:t>Negative evidence is retained</w:t>
            </w:r>
          </w:p>
        </w:tc>
        <w:tc>
          <w:tcPr>
            <w:tcW w:type="dxa" w:w="6768"/>
            <w:vAlign w:val="center"/>
            <w:shd w:fill="F3F6F7"/>
          </w:tcPr>
          <w:p>
            <w:pPr>
              <w:spacing w:after="0"/>
            </w:pPr>
            <w:r/>
            <w:r>
              <w:rPr>
                <w:rFonts w:ascii="Aptos" w:hAnsi="Aptos"/>
                <w:b w:val="0"/>
                <w:sz w:val="15"/>
              </w:rPr>
              <w:t>Failed tests, incidents and near misses remain part of the improvement record.</w:t>
            </w:r>
          </w:p>
        </w:tc>
      </w:tr>
      <w:tr>
        <w:trPr>
          <w:cantSplit/>
        </w:trPr>
        <w:tc>
          <w:tcPr>
            <w:tcW w:type="dxa" w:w="2880"/>
            <w:vAlign w:val="center"/>
          </w:tcPr>
          <w:p>
            <w:pPr>
              <w:spacing w:after="0"/>
            </w:pPr>
            <w:r/>
            <w:r>
              <w:rPr>
                <w:rFonts w:ascii="Aptos" w:hAnsi="Aptos"/>
                <w:b w:val="0"/>
                <w:sz w:val="15"/>
              </w:rPr>
              <w:t>Improvement is continuous but governed</w:t>
            </w:r>
          </w:p>
        </w:tc>
        <w:tc>
          <w:tcPr>
            <w:tcW w:type="dxa" w:w="6768"/>
            <w:vAlign w:val="center"/>
          </w:tcPr>
          <w:p>
            <w:pPr>
              <w:spacing w:after="0"/>
            </w:pPr>
            <w:r/>
            <w:r>
              <w:rPr>
                <w:rFonts w:ascii="Aptos" w:hAnsi="Aptos"/>
                <w:b w:val="0"/>
                <w:sz w:val="15"/>
              </w:rPr>
              <w:t>Frequent change does not bypass release, safety, evidence or certification controls.</w:t>
            </w:r>
          </w:p>
        </w:tc>
      </w:tr>
    </w:tbl>
    <w:p/>
    <w:p>
      <w:pPr>
        <w:pStyle w:val="Heading1"/>
      </w:pPr>
      <w:r>
        <w:t>3. Improvement Governance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592"/>
            <w:vAlign w:val="center"/>
            <w:shd w:fill="17324D"/>
          </w:tcPr>
          <w:p>
            <w:pPr>
              <w:spacing w:after="0"/>
            </w:pPr>
            <w:r/>
            <w:r>
              <w:rPr>
                <w:rFonts w:ascii="Aptos" w:hAnsi="Aptos"/>
                <w:b/>
                <w:color w:val="FFFFFF"/>
                <w:sz w:val="15"/>
              </w:rPr>
              <w:t>Role</w:t>
            </w:r>
          </w:p>
        </w:tc>
        <w:tc>
          <w:tcPr>
            <w:tcW w:type="dxa" w:w="7056"/>
            <w:vAlign w:val="center"/>
            <w:shd w:fill="17324D"/>
          </w:tcPr>
          <w:p>
            <w:pPr>
              <w:spacing w:after="0"/>
            </w:pPr>
            <w:r/>
            <w:r>
              <w:rPr>
                <w:rFonts w:ascii="Aptos" w:hAnsi="Aptos"/>
                <w:b/>
                <w:color w:val="FFFFFF"/>
                <w:sz w:val="15"/>
              </w:rPr>
              <w:t>Improvement accountability</w:t>
            </w:r>
          </w:p>
        </w:tc>
      </w:tr>
      <w:tr>
        <w:trPr>
          <w:cantSplit/>
        </w:trPr>
        <w:tc>
          <w:tcPr>
            <w:tcW w:type="dxa" w:w="2592"/>
            <w:vAlign w:val="center"/>
          </w:tcPr>
          <w:p>
            <w:pPr>
              <w:spacing w:after="0"/>
            </w:pPr>
            <w:r/>
            <w:r>
              <w:rPr>
                <w:rFonts w:ascii="Aptos" w:hAnsi="Aptos"/>
                <w:b w:val="0"/>
                <w:sz w:val="15"/>
              </w:rPr>
              <w:t>Executive sponsor</w:t>
            </w:r>
          </w:p>
        </w:tc>
        <w:tc>
          <w:tcPr>
            <w:tcW w:type="dxa" w:w="7056"/>
            <w:vAlign w:val="center"/>
          </w:tcPr>
          <w:p>
            <w:pPr>
              <w:spacing w:after="0"/>
            </w:pPr>
            <w:r/>
            <w:r>
              <w:rPr>
                <w:rFonts w:ascii="Aptos" w:hAnsi="Aptos"/>
                <w:b w:val="0"/>
                <w:sz w:val="15"/>
              </w:rPr>
              <w:t>Approve strategic priorities, funding and material residual risk</w:t>
            </w:r>
          </w:p>
        </w:tc>
      </w:tr>
      <w:tr>
        <w:trPr>
          <w:cantSplit/>
        </w:trPr>
        <w:tc>
          <w:tcPr>
            <w:tcW w:type="dxa" w:w="2592"/>
            <w:vAlign w:val="center"/>
            <w:shd w:fill="F3F6F7"/>
          </w:tcPr>
          <w:p>
            <w:pPr>
              <w:spacing w:after="0"/>
            </w:pPr>
            <w:r/>
            <w:r>
              <w:rPr>
                <w:rFonts w:ascii="Aptos" w:hAnsi="Aptos"/>
                <w:b w:val="0"/>
                <w:sz w:val="15"/>
              </w:rPr>
              <w:t>Improvement board/steering committee</w:t>
            </w:r>
          </w:p>
        </w:tc>
        <w:tc>
          <w:tcPr>
            <w:tcW w:type="dxa" w:w="7056"/>
            <w:vAlign w:val="center"/>
            <w:shd w:fill="F3F6F7"/>
          </w:tcPr>
          <w:p>
            <w:pPr>
              <w:spacing w:after="0"/>
            </w:pPr>
            <w:r/>
            <w:r>
              <w:rPr>
                <w:rFonts w:ascii="Aptos" w:hAnsi="Aptos"/>
                <w:b w:val="0"/>
                <w:sz w:val="15"/>
              </w:rPr>
              <w:t>Prioritize portfolio, resolve dependencies and review outcomes</w:t>
            </w:r>
          </w:p>
        </w:tc>
      </w:tr>
      <w:tr>
        <w:trPr>
          <w:cantSplit/>
        </w:trPr>
        <w:tc>
          <w:tcPr>
            <w:tcW w:type="dxa" w:w="2592"/>
            <w:vAlign w:val="center"/>
          </w:tcPr>
          <w:p>
            <w:pPr>
              <w:spacing w:after="0"/>
            </w:pPr>
            <w:r/>
            <w:r>
              <w:rPr>
                <w:rFonts w:ascii="Aptos" w:hAnsi="Aptos"/>
                <w:b w:val="0"/>
                <w:sz w:val="15"/>
              </w:rPr>
              <w:t>Program lead</w:t>
            </w:r>
          </w:p>
        </w:tc>
        <w:tc>
          <w:tcPr>
            <w:tcW w:type="dxa" w:w="7056"/>
            <w:vAlign w:val="center"/>
          </w:tcPr>
          <w:p>
            <w:pPr>
              <w:spacing w:after="0"/>
            </w:pPr>
            <w:r/>
            <w:r>
              <w:rPr>
                <w:rFonts w:ascii="Aptos" w:hAnsi="Aptos"/>
                <w:b w:val="0"/>
                <w:sz w:val="15"/>
              </w:rPr>
              <w:t>Maintain roadmap, cadence, metrics and status reporting</w:t>
            </w:r>
          </w:p>
        </w:tc>
      </w:tr>
      <w:tr>
        <w:trPr>
          <w:cantSplit/>
        </w:trPr>
        <w:tc>
          <w:tcPr>
            <w:tcW w:type="dxa" w:w="2592"/>
            <w:vAlign w:val="center"/>
            <w:shd w:fill="F3F6F7"/>
          </w:tcPr>
          <w:p>
            <w:pPr>
              <w:spacing w:after="0"/>
            </w:pPr>
            <w:r/>
            <w:r>
              <w:rPr>
                <w:rFonts w:ascii="Aptos" w:hAnsi="Aptos"/>
                <w:b w:val="0"/>
                <w:sz w:val="15"/>
              </w:rPr>
              <w:t>Control owner</w:t>
            </w:r>
          </w:p>
        </w:tc>
        <w:tc>
          <w:tcPr>
            <w:tcW w:type="dxa" w:w="7056"/>
            <w:vAlign w:val="center"/>
            <w:shd w:fill="F3F6F7"/>
          </w:tcPr>
          <w:p>
            <w:pPr>
              <w:spacing w:after="0"/>
            </w:pPr>
            <w:r/>
            <w:r>
              <w:rPr>
                <w:rFonts w:ascii="Aptos" w:hAnsi="Aptos"/>
                <w:b w:val="0"/>
                <w:sz w:val="15"/>
              </w:rPr>
              <w:t>Own control-specific improvement and effectiveness</w:t>
            </w:r>
          </w:p>
        </w:tc>
      </w:tr>
      <w:tr>
        <w:trPr>
          <w:cantSplit/>
        </w:trPr>
        <w:tc>
          <w:tcPr>
            <w:tcW w:type="dxa" w:w="2592"/>
            <w:vAlign w:val="center"/>
          </w:tcPr>
          <w:p>
            <w:pPr>
              <w:spacing w:after="0"/>
            </w:pPr>
            <w:r/>
            <w:r>
              <w:rPr>
                <w:rFonts w:ascii="Aptos" w:hAnsi="Aptos"/>
                <w:b w:val="0"/>
                <w:sz w:val="15"/>
              </w:rPr>
              <w:t>System owner</w:t>
            </w:r>
          </w:p>
        </w:tc>
        <w:tc>
          <w:tcPr>
            <w:tcW w:type="dxa" w:w="7056"/>
            <w:vAlign w:val="center"/>
          </w:tcPr>
          <w:p>
            <w:pPr>
              <w:spacing w:after="0"/>
            </w:pPr>
            <w:r/>
            <w:r>
              <w:rPr>
                <w:rFonts w:ascii="Aptos" w:hAnsi="Aptos"/>
                <w:b w:val="0"/>
                <w:sz w:val="15"/>
              </w:rPr>
              <w:t>Own system-level risk and operational change</w:t>
            </w:r>
          </w:p>
        </w:tc>
      </w:tr>
      <w:tr>
        <w:trPr>
          <w:cantSplit/>
        </w:trPr>
        <w:tc>
          <w:tcPr>
            <w:tcW w:type="dxa" w:w="2592"/>
            <w:vAlign w:val="center"/>
            <w:shd w:fill="F3F6F7"/>
          </w:tcPr>
          <w:p>
            <w:pPr>
              <w:spacing w:after="0"/>
            </w:pPr>
            <w:r/>
            <w:r>
              <w:rPr>
                <w:rFonts w:ascii="Aptos" w:hAnsi="Aptos"/>
                <w:b w:val="0"/>
                <w:sz w:val="15"/>
              </w:rPr>
              <w:t>Internal assurance</w:t>
            </w:r>
          </w:p>
        </w:tc>
        <w:tc>
          <w:tcPr>
            <w:tcW w:type="dxa" w:w="7056"/>
            <w:vAlign w:val="center"/>
            <w:shd w:fill="F3F6F7"/>
          </w:tcPr>
          <w:p>
            <w:pPr>
              <w:spacing w:after="0"/>
            </w:pPr>
            <w:r/>
            <w:r>
              <w:rPr>
                <w:rFonts w:ascii="Aptos" w:hAnsi="Aptos"/>
                <w:b w:val="0"/>
                <w:sz w:val="15"/>
              </w:rPr>
              <w:t>Validate closure and challenge claimed improvement</w:t>
            </w:r>
          </w:p>
        </w:tc>
      </w:tr>
      <w:tr>
        <w:trPr>
          <w:cantSplit/>
        </w:trPr>
        <w:tc>
          <w:tcPr>
            <w:tcW w:type="dxa" w:w="2592"/>
            <w:vAlign w:val="center"/>
          </w:tcPr>
          <w:p>
            <w:pPr>
              <w:spacing w:after="0"/>
            </w:pPr>
            <w:r/>
            <w:r>
              <w:rPr>
                <w:rFonts w:ascii="Aptos" w:hAnsi="Aptos"/>
                <w:b w:val="0"/>
                <w:sz w:val="15"/>
              </w:rPr>
              <w:t>Risk authority</w:t>
            </w:r>
          </w:p>
        </w:tc>
        <w:tc>
          <w:tcPr>
            <w:tcW w:type="dxa" w:w="7056"/>
            <w:vAlign w:val="center"/>
          </w:tcPr>
          <w:p>
            <w:pPr>
              <w:spacing w:after="0"/>
            </w:pPr>
            <w:r/>
            <w:r>
              <w:rPr>
                <w:rFonts w:ascii="Aptos" w:hAnsi="Aptos"/>
                <w:b w:val="0"/>
                <w:sz w:val="15"/>
              </w:rPr>
              <w:t>Approve priority, exception and residual-risk decisions</w:t>
            </w:r>
          </w:p>
        </w:tc>
      </w:tr>
      <w:tr>
        <w:trPr>
          <w:cantSplit/>
        </w:trPr>
        <w:tc>
          <w:tcPr>
            <w:tcW w:type="dxa" w:w="2592"/>
            <w:vAlign w:val="center"/>
            <w:shd w:fill="F3F6F7"/>
          </w:tcPr>
          <w:p>
            <w:pPr>
              <w:spacing w:after="0"/>
            </w:pPr>
            <w:r/>
            <w:r>
              <w:rPr>
                <w:rFonts w:ascii="Aptos" w:hAnsi="Aptos"/>
                <w:b w:val="0"/>
                <w:sz w:val="15"/>
              </w:rPr>
              <w:t>Data/model/safety leads</w:t>
            </w:r>
          </w:p>
        </w:tc>
        <w:tc>
          <w:tcPr>
            <w:tcW w:type="dxa" w:w="7056"/>
            <w:vAlign w:val="center"/>
            <w:shd w:fill="F3F6F7"/>
          </w:tcPr>
          <w:p>
            <w:pPr>
              <w:spacing w:after="0"/>
            </w:pPr>
            <w:r/>
            <w:r>
              <w:rPr>
                <w:rFonts w:ascii="Aptos" w:hAnsi="Aptos"/>
                <w:b w:val="0"/>
                <w:sz w:val="15"/>
              </w:rPr>
              <w:t>Provide specialist analysis and implementation</w:t>
            </w:r>
          </w:p>
        </w:tc>
      </w:tr>
      <w:tr>
        <w:trPr>
          <w:cantSplit/>
        </w:trPr>
        <w:tc>
          <w:tcPr>
            <w:tcW w:type="dxa" w:w="2592"/>
            <w:vAlign w:val="center"/>
          </w:tcPr>
          <w:p>
            <w:pPr>
              <w:spacing w:after="0"/>
            </w:pPr>
            <w:r/>
            <w:r>
              <w:rPr>
                <w:rFonts w:ascii="Aptos" w:hAnsi="Aptos"/>
                <w:b w:val="0"/>
                <w:sz w:val="15"/>
              </w:rPr>
              <w:t>Supplier manager</w:t>
            </w:r>
          </w:p>
        </w:tc>
        <w:tc>
          <w:tcPr>
            <w:tcW w:type="dxa" w:w="7056"/>
            <w:vAlign w:val="center"/>
          </w:tcPr>
          <w:p>
            <w:pPr>
              <w:spacing w:after="0"/>
            </w:pPr>
            <w:r/>
            <w:r>
              <w:rPr>
                <w:rFonts w:ascii="Aptos" w:hAnsi="Aptos"/>
                <w:b w:val="0"/>
                <w:sz w:val="15"/>
              </w:rPr>
              <w:t>Drive inherited-control and third-party improvements</w:t>
            </w:r>
          </w:p>
        </w:tc>
      </w:tr>
      <w:tr>
        <w:trPr>
          <w:cantSplit/>
        </w:trPr>
        <w:tc>
          <w:tcPr>
            <w:tcW w:type="dxa" w:w="2592"/>
            <w:vAlign w:val="center"/>
            <w:shd w:fill="F3F6F7"/>
          </w:tcPr>
          <w:p>
            <w:pPr>
              <w:spacing w:after="0"/>
            </w:pPr>
            <w:r/>
            <w:r>
              <w:rPr>
                <w:rFonts w:ascii="Aptos" w:hAnsi="Aptos"/>
                <w:b w:val="0"/>
                <w:sz w:val="15"/>
              </w:rPr>
              <w:t>Evidence custodian</w:t>
            </w:r>
          </w:p>
        </w:tc>
        <w:tc>
          <w:tcPr>
            <w:tcW w:type="dxa" w:w="7056"/>
            <w:vAlign w:val="center"/>
            <w:shd w:fill="F3F6F7"/>
          </w:tcPr>
          <w:p>
            <w:pPr>
              <w:spacing w:after="0"/>
            </w:pPr>
            <w:r/>
            <w:r>
              <w:rPr>
                <w:rFonts w:ascii="Aptos" w:hAnsi="Aptos"/>
                <w:b w:val="0"/>
                <w:sz w:val="15"/>
              </w:rPr>
              <w:t>Maintain improvement evidence and traceability</w:t>
            </w:r>
          </w:p>
        </w:tc>
      </w:tr>
    </w:tbl>
    <w:p/>
    <w:p>
      <w:pPr>
        <w:pStyle w:val="Heading1"/>
      </w:pPr>
      <w:r>
        <w:t>4. Improvement Cycle</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1728"/>
            <w:vAlign w:val="center"/>
            <w:shd w:fill="17324D"/>
          </w:tcPr>
          <w:p>
            <w:pPr>
              <w:spacing w:after="0"/>
            </w:pPr>
            <w:r/>
            <w:r>
              <w:rPr>
                <w:rFonts w:ascii="Aptos" w:hAnsi="Aptos"/>
                <w:b/>
                <w:color w:val="FFFFFF"/>
                <w:sz w:val="15"/>
              </w:rPr>
              <w:t>Stage</w:t>
            </w:r>
          </w:p>
        </w:tc>
        <w:tc>
          <w:tcPr>
            <w:tcW w:type="dxa" w:w="5184"/>
            <w:vAlign w:val="center"/>
            <w:shd w:fill="17324D"/>
          </w:tcPr>
          <w:p>
            <w:pPr>
              <w:spacing w:after="0"/>
            </w:pPr>
            <w:r/>
            <w:r>
              <w:rPr>
                <w:rFonts w:ascii="Aptos" w:hAnsi="Aptos"/>
                <w:b/>
                <w:color w:val="FFFFFF"/>
                <w:sz w:val="15"/>
              </w:rPr>
              <w:t>Primary activity</w:t>
            </w:r>
          </w:p>
        </w:tc>
        <w:tc>
          <w:tcPr>
            <w:tcW w:type="dxa" w:w="2736"/>
            <w:vAlign w:val="center"/>
            <w:shd w:fill="17324D"/>
          </w:tcPr>
          <w:p>
            <w:pPr>
              <w:spacing w:after="0"/>
            </w:pPr>
            <w:r/>
            <w:r>
              <w:rPr>
                <w:rFonts w:ascii="Aptos" w:hAnsi="Aptos"/>
                <w:b/>
                <w:color w:val="FFFFFF"/>
                <w:sz w:val="15"/>
              </w:rPr>
              <w:t>Output</w:t>
            </w:r>
          </w:p>
        </w:tc>
      </w:tr>
      <w:tr>
        <w:trPr>
          <w:cantSplit/>
        </w:trPr>
        <w:tc>
          <w:tcPr>
            <w:tcW w:type="dxa" w:w="1728"/>
            <w:vAlign w:val="center"/>
          </w:tcPr>
          <w:p>
            <w:pPr>
              <w:spacing w:after="0"/>
            </w:pPr>
            <w:r/>
            <w:r>
              <w:rPr>
                <w:rFonts w:ascii="Aptos" w:hAnsi="Aptos"/>
                <w:b w:val="0"/>
                <w:sz w:val="15"/>
              </w:rPr>
              <w:t>Observe</w:t>
            </w:r>
          </w:p>
        </w:tc>
        <w:tc>
          <w:tcPr>
            <w:tcW w:type="dxa" w:w="5184"/>
            <w:vAlign w:val="center"/>
          </w:tcPr>
          <w:p>
            <w:pPr>
              <w:spacing w:after="0"/>
            </w:pPr>
            <w:r/>
            <w:r>
              <w:rPr>
                <w:rFonts w:ascii="Aptos" w:hAnsi="Aptos"/>
                <w:b w:val="0"/>
                <w:sz w:val="15"/>
              </w:rPr>
              <w:t>Collect incidents, metrics, findings, feedback, changes and threat intelligence</w:t>
            </w:r>
          </w:p>
        </w:tc>
        <w:tc>
          <w:tcPr>
            <w:tcW w:type="dxa" w:w="2736"/>
            <w:vAlign w:val="center"/>
          </w:tcPr>
          <w:p>
            <w:pPr>
              <w:spacing w:after="0"/>
            </w:pPr>
            <w:r/>
            <w:r>
              <w:rPr>
                <w:rFonts w:ascii="Aptos" w:hAnsi="Aptos"/>
                <w:b w:val="0"/>
                <w:sz w:val="15"/>
              </w:rPr>
              <w:t>Improvement inputs</w:t>
            </w:r>
          </w:p>
        </w:tc>
      </w:tr>
      <w:tr>
        <w:trPr>
          <w:cantSplit/>
        </w:trPr>
        <w:tc>
          <w:tcPr>
            <w:tcW w:type="dxa" w:w="1728"/>
            <w:vAlign w:val="center"/>
            <w:shd w:fill="F3F6F7"/>
          </w:tcPr>
          <w:p>
            <w:pPr>
              <w:spacing w:after="0"/>
            </w:pPr>
            <w:r/>
            <w:r>
              <w:rPr>
                <w:rFonts w:ascii="Aptos" w:hAnsi="Aptos"/>
                <w:b w:val="0"/>
                <w:sz w:val="15"/>
              </w:rPr>
              <w:t>Assess</w:t>
            </w:r>
          </w:p>
        </w:tc>
        <w:tc>
          <w:tcPr>
            <w:tcW w:type="dxa" w:w="5184"/>
            <w:vAlign w:val="center"/>
            <w:shd w:fill="F3F6F7"/>
          </w:tcPr>
          <w:p>
            <w:pPr>
              <w:spacing w:after="0"/>
            </w:pPr>
            <w:r/>
            <w:r>
              <w:rPr>
                <w:rFonts w:ascii="Aptos" w:hAnsi="Aptos"/>
                <w:b w:val="0"/>
                <w:sz w:val="15"/>
              </w:rPr>
              <w:t>Evaluate severity, systemic relevance and maturity impact</w:t>
            </w:r>
          </w:p>
        </w:tc>
        <w:tc>
          <w:tcPr>
            <w:tcW w:type="dxa" w:w="2736"/>
            <w:vAlign w:val="center"/>
            <w:shd w:fill="F3F6F7"/>
          </w:tcPr>
          <w:p>
            <w:pPr>
              <w:spacing w:after="0"/>
            </w:pPr>
            <w:r/>
            <w:r>
              <w:rPr>
                <w:rFonts w:ascii="Aptos" w:hAnsi="Aptos"/>
                <w:b w:val="0"/>
                <w:sz w:val="15"/>
              </w:rPr>
              <w:t>Prioritized problem statement</w:t>
            </w:r>
          </w:p>
        </w:tc>
      </w:tr>
      <w:tr>
        <w:trPr>
          <w:cantSplit/>
        </w:trPr>
        <w:tc>
          <w:tcPr>
            <w:tcW w:type="dxa" w:w="1728"/>
            <w:vAlign w:val="center"/>
          </w:tcPr>
          <w:p>
            <w:pPr>
              <w:spacing w:after="0"/>
            </w:pPr>
            <w:r/>
            <w:r>
              <w:rPr>
                <w:rFonts w:ascii="Aptos" w:hAnsi="Aptos"/>
                <w:b w:val="0"/>
                <w:sz w:val="15"/>
              </w:rPr>
              <w:t>Analyze</w:t>
            </w:r>
          </w:p>
        </w:tc>
        <w:tc>
          <w:tcPr>
            <w:tcW w:type="dxa" w:w="5184"/>
            <w:vAlign w:val="center"/>
          </w:tcPr>
          <w:p>
            <w:pPr>
              <w:spacing w:after="0"/>
            </w:pPr>
            <w:r/>
            <w:r>
              <w:rPr>
                <w:rFonts w:ascii="Aptos" w:hAnsi="Aptos"/>
                <w:b w:val="0"/>
                <w:sz w:val="15"/>
              </w:rPr>
              <w:t>Determine root cause and control-path weakness</w:t>
            </w:r>
          </w:p>
        </w:tc>
        <w:tc>
          <w:tcPr>
            <w:tcW w:type="dxa" w:w="2736"/>
            <w:vAlign w:val="center"/>
          </w:tcPr>
          <w:p>
            <w:pPr>
              <w:spacing w:after="0"/>
            </w:pPr>
            <w:r/>
            <w:r>
              <w:rPr>
                <w:rFonts w:ascii="Aptos" w:hAnsi="Aptos"/>
                <w:b w:val="0"/>
                <w:sz w:val="15"/>
              </w:rPr>
              <w:t>Supported cause analysis</w:t>
            </w:r>
          </w:p>
        </w:tc>
      </w:tr>
      <w:tr>
        <w:trPr>
          <w:cantSplit/>
        </w:trPr>
        <w:tc>
          <w:tcPr>
            <w:tcW w:type="dxa" w:w="1728"/>
            <w:vAlign w:val="center"/>
            <w:shd w:fill="F3F6F7"/>
          </w:tcPr>
          <w:p>
            <w:pPr>
              <w:spacing w:after="0"/>
            </w:pPr>
            <w:r/>
            <w:r>
              <w:rPr>
                <w:rFonts w:ascii="Aptos" w:hAnsi="Aptos"/>
                <w:b w:val="0"/>
                <w:sz w:val="15"/>
              </w:rPr>
              <w:t>Plan</w:t>
            </w:r>
          </w:p>
        </w:tc>
        <w:tc>
          <w:tcPr>
            <w:tcW w:type="dxa" w:w="5184"/>
            <w:vAlign w:val="center"/>
            <w:shd w:fill="F3F6F7"/>
          </w:tcPr>
          <w:p>
            <w:pPr>
              <w:spacing w:after="0"/>
            </w:pPr>
            <w:r/>
            <w:r>
              <w:rPr>
                <w:rFonts w:ascii="Aptos" w:hAnsi="Aptos"/>
                <w:b w:val="0"/>
                <w:sz w:val="15"/>
              </w:rPr>
              <w:t>Define corrective, preventive and optimization actions</w:t>
            </w:r>
          </w:p>
        </w:tc>
        <w:tc>
          <w:tcPr>
            <w:tcW w:type="dxa" w:w="2736"/>
            <w:vAlign w:val="center"/>
            <w:shd w:fill="F3F6F7"/>
          </w:tcPr>
          <w:p>
            <w:pPr>
              <w:spacing w:after="0"/>
            </w:pPr>
            <w:r/>
            <w:r>
              <w:rPr>
                <w:rFonts w:ascii="Aptos" w:hAnsi="Aptos"/>
                <w:b w:val="0"/>
                <w:sz w:val="15"/>
              </w:rPr>
              <w:t>Approved improvement plan</w:t>
            </w:r>
          </w:p>
        </w:tc>
      </w:tr>
      <w:tr>
        <w:trPr>
          <w:cantSplit/>
        </w:trPr>
        <w:tc>
          <w:tcPr>
            <w:tcW w:type="dxa" w:w="1728"/>
            <w:vAlign w:val="center"/>
          </w:tcPr>
          <w:p>
            <w:pPr>
              <w:spacing w:after="0"/>
            </w:pPr>
            <w:r/>
            <w:r>
              <w:rPr>
                <w:rFonts w:ascii="Aptos" w:hAnsi="Aptos"/>
                <w:b w:val="0"/>
                <w:sz w:val="15"/>
              </w:rPr>
              <w:t>Implement</w:t>
            </w:r>
          </w:p>
        </w:tc>
        <w:tc>
          <w:tcPr>
            <w:tcW w:type="dxa" w:w="5184"/>
            <w:vAlign w:val="center"/>
          </w:tcPr>
          <w:p>
            <w:pPr>
              <w:spacing w:after="0"/>
            </w:pPr>
            <w:r/>
            <w:r>
              <w:rPr>
                <w:rFonts w:ascii="Aptos" w:hAnsi="Aptos"/>
                <w:b w:val="0"/>
                <w:sz w:val="15"/>
              </w:rPr>
              <w:t>Make controlled process, technical, architectural or governance changes</w:t>
            </w:r>
          </w:p>
        </w:tc>
        <w:tc>
          <w:tcPr>
            <w:tcW w:type="dxa" w:w="2736"/>
            <w:vAlign w:val="center"/>
          </w:tcPr>
          <w:p>
            <w:pPr>
              <w:spacing w:after="0"/>
            </w:pPr>
            <w:r/>
            <w:r>
              <w:rPr>
                <w:rFonts w:ascii="Aptos" w:hAnsi="Aptos"/>
                <w:b w:val="0"/>
                <w:sz w:val="15"/>
              </w:rPr>
              <w:t>Changed control environment</w:t>
            </w:r>
          </w:p>
        </w:tc>
      </w:tr>
      <w:tr>
        <w:trPr>
          <w:cantSplit/>
        </w:trPr>
        <w:tc>
          <w:tcPr>
            <w:tcW w:type="dxa" w:w="1728"/>
            <w:vAlign w:val="center"/>
            <w:shd w:fill="F3F6F7"/>
          </w:tcPr>
          <w:p>
            <w:pPr>
              <w:spacing w:after="0"/>
            </w:pPr>
            <w:r/>
            <w:r>
              <w:rPr>
                <w:rFonts w:ascii="Aptos" w:hAnsi="Aptos"/>
                <w:b w:val="0"/>
                <w:sz w:val="15"/>
              </w:rPr>
              <w:t>Validate</w:t>
            </w:r>
          </w:p>
        </w:tc>
        <w:tc>
          <w:tcPr>
            <w:tcW w:type="dxa" w:w="5184"/>
            <w:vAlign w:val="center"/>
            <w:shd w:fill="F3F6F7"/>
          </w:tcPr>
          <w:p>
            <w:pPr>
              <w:spacing w:after="0"/>
            </w:pPr>
            <w:r/>
            <w:r>
              <w:rPr>
                <w:rFonts w:ascii="Aptos" w:hAnsi="Aptos"/>
                <w:b w:val="0"/>
                <w:sz w:val="15"/>
              </w:rPr>
              <w:t>Retest effectiveness and side effects</w:t>
            </w:r>
          </w:p>
        </w:tc>
        <w:tc>
          <w:tcPr>
            <w:tcW w:type="dxa" w:w="2736"/>
            <w:vAlign w:val="center"/>
            <w:shd w:fill="F3F6F7"/>
          </w:tcPr>
          <w:p>
            <w:pPr>
              <w:spacing w:after="0"/>
            </w:pPr>
            <w:r/>
            <w:r>
              <w:rPr>
                <w:rFonts w:ascii="Aptos" w:hAnsi="Aptos"/>
                <w:b w:val="0"/>
                <w:sz w:val="15"/>
              </w:rPr>
              <w:t>Validation evidence</w:t>
            </w:r>
          </w:p>
        </w:tc>
      </w:tr>
      <w:tr>
        <w:trPr>
          <w:cantSplit/>
        </w:trPr>
        <w:tc>
          <w:tcPr>
            <w:tcW w:type="dxa" w:w="1728"/>
            <w:vAlign w:val="center"/>
          </w:tcPr>
          <w:p>
            <w:pPr>
              <w:spacing w:after="0"/>
            </w:pPr>
            <w:r/>
            <w:r>
              <w:rPr>
                <w:rFonts w:ascii="Aptos" w:hAnsi="Aptos"/>
                <w:b w:val="0"/>
                <w:sz w:val="15"/>
              </w:rPr>
              <w:t>Standardize</w:t>
            </w:r>
          </w:p>
        </w:tc>
        <w:tc>
          <w:tcPr>
            <w:tcW w:type="dxa" w:w="5184"/>
            <w:vAlign w:val="center"/>
          </w:tcPr>
          <w:p>
            <w:pPr>
              <w:spacing w:after="0"/>
            </w:pPr>
            <w:r/>
            <w:r>
              <w:rPr>
                <w:rFonts w:ascii="Aptos" w:hAnsi="Aptos"/>
                <w:b w:val="0"/>
                <w:sz w:val="15"/>
              </w:rPr>
              <w:t>Update policy, procedure, training, tooling and evidence</w:t>
            </w:r>
          </w:p>
        </w:tc>
        <w:tc>
          <w:tcPr>
            <w:tcW w:type="dxa" w:w="2736"/>
            <w:vAlign w:val="center"/>
          </w:tcPr>
          <w:p>
            <w:pPr>
              <w:spacing w:after="0"/>
            </w:pPr>
            <w:r/>
            <w:r>
              <w:rPr>
                <w:rFonts w:ascii="Aptos" w:hAnsi="Aptos"/>
                <w:b w:val="0"/>
                <w:sz w:val="15"/>
              </w:rPr>
              <w:t>Institutionalized improvement</w:t>
            </w:r>
          </w:p>
        </w:tc>
      </w:tr>
      <w:tr>
        <w:trPr>
          <w:cantSplit/>
        </w:trPr>
        <w:tc>
          <w:tcPr>
            <w:tcW w:type="dxa" w:w="1728"/>
            <w:vAlign w:val="center"/>
            <w:shd w:fill="F3F6F7"/>
          </w:tcPr>
          <w:p>
            <w:pPr>
              <w:spacing w:after="0"/>
            </w:pPr>
            <w:r/>
            <w:r>
              <w:rPr>
                <w:rFonts w:ascii="Aptos" w:hAnsi="Aptos"/>
                <w:b w:val="0"/>
                <w:sz w:val="15"/>
              </w:rPr>
              <w:t>Review</w:t>
            </w:r>
          </w:p>
        </w:tc>
        <w:tc>
          <w:tcPr>
            <w:tcW w:type="dxa" w:w="5184"/>
            <w:vAlign w:val="center"/>
            <w:shd w:fill="F3F6F7"/>
          </w:tcPr>
          <w:p>
            <w:pPr>
              <w:spacing w:after="0"/>
            </w:pPr>
            <w:r/>
            <w:r>
              <w:rPr>
                <w:rFonts w:ascii="Aptos" w:hAnsi="Aptos"/>
                <w:b w:val="0"/>
                <w:sz w:val="15"/>
              </w:rPr>
              <w:t>Measure outcomes and decide whether further action is needed</w:t>
            </w:r>
          </w:p>
        </w:tc>
        <w:tc>
          <w:tcPr>
            <w:tcW w:type="dxa" w:w="2736"/>
            <w:vAlign w:val="center"/>
            <w:shd w:fill="F3F6F7"/>
          </w:tcPr>
          <w:p>
            <w:pPr>
              <w:spacing w:after="0"/>
            </w:pPr>
            <w:r/>
            <w:r>
              <w:rPr>
                <w:rFonts w:ascii="Aptos" w:hAnsi="Aptos"/>
                <w:b w:val="0"/>
                <w:sz w:val="15"/>
              </w:rPr>
              <w:t>Closure or next cycle</w:t>
            </w:r>
          </w:p>
        </w:tc>
      </w:tr>
    </w:tbl>
    <w:p/>
    <w:p>
      <w:pPr>
        <w:pStyle w:val="Heading1"/>
      </w:pPr>
      <w:r>
        <w:t>5. Improvement Inputs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592"/>
            <w:vAlign w:val="center"/>
            <w:shd w:fill="17324D"/>
          </w:tcPr>
          <w:p>
            <w:pPr>
              <w:spacing w:after="0"/>
            </w:pPr>
            <w:r/>
            <w:r>
              <w:rPr>
                <w:rFonts w:ascii="Aptos" w:hAnsi="Aptos"/>
                <w:b/>
                <w:color w:val="FFFFFF"/>
                <w:sz w:val="15"/>
              </w:rPr>
              <w:t>Input source</w:t>
            </w:r>
          </w:p>
        </w:tc>
        <w:tc>
          <w:tcPr>
            <w:tcW w:type="dxa" w:w="4464"/>
            <w:vAlign w:val="center"/>
            <w:shd w:fill="17324D"/>
          </w:tcPr>
          <w:p>
            <w:pPr>
              <w:spacing w:after="0"/>
            </w:pPr>
            <w:r/>
            <w:r>
              <w:rPr>
                <w:rFonts w:ascii="Aptos" w:hAnsi="Aptos"/>
                <w:b/>
                <w:color w:val="FFFFFF"/>
                <w:sz w:val="15"/>
              </w:rPr>
              <w:t>Examples</w:t>
            </w:r>
          </w:p>
        </w:tc>
        <w:tc>
          <w:tcPr>
            <w:tcW w:type="dxa" w:w="2592"/>
            <w:vAlign w:val="center"/>
            <w:shd w:fill="17324D"/>
          </w:tcPr>
          <w:p>
            <w:pPr>
              <w:spacing w:after="0"/>
            </w:pPr>
            <w:r/>
            <w:r>
              <w:rPr>
                <w:rFonts w:ascii="Aptos" w:hAnsi="Aptos"/>
                <w:b/>
                <w:color w:val="FFFFFF"/>
                <w:sz w:val="15"/>
              </w:rPr>
              <w:t>Typical use</w:t>
            </w:r>
          </w:p>
        </w:tc>
      </w:tr>
      <w:tr>
        <w:trPr>
          <w:cantSplit/>
        </w:trPr>
        <w:tc>
          <w:tcPr>
            <w:tcW w:type="dxa" w:w="2592"/>
            <w:vAlign w:val="center"/>
          </w:tcPr>
          <w:p>
            <w:pPr>
              <w:spacing w:after="0"/>
            </w:pPr>
            <w:r/>
            <w:r>
              <w:rPr>
                <w:rFonts w:ascii="Aptos" w:hAnsi="Aptos"/>
                <w:b w:val="0"/>
                <w:sz w:val="15"/>
              </w:rPr>
              <w:t>Incidents and near misses</w:t>
            </w:r>
          </w:p>
        </w:tc>
        <w:tc>
          <w:tcPr>
            <w:tcW w:type="dxa" w:w="4464"/>
            <w:vAlign w:val="center"/>
          </w:tcPr>
          <w:p>
            <w:pPr>
              <w:spacing w:after="0"/>
            </w:pPr>
            <w:r/>
            <w:r>
              <w:rPr>
                <w:rFonts w:ascii="Aptos" w:hAnsi="Aptos"/>
                <w:b w:val="0"/>
                <w:sz w:val="15"/>
              </w:rPr>
              <w:t>Security events, harmful outputs, unsafe actions, leakage</w:t>
            </w:r>
          </w:p>
        </w:tc>
        <w:tc>
          <w:tcPr>
            <w:tcW w:type="dxa" w:w="2592"/>
            <w:vAlign w:val="center"/>
          </w:tcPr>
          <w:p>
            <w:pPr>
              <w:spacing w:after="0"/>
            </w:pPr>
            <w:r/>
            <w:r>
              <w:rPr>
                <w:rFonts w:ascii="Aptos" w:hAnsi="Aptos"/>
                <w:b w:val="0"/>
                <w:sz w:val="15"/>
              </w:rPr>
              <w:t>Corrective and preventive action</w:t>
            </w:r>
          </w:p>
        </w:tc>
      </w:tr>
      <w:tr>
        <w:trPr>
          <w:cantSplit/>
        </w:trPr>
        <w:tc>
          <w:tcPr>
            <w:tcW w:type="dxa" w:w="2592"/>
            <w:vAlign w:val="center"/>
            <w:shd w:fill="F3F6F7"/>
          </w:tcPr>
          <w:p>
            <w:pPr>
              <w:spacing w:after="0"/>
            </w:pPr>
            <w:r/>
            <w:r>
              <w:rPr>
                <w:rFonts w:ascii="Aptos" w:hAnsi="Aptos"/>
                <w:b w:val="0"/>
                <w:sz w:val="15"/>
              </w:rPr>
              <w:t>Control-health monitoring</w:t>
            </w:r>
          </w:p>
        </w:tc>
        <w:tc>
          <w:tcPr>
            <w:tcW w:type="dxa" w:w="4464"/>
            <w:vAlign w:val="center"/>
            <w:shd w:fill="F3F6F7"/>
          </w:tcPr>
          <w:p>
            <w:pPr>
              <w:spacing w:after="0"/>
            </w:pPr>
            <w:r/>
            <w:r>
              <w:rPr>
                <w:rFonts w:ascii="Aptos" w:hAnsi="Aptos"/>
                <w:b w:val="0"/>
                <w:sz w:val="15"/>
              </w:rPr>
              <w:t>Red, amber and unknown control states</w:t>
            </w:r>
          </w:p>
        </w:tc>
        <w:tc>
          <w:tcPr>
            <w:tcW w:type="dxa" w:w="2592"/>
            <w:vAlign w:val="center"/>
            <w:shd w:fill="F3F6F7"/>
          </w:tcPr>
          <w:p>
            <w:pPr>
              <w:spacing w:after="0"/>
            </w:pPr>
            <w:r/>
            <w:r>
              <w:rPr>
                <w:rFonts w:ascii="Aptos" w:hAnsi="Aptos"/>
                <w:b w:val="0"/>
                <w:sz w:val="15"/>
              </w:rPr>
              <w:t>Operational stabilization</w:t>
            </w:r>
          </w:p>
        </w:tc>
      </w:tr>
      <w:tr>
        <w:trPr>
          <w:cantSplit/>
        </w:trPr>
        <w:tc>
          <w:tcPr>
            <w:tcW w:type="dxa" w:w="2592"/>
            <w:vAlign w:val="center"/>
          </w:tcPr>
          <w:p>
            <w:pPr>
              <w:spacing w:after="0"/>
            </w:pPr>
            <w:r/>
            <w:r>
              <w:rPr>
                <w:rFonts w:ascii="Aptos" w:hAnsi="Aptos"/>
                <w:b w:val="0"/>
                <w:sz w:val="15"/>
              </w:rPr>
              <w:t>Assessment findings</w:t>
            </w:r>
          </w:p>
        </w:tc>
        <w:tc>
          <w:tcPr>
            <w:tcW w:type="dxa" w:w="4464"/>
            <w:vAlign w:val="center"/>
          </w:tcPr>
          <w:p>
            <w:pPr>
              <w:spacing w:after="0"/>
            </w:pPr>
            <w:r/>
            <w:r>
              <w:rPr>
                <w:rFonts w:ascii="Aptos" w:hAnsi="Aptos"/>
                <w:b w:val="0"/>
                <w:sz w:val="15"/>
              </w:rPr>
              <w:t>Nonconformities, observations, evidence gaps</w:t>
            </w:r>
          </w:p>
        </w:tc>
        <w:tc>
          <w:tcPr>
            <w:tcW w:type="dxa" w:w="2592"/>
            <w:vAlign w:val="center"/>
          </w:tcPr>
          <w:p>
            <w:pPr>
              <w:spacing w:after="0"/>
            </w:pPr>
            <w:r/>
            <w:r>
              <w:rPr>
                <w:rFonts w:ascii="Aptos" w:hAnsi="Aptos"/>
                <w:b w:val="0"/>
                <w:sz w:val="15"/>
              </w:rPr>
              <w:t>Conformance improvement</w:t>
            </w:r>
          </w:p>
        </w:tc>
      </w:tr>
      <w:tr>
        <w:trPr>
          <w:cantSplit/>
        </w:trPr>
        <w:tc>
          <w:tcPr>
            <w:tcW w:type="dxa" w:w="2592"/>
            <w:vAlign w:val="center"/>
            <w:shd w:fill="F3F6F7"/>
          </w:tcPr>
          <w:p>
            <w:pPr>
              <w:spacing w:after="0"/>
            </w:pPr>
            <w:r/>
            <w:r>
              <w:rPr>
                <w:rFonts w:ascii="Aptos" w:hAnsi="Aptos"/>
                <w:b w:val="0"/>
                <w:sz w:val="15"/>
              </w:rPr>
              <w:t>Metrics and trends</w:t>
            </w:r>
          </w:p>
        </w:tc>
        <w:tc>
          <w:tcPr>
            <w:tcW w:type="dxa" w:w="4464"/>
            <w:vAlign w:val="center"/>
            <w:shd w:fill="F3F6F7"/>
          </w:tcPr>
          <w:p>
            <w:pPr>
              <w:spacing w:after="0"/>
            </w:pPr>
            <w:r/>
            <w:r>
              <w:rPr>
                <w:rFonts w:ascii="Aptos" w:hAnsi="Aptos"/>
                <w:b w:val="0"/>
                <w:sz w:val="15"/>
              </w:rPr>
              <w:t>Drift, false positives, failures, overdue actions</w:t>
            </w:r>
          </w:p>
        </w:tc>
        <w:tc>
          <w:tcPr>
            <w:tcW w:type="dxa" w:w="2592"/>
            <w:vAlign w:val="center"/>
            <w:shd w:fill="F3F6F7"/>
          </w:tcPr>
          <w:p>
            <w:pPr>
              <w:spacing w:after="0"/>
            </w:pPr>
            <w:r/>
            <w:r>
              <w:rPr>
                <w:rFonts w:ascii="Aptos" w:hAnsi="Aptos"/>
                <w:b w:val="0"/>
                <w:sz w:val="15"/>
              </w:rPr>
              <w:t>Performance optimization</w:t>
            </w:r>
          </w:p>
        </w:tc>
      </w:tr>
      <w:tr>
        <w:trPr>
          <w:cantSplit/>
        </w:trPr>
        <w:tc>
          <w:tcPr>
            <w:tcW w:type="dxa" w:w="2592"/>
            <w:vAlign w:val="center"/>
          </w:tcPr>
          <w:p>
            <w:pPr>
              <w:spacing w:after="0"/>
            </w:pPr>
            <w:r/>
            <w:r>
              <w:rPr>
                <w:rFonts w:ascii="Aptos" w:hAnsi="Aptos"/>
                <w:b w:val="0"/>
                <w:sz w:val="15"/>
              </w:rPr>
              <w:t>User and stakeholder feedback</w:t>
            </w:r>
          </w:p>
        </w:tc>
        <w:tc>
          <w:tcPr>
            <w:tcW w:type="dxa" w:w="4464"/>
            <w:vAlign w:val="center"/>
          </w:tcPr>
          <w:p>
            <w:pPr>
              <w:spacing w:after="0"/>
            </w:pPr>
            <w:r/>
            <w:r>
              <w:rPr>
                <w:rFonts w:ascii="Aptos" w:hAnsi="Aptos"/>
                <w:b w:val="0"/>
                <w:sz w:val="15"/>
              </w:rPr>
              <w:t>Complaints, accessibility issues, support trends</w:t>
            </w:r>
          </w:p>
        </w:tc>
        <w:tc>
          <w:tcPr>
            <w:tcW w:type="dxa" w:w="2592"/>
            <w:vAlign w:val="center"/>
          </w:tcPr>
          <w:p>
            <w:pPr>
              <w:spacing w:after="0"/>
            </w:pPr>
            <w:r/>
            <w:r>
              <w:rPr>
                <w:rFonts w:ascii="Aptos" w:hAnsi="Aptos"/>
                <w:b w:val="0"/>
                <w:sz w:val="15"/>
              </w:rPr>
              <w:t>Human-factors improvement</w:t>
            </w:r>
          </w:p>
        </w:tc>
      </w:tr>
      <w:tr>
        <w:trPr>
          <w:cantSplit/>
        </w:trPr>
        <w:tc>
          <w:tcPr>
            <w:tcW w:type="dxa" w:w="2592"/>
            <w:vAlign w:val="center"/>
            <w:shd w:fill="F3F6F7"/>
          </w:tcPr>
          <w:p>
            <w:pPr>
              <w:spacing w:after="0"/>
            </w:pPr>
            <w:r/>
            <w:r>
              <w:rPr>
                <w:rFonts w:ascii="Aptos" w:hAnsi="Aptos"/>
                <w:b w:val="0"/>
                <w:sz w:val="15"/>
              </w:rPr>
              <w:t>Supplier events</w:t>
            </w:r>
          </w:p>
        </w:tc>
        <w:tc>
          <w:tcPr>
            <w:tcW w:type="dxa" w:w="4464"/>
            <w:vAlign w:val="center"/>
            <w:shd w:fill="F3F6F7"/>
          </w:tcPr>
          <w:p>
            <w:pPr>
              <w:spacing w:after="0"/>
            </w:pPr>
            <w:r/>
            <w:r>
              <w:rPr>
                <w:rFonts w:ascii="Aptos" w:hAnsi="Aptos"/>
                <w:b w:val="0"/>
                <w:sz w:val="15"/>
              </w:rPr>
              <w:t>Service change, assurance expiry, incident, outage</w:t>
            </w:r>
          </w:p>
        </w:tc>
        <w:tc>
          <w:tcPr>
            <w:tcW w:type="dxa" w:w="2592"/>
            <w:vAlign w:val="center"/>
            <w:shd w:fill="F3F6F7"/>
          </w:tcPr>
          <w:p>
            <w:pPr>
              <w:spacing w:after="0"/>
            </w:pPr>
            <w:r/>
            <w:r>
              <w:rPr>
                <w:rFonts w:ascii="Aptos" w:hAnsi="Aptos"/>
                <w:b w:val="0"/>
                <w:sz w:val="15"/>
              </w:rPr>
              <w:t>Inherited-control improvement</w:t>
            </w:r>
          </w:p>
        </w:tc>
      </w:tr>
      <w:tr>
        <w:trPr>
          <w:cantSplit/>
        </w:trPr>
        <w:tc>
          <w:tcPr>
            <w:tcW w:type="dxa" w:w="2592"/>
            <w:vAlign w:val="center"/>
          </w:tcPr>
          <w:p>
            <w:pPr>
              <w:spacing w:after="0"/>
            </w:pPr>
            <w:r/>
            <w:r>
              <w:rPr>
                <w:rFonts w:ascii="Aptos" w:hAnsi="Aptos"/>
                <w:b w:val="0"/>
                <w:sz w:val="15"/>
              </w:rPr>
              <w:t>Threat intelligence</w:t>
            </w:r>
          </w:p>
        </w:tc>
        <w:tc>
          <w:tcPr>
            <w:tcW w:type="dxa" w:w="4464"/>
            <w:vAlign w:val="center"/>
          </w:tcPr>
          <w:p>
            <w:pPr>
              <w:spacing w:after="0"/>
            </w:pPr>
            <w:r/>
            <w:r>
              <w:rPr>
                <w:rFonts w:ascii="Aptos" w:hAnsi="Aptos"/>
                <w:b w:val="0"/>
                <w:sz w:val="15"/>
              </w:rPr>
              <w:t>New attack techniques or vulnerabilities</w:t>
            </w:r>
          </w:p>
        </w:tc>
        <w:tc>
          <w:tcPr>
            <w:tcW w:type="dxa" w:w="2592"/>
            <w:vAlign w:val="center"/>
          </w:tcPr>
          <w:p>
            <w:pPr>
              <w:spacing w:after="0"/>
            </w:pPr>
            <w:r/>
            <w:r>
              <w:rPr>
                <w:rFonts w:ascii="Aptos" w:hAnsi="Aptos"/>
                <w:b w:val="0"/>
                <w:sz w:val="15"/>
              </w:rPr>
              <w:t>Preventive control enhancement</w:t>
            </w:r>
          </w:p>
        </w:tc>
      </w:tr>
      <w:tr>
        <w:trPr>
          <w:cantSplit/>
        </w:trPr>
        <w:tc>
          <w:tcPr>
            <w:tcW w:type="dxa" w:w="2592"/>
            <w:vAlign w:val="center"/>
            <w:shd w:fill="F3F6F7"/>
          </w:tcPr>
          <w:p>
            <w:pPr>
              <w:spacing w:after="0"/>
            </w:pPr>
            <w:r/>
            <w:r>
              <w:rPr>
                <w:rFonts w:ascii="Aptos" w:hAnsi="Aptos"/>
                <w:b w:val="0"/>
                <w:sz w:val="15"/>
              </w:rPr>
              <w:t>Legal and standards change</w:t>
            </w:r>
          </w:p>
        </w:tc>
        <w:tc>
          <w:tcPr>
            <w:tcW w:type="dxa" w:w="4464"/>
            <w:vAlign w:val="center"/>
            <w:shd w:fill="F3F6F7"/>
          </w:tcPr>
          <w:p>
            <w:pPr>
              <w:spacing w:after="0"/>
            </w:pPr>
            <w:r/>
            <w:r>
              <w:rPr>
                <w:rFonts w:ascii="Aptos" w:hAnsi="Aptos"/>
                <w:b w:val="0"/>
                <w:sz w:val="15"/>
              </w:rPr>
              <w:t>New obligations or framework revisions</w:t>
            </w:r>
          </w:p>
        </w:tc>
        <w:tc>
          <w:tcPr>
            <w:tcW w:type="dxa" w:w="2592"/>
            <w:vAlign w:val="center"/>
            <w:shd w:fill="F3F6F7"/>
          </w:tcPr>
          <w:p>
            <w:pPr>
              <w:spacing w:after="0"/>
            </w:pPr>
            <w:r/>
            <w:r>
              <w:rPr>
                <w:rFonts w:ascii="Aptos" w:hAnsi="Aptos"/>
                <w:b w:val="0"/>
                <w:sz w:val="15"/>
              </w:rPr>
              <w:t>Compliance and migration planning</w:t>
            </w:r>
          </w:p>
        </w:tc>
      </w:tr>
      <w:tr>
        <w:trPr>
          <w:cantSplit/>
        </w:trPr>
        <w:tc>
          <w:tcPr>
            <w:tcW w:type="dxa" w:w="2592"/>
            <w:vAlign w:val="center"/>
          </w:tcPr>
          <w:p>
            <w:pPr>
              <w:spacing w:after="0"/>
            </w:pPr>
            <w:r/>
            <w:r>
              <w:rPr>
                <w:rFonts w:ascii="Aptos" w:hAnsi="Aptos"/>
                <w:b w:val="0"/>
                <w:sz w:val="15"/>
              </w:rPr>
              <w:t>Innovation and experimentation</w:t>
            </w:r>
          </w:p>
        </w:tc>
        <w:tc>
          <w:tcPr>
            <w:tcW w:type="dxa" w:w="4464"/>
            <w:vAlign w:val="center"/>
          </w:tcPr>
          <w:p>
            <w:pPr>
              <w:spacing w:after="0"/>
            </w:pPr>
            <w:r/>
            <w:r>
              <w:rPr>
                <w:rFonts w:ascii="Aptos" w:hAnsi="Aptos"/>
                <w:b w:val="0"/>
                <w:sz w:val="15"/>
              </w:rPr>
              <w:t>New models, tools, methods or automation</w:t>
            </w:r>
          </w:p>
        </w:tc>
        <w:tc>
          <w:tcPr>
            <w:tcW w:type="dxa" w:w="2592"/>
            <w:vAlign w:val="center"/>
          </w:tcPr>
          <w:p>
            <w:pPr>
              <w:spacing w:after="0"/>
            </w:pPr>
            <w:r/>
            <w:r>
              <w:rPr>
                <w:rFonts w:ascii="Aptos" w:hAnsi="Aptos"/>
                <w:b w:val="0"/>
                <w:sz w:val="15"/>
              </w:rPr>
              <w:t>Controlled capability improvement</w:t>
            </w:r>
          </w:p>
        </w:tc>
      </w:tr>
    </w:tbl>
    <w:p/>
    <w:p>
      <w:pPr>
        <w:pStyle w:val="Heading1"/>
      </w:pPr>
      <w:r>
        <w:t>6. Maturity Model</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1728"/>
            <w:vAlign w:val="center"/>
            <w:shd w:fill="17324D"/>
          </w:tcPr>
          <w:p>
            <w:pPr>
              <w:spacing w:after="0"/>
            </w:pPr>
            <w:r/>
            <w:r>
              <w:rPr>
                <w:rFonts w:ascii="Aptos" w:hAnsi="Aptos"/>
                <w:b/>
                <w:color w:val="FFFFFF"/>
                <w:sz w:val="15"/>
              </w:rPr>
              <w:t>Level</w:t>
            </w:r>
          </w:p>
        </w:tc>
        <w:tc>
          <w:tcPr>
            <w:tcW w:type="dxa" w:w="5040"/>
            <w:vAlign w:val="center"/>
            <w:shd w:fill="17324D"/>
          </w:tcPr>
          <w:p>
            <w:pPr>
              <w:spacing w:after="0"/>
            </w:pPr>
            <w:r/>
            <w:r>
              <w:rPr>
                <w:rFonts w:ascii="Aptos" w:hAnsi="Aptos"/>
                <w:b/>
                <w:color w:val="FFFFFF"/>
                <w:sz w:val="15"/>
              </w:rPr>
              <w:t>Characteristics</w:t>
            </w:r>
          </w:p>
        </w:tc>
        <w:tc>
          <w:tcPr>
            <w:tcW w:type="dxa" w:w="3024"/>
            <w:vAlign w:val="center"/>
            <w:shd w:fill="17324D"/>
          </w:tcPr>
          <w:p>
            <w:pPr>
              <w:spacing w:after="0"/>
            </w:pPr>
            <w:r/>
            <w:r>
              <w:rPr>
                <w:rFonts w:ascii="Aptos" w:hAnsi="Aptos"/>
                <w:b/>
                <w:color w:val="FFFFFF"/>
                <w:sz w:val="15"/>
              </w:rPr>
              <w:t>Evidence</w:t>
            </w:r>
          </w:p>
        </w:tc>
      </w:tr>
      <w:tr>
        <w:trPr>
          <w:cantSplit/>
        </w:trPr>
        <w:tc>
          <w:tcPr>
            <w:tcW w:type="dxa" w:w="1728"/>
            <w:vAlign w:val="center"/>
          </w:tcPr>
          <w:p>
            <w:pPr>
              <w:spacing w:after="0"/>
            </w:pPr>
            <w:r/>
            <w:r>
              <w:rPr>
                <w:rFonts w:ascii="Aptos" w:hAnsi="Aptos"/>
                <w:b w:val="0"/>
                <w:sz w:val="15"/>
              </w:rPr>
              <w:t>0 - Absent</w:t>
            </w:r>
          </w:p>
        </w:tc>
        <w:tc>
          <w:tcPr>
            <w:tcW w:type="dxa" w:w="5040"/>
            <w:vAlign w:val="center"/>
          </w:tcPr>
          <w:p>
            <w:pPr>
              <w:spacing w:after="0"/>
            </w:pPr>
            <w:r/>
            <w:r>
              <w:rPr>
                <w:rFonts w:ascii="Aptos" w:hAnsi="Aptos"/>
                <w:b w:val="0"/>
                <w:sz w:val="15"/>
              </w:rPr>
              <w:t>No reliable control or improvement process</w:t>
            </w:r>
          </w:p>
        </w:tc>
        <w:tc>
          <w:tcPr>
            <w:tcW w:type="dxa" w:w="3024"/>
            <w:vAlign w:val="center"/>
          </w:tcPr>
          <w:p>
            <w:pPr>
              <w:spacing w:after="0"/>
            </w:pPr>
            <w:r/>
            <w:r>
              <w:rPr>
                <w:rFonts w:ascii="Aptos" w:hAnsi="Aptos"/>
                <w:b w:val="0"/>
                <w:sz w:val="15"/>
              </w:rPr>
              <w:t>Repeated failures, missing ownership, no records</w:t>
            </w:r>
          </w:p>
        </w:tc>
      </w:tr>
      <w:tr>
        <w:trPr>
          <w:cantSplit/>
        </w:trPr>
        <w:tc>
          <w:tcPr>
            <w:tcW w:type="dxa" w:w="1728"/>
            <w:vAlign w:val="center"/>
            <w:shd w:fill="F3F6F7"/>
          </w:tcPr>
          <w:p>
            <w:pPr>
              <w:spacing w:after="0"/>
            </w:pPr>
            <w:r/>
            <w:r>
              <w:rPr>
                <w:rFonts w:ascii="Aptos" w:hAnsi="Aptos"/>
                <w:b w:val="0"/>
                <w:sz w:val="15"/>
              </w:rPr>
              <w:t>1 - Reactive</w:t>
            </w:r>
          </w:p>
        </w:tc>
        <w:tc>
          <w:tcPr>
            <w:tcW w:type="dxa" w:w="5040"/>
            <w:vAlign w:val="center"/>
            <w:shd w:fill="F3F6F7"/>
          </w:tcPr>
          <w:p>
            <w:pPr>
              <w:spacing w:after="0"/>
            </w:pPr>
            <w:r/>
            <w:r>
              <w:rPr>
                <w:rFonts w:ascii="Aptos" w:hAnsi="Aptos"/>
                <w:b w:val="0"/>
                <w:sz w:val="15"/>
              </w:rPr>
              <w:t>Problems are addressed after incidents; fixes are inconsistent</w:t>
            </w:r>
          </w:p>
        </w:tc>
        <w:tc>
          <w:tcPr>
            <w:tcW w:type="dxa" w:w="3024"/>
            <w:vAlign w:val="center"/>
            <w:shd w:fill="F3F6F7"/>
          </w:tcPr>
          <w:p>
            <w:pPr>
              <w:spacing w:after="0"/>
            </w:pPr>
            <w:r/>
            <w:r>
              <w:rPr>
                <w:rFonts w:ascii="Aptos" w:hAnsi="Aptos"/>
                <w:b w:val="0"/>
                <w:sz w:val="15"/>
              </w:rPr>
              <w:t>Tickets and ad hoc actions</w:t>
            </w:r>
          </w:p>
        </w:tc>
      </w:tr>
      <w:tr>
        <w:trPr>
          <w:cantSplit/>
        </w:trPr>
        <w:tc>
          <w:tcPr>
            <w:tcW w:type="dxa" w:w="1728"/>
            <w:vAlign w:val="center"/>
          </w:tcPr>
          <w:p>
            <w:pPr>
              <w:spacing w:after="0"/>
            </w:pPr>
            <w:r/>
            <w:r>
              <w:rPr>
                <w:rFonts w:ascii="Aptos" w:hAnsi="Aptos"/>
                <w:b w:val="0"/>
                <w:sz w:val="15"/>
              </w:rPr>
              <w:t>2 - Defined</w:t>
            </w:r>
          </w:p>
        </w:tc>
        <w:tc>
          <w:tcPr>
            <w:tcW w:type="dxa" w:w="5040"/>
            <w:vAlign w:val="center"/>
          </w:tcPr>
          <w:p>
            <w:pPr>
              <w:spacing w:after="0"/>
            </w:pPr>
            <w:r/>
            <w:r>
              <w:rPr>
                <w:rFonts w:ascii="Aptos" w:hAnsi="Aptos"/>
                <w:b w:val="0"/>
                <w:sz w:val="15"/>
              </w:rPr>
              <w:t>Processes, owners and standard methods are documented</w:t>
            </w:r>
          </w:p>
        </w:tc>
        <w:tc>
          <w:tcPr>
            <w:tcW w:type="dxa" w:w="3024"/>
            <w:vAlign w:val="center"/>
          </w:tcPr>
          <w:p>
            <w:pPr>
              <w:spacing w:after="0"/>
            </w:pPr>
            <w:r/>
            <w:r>
              <w:rPr>
                <w:rFonts w:ascii="Aptos" w:hAnsi="Aptos"/>
                <w:b w:val="0"/>
                <w:sz w:val="15"/>
              </w:rPr>
              <w:t>Policies, procedures and plans</w:t>
            </w:r>
          </w:p>
        </w:tc>
      </w:tr>
      <w:tr>
        <w:trPr>
          <w:cantSplit/>
        </w:trPr>
        <w:tc>
          <w:tcPr>
            <w:tcW w:type="dxa" w:w="1728"/>
            <w:vAlign w:val="center"/>
            <w:shd w:fill="F3F6F7"/>
          </w:tcPr>
          <w:p>
            <w:pPr>
              <w:spacing w:after="0"/>
            </w:pPr>
            <w:r/>
            <w:r>
              <w:rPr>
                <w:rFonts w:ascii="Aptos" w:hAnsi="Aptos"/>
                <w:b w:val="0"/>
                <w:sz w:val="15"/>
              </w:rPr>
              <w:t>3 - Managed</w:t>
            </w:r>
          </w:p>
        </w:tc>
        <w:tc>
          <w:tcPr>
            <w:tcW w:type="dxa" w:w="5040"/>
            <w:vAlign w:val="center"/>
            <w:shd w:fill="F3F6F7"/>
          </w:tcPr>
          <w:p>
            <w:pPr>
              <w:spacing w:after="0"/>
            </w:pPr>
            <w:r/>
            <w:r>
              <w:rPr>
                <w:rFonts w:ascii="Aptos" w:hAnsi="Aptos"/>
                <w:b w:val="0"/>
                <w:sz w:val="15"/>
              </w:rPr>
              <w:t>Performance is measured; actions are prioritized and tracked</w:t>
            </w:r>
          </w:p>
        </w:tc>
        <w:tc>
          <w:tcPr>
            <w:tcW w:type="dxa" w:w="3024"/>
            <w:vAlign w:val="center"/>
            <w:shd w:fill="F3F6F7"/>
          </w:tcPr>
          <w:p>
            <w:pPr>
              <w:spacing w:after="0"/>
            </w:pPr>
            <w:r/>
            <w:r>
              <w:rPr>
                <w:rFonts w:ascii="Aptos" w:hAnsi="Aptos"/>
                <w:b w:val="0"/>
                <w:sz w:val="15"/>
              </w:rPr>
              <w:t>Metrics, reviews and verified closure</w:t>
            </w:r>
          </w:p>
        </w:tc>
      </w:tr>
      <w:tr>
        <w:trPr>
          <w:cantSplit/>
        </w:trPr>
        <w:tc>
          <w:tcPr>
            <w:tcW w:type="dxa" w:w="1728"/>
            <w:vAlign w:val="center"/>
          </w:tcPr>
          <w:p>
            <w:pPr>
              <w:spacing w:after="0"/>
            </w:pPr>
            <w:r/>
            <w:r>
              <w:rPr>
                <w:rFonts w:ascii="Aptos" w:hAnsi="Aptos"/>
                <w:b w:val="0"/>
                <w:sz w:val="15"/>
              </w:rPr>
              <w:t>4 - Integrated</w:t>
            </w:r>
          </w:p>
        </w:tc>
        <w:tc>
          <w:tcPr>
            <w:tcW w:type="dxa" w:w="5040"/>
            <w:vAlign w:val="center"/>
          </w:tcPr>
          <w:p>
            <w:pPr>
              <w:spacing w:after="0"/>
            </w:pPr>
            <w:r/>
            <w:r>
              <w:rPr>
                <w:rFonts w:ascii="Aptos" w:hAnsi="Aptos"/>
                <w:b w:val="0"/>
                <w:sz w:val="15"/>
              </w:rPr>
              <w:t>Improvement is embedded across lifecycle, systems and suppliers</w:t>
            </w:r>
          </w:p>
        </w:tc>
        <w:tc>
          <w:tcPr>
            <w:tcW w:type="dxa" w:w="3024"/>
            <w:vAlign w:val="center"/>
          </w:tcPr>
          <w:p>
            <w:pPr>
              <w:spacing w:after="0"/>
            </w:pPr>
            <w:r/>
            <w:r>
              <w:rPr>
                <w:rFonts w:ascii="Aptos" w:hAnsi="Aptos"/>
                <w:b w:val="0"/>
                <w:sz w:val="15"/>
              </w:rPr>
              <w:t>Cross-functional and portfolio evidence</w:t>
            </w:r>
          </w:p>
        </w:tc>
      </w:tr>
      <w:tr>
        <w:trPr>
          <w:cantSplit/>
        </w:trPr>
        <w:tc>
          <w:tcPr>
            <w:tcW w:type="dxa" w:w="1728"/>
            <w:vAlign w:val="center"/>
            <w:shd w:fill="F3F6F7"/>
          </w:tcPr>
          <w:p>
            <w:pPr>
              <w:spacing w:after="0"/>
            </w:pPr>
            <w:r/>
            <w:r>
              <w:rPr>
                <w:rFonts w:ascii="Aptos" w:hAnsi="Aptos"/>
                <w:b w:val="0"/>
                <w:sz w:val="15"/>
              </w:rPr>
              <w:t>5 - Adaptive</w:t>
            </w:r>
          </w:p>
        </w:tc>
        <w:tc>
          <w:tcPr>
            <w:tcW w:type="dxa" w:w="5040"/>
            <w:vAlign w:val="center"/>
            <w:shd w:fill="F3F6F7"/>
          </w:tcPr>
          <w:p>
            <w:pPr>
              <w:spacing w:after="0"/>
            </w:pPr>
            <w:r/>
            <w:r>
              <w:rPr>
                <w:rFonts w:ascii="Aptos" w:hAnsi="Aptos"/>
                <w:b w:val="0"/>
                <w:sz w:val="15"/>
              </w:rPr>
              <w:t>Predictive signals, automation and learning drive controlled evolution</w:t>
            </w:r>
          </w:p>
        </w:tc>
        <w:tc>
          <w:tcPr>
            <w:tcW w:type="dxa" w:w="3024"/>
            <w:vAlign w:val="center"/>
            <w:shd w:fill="F3F6F7"/>
          </w:tcPr>
          <w:p>
            <w:pPr>
              <w:spacing w:after="0"/>
            </w:pPr>
            <w:r/>
            <w:r>
              <w:rPr>
                <w:rFonts w:ascii="Aptos" w:hAnsi="Aptos"/>
                <w:b w:val="0"/>
                <w:sz w:val="15"/>
              </w:rPr>
              <w:t>Leading indicators, simulations and continuous validation</w:t>
            </w:r>
          </w:p>
        </w:tc>
      </w:tr>
    </w:tbl>
    <w:p/>
    <w:p>
      <w:r>
        <w:t>Maturity levels should be applied to defined capabilities or processes, not used as a single unsupported enterprise score. A high maturity rating does not waive unmet GAISSF controls.</w:t>
      </w:r>
    </w:p>
    <w:p>
      <w:pPr>
        <w:pStyle w:val="Heading1"/>
      </w:pPr>
      <w:r>
        <w:t>7. Maturity Assessment Dimensions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448"/>
            <w:vAlign w:val="center"/>
            <w:shd w:fill="17324D"/>
          </w:tcPr>
          <w:p>
            <w:pPr>
              <w:spacing w:after="0"/>
            </w:pPr>
            <w:r/>
            <w:r>
              <w:rPr>
                <w:rFonts w:ascii="Aptos" w:hAnsi="Aptos"/>
                <w:b/>
                <w:color w:val="FFFFFF"/>
                <w:sz w:val="15"/>
              </w:rPr>
              <w:t>Dimension</w:t>
            </w:r>
          </w:p>
        </w:tc>
        <w:tc>
          <w:tcPr>
            <w:tcW w:type="dxa" w:w="7200"/>
            <w:vAlign w:val="center"/>
            <w:shd w:fill="17324D"/>
          </w:tcPr>
          <w:p>
            <w:pPr>
              <w:spacing w:after="0"/>
            </w:pPr>
            <w:r/>
            <w:r>
              <w:rPr>
                <w:rFonts w:ascii="Aptos" w:hAnsi="Aptos"/>
                <w:b/>
                <w:color w:val="FFFFFF"/>
                <w:sz w:val="15"/>
              </w:rPr>
              <w:t>Assessment questions</w:t>
            </w:r>
          </w:p>
        </w:tc>
      </w:tr>
      <w:tr>
        <w:trPr>
          <w:cantSplit/>
        </w:trPr>
        <w:tc>
          <w:tcPr>
            <w:tcW w:type="dxa" w:w="2448"/>
            <w:vAlign w:val="center"/>
          </w:tcPr>
          <w:p>
            <w:pPr>
              <w:spacing w:after="0"/>
            </w:pPr>
            <w:r/>
            <w:r>
              <w:rPr>
                <w:rFonts w:ascii="Aptos" w:hAnsi="Aptos"/>
                <w:b w:val="0"/>
                <w:sz w:val="15"/>
              </w:rPr>
              <w:t>Governance</w:t>
            </w:r>
          </w:p>
        </w:tc>
        <w:tc>
          <w:tcPr>
            <w:tcW w:type="dxa" w:w="7200"/>
            <w:vAlign w:val="center"/>
          </w:tcPr>
          <w:p>
            <w:pPr>
              <w:spacing w:after="0"/>
            </w:pPr>
            <w:r/>
            <w:r>
              <w:rPr>
                <w:rFonts w:ascii="Aptos" w:hAnsi="Aptos"/>
                <w:b w:val="0"/>
                <w:sz w:val="15"/>
              </w:rPr>
              <w:t>Are priorities, authority, funding and risk decisions clear?</w:t>
            </w:r>
          </w:p>
        </w:tc>
      </w:tr>
      <w:tr>
        <w:trPr>
          <w:cantSplit/>
        </w:trPr>
        <w:tc>
          <w:tcPr>
            <w:tcW w:type="dxa" w:w="2448"/>
            <w:vAlign w:val="center"/>
            <w:shd w:fill="F3F6F7"/>
          </w:tcPr>
          <w:p>
            <w:pPr>
              <w:spacing w:after="0"/>
            </w:pPr>
            <w:r/>
            <w:r>
              <w:rPr>
                <w:rFonts w:ascii="Aptos" w:hAnsi="Aptos"/>
                <w:b w:val="0"/>
                <w:sz w:val="15"/>
              </w:rPr>
              <w:t>Ownership</w:t>
            </w:r>
          </w:p>
        </w:tc>
        <w:tc>
          <w:tcPr>
            <w:tcW w:type="dxa" w:w="7200"/>
            <w:vAlign w:val="center"/>
            <w:shd w:fill="F3F6F7"/>
          </w:tcPr>
          <w:p>
            <w:pPr>
              <w:spacing w:after="0"/>
            </w:pPr>
            <w:r/>
            <w:r>
              <w:rPr>
                <w:rFonts w:ascii="Aptos" w:hAnsi="Aptos"/>
                <w:b w:val="0"/>
                <w:sz w:val="15"/>
              </w:rPr>
              <w:t>Do control and system owners actively manage improvements?</w:t>
            </w:r>
          </w:p>
        </w:tc>
      </w:tr>
      <w:tr>
        <w:trPr>
          <w:cantSplit/>
        </w:trPr>
        <w:tc>
          <w:tcPr>
            <w:tcW w:type="dxa" w:w="2448"/>
            <w:vAlign w:val="center"/>
          </w:tcPr>
          <w:p>
            <w:pPr>
              <w:spacing w:after="0"/>
            </w:pPr>
            <w:r/>
            <w:r>
              <w:rPr>
                <w:rFonts w:ascii="Aptos" w:hAnsi="Aptos"/>
                <w:b w:val="0"/>
                <w:sz w:val="15"/>
              </w:rPr>
              <w:t>Process</w:t>
            </w:r>
          </w:p>
        </w:tc>
        <w:tc>
          <w:tcPr>
            <w:tcW w:type="dxa" w:w="7200"/>
            <w:vAlign w:val="center"/>
          </w:tcPr>
          <w:p>
            <w:pPr>
              <w:spacing w:after="0"/>
            </w:pPr>
            <w:r/>
            <w:r>
              <w:rPr>
                <w:rFonts w:ascii="Aptos" w:hAnsi="Aptos"/>
                <w:b w:val="0"/>
                <w:sz w:val="15"/>
              </w:rPr>
              <w:t>Are improvement methods repeatable and integrated into operations?</w:t>
            </w:r>
          </w:p>
        </w:tc>
      </w:tr>
      <w:tr>
        <w:trPr>
          <w:cantSplit/>
        </w:trPr>
        <w:tc>
          <w:tcPr>
            <w:tcW w:type="dxa" w:w="2448"/>
            <w:vAlign w:val="center"/>
            <w:shd w:fill="F3F6F7"/>
          </w:tcPr>
          <w:p>
            <w:pPr>
              <w:spacing w:after="0"/>
            </w:pPr>
            <w:r/>
            <w:r>
              <w:rPr>
                <w:rFonts w:ascii="Aptos" w:hAnsi="Aptos"/>
                <w:b w:val="0"/>
                <w:sz w:val="15"/>
              </w:rPr>
              <w:t>Technology</w:t>
            </w:r>
          </w:p>
        </w:tc>
        <w:tc>
          <w:tcPr>
            <w:tcW w:type="dxa" w:w="7200"/>
            <w:vAlign w:val="center"/>
            <w:shd w:fill="F3F6F7"/>
          </w:tcPr>
          <w:p>
            <w:pPr>
              <w:spacing w:after="0"/>
            </w:pPr>
            <w:r/>
            <w:r>
              <w:rPr>
                <w:rFonts w:ascii="Aptos" w:hAnsi="Aptos"/>
                <w:b w:val="0"/>
                <w:sz w:val="15"/>
              </w:rPr>
              <w:t>Are controls observable, testable and maintainable?</w:t>
            </w:r>
          </w:p>
        </w:tc>
      </w:tr>
      <w:tr>
        <w:trPr>
          <w:cantSplit/>
        </w:trPr>
        <w:tc>
          <w:tcPr>
            <w:tcW w:type="dxa" w:w="2448"/>
            <w:vAlign w:val="center"/>
          </w:tcPr>
          <w:p>
            <w:pPr>
              <w:spacing w:after="0"/>
            </w:pPr>
            <w:r/>
            <w:r>
              <w:rPr>
                <w:rFonts w:ascii="Aptos" w:hAnsi="Aptos"/>
                <w:b w:val="0"/>
                <w:sz w:val="15"/>
              </w:rPr>
              <w:t>Evidence</w:t>
            </w:r>
          </w:p>
        </w:tc>
        <w:tc>
          <w:tcPr>
            <w:tcW w:type="dxa" w:w="7200"/>
            <w:vAlign w:val="center"/>
          </w:tcPr>
          <w:p>
            <w:pPr>
              <w:spacing w:after="0"/>
            </w:pPr>
            <w:r/>
            <w:r>
              <w:rPr>
                <w:rFonts w:ascii="Aptos" w:hAnsi="Aptos"/>
                <w:b w:val="0"/>
                <w:sz w:val="15"/>
              </w:rPr>
              <w:t>Can improvements and outcomes be demonstrated?</w:t>
            </w:r>
          </w:p>
        </w:tc>
      </w:tr>
      <w:tr>
        <w:trPr>
          <w:cantSplit/>
        </w:trPr>
        <w:tc>
          <w:tcPr>
            <w:tcW w:type="dxa" w:w="2448"/>
            <w:vAlign w:val="center"/>
            <w:shd w:fill="F3F6F7"/>
          </w:tcPr>
          <w:p>
            <w:pPr>
              <w:spacing w:after="0"/>
            </w:pPr>
            <w:r/>
            <w:r>
              <w:rPr>
                <w:rFonts w:ascii="Aptos" w:hAnsi="Aptos"/>
                <w:b w:val="0"/>
                <w:sz w:val="15"/>
              </w:rPr>
              <w:t>Metrics</w:t>
            </w:r>
          </w:p>
        </w:tc>
        <w:tc>
          <w:tcPr>
            <w:tcW w:type="dxa" w:w="7200"/>
            <w:vAlign w:val="center"/>
            <w:shd w:fill="F3F6F7"/>
          </w:tcPr>
          <w:p>
            <w:pPr>
              <w:spacing w:after="0"/>
            </w:pPr>
            <w:r/>
            <w:r>
              <w:rPr>
                <w:rFonts w:ascii="Aptos" w:hAnsi="Aptos"/>
                <w:b w:val="0"/>
                <w:sz w:val="15"/>
              </w:rPr>
              <w:t>Are indicators meaningful, timely and linked to decisions?</w:t>
            </w:r>
          </w:p>
        </w:tc>
      </w:tr>
      <w:tr>
        <w:trPr>
          <w:cantSplit/>
        </w:trPr>
        <w:tc>
          <w:tcPr>
            <w:tcW w:type="dxa" w:w="2448"/>
            <w:vAlign w:val="center"/>
          </w:tcPr>
          <w:p>
            <w:pPr>
              <w:spacing w:after="0"/>
            </w:pPr>
            <w:r/>
            <w:r>
              <w:rPr>
                <w:rFonts w:ascii="Aptos" w:hAnsi="Aptos"/>
                <w:b w:val="0"/>
                <w:sz w:val="15"/>
              </w:rPr>
              <w:t>Assurance</w:t>
            </w:r>
          </w:p>
        </w:tc>
        <w:tc>
          <w:tcPr>
            <w:tcW w:type="dxa" w:w="7200"/>
            <w:vAlign w:val="center"/>
          </w:tcPr>
          <w:p>
            <w:pPr>
              <w:spacing w:after="0"/>
            </w:pPr>
            <w:r/>
            <w:r>
              <w:rPr>
                <w:rFonts w:ascii="Aptos" w:hAnsi="Aptos"/>
                <w:b w:val="0"/>
                <w:sz w:val="15"/>
              </w:rPr>
              <w:t>Is improvement independently challenged and verified?</w:t>
            </w:r>
          </w:p>
        </w:tc>
      </w:tr>
      <w:tr>
        <w:trPr>
          <w:cantSplit/>
        </w:trPr>
        <w:tc>
          <w:tcPr>
            <w:tcW w:type="dxa" w:w="2448"/>
            <w:vAlign w:val="center"/>
            <w:shd w:fill="F3F6F7"/>
          </w:tcPr>
          <w:p>
            <w:pPr>
              <w:spacing w:after="0"/>
            </w:pPr>
            <w:r/>
            <w:r>
              <w:rPr>
                <w:rFonts w:ascii="Aptos" w:hAnsi="Aptos"/>
                <w:b w:val="0"/>
                <w:sz w:val="15"/>
              </w:rPr>
              <w:t>Learning</w:t>
            </w:r>
          </w:p>
        </w:tc>
        <w:tc>
          <w:tcPr>
            <w:tcW w:type="dxa" w:w="7200"/>
            <w:vAlign w:val="center"/>
            <w:shd w:fill="F3F6F7"/>
          </w:tcPr>
          <w:p>
            <w:pPr>
              <w:spacing w:after="0"/>
            </w:pPr>
            <w:r/>
            <w:r>
              <w:rPr>
                <w:rFonts w:ascii="Aptos" w:hAnsi="Aptos"/>
                <w:b w:val="0"/>
                <w:sz w:val="15"/>
              </w:rPr>
              <w:t>Are lessons reused across systems and suppliers?</w:t>
            </w:r>
          </w:p>
        </w:tc>
      </w:tr>
      <w:tr>
        <w:trPr>
          <w:cantSplit/>
        </w:trPr>
        <w:tc>
          <w:tcPr>
            <w:tcW w:type="dxa" w:w="2448"/>
            <w:vAlign w:val="center"/>
          </w:tcPr>
          <w:p>
            <w:pPr>
              <w:spacing w:after="0"/>
            </w:pPr>
            <w:r/>
            <w:r>
              <w:rPr>
                <w:rFonts w:ascii="Aptos" w:hAnsi="Aptos"/>
                <w:b w:val="0"/>
                <w:sz w:val="15"/>
              </w:rPr>
              <w:t>Adaptability</w:t>
            </w:r>
          </w:p>
        </w:tc>
        <w:tc>
          <w:tcPr>
            <w:tcW w:type="dxa" w:w="7200"/>
            <w:vAlign w:val="center"/>
          </w:tcPr>
          <w:p>
            <w:pPr>
              <w:spacing w:after="0"/>
            </w:pPr>
            <w:r/>
            <w:r>
              <w:rPr>
                <w:rFonts w:ascii="Aptos" w:hAnsi="Aptos"/>
                <w:b w:val="0"/>
                <w:sz w:val="15"/>
              </w:rPr>
              <w:t>Can the program respond safely to new risks and releases?</w:t>
            </w:r>
          </w:p>
        </w:tc>
      </w:tr>
    </w:tbl>
    <w:p/>
    <w:p>
      <w:pPr>
        <w:pStyle w:val="Heading1"/>
      </w:pPr>
      <w:r>
        <w:t>8. Baseline Maturity Assessment</w:t>
      </w:r>
    </w:p>
    <w:p>
      <w:pPr>
        <w:pStyle w:val="ListNumber"/>
      </w:pPr>
      <w:r>
        <w:t>Define the scope and capability being assessed.</w:t>
      </w:r>
    </w:p>
    <w:p>
      <w:pPr>
        <w:pStyle w:val="ListNumber"/>
      </w:pPr>
      <w:r>
        <w:t>Collect representative evidence across the assessment period.</w:t>
      </w:r>
    </w:p>
    <w:p>
      <w:pPr>
        <w:pStyle w:val="ListNumber"/>
      </w:pPr>
      <w:r>
        <w:t>Rate each maturity dimension using explicit criteria.</w:t>
      </w:r>
    </w:p>
    <w:p>
      <w:pPr>
        <w:pStyle w:val="ListNumber"/>
      </w:pPr>
      <w:r>
        <w:t>Separate design maturity from operating maturity.</w:t>
      </w:r>
    </w:p>
    <w:p>
      <w:pPr>
        <w:pStyle w:val="ListNumber"/>
      </w:pPr>
      <w:r>
        <w:t>Record control gaps independently from maturity ratings.</w:t>
      </w:r>
    </w:p>
    <w:p>
      <w:pPr>
        <w:pStyle w:val="ListNumber"/>
      </w:pPr>
      <w:r>
        <w:t>Identify strengths, weaknesses, dependencies and uncertainty.</w:t>
      </w:r>
    </w:p>
    <w:p>
      <w:pPr>
        <w:pStyle w:val="ListNumber"/>
      </w:pPr>
      <w:r>
        <w:t>Obtain owner validation and independent challenge.</w:t>
      </w:r>
    </w:p>
    <w:p>
      <w:pPr>
        <w:pStyle w:val="ListNumber"/>
      </w:pPr>
      <w:r>
        <w:t>Approve a target state and improvement horizon.</w:t>
      </w:r>
    </w:p>
    <w:p>
      <w:pPr>
        <w:pStyle w:val="Heading1"/>
      </w:pPr>
      <w:r>
        <w:t>9. Improvement Prioritization</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592"/>
            <w:vAlign w:val="center"/>
            <w:shd w:fill="17324D"/>
          </w:tcPr>
          <w:p>
            <w:pPr>
              <w:spacing w:after="0"/>
            </w:pPr>
            <w:r/>
            <w:r>
              <w:rPr>
                <w:rFonts w:ascii="Aptos" w:hAnsi="Aptos"/>
                <w:b/>
                <w:color w:val="FFFFFF"/>
                <w:sz w:val="15"/>
              </w:rPr>
              <w:t>Factor</w:t>
            </w:r>
          </w:p>
        </w:tc>
        <w:tc>
          <w:tcPr>
            <w:tcW w:type="dxa" w:w="7056"/>
            <w:vAlign w:val="center"/>
            <w:shd w:fill="17324D"/>
          </w:tcPr>
          <w:p>
            <w:pPr>
              <w:spacing w:after="0"/>
            </w:pPr>
            <w:r/>
            <w:r>
              <w:rPr>
                <w:rFonts w:ascii="Aptos" w:hAnsi="Aptos"/>
                <w:b/>
                <w:color w:val="FFFFFF"/>
                <w:sz w:val="15"/>
              </w:rPr>
              <w:t>Questions</w:t>
            </w:r>
          </w:p>
        </w:tc>
      </w:tr>
      <w:tr>
        <w:trPr>
          <w:cantSplit/>
        </w:trPr>
        <w:tc>
          <w:tcPr>
            <w:tcW w:type="dxa" w:w="2592"/>
            <w:vAlign w:val="center"/>
          </w:tcPr>
          <w:p>
            <w:pPr>
              <w:spacing w:after="0"/>
            </w:pPr>
            <w:r/>
            <w:r>
              <w:rPr>
                <w:rFonts w:ascii="Aptos" w:hAnsi="Aptos"/>
                <w:b w:val="0"/>
                <w:sz w:val="15"/>
              </w:rPr>
              <w:t>Potential harm</w:t>
            </w:r>
          </w:p>
        </w:tc>
        <w:tc>
          <w:tcPr>
            <w:tcW w:type="dxa" w:w="7056"/>
            <w:vAlign w:val="center"/>
          </w:tcPr>
          <w:p>
            <w:pPr>
              <w:spacing w:after="0"/>
            </w:pPr>
            <w:r/>
            <w:r>
              <w:rPr>
                <w:rFonts w:ascii="Aptos" w:hAnsi="Aptos"/>
                <w:b w:val="0"/>
                <w:sz w:val="15"/>
              </w:rPr>
              <w:t>Could failure affect safety, rights, finances, critical services or regulated obligations?</w:t>
            </w:r>
          </w:p>
        </w:tc>
      </w:tr>
      <w:tr>
        <w:trPr>
          <w:cantSplit/>
        </w:trPr>
        <w:tc>
          <w:tcPr>
            <w:tcW w:type="dxa" w:w="2592"/>
            <w:vAlign w:val="center"/>
            <w:shd w:fill="F3F6F7"/>
          </w:tcPr>
          <w:p>
            <w:pPr>
              <w:spacing w:after="0"/>
            </w:pPr>
            <w:r/>
            <w:r>
              <w:rPr>
                <w:rFonts w:ascii="Aptos" w:hAnsi="Aptos"/>
                <w:b w:val="0"/>
                <w:sz w:val="15"/>
              </w:rPr>
              <w:t>Exposure</w:t>
            </w:r>
          </w:p>
        </w:tc>
        <w:tc>
          <w:tcPr>
            <w:tcW w:type="dxa" w:w="7056"/>
            <w:vAlign w:val="center"/>
            <w:shd w:fill="F3F6F7"/>
          </w:tcPr>
          <w:p>
            <w:pPr>
              <w:spacing w:after="0"/>
            </w:pPr>
            <w:r/>
            <w:r>
              <w:rPr>
                <w:rFonts w:ascii="Aptos" w:hAnsi="Aptos"/>
                <w:b w:val="0"/>
                <w:sz w:val="15"/>
              </w:rPr>
              <w:t>How many systems, users, transactions or suppliers are affected?</w:t>
            </w:r>
          </w:p>
        </w:tc>
      </w:tr>
      <w:tr>
        <w:trPr>
          <w:cantSplit/>
        </w:trPr>
        <w:tc>
          <w:tcPr>
            <w:tcW w:type="dxa" w:w="2592"/>
            <w:vAlign w:val="center"/>
          </w:tcPr>
          <w:p>
            <w:pPr>
              <w:spacing w:after="0"/>
            </w:pPr>
            <w:r/>
            <w:r>
              <w:rPr>
                <w:rFonts w:ascii="Aptos" w:hAnsi="Aptos"/>
                <w:b w:val="0"/>
                <w:sz w:val="15"/>
              </w:rPr>
              <w:t>Control criticality</w:t>
            </w:r>
          </w:p>
        </w:tc>
        <w:tc>
          <w:tcPr>
            <w:tcW w:type="dxa" w:w="7056"/>
            <w:vAlign w:val="center"/>
          </w:tcPr>
          <w:p>
            <w:pPr>
              <w:spacing w:after="0"/>
            </w:pPr>
            <w:r/>
            <w:r>
              <w:rPr>
                <w:rFonts w:ascii="Aptos" w:hAnsi="Aptos"/>
                <w:b w:val="0"/>
                <w:sz w:val="15"/>
              </w:rPr>
              <w:t>Does the issue weaken a key preventive, detective or recovery control?</w:t>
            </w:r>
          </w:p>
        </w:tc>
      </w:tr>
      <w:tr>
        <w:trPr>
          <w:cantSplit/>
        </w:trPr>
        <w:tc>
          <w:tcPr>
            <w:tcW w:type="dxa" w:w="2592"/>
            <w:vAlign w:val="center"/>
            <w:shd w:fill="F3F6F7"/>
          </w:tcPr>
          <w:p>
            <w:pPr>
              <w:spacing w:after="0"/>
            </w:pPr>
            <w:r/>
            <w:r>
              <w:rPr>
                <w:rFonts w:ascii="Aptos" w:hAnsi="Aptos"/>
                <w:b w:val="0"/>
                <w:sz w:val="15"/>
              </w:rPr>
              <w:t>Recurrence</w:t>
            </w:r>
          </w:p>
        </w:tc>
        <w:tc>
          <w:tcPr>
            <w:tcW w:type="dxa" w:w="7056"/>
            <w:vAlign w:val="center"/>
            <w:shd w:fill="F3F6F7"/>
          </w:tcPr>
          <w:p>
            <w:pPr>
              <w:spacing w:after="0"/>
            </w:pPr>
            <w:r/>
            <w:r>
              <w:rPr>
                <w:rFonts w:ascii="Aptos" w:hAnsi="Aptos"/>
                <w:b w:val="0"/>
                <w:sz w:val="15"/>
              </w:rPr>
              <w:t>Has the issue repeated or appeared in multiple systems?</w:t>
            </w:r>
          </w:p>
        </w:tc>
      </w:tr>
      <w:tr>
        <w:trPr>
          <w:cantSplit/>
        </w:trPr>
        <w:tc>
          <w:tcPr>
            <w:tcW w:type="dxa" w:w="2592"/>
            <w:vAlign w:val="center"/>
          </w:tcPr>
          <w:p>
            <w:pPr>
              <w:spacing w:after="0"/>
            </w:pPr>
            <w:r/>
            <w:r>
              <w:rPr>
                <w:rFonts w:ascii="Aptos" w:hAnsi="Aptos"/>
                <w:b w:val="0"/>
                <w:sz w:val="15"/>
              </w:rPr>
              <w:t>Detectability</w:t>
            </w:r>
          </w:p>
        </w:tc>
        <w:tc>
          <w:tcPr>
            <w:tcW w:type="dxa" w:w="7056"/>
            <w:vAlign w:val="center"/>
          </w:tcPr>
          <w:p>
            <w:pPr>
              <w:spacing w:after="0"/>
            </w:pPr>
            <w:r/>
            <w:r>
              <w:rPr>
                <w:rFonts w:ascii="Aptos" w:hAnsi="Aptos"/>
                <w:b w:val="0"/>
                <w:sz w:val="15"/>
              </w:rPr>
              <w:t>Can the issue remain hidden for long periods?</w:t>
            </w:r>
          </w:p>
        </w:tc>
      </w:tr>
      <w:tr>
        <w:trPr>
          <w:cantSplit/>
        </w:trPr>
        <w:tc>
          <w:tcPr>
            <w:tcW w:type="dxa" w:w="2592"/>
            <w:vAlign w:val="center"/>
            <w:shd w:fill="F3F6F7"/>
          </w:tcPr>
          <w:p>
            <w:pPr>
              <w:spacing w:after="0"/>
            </w:pPr>
            <w:r/>
            <w:r>
              <w:rPr>
                <w:rFonts w:ascii="Aptos" w:hAnsi="Aptos"/>
                <w:b w:val="0"/>
                <w:sz w:val="15"/>
              </w:rPr>
              <w:t>Reversibility</w:t>
            </w:r>
          </w:p>
        </w:tc>
        <w:tc>
          <w:tcPr>
            <w:tcW w:type="dxa" w:w="7056"/>
            <w:vAlign w:val="center"/>
            <w:shd w:fill="F3F6F7"/>
          </w:tcPr>
          <w:p>
            <w:pPr>
              <w:spacing w:after="0"/>
            </w:pPr>
            <w:r/>
            <w:r>
              <w:rPr>
                <w:rFonts w:ascii="Aptos" w:hAnsi="Aptos"/>
                <w:b w:val="0"/>
                <w:sz w:val="15"/>
              </w:rPr>
              <w:t>Can harmful outcomes be undone?</w:t>
            </w:r>
          </w:p>
        </w:tc>
      </w:tr>
      <w:tr>
        <w:trPr>
          <w:cantSplit/>
        </w:trPr>
        <w:tc>
          <w:tcPr>
            <w:tcW w:type="dxa" w:w="2592"/>
            <w:vAlign w:val="center"/>
          </w:tcPr>
          <w:p>
            <w:pPr>
              <w:spacing w:after="0"/>
            </w:pPr>
            <w:r/>
            <w:r>
              <w:rPr>
                <w:rFonts w:ascii="Aptos" w:hAnsi="Aptos"/>
                <w:b w:val="0"/>
                <w:sz w:val="15"/>
              </w:rPr>
              <w:t>Dependency</w:t>
            </w:r>
          </w:p>
        </w:tc>
        <w:tc>
          <w:tcPr>
            <w:tcW w:type="dxa" w:w="7056"/>
            <w:vAlign w:val="center"/>
          </w:tcPr>
          <w:p>
            <w:pPr>
              <w:spacing w:after="0"/>
            </w:pPr>
            <w:r/>
            <w:r>
              <w:rPr>
                <w:rFonts w:ascii="Aptos" w:hAnsi="Aptos"/>
                <w:b w:val="0"/>
                <w:sz w:val="15"/>
              </w:rPr>
              <w:t>Does the issue block other controls or certification?</w:t>
            </w:r>
          </w:p>
        </w:tc>
      </w:tr>
      <w:tr>
        <w:trPr>
          <w:cantSplit/>
        </w:trPr>
        <w:tc>
          <w:tcPr>
            <w:tcW w:type="dxa" w:w="2592"/>
            <w:vAlign w:val="center"/>
            <w:shd w:fill="F3F6F7"/>
          </w:tcPr>
          <w:p>
            <w:pPr>
              <w:spacing w:after="0"/>
            </w:pPr>
            <w:r/>
            <w:r>
              <w:rPr>
                <w:rFonts w:ascii="Aptos" w:hAnsi="Aptos"/>
                <w:b w:val="0"/>
                <w:sz w:val="15"/>
              </w:rPr>
              <w:t>Effort and feasibility</w:t>
            </w:r>
          </w:p>
        </w:tc>
        <w:tc>
          <w:tcPr>
            <w:tcW w:type="dxa" w:w="7056"/>
            <w:vAlign w:val="center"/>
            <w:shd w:fill="F3F6F7"/>
          </w:tcPr>
          <w:p>
            <w:pPr>
              <w:spacing w:after="0"/>
            </w:pPr>
            <w:r/>
            <w:r>
              <w:rPr>
                <w:rFonts w:ascii="Aptos" w:hAnsi="Aptos"/>
                <w:b w:val="0"/>
                <w:sz w:val="15"/>
              </w:rPr>
              <w:t>What resources, lead time and technical constraints apply?</w:t>
            </w:r>
          </w:p>
        </w:tc>
      </w:tr>
      <w:tr>
        <w:trPr>
          <w:cantSplit/>
        </w:trPr>
        <w:tc>
          <w:tcPr>
            <w:tcW w:type="dxa" w:w="2592"/>
            <w:vAlign w:val="center"/>
          </w:tcPr>
          <w:p>
            <w:pPr>
              <w:spacing w:after="0"/>
            </w:pPr>
            <w:r/>
            <w:r>
              <w:rPr>
                <w:rFonts w:ascii="Aptos" w:hAnsi="Aptos"/>
                <w:b w:val="0"/>
                <w:sz w:val="15"/>
              </w:rPr>
              <w:t>Opportunity value</w:t>
            </w:r>
          </w:p>
        </w:tc>
        <w:tc>
          <w:tcPr>
            <w:tcW w:type="dxa" w:w="7056"/>
            <w:vAlign w:val="center"/>
          </w:tcPr>
          <w:p>
            <w:pPr>
              <w:spacing w:after="0"/>
            </w:pPr>
            <w:r/>
            <w:r>
              <w:rPr>
                <w:rFonts w:ascii="Aptos" w:hAnsi="Aptos"/>
                <w:b w:val="0"/>
                <w:sz w:val="15"/>
              </w:rPr>
              <w:t>Does the improvement reduce cost, complexity or duplicated control operation?</w:t>
            </w:r>
          </w:p>
        </w:tc>
      </w:tr>
    </w:tbl>
    <w:p/>
    <w:p>
      <w:pPr>
        <w:pStyle w:val="Heading2"/>
      </w:pPr>
      <w:r>
        <w:t>9.1 Priority classes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1872"/>
            <w:vAlign w:val="center"/>
            <w:shd w:fill="17324D"/>
          </w:tcPr>
          <w:p>
            <w:pPr>
              <w:spacing w:after="0"/>
            </w:pPr>
            <w:r/>
            <w:r>
              <w:rPr>
                <w:rFonts w:ascii="Aptos" w:hAnsi="Aptos"/>
                <w:b/>
                <w:color w:val="FFFFFF"/>
                <w:sz w:val="15"/>
              </w:rPr>
              <w:t>Priority</w:t>
            </w:r>
          </w:p>
        </w:tc>
        <w:tc>
          <w:tcPr>
            <w:tcW w:type="dxa" w:w="4608"/>
            <w:vAlign w:val="center"/>
            <w:shd w:fill="17324D"/>
          </w:tcPr>
          <w:p>
            <w:pPr>
              <w:spacing w:after="0"/>
            </w:pPr>
            <w:r/>
            <w:r>
              <w:rPr>
                <w:rFonts w:ascii="Aptos" w:hAnsi="Aptos"/>
                <w:b/>
                <w:color w:val="FFFFFF"/>
                <w:sz w:val="15"/>
              </w:rPr>
              <w:t>Criteria</w:t>
            </w:r>
          </w:p>
        </w:tc>
        <w:tc>
          <w:tcPr>
            <w:tcW w:type="dxa" w:w="3168"/>
            <w:vAlign w:val="center"/>
            <w:shd w:fill="17324D"/>
          </w:tcPr>
          <w:p>
            <w:pPr>
              <w:spacing w:after="0"/>
            </w:pPr>
            <w:r/>
            <w:r>
              <w:rPr>
                <w:rFonts w:ascii="Aptos" w:hAnsi="Aptos"/>
                <w:b/>
                <w:color w:val="FFFFFF"/>
                <w:sz w:val="15"/>
              </w:rPr>
              <w:t>Expected governance</w:t>
            </w:r>
          </w:p>
        </w:tc>
      </w:tr>
      <w:tr>
        <w:trPr>
          <w:cantSplit/>
        </w:trPr>
        <w:tc>
          <w:tcPr>
            <w:tcW w:type="dxa" w:w="1872"/>
            <w:vAlign w:val="center"/>
          </w:tcPr>
          <w:p>
            <w:pPr>
              <w:spacing w:after="0"/>
            </w:pPr>
            <w:r/>
            <w:r>
              <w:rPr>
                <w:rFonts w:ascii="Aptos" w:hAnsi="Aptos"/>
                <w:b w:val="0"/>
                <w:sz w:val="15"/>
              </w:rPr>
              <w:t>P0 - Immediate</w:t>
            </w:r>
          </w:p>
        </w:tc>
        <w:tc>
          <w:tcPr>
            <w:tcW w:type="dxa" w:w="4608"/>
            <w:vAlign w:val="center"/>
          </w:tcPr>
          <w:p>
            <w:pPr>
              <w:spacing w:after="0"/>
            </w:pPr>
            <w:r/>
            <w:r>
              <w:rPr>
                <w:rFonts w:ascii="Aptos" w:hAnsi="Aptos"/>
                <w:b w:val="0"/>
                <w:sz w:val="15"/>
              </w:rPr>
              <w:t>Active danger, critical compromise, unlawful exposure or uncontrolled action</w:t>
            </w:r>
          </w:p>
        </w:tc>
        <w:tc>
          <w:tcPr>
            <w:tcW w:type="dxa" w:w="3168"/>
            <w:vAlign w:val="center"/>
          </w:tcPr>
          <w:p>
            <w:pPr>
              <w:spacing w:after="0"/>
            </w:pPr>
            <w:r/>
            <w:r>
              <w:rPr>
                <w:rFonts w:ascii="Aptos" w:hAnsi="Aptos"/>
                <w:b w:val="0"/>
                <w:sz w:val="15"/>
              </w:rPr>
              <w:t>Contain now; executive and specialist oversight</w:t>
            </w:r>
          </w:p>
        </w:tc>
      </w:tr>
      <w:tr>
        <w:trPr>
          <w:cantSplit/>
        </w:trPr>
        <w:tc>
          <w:tcPr>
            <w:tcW w:type="dxa" w:w="1872"/>
            <w:vAlign w:val="center"/>
            <w:shd w:fill="F3F6F7"/>
          </w:tcPr>
          <w:p>
            <w:pPr>
              <w:spacing w:after="0"/>
            </w:pPr>
            <w:r/>
            <w:r>
              <w:rPr>
                <w:rFonts w:ascii="Aptos" w:hAnsi="Aptos"/>
                <w:b w:val="0"/>
                <w:sz w:val="15"/>
              </w:rPr>
              <w:t>P1 - Critical</w:t>
            </w:r>
          </w:p>
        </w:tc>
        <w:tc>
          <w:tcPr>
            <w:tcW w:type="dxa" w:w="4608"/>
            <w:vAlign w:val="center"/>
            <w:shd w:fill="F3F6F7"/>
          </w:tcPr>
          <w:p>
            <w:pPr>
              <w:spacing w:after="0"/>
            </w:pPr>
            <w:r/>
            <w:r>
              <w:rPr>
                <w:rFonts w:ascii="Aptos" w:hAnsi="Aptos"/>
                <w:b w:val="0"/>
                <w:sz w:val="15"/>
              </w:rPr>
              <w:t>Material nonconformity or high-impact recurring weakness</w:t>
            </w:r>
          </w:p>
        </w:tc>
        <w:tc>
          <w:tcPr>
            <w:tcW w:type="dxa" w:w="3168"/>
            <w:vAlign w:val="center"/>
            <w:shd w:fill="F3F6F7"/>
          </w:tcPr>
          <w:p>
            <w:pPr>
              <w:spacing w:after="0"/>
            </w:pPr>
            <w:r/>
            <w:r>
              <w:rPr>
                <w:rFonts w:ascii="Aptos" w:hAnsi="Aptos"/>
                <w:b w:val="0"/>
                <w:sz w:val="15"/>
              </w:rPr>
              <w:t>Funded corrective action with frequent reporting</w:t>
            </w:r>
          </w:p>
        </w:tc>
      </w:tr>
      <w:tr>
        <w:trPr>
          <w:cantSplit/>
        </w:trPr>
        <w:tc>
          <w:tcPr>
            <w:tcW w:type="dxa" w:w="1872"/>
            <w:vAlign w:val="center"/>
          </w:tcPr>
          <w:p>
            <w:pPr>
              <w:spacing w:after="0"/>
            </w:pPr>
            <w:r/>
            <w:r>
              <w:rPr>
                <w:rFonts w:ascii="Aptos" w:hAnsi="Aptos"/>
                <w:b w:val="0"/>
                <w:sz w:val="15"/>
              </w:rPr>
              <w:t>P2 - High</w:t>
            </w:r>
          </w:p>
        </w:tc>
        <w:tc>
          <w:tcPr>
            <w:tcW w:type="dxa" w:w="4608"/>
            <w:vAlign w:val="center"/>
          </w:tcPr>
          <w:p>
            <w:pPr>
              <w:spacing w:after="0"/>
            </w:pPr>
            <w:r/>
            <w:r>
              <w:rPr>
                <w:rFonts w:ascii="Aptos" w:hAnsi="Aptos"/>
                <w:b w:val="0"/>
                <w:sz w:val="15"/>
              </w:rPr>
              <w:t>Significant control or evidence weakness</w:t>
            </w:r>
          </w:p>
        </w:tc>
        <w:tc>
          <w:tcPr>
            <w:tcW w:type="dxa" w:w="3168"/>
            <w:vAlign w:val="center"/>
          </w:tcPr>
          <w:p>
            <w:pPr>
              <w:spacing w:after="0"/>
            </w:pPr>
            <w:r/>
            <w:r>
              <w:rPr>
                <w:rFonts w:ascii="Aptos" w:hAnsi="Aptos"/>
                <w:b w:val="0"/>
                <w:sz w:val="15"/>
              </w:rPr>
              <w:t>Time-bound improvement plan</w:t>
            </w:r>
          </w:p>
        </w:tc>
      </w:tr>
      <w:tr>
        <w:trPr>
          <w:cantSplit/>
        </w:trPr>
        <w:tc>
          <w:tcPr>
            <w:tcW w:type="dxa" w:w="1872"/>
            <w:vAlign w:val="center"/>
            <w:shd w:fill="F3F6F7"/>
          </w:tcPr>
          <w:p>
            <w:pPr>
              <w:spacing w:after="0"/>
            </w:pPr>
            <w:r/>
            <w:r>
              <w:rPr>
                <w:rFonts w:ascii="Aptos" w:hAnsi="Aptos"/>
                <w:b w:val="0"/>
                <w:sz w:val="15"/>
              </w:rPr>
              <w:t>P3 - Moderate</w:t>
            </w:r>
          </w:p>
        </w:tc>
        <w:tc>
          <w:tcPr>
            <w:tcW w:type="dxa" w:w="4608"/>
            <w:vAlign w:val="center"/>
            <w:shd w:fill="F3F6F7"/>
          </w:tcPr>
          <w:p>
            <w:pPr>
              <w:spacing w:after="0"/>
            </w:pPr>
            <w:r/>
            <w:r>
              <w:rPr>
                <w:rFonts w:ascii="Aptos" w:hAnsi="Aptos"/>
                <w:b w:val="0"/>
                <w:sz w:val="15"/>
              </w:rPr>
              <w:t>Partial effectiveness or process inconsistency</w:t>
            </w:r>
          </w:p>
        </w:tc>
        <w:tc>
          <w:tcPr>
            <w:tcW w:type="dxa" w:w="3168"/>
            <w:vAlign w:val="center"/>
            <w:shd w:fill="F3F6F7"/>
          </w:tcPr>
          <w:p>
            <w:pPr>
              <w:spacing w:after="0"/>
            </w:pPr>
            <w:r/>
            <w:r>
              <w:rPr>
                <w:rFonts w:ascii="Aptos" w:hAnsi="Aptos"/>
                <w:b w:val="0"/>
                <w:sz w:val="15"/>
              </w:rPr>
              <w:t>Planned roadmap action</w:t>
            </w:r>
          </w:p>
        </w:tc>
      </w:tr>
      <w:tr>
        <w:trPr>
          <w:cantSplit/>
        </w:trPr>
        <w:tc>
          <w:tcPr>
            <w:tcW w:type="dxa" w:w="1872"/>
            <w:vAlign w:val="center"/>
          </w:tcPr>
          <w:p>
            <w:pPr>
              <w:spacing w:after="0"/>
            </w:pPr>
            <w:r/>
            <w:r>
              <w:rPr>
                <w:rFonts w:ascii="Aptos" w:hAnsi="Aptos"/>
                <w:b w:val="0"/>
                <w:sz w:val="15"/>
              </w:rPr>
              <w:t>P4 - Optimization</w:t>
            </w:r>
          </w:p>
        </w:tc>
        <w:tc>
          <w:tcPr>
            <w:tcW w:type="dxa" w:w="4608"/>
            <w:vAlign w:val="center"/>
          </w:tcPr>
          <w:p>
            <w:pPr>
              <w:spacing w:after="0"/>
            </w:pPr>
            <w:r/>
            <w:r>
              <w:rPr>
                <w:rFonts w:ascii="Aptos" w:hAnsi="Aptos"/>
                <w:b w:val="0"/>
                <w:sz w:val="15"/>
              </w:rPr>
              <w:t>Efficiency, automation or maturity enhancement</w:t>
            </w:r>
          </w:p>
        </w:tc>
        <w:tc>
          <w:tcPr>
            <w:tcW w:type="dxa" w:w="3168"/>
            <w:vAlign w:val="center"/>
          </w:tcPr>
          <w:p>
            <w:pPr>
              <w:spacing w:after="0"/>
            </w:pPr>
            <w:r/>
            <w:r>
              <w:rPr>
                <w:rFonts w:ascii="Aptos" w:hAnsi="Aptos"/>
                <w:b w:val="0"/>
                <w:sz w:val="15"/>
              </w:rPr>
              <w:t>Normal improvement backlog</w:t>
            </w:r>
          </w:p>
        </w:tc>
      </w:tr>
    </w:tbl>
    <w:p/>
    <w:p>
      <w:pPr>
        <w:pStyle w:val="Heading1"/>
      </w:pPr>
      <w:r>
        <w:t>10. Corrective and Preventive Action</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304"/>
            <w:vAlign w:val="center"/>
            <w:shd w:fill="17324D"/>
          </w:tcPr>
          <w:p>
            <w:pPr>
              <w:spacing w:after="0"/>
            </w:pPr>
            <w:r/>
            <w:r>
              <w:rPr>
                <w:rFonts w:ascii="Aptos" w:hAnsi="Aptos"/>
                <w:b/>
                <w:color w:val="FFFFFF"/>
                <w:sz w:val="15"/>
              </w:rPr>
              <w:t>Action type</w:t>
            </w:r>
          </w:p>
        </w:tc>
        <w:tc>
          <w:tcPr>
            <w:tcW w:type="dxa" w:w="4464"/>
            <w:vAlign w:val="center"/>
            <w:shd w:fill="17324D"/>
          </w:tcPr>
          <w:p>
            <w:pPr>
              <w:spacing w:after="0"/>
            </w:pPr>
            <w:r/>
            <w:r>
              <w:rPr>
                <w:rFonts w:ascii="Aptos" w:hAnsi="Aptos"/>
                <w:b/>
                <w:color w:val="FFFFFF"/>
                <w:sz w:val="15"/>
              </w:rPr>
              <w:t>Purpose</w:t>
            </w:r>
          </w:p>
        </w:tc>
        <w:tc>
          <w:tcPr>
            <w:tcW w:type="dxa" w:w="2880"/>
            <w:vAlign w:val="center"/>
            <w:shd w:fill="17324D"/>
          </w:tcPr>
          <w:p>
            <w:pPr>
              <w:spacing w:after="0"/>
            </w:pPr>
            <w:r/>
            <w:r>
              <w:rPr>
                <w:rFonts w:ascii="Aptos" w:hAnsi="Aptos"/>
                <w:b/>
                <w:color w:val="FFFFFF"/>
                <w:sz w:val="15"/>
              </w:rPr>
              <w:t>Example</w:t>
            </w:r>
          </w:p>
        </w:tc>
      </w:tr>
      <w:tr>
        <w:trPr>
          <w:cantSplit/>
        </w:trPr>
        <w:tc>
          <w:tcPr>
            <w:tcW w:type="dxa" w:w="2304"/>
            <w:vAlign w:val="center"/>
          </w:tcPr>
          <w:p>
            <w:pPr>
              <w:spacing w:after="0"/>
            </w:pPr>
            <w:r/>
            <w:r>
              <w:rPr>
                <w:rFonts w:ascii="Aptos" w:hAnsi="Aptos"/>
                <w:b w:val="0"/>
                <w:sz w:val="15"/>
              </w:rPr>
              <w:t>Correction</w:t>
            </w:r>
          </w:p>
        </w:tc>
        <w:tc>
          <w:tcPr>
            <w:tcW w:type="dxa" w:w="4464"/>
            <w:vAlign w:val="center"/>
          </w:tcPr>
          <w:p>
            <w:pPr>
              <w:spacing w:after="0"/>
            </w:pPr>
            <w:r/>
            <w:r>
              <w:rPr>
                <w:rFonts w:ascii="Aptos" w:hAnsi="Aptos"/>
                <w:b w:val="0"/>
                <w:sz w:val="15"/>
              </w:rPr>
              <w:t>Remove the immediate defect</w:t>
            </w:r>
          </w:p>
        </w:tc>
        <w:tc>
          <w:tcPr>
            <w:tcW w:type="dxa" w:w="2880"/>
            <w:vAlign w:val="center"/>
          </w:tcPr>
          <w:p>
            <w:pPr>
              <w:spacing w:after="0"/>
            </w:pPr>
            <w:r/>
            <w:r>
              <w:rPr>
                <w:rFonts w:ascii="Aptos" w:hAnsi="Aptos"/>
                <w:b w:val="0"/>
                <w:sz w:val="15"/>
              </w:rPr>
              <w:t>Restore monitoring or revoke unauthorized access</w:t>
            </w:r>
          </w:p>
        </w:tc>
      </w:tr>
      <w:tr>
        <w:trPr>
          <w:cantSplit/>
        </w:trPr>
        <w:tc>
          <w:tcPr>
            <w:tcW w:type="dxa" w:w="2304"/>
            <w:vAlign w:val="center"/>
            <w:shd w:fill="F3F6F7"/>
          </w:tcPr>
          <w:p>
            <w:pPr>
              <w:spacing w:after="0"/>
            </w:pPr>
            <w:r/>
            <w:r>
              <w:rPr>
                <w:rFonts w:ascii="Aptos" w:hAnsi="Aptos"/>
                <w:b w:val="0"/>
                <w:sz w:val="15"/>
              </w:rPr>
              <w:t>Containment</w:t>
            </w:r>
          </w:p>
        </w:tc>
        <w:tc>
          <w:tcPr>
            <w:tcW w:type="dxa" w:w="4464"/>
            <w:vAlign w:val="center"/>
            <w:shd w:fill="F3F6F7"/>
          </w:tcPr>
          <w:p>
            <w:pPr>
              <w:spacing w:after="0"/>
            </w:pPr>
            <w:r/>
            <w:r>
              <w:rPr>
                <w:rFonts w:ascii="Aptos" w:hAnsi="Aptos"/>
                <w:b w:val="0"/>
                <w:sz w:val="15"/>
              </w:rPr>
              <w:t>Limit current exposure</w:t>
            </w:r>
          </w:p>
        </w:tc>
        <w:tc>
          <w:tcPr>
            <w:tcW w:type="dxa" w:w="2880"/>
            <w:vAlign w:val="center"/>
            <w:shd w:fill="F3F6F7"/>
          </w:tcPr>
          <w:p>
            <w:pPr>
              <w:spacing w:after="0"/>
            </w:pPr>
            <w:r/>
            <w:r>
              <w:rPr>
                <w:rFonts w:ascii="Aptos" w:hAnsi="Aptos"/>
                <w:b w:val="0"/>
                <w:sz w:val="15"/>
              </w:rPr>
              <w:t>Disable tool, restrict users or enter safe state</w:t>
            </w:r>
          </w:p>
        </w:tc>
      </w:tr>
      <w:tr>
        <w:trPr>
          <w:cantSplit/>
        </w:trPr>
        <w:tc>
          <w:tcPr>
            <w:tcW w:type="dxa" w:w="2304"/>
            <w:vAlign w:val="center"/>
          </w:tcPr>
          <w:p>
            <w:pPr>
              <w:spacing w:after="0"/>
            </w:pPr>
            <w:r/>
            <w:r>
              <w:rPr>
                <w:rFonts w:ascii="Aptos" w:hAnsi="Aptos"/>
                <w:b w:val="0"/>
                <w:sz w:val="15"/>
              </w:rPr>
              <w:t>Corrective action</w:t>
            </w:r>
          </w:p>
        </w:tc>
        <w:tc>
          <w:tcPr>
            <w:tcW w:type="dxa" w:w="4464"/>
            <w:vAlign w:val="center"/>
          </w:tcPr>
          <w:p>
            <w:pPr>
              <w:spacing w:after="0"/>
            </w:pPr>
            <w:r/>
            <w:r>
              <w:rPr>
                <w:rFonts w:ascii="Aptos" w:hAnsi="Aptos"/>
                <w:b w:val="0"/>
                <w:sz w:val="15"/>
              </w:rPr>
              <w:t>Remove root cause of an observed failure</w:t>
            </w:r>
          </w:p>
        </w:tc>
        <w:tc>
          <w:tcPr>
            <w:tcW w:type="dxa" w:w="2880"/>
            <w:vAlign w:val="center"/>
          </w:tcPr>
          <w:p>
            <w:pPr>
              <w:spacing w:after="0"/>
            </w:pPr>
            <w:r/>
            <w:r>
              <w:rPr>
                <w:rFonts w:ascii="Aptos" w:hAnsi="Aptos"/>
                <w:b w:val="0"/>
                <w:sz w:val="15"/>
              </w:rPr>
              <w:t>Redesign authorization and retest</w:t>
            </w:r>
          </w:p>
        </w:tc>
      </w:tr>
      <w:tr>
        <w:trPr>
          <w:cantSplit/>
        </w:trPr>
        <w:tc>
          <w:tcPr>
            <w:tcW w:type="dxa" w:w="2304"/>
            <w:vAlign w:val="center"/>
            <w:shd w:fill="F3F6F7"/>
          </w:tcPr>
          <w:p>
            <w:pPr>
              <w:spacing w:after="0"/>
            </w:pPr>
            <w:r/>
            <w:r>
              <w:rPr>
                <w:rFonts w:ascii="Aptos" w:hAnsi="Aptos"/>
                <w:b w:val="0"/>
                <w:sz w:val="15"/>
              </w:rPr>
              <w:t>Preventive action</w:t>
            </w:r>
          </w:p>
        </w:tc>
        <w:tc>
          <w:tcPr>
            <w:tcW w:type="dxa" w:w="4464"/>
            <w:vAlign w:val="center"/>
            <w:shd w:fill="F3F6F7"/>
          </w:tcPr>
          <w:p>
            <w:pPr>
              <w:spacing w:after="0"/>
            </w:pPr>
            <w:r/>
            <w:r>
              <w:rPr>
                <w:rFonts w:ascii="Aptos" w:hAnsi="Aptos"/>
                <w:b w:val="0"/>
                <w:sz w:val="15"/>
              </w:rPr>
              <w:t>Reduce likelihood of a plausible future failure</w:t>
            </w:r>
          </w:p>
        </w:tc>
        <w:tc>
          <w:tcPr>
            <w:tcW w:type="dxa" w:w="2880"/>
            <w:vAlign w:val="center"/>
            <w:shd w:fill="F3F6F7"/>
          </w:tcPr>
          <w:p>
            <w:pPr>
              <w:spacing w:after="0"/>
            </w:pPr>
            <w:r/>
            <w:r>
              <w:rPr>
                <w:rFonts w:ascii="Aptos" w:hAnsi="Aptos"/>
                <w:b w:val="0"/>
                <w:sz w:val="15"/>
              </w:rPr>
              <w:t>Add injection test and deployment gate</w:t>
            </w:r>
          </w:p>
        </w:tc>
      </w:tr>
      <w:tr>
        <w:trPr>
          <w:cantSplit/>
        </w:trPr>
        <w:tc>
          <w:tcPr>
            <w:tcW w:type="dxa" w:w="2304"/>
            <w:vAlign w:val="center"/>
          </w:tcPr>
          <w:p>
            <w:pPr>
              <w:spacing w:after="0"/>
            </w:pPr>
            <w:r/>
            <w:r>
              <w:rPr>
                <w:rFonts w:ascii="Aptos" w:hAnsi="Aptos"/>
                <w:b w:val="0"/>
                <w:sz w:val="15"/>
              </w:rPr>
              <w:t>Optimization</w:t>
            </w:r>
          </w:p>
        </w:tc>
        <w:tc>
          <w:tcPr>
            <w:tcW w:type="dxa" w:w="4464"/>
            <w:vAlign w:val="center"/>
          </w:tcPr>
          <w:p>
            <w:pPr>
              <w:spacing w:after="0"/>
            </w:pPr>
            <w:r/>
            <w:r>
              <w:rPr>
                <w:rFonts w:ascii="Aptos" w:hAnsi="Aptos"/>
                <w:b w:val="0"/>
                <w:sz w:val="15"/>
              </w:rPr>
              <w:t>Improve efficiency or effectiveness beyond minimum</w:t>
            </w:r>
          </w:p>
        </w:tc>
        <w:tc>
          <w:tcPr>
            <w:tcW w:type="dxa" w:w="2880"/>
            <w:vAlign w:val="center"/>
          </w:tcPr>
          <w:p>
            <w:pPr>
              <w:spacing w:after="0"/>
            </w:pPr>
            <w:r/>
            <w:r>
              <w:rPr>
                <w:rFonts w:ascii="Aptos" w:hAnsi="Aptos"/>
                <w:b w:val="0"/>
                <w:sz w:val="15"/>
              </w:rPr>
              <w:t>Automate evidence collection</w:t>
            </w:r>
          </w:p>
        </w:tc>
      </w:tr>
      <w:tr>
        <w:trPr>
          <w:cantSplit/>
        </w:trPr>
        <w:tc>
          <w:tcPr>
            <w:tcW w:type="dxa" w:w="2304"/>
            <w:vAlign w:val="center"/>
            <w:shd w:fill="F3F6F7"/>
          </w:tcPr>
          <w:p>
            <w:pPr>
              <w:spacing w:after="0"/>
            </w:pPr>
            <w:r/>
            <w:r>
              <w:rPr>
                <w:rFonts w:ascii="Aptos" w:hAnsi="Aptos"/>
                <w:b w:val="0"/>
                <w:sz w:val="15"/>
              </w:rPr>
              <w:t>Standardization</w:t>
            </w:r>
          </w:p>
        </w:tc>
        <w:tc>
          <w:tcPr>
            <w:tcW w:type="dxa" w:w="4464"/>
            <w:vAlign w:val="center"/>
            <w:shd w:fill="F3F6F7"/>
          </w:tcPr>
          <w:p>
            <w:pPr>
              <w:spacing w:after="0"/>
            </w:pPr>
            <w:r/>
            <w:r>
              <w:rPr>
                <w:rFonts w:ascii="Aptos" w:hAnsi="Aptos"/>
                <w:b w:val="0"/>
                <w:sz w:val="15"/>
              </w:rPr>
              <w:t>Institutionalize a successful change</w:t>
            </w:r>
          </w:p>
        </w:tc>
        <w:tc>
          <w:tcPr>
            <w:tcW w:type="dxa" w:w="2880"/>
            <w:vAlign w:val="center"/>
            <w:shd w:fill="F3F6F7"/>
          </w:tcPr>
          <w:p>
            <w:pPr>
              <w:spacing w:after="0"/>
            </w:pPr>
            <w:r/>
            <w:r>
              <w:rPr>
                <w:rFonts w:ascii="Aptos" w:hAnsi="Aptos"/>
                <w:b w:val="0"/>
                <w:sz w:val="15"/>
              </w:rPr>
              <w:t>Update policy, templates, training and tooling</w:t>
            </w:r>
          </w:p>
        </w:tc>
      </w:tr>
    </w:tbl>
    <w:p/>
    <w:p>
      <w:pPr>
        <w:pStyle w:val="Heading2"/>
      </w:pPr>
      <w:r>
        <w:t>10.1 CAPA quality criteria</w:t>
      </w:r>
    </w:p>
    <w:p>
      <w:pPr>
        <w:pStyle w:val="ListBullet"/>
      </w:pPr>
      <w:r>
        <w:t>Problem statement is specific and evidence-based.</w:t>
      </w:r>
    </w:p>
    <w:p>
      <w:pPr>
        <w:pStyle w:val="ListBullet"/>
      </w:pPr>
      <w:r>
        <w:t>Root cause is supported or uncertainty is documented.</w:t>
      </w:r>
    </w:p>
    <w:p>
      <w:pPr>
        <w:pStyle w:val="ListBullet"/>
      </w:pPr>
      <w:r>
        <w:t>Immediate containment is distinguished from permanent correction.</w:t>
      </w:r>
    </w:p>
    <w:p>
      <w:pPr>
        <w:pStyle w:val="ListBullet"/>
      </w:pPr>
      <w:r>
        <w:t>Owner, due date, dependencies and resources are assigned.</w:t>
      </w:r>
    </w:p>
    <w:p>
      <w:pPr>
        <w:pStyle w:val="ListBullet"/>
      </w:pPr>
      <w:r>
        <w:t>Success criteria are measurable.</w:t>
      </w:r>
    </w:p>
    <w:p>
      <w:pPr>
        <w:pStyle w:val="ListBullet"/>
      </w:pPr>
      <w:r>
        <w:t>Validation includes the original failure and related scenarios.</w:t>
      </w:r>
    </w:p>
    <w:p>
      <w:pPr>
        <w:pStyle w:val="ListBullet"/>
      </w:pPr>
      <w:r>
        <w:t>Related systems and suppliers are assessed.</w:t>
      </w:r>
    </w:p>
    <w:p>
      <w:pPr>
        <w:pStyle w:val="ListBullet"/>
      </w:pPr>
      <w:r>
        <w:t>Closure is independently reviewed where risk warrants.</w:t>
      </w:r>
    </w:p>
    <w:p>
      <w:pPr>
        <w:pStyle w:val="Heading1"/>
      </w:pPr>
      <w:r>
        <w:t>11. Root-Cause and Systemic Analysis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304"/>
            <w:vAlign w:val="center"/>
            <w:shd w:fill="17324D"/>
          </w:tcPr>
          <w:p>
            <w:pPr>
              <w:spacing w:after="0"/>
            </w:pPr>
            <w:r/>
            <w:r>
              <w:rPr>
                <w:rFonts w:ascii="Aptos" w:hAnsi="Aptos"/>
                <w:b/>
                <w:color w:val="FFFFFF"/>
                <w:sz w:val="15"/>
              </w:rPr>
              <w:t>Analysis area</w:t>
            </w:r>
          </w:p>
        </w:tc>
        <w:tc>
          <w:tcPr>
            <w:tcW w:type="dxa" w:w="7344"/>
            <w:vAlign w:val="center"/>
            <w:shd w:fill="17324D"/>
          </w:tcPr>
          <w:p>
            <w:pPr>
              <w:spacing w:after="0"/>
            </w:pPr>
            <w:r/>
            <w:r>
              <w:rPr>
                <w:rFonts w:ascii="Aptos" w:hAnsi="Aptos"/>
                <w:b/>
                <w:color w:val="FFFFFF"/>
                <w:sz w:val="15"/>
              </w:rPr>
              <w:t>Questions</w:t>
            </w:r>
          </w:p>
        </w:tc>
      </w:tr>
      <w:tr>
        <w:trPr>
          <w:cantSplit/>
        </w:trPr>
        <w:tc>
          <w:tcPr>
            <w:tcW w:type="dxa" w:w="2304"/>
            <w:vAlign w:val="center"/>
          </w:tcPr>
          <w:p>
            <w:pPr>
              <w:spacing w:after="0"/>
            </w:pPr>
            <w:r/>
            <w:r>
              <w:rPr>
                <w:rFonts w:ascii="Aptos" w:hAnsi="Aptos"/>
                <w:b w:val="0"/>
                <w:sz w:val="15"/>
              </w:rPr>
              <w:t>People</w:t>
            </w:r>
          </w:p>
        </w:tc>
        <w:tc>
          <w:tcPr>
            <w:tcW w:type="dxa" w:w="7344"/>
            <w:vAlign w:val="center"/>
          </w:tcPr>
          <w:p>
            <w:pPr>
              <w:spacing w:after="0"/>
            </w:pPr>
            <w:r/>
            <w:r>
              <w:rPr>
                <w:rFonts w:ascii="Aptos" w:hAnsi="Aptos"/>
                <w:b w:val="0"/>
                <w:sz w:val="15"/>
              </w:rPr>
              <w:t>Were authority, competence, workload or communication inadequate?</w:t>
            </w:r>
          </w:p>
        </w:tc>
      </w:tr>
      <w:tr>
        <w:trPr>
          <w:cantSplit/>
        </w:trPr>
        <w:tc>
          <w:tcPr>
            <w:tcW w:type="dxa" w:w="2304"/>
            <w:vAlign w:val="center"/>
            <w:shd w:fill="F3F6F7"/>
          </w:tcPr>
          <w:p>
            <w:pPr>
              <w:spacing w:after="0"/>
            </w:pPr>
            <w:r/>
            <w:r>
              <w:rPr>
                <w:rFonts w:ascii="Aptos" w:hAnsi="Aptos"/>
                <w:b w:val="0"/>
                <w:sz w:val="15"/>
              </w:rPr>
              <w:t>Process</w:t>
            </w:r>
          </w:p>
        </w:tc>
        <w:tc>
          <w:tcPr>
            <w:tcW w:type="dxa" w:w="7344"/>
            <w:vAlign w:val="center"/>
            <w:shd w:fill="F3F6F7"/>
          </w:tcPr>
          <w:p>
            <w:pPr>
              <w:spacing w:after="0"/>
            </w:pPr>
            <w:r/>
            <w:r>
              <w:rPr>
                <w:rFonts w:ascii="Aptos" w:hAnsi="Aptos"/>
                <w:b w:val="0"/>
                <w:sz w:val="15"/>
              </w:rPr>
              <w:t>Did approval, change, escalation or handoff fail?</w:t>
            </w:r>
          </w:p>
        </w:tc>
      </w:tr>
      <w:tr>
        <w:trPr>
          <w:cantSplit/>
        </w:trPr>
        <w:tc>
          <w:tcPr>
            <w:tcW w:type="dxa" w:w="2304"/>
            <w:vAlign w:val="center"/>
          </w:tcPr>
          <w:p>
            <w:pPr>
              <w:spacing w:after="0"/>
            </w:pPr>
            <w:r/>
            <w:r>
              <w:rPr>
                <w:rFonts w:ascii="Aptos" w:hAnsi="Aptos"/>
                <w:b w:val="0"/>
                <w:sz w:val="15"/>
              </w:rPr>
              <w:t>Technology</w:t>
            </w:r>
          </w:p>
        </w:tc>
        <w:tc>
          <w:tcPr>
            <w:tcW w:type="dxa" w:w="7344"/>
            <w:vAlign w:val="center"/>
          </w:tcPr>
          <w:p>
            <w:pPr>
              <w:spacing w:after="0"/>
            </w:pPr>
            <w:r/>
            <w:r>
              <w:rPr>
                <w:rFonts w:ascii="Aptos" w:hAnsi="Aptos"/>
                <w:b w:val="0"/>
                <w:sz w:val="15"/>
              </w:rPr>
              <w:t>Did design, configuration, model, tool or platform fail?</w:t>
            </w:r>
          </w:p>
        </w:tc>
      </w:tr>
      <w:tr>
        <w:trPr>
          <w:cantSplit/>
        </w:trPr>
        <w:tc>
          <w:tcPr>
            <w:tcW w:type="dxa" w:w="2304"/>
            <w:vAlign w:val="center"/>
            <w:shd w:fill="F3F6F7"/>
          </w:tcPr>
          <w:p>
            <w:pPr>
              <w:spacing w:after="0"/>
            </w:pPr>
            <w:r/>
            <w:r>
              <w:rPr>
                <w:rFonts w:ascii="Aptos" w:hAnsi="Aptos"/>
                <w:b w:val="0"/>
                <w:sz w:val="15"/>
              </w:rPr>
              <w:t>Data</w:t>
            </w:r>
          </w:p>
        </w:tc>
        <w:tc>
          <w:tcPr>
            <w:tcW w:type="dxa" w:w="7344"/>
            <w:vAlign w:val="center"/>
            <w:shd w:fill="F3F6F7"/>
          </w:tcPr>
          <w:p>
            <w:pPr>
              <w:spacing w:after="0"/>
            </w:pPr>
            <w:r/>
            <w:r>
              <w:rPr>
                <w:rFonts w:ascii="Aptos" w:hAnsi="Aptos"/>
                <w:b w:val="0"/>
                <w:sz w:val="15"/>
              </w:rPr>
              <w:t>Did provenance, quality, access, drift or retention contribute?</w:t>
            </w:r>
          </w:p>
        </w:tc>
      </w:tr>
      <w:tr>
        <w:trPr>
          <w:cantSplit/>
        </w:trPr>
        <w:tc>
          <w:tcPr>
            <w:tcW w:type="dxa" w:w="2304"/>
            <w:vAlign w:val="center"/>
          </w:tcPr>
          <w:p>
            <w:pPr>
              <w:spacing w:after="0"/>
            </w:pPr>
            <w:r/>
            <w:r>
              <w:rPr>
                <w:rFonts w:ascii="Aptos" w:hAnsi="Aptos"/>
                <w:b w:val="0"/>
                <w:sz w:val="15"/>
              </w:rPr>
              <w:t>Supplier</w:t>
            </w:r>
          </w:p>
        </w:tc>
        <w:tc>
          <w:tcPr>
            <w:tcW w:type="dxa" w:w="7344"/>
            <w:vAlign w:val="center"/>
          </w:tcPr>
          <w:p>
            <w:pPr>
              <w:spacing w:after="0"/>
            </w:pPr>
            <w:r/>
            <w:r>
              <w:rPr>
                <w:rFonts w:ascii="Aptos" w:hAnsi="Aptos"/>
                <w:b w:val="0"/>
                <w:sz w:val="15"/>
              </w:rPr>
              <w:t>Did an inherited control or service assumption fail?</w:t>
            </w:r>
          </w:p>
        </w:tc>
      </w:tr>
      <w:tr>
        <w:trPr>
          <w:cantSplit/>
        </w:trPr>
        <w:tc>
          <w:tcPr>
            <w:tcW w:type="dxa" w:w="2304"/>
            <w:vAlign w:val="center"/>
            <w:shd w:fill="F3F6F7"/>
          </w:tcPr>
          <w:p>
            <w:pPr>
              <w:spacing w:after="0"/>
            </w:pPr>
            <w:r/>
            <w:r>
              <w:rPr>
                <w:rFonts w:ascii="Aptos" w:hAnsi="Aptos"/>
                <w:b w:val="0"/>
                <w:sz w:val="15"/>
              </w:rPr>
              <w:t>Governance</w:t>
            </w:r>
          </w:p>
        </w:tc>
        <w:tc>
          <w:tcPr>
            <w:tcW w:type="dxa" w:w="7344"/>
            <w:vAlign w:val="center"/>
            <w:shd w:fill="F3F6F7"/>
          </w:tcPr>
          <w:p>
            <w:pPr>
              <w:spacing w:after="0"/>
            </w:pPr>
            <w:r/>
            <w:r>
              <w:rPr>
                <w:rFonts w:ascii="Aptos" w:hAnsi="Aptos"/>
                <w:b w:val="0"/>
                <w:sz w:val="15"/>
              </w:rPr>
              <w:t>Was risk accepted without sufficient evidence or follow-up?</w:t>
            </w:r>
          </w:p>
        </w:tc>
      </w:tr>
      <w:tr>
        <w:trPr>
          <w:cantSplit/>
        </w:trPr>
        <w:tc>
          <w:tcPr>
            <w:tcW w:type="dxa" w:w="2304"/>
            <w:vAlign w:val="center"/>
          </w:tcPr>
          <w:p>
            <w:pPr>
              <w:spacing w:after="0"/>
            </w:pPr>
            <w:r/>
            <w:r>
              <w:rPr>
                <w:rFonts w:ascii="Aptos" w:hAnsi="Aptos"/>
                <w:b w:val="0"/>
                <w:sz w:val="15"/>
              </w:rPr>
              <w:t>Environment</w:t>
            </w:r>
          </w:p>
        </w:tc>
        <w:tc>
          <w:tcPr>
            <w:tcW w:type="dxa" w:w="7344"/>
            <w:vAlign w:val="center"/>
          </w:tcPr>
          <w:p>
            <w:pPr>
              <w:spacing w:after="0"/>
            </w:pPr>
            <w:r/>
            <w:r>
              <w:rPr>
                <w:rFonts w:ascii="Aptos" w:hAnsi="Aptos"/>
                <w:b w:val="0"/>
                <w:sz w:val="15"/>
              </w:rPr>
              <w:t>Did scale, jurisdiction, threat or physical context change?</w:t>
            </w:r>
          </w:p>
        </w:tc>
      </w:tr>
    </w:tbl>
    <w:p/>
    <w:p>
      <w:pPr>
        <w:pStyle w:val="Heading1"/>
      </w:pPr>
      <w:r>
        <w:t>12. Improvement Roadmap</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448"/>
            <w:vAlign w:val="center"/>
            <w:shd w:fill="17324D"/>
          </w:tcPr>
          <w:p>
            <w:pPr>
              <w:spacing w:after="0"/>
            </w:pPr>
            <w:r/>
            <w:r>
              <w:rPr>
                <w:rFonts w:ascii="Aptos" w:hAnsi="Aptos"/>
                <w:b/>
                <w:color w:val="FFFFFF"/>
                <w:sz w:val="15"/>
              </w:rPr>
              <w:t>Roadmap field</w:t>
            </w:r>
          </w:p>
        </w:tc>
        <w:tc>
          <w:tcPr>
            <w:tcW w:type="dxa" w:w="7200"/>
            <w:vAlign w:val="center"/>
            <w:shd w:fill="17324D"/>
          </w:tcPr>
          <w:p>
            <w:pPr>
              <w:spacing w:after="0"/>
            </w:pPr>
            <w:r/>
            <w:r>
              <w:rPr>
                <w:rFonts w:ascii="Aptos" w:hAnsi="Aptos"/>
                <w:b/>
                <w:color w:val="FFFFFF"/>
                <w:sz w:val="15"/>
              </w:rPr>
              <w:t>Required content</w:t>
            </w:r>
          </w:p>
        </w:tc>
      </w:tr>
      <w:tr>
        <w:trPr>
          <w:cantSplit/>
        </w:trPr>
        <w:tc>
          <w:tcPr>
            <w:tcW w:type="dxa" w:w="2448"/>
            <w:vAlign w:val="center"/>
          </w:tcPr>
          <w:p>
            <w:pPr>
              <w:spacing w:after="0"/>
            </w:pPr>
            <w:r/>
            <w:r>
              <w:rPr>
                <w:rFonts w:ascii="Aptos" w:hAnsi="Aptos"/>
                <w:b w:val="0"/>
                <w:sz w:val="15"/>
              </w:rPr>
              <w:t>Initiative ID</w:t>
            </w:r>
          </w:p>
        </w:tc>
        <w:tc>
          <w:tcPr>
            <w:tcW w:type="dxa" w:w="7200"/>
            <w:vAlign w:val="center"/>
          </w:tcPr>
          <w:p>
            <w:pPr>
              <w:spacing w:after="0"/>
            </w:pPr>
            <w:r/>
            <w:r>
              <w:rPr>
                <w:rFonts w:ascii="Aptos" w:hAnsi="Aptos"/>
                <w:b w:val="0"/>
                <w:sz w:val="15"/>
              </w:rPr>
              <w:t>Unique identifier</w:t>
            </w:r>
          </w:p>
        </w:tc>
      </w:tr>
      <w:tr>
        <w:trPr>
          <w:cantSplit/>
        </w:trPr>
        <w:tc>
          <w:tcPr>
            <w:tcW w:type="dxa" w:w="2448"/>
            <w:vAlign w:val="center"/>
            <w:shd w:fill="F3F6F7"/>
          </w:tcPr>
          <w:p>
            <w:pPr>
              <w:spacing w:after="0"/>
            </w:pPr>
            <w:r/>
            <w:r>
              <w:rPr>
                <w:rFonts w:ascii="Aptos" w:hAnsi="Aptos"/>
                <w:b w:val="0"/>
                <w:sz w:val="15"/>
              </w:rPr>
              <w:t>Problem/opportunity</w:t>
            </w:r>
          </w:p>
        </w:tc>
        <w:tc>
          <w:tcPr>
            <w:tcW w:type="dxa" w:w="7200"/>
            <w:vAlign w:val="center"/>
            <w:shd w:fill="F3F6F7"/>
          </w:tcPr>
          <w:p>
            <w:pPr>
              <w:spacing w:after="0"/>
            </w:pPr>
            <w:r/>
            <w:r>
              <w:rPr>
                <w:rFonts w:ascii="Aptos" w:hAnsi="Aptos"/>
                <w:b w:val="0"/>
                <w:sz w:val="15"/>
              </w:rPr>
              <w:t>Evidence-based statement</w:t>
            </w:r>
          </w:p>
        </w:tc>
      </w:tr>
      <w:tr>
        <w:trPr>
          <w:cantSplit/>
        </w:trPr>
        <w:tc>
          <w:tcPr>
            <w:tcW w:type="dxa" w:w="2448"/>
            <w:vAlign w:val="center"/>
          </w:tcPr>
          <w:p>
            <w:pPr>
              <w:spacing w:after="0"/>
            </w:pPr>
            <w:r/>
            <w:r>
              <w:rPr>
                <w:rFonts w:ascii="Aptos" w:hAnsi="Aptos"/>
                <w:b w:val="0"/>
                <w:sz w:val="15"/>
              </w:rPr>
              <w:t>Affected controls</w:t>
            </w:r>
          </w:p>
        </w:tc>
        <w:tc>
          <w:tcPr>
            <w:tcW w:type="dxa" w:w="7200"/>
            <w:vAlign w:val="center"/>
          </w:tcPr>
          <w:p>
            <w:pPr>
              <w:spacing w:after="0"/>
            </w:pPr>
            <w:r/>
            <w:r>
              <w:rPr>
                <w:rFonts w:ascii="Aptos" w:hAnsi="Aptos"/>
                <w:b w:val="0"/>
                <w:sz w:val="15"/>
              </w:rPr>
              <w:t>GAISSF control IDs and scope</w:t>
            </w:r>
          </w:p>
        </w:tc>
      </w:tr>
      <w:tr>
        <w:trPr>
          <w:cantSplit/>
        </w:trPr>
        <w:tc>
          <w:tcPr>
            <w:tcW w:type="dxa" w:w="2448"/>
            <w:vAlign w:val="center"/>
            <w:shd w:fill="F3F6F7"/>
          </w:tcPr>
          <w:p>
            <w:pPr>
              <w:spacing w:after="0"/>
            </w:pPr>
            <w:r/>
            <w:r>
              <w:rPr>
                <w:rFonts w:ascii="Aptos" w:hAnsi="Aptos"/>
                <w:b w:val="0"/>
                <w:sz w:val="15"/>
              </w:rPr>
              <w:t>Priority</w:t>
            </w:r>
          </w:p>
        </w:tc>
        <w:tc>
          <w:tcPr>
            <w:tcW w:type="dxa" w:w="7200"/>
            <w:vAlign w:val="center"/>
            <w:shd w:fill="F3F6F7"/>
          </w:tcPr>
          <w:p>
            <w:pPr>
              <w:spacing w:after="0"/>
            </w:pPr>
            <w:r/>
            <w:r>
              <w:rPr>
                <w:rFonts w:ascii="Aptos" w:hAnsi="Aptos"/>
                <w:b w:val="0"/>
                <w:sz w:val="15"/>
              </w:rPr>
              <w:t>P0-P4 with rationale</w:t>
            </w:r>
          </w:p>
        </w:tc>
      </w:tr>
      <w:tr>
        <w:trPr>
          <w:cantSplit/>
        </w:trPr>
        <w:tc>
          <w:tcPr>
            <w:tcW w:type="dxa" w:w="2448"/>
            <w:vAlign w:val="center"/>
          </w:tcPr>
          <w:p>
            <w:pPr>
              <w:spacing w:after="0"/>
            </w:pPr>
            <w:r/>
            <w:r>
              <w:rPr>
                <w:rFonts w:ascii="Aptos" w:hAnsi="Aptos"/>
                <w:b w:val="0"/>
                <w:sz w:val="15"/>
              </w:rPr>
              <w:t>Target maturity</w:t>
            </w:r>
          </w:p>
        </w:tc>
        <w:tc>
          <w:tcPr>
            <w:tcW w:type="dxa" w:w="7200"/>
            <w:vAlign w:val="center"/>
          </w:tcPr>
          <w:p>
            <w:pPr>
              <w:spacing w:after="0"/>
            </w:pPr>
            <w:r/>
            <w:r>
              <w:rPr>
                <w:rFonts w:ascii="Aptos" w:hAnsi="Aptos"/>
                <w:b w:val="0"/>
                <w:sz w:val="15"/>
              </w:rPr>
              <w:t>Current and desired capability level</w:t>
            </w:r>
          </w:p>
        </w:tc>
      </w:tr>
      <w:tr>
        <w:trPr>
          <w:cantSplit/>
        </w:trPr>
        <w:tc>
          <w:tcPr>
            <w:tcW w:type="dxa" w:w="2448"/>
            <w:vAlign w:val="center"/>
            <w:shd w:fill="F3F6F7"/>
          </w:tcPr>
          <w:p>
            <w:pPr>
              <w:spacing w:after="0"/>
            </w:pPr>
            <w:r/>
            <w:r>
              <w:rPr>
                <w:rFonts w:ascii="Aptos" w:hAnsi="Aptos"/>
                <w:b w:val="0"/>
                <w:sz w:val="15"/>
              </w:rPr>
              <w:t>Actions</w:t>
            </w:r>
          </w:p>
        </w:tc>
        <w:tc>
          <w:tcPr>
            <w:tcW w:type="dxa" w:w="7200"/>
            <w:vAlign w:val="center"/>
            <w:shd w:fill="F3F6F7"/>
          </w:tcPr>
          <w:p>
            <w:pPr>
              <w:spacing w:after="0"/>
            </w:pPr>
            <w:r/>
            <w:r>
              <w:rPr>
                <w:rFonts w:ascii="Aptos" w:hAnsi="Aptos"/>
                <w:b w:val="0"/>
                <w:sz w:val="15"/>
              </w:rPr>
              <w:t>Correction, CAPA, optimization and standardization</w:t>
            </w:r>
          </w:p>
        </w:tc>
      </w:tr>
      <w:tr>
        <w:trPr>
          <w:cantSplit/>
        </w:trPr>
        <w:tc>
          <w:tcPr>
            <w:tcW w:type="dxa" w:w="2448"/>
            <w:vAlign w:val="center"/>
          </w:tcPr>
          <w:p>
            <w:pPr>
              <w:spacing w:after="0"/>
            </w:pPr>
            <w:r/>
            <w:r>
              <w:rPr>
                <w:rFonts w:ascii="Aptos" w:hAnsi="Aptos"/>
                <w:b w:val="0"/>
                <w:sz w:val="15"/>
              </w:rPr>
              <w:t>Owner</w:t>
            </w:r>
          </w:p>
        </w:tc>
        <w:tc>
          <w:tcPr>
            <w:tcW w:type="dxa" w:w="7200"/>
            <w:vAlign w:val="center"/>
          </w:tcPr>
          <w:p>
            <w:pPr>
              <w:spacing w:after="0"/>
            </w:pPr>
            <w:r/>
            <w:r>
              <w:rPr>
                <w:rFonts w:ascii="Aptos" w:hAnsi="Aptos"/>
                <w:b w:val="0"/>
                <w:sz w:val="15"/>
              </w:rPr>
              <w:t>Accountable executive or control owner</w:t>
            </w:r>
          </w:p>
        </w:tc>
      </w:tr>
      <w:tr>
        <w:trPr>
          <w:cantSplit/>
        </w:trPr>
        <w:tc>
          <w:tcPr>
            <w:tcW w:type="dxa" w:w="2448"/>
            <w:vAlign w:val="center"/>
            <w:shd w:fill="F3F6F7"/>
          </w:tcPr>
          <w:p>
            <w:pPr>
              <w:spacing w:after="0"/>
            </w:pPr>
            <w:r/>
            <w:r>
              <w:rPr>
                <w:rFonts w:ascii="Aptos" w:hAnsi="Aptos"/>
                <w:b w:val="0"/>
                <w:sz w:val="15"/>
              </w:rPr>
              <w:t>Resources</w:t>
            </w:r>
          </w:p>
        </w:tc>
        <w:tc>
          <w:tcPr>
            <w:tcW w:type="dxa" w:w="7200"/>
            <w:vAlign w:val="center"/>
            <w:shd w:fill="F3F6F7"/>
          </w:tcPr>
          <w:p>
            <w:pPr>
              <w:spacing w:after="0"/>
            </w:pPr>
            <w:r/>
            <w:r>
              <w:rPr>
                <w:rFonts w:ascii="Aptos" w:hAnsi="Aptos"/>
                <w:b w:val="0"/>
                <w:sz w:val="15"/>
              </w:rPr>
              <w:t>People, budget, tooling and suppliers</w:t>
            </w:r>
          </w:p>
        </w:tc>
      </w:tr>
      <w:tr>
        <w:trPr>
          <w:cantSplit/>
        </w:trPr>
        <w:tc>
          <w:tcPr>
            <w:tcW w:type="dxa" w:w="2448"/>
            <w:vAlign w:val="center"/>
          </w:tcPr>
          <w:p>
            <w:pPr>
              <w:spacing w:after="0"/>
            </w:pPr>
            <w:r/>
            <w:r>
              <w:rPr>
                <w:rFonts w:ascii="Aptos" w:hAnsi="Aptos"/>
                <w:b w:val="0"/>
                <w:sz w:val="15"/>
              </w:rPr>
              <w:t>Dependencies</w:t>
            </w:r>
          </w:p>
        </w:tc>
        <w:tc>
          <w:tcPr>
            <w:tcW w:type="dxa" w:w="7200"/>
            <w:vAlign w:val="center"/>
          </w:tcPr>
          <w:p>
            <w:pPr>
              <w:spacing w:after="0"/>
            </w:pPr>
            <w:r/>
            <w:r>
              <w:rPr>
                <w:rFonts w:ascii="Aptos" w:hAnsi="Aptos"/>
                <w:b w:val="0"/>
                <w:sz w:val="15"/>
              </w:rPr>
              <w:t>Systems, legal, architecture or vendor constraints</w:t>
            </w:r>
          </w:p>
        </w:tc>
      </w:tr>
      <w:tr>
        <w:trPr>
          <w:cantSplit/>
        </w:trPr>
        <w:tc>
          <w:tcPr>
            <w:tcW w:type="dxa" w:w="2448"/>
            <w:vAlign w:val="center"/>
            <w:shd w:fill="F3F6F7"/>
          </w:tcPr>
          <w:p>
            <w:pPr>
              <w:spacing w:after="0"/>
            </w:pPr>
            <w:r/>
            <w:r>
              <w:rPr>
                <w:rFonts w:ascii="Aptos" w:hAnsi="Aptos"/>
                <w:b w:val="0"/>
                <w:sz w:val="15"/>
              </w:rPr>
              <w:t>Milestones</w:t>
            </w:r>
          </w:p>
        </w:tc>
        <w:tc>
          <w:tcPr>
            <w:tcW w:type="dxa" w:w="7200"/>
            <w:vAlign w:val="center"/>
            <w:shd w:fill="F3F6F7"/>
          </w:tcPr>
          <w:p>
            <w:pPr>
              <w:spacing w:after="0"/>
            </w:pPr>
            <w:r/>
            <w:r>
              <w:rPr>
                <w:rFonts w:ascii="Aptos" w:hAnsi="Aptos"/>
                <w:b w:val="0"/>
                <w:sz w:val="15"/>
              </w:rPr>
              <w:t>Decision and validation points</w:t>
            </w:r>
          </w:p>
        </w:tc>
      </w:tr>
      <w:tr>
        <w:trPr>
          <w:cantSplit/>
        </w:trPr>
        <w:tc>
          <w:tcPr>
            <w:tcW w:type="dxa" w:w="2448"/>
            <w:vAlign w:val="center"/>
          </w:tcPr>
          <w:p>
            <w:pPr>
              <w:spacing w:after="0"/>
            </w:pPr>
            <w:r/>
            <w:r>
              <w:rPr>
                <w:rFonts w:ascii="Aptos" w:hAnsi="Aptos"/>
                <w:b w:val="0"/>
                <w:sz w:val="15"/>
              </w:rPr>
              <w:t>Success measures</w:t>
            </w:r>
          </w:p>
        </w:tc>
        <w:tc>
          <w:tcPr>
            <w:tcW w:type="dxa" w:w="7200"/>
            <w:vAlign w:val="center"/>
          </w:tcPr>
          <w:p>
            <w:pPr>
              <w:spacing w:after="0"/>
            </w:pPr>
            <w:r/>
            <w:r>
              <w:rPr>
                <w:rFonts w:ascii="Aptos" w:hAnsi="Aptos"/>
                <w:b w:val="0"/>
                <w:sz w:val="15"/>
              </w:rPr>
              <w:t>Leading and lagging indicators</w:t>
            </w:r>
          </w:p>
        </w:tc>
      </w:tr>
      <w:tr>
        <w:trPr>
          <w:cantSplit/>
        </w:trPr>
        <w:tc>
          <w:tcPr>
            <w:tcW w:type="dxa" w:w="2448"/>
            <w:vAlign w:val="center"/>
            <w:shd w:fill="F3F6F7"/>
          </w:tcPr>
          <w:p>
            <w:pPr>
              <w:spacing w:after="0"/>
            </w:pPr>
            <w:r/>
            <w:r>
              <w:rPr>
                <w:rFonts w:ascii="Aptos" w:hAnsi="Aptos"/>
                <w:b w:val="0"/>
                <w:sz w:val="15"/>
              </w:rPr>
              <w:t>Risks</w:t>
            </w:r>
          </w:p>
        </w:tc>
        <w:tc>
          <w:tcPr>
            <w:tcW w:type="dxa" w:w="7200"/>
            <w:vAlign w:val="center"/>
            <w:shd w:fill="F3F6F7"/>
          </w:tcPr>
          <w:p>
            <w:pPr>
              <w:spacing w:after="0"/>
            </w:pPr>
            <w:r/>
            <w:r>
              <w:rPr>
                <w:rFonts w:ascii="Aptos" w:hAnsi="Aptos"/>
                <w:b w:val="0"/>
                <w:sz w:val="15"/>
              </w:rPr>
              <w:t>Implementation and transition risks</w:t>
            </w:r>
          </w:p>
        </w:tc>
      </w:tr>
      <w:tr>
        <w:trPr>
          <w:cantSplit/>
        </w:trPr>
        <w:tc>
          <w:tcPr>
            <w:tcW w:type="dxa" w:w="2448"/>
            <w:vAlign w:val="center"/>
          </w:tcPr>
          <w:p>
            <w:pPr>
              <w:spacing w:after="0"/>
            </w:pPr>
            <w:r/>
            <w:r>
              <w:rPr>
                <w:rFonts w:ascii="Aptos" w:hAnsi="Aptos"/>
                <w:b w:val="0"/>
                <w:sz w:val="15"/>
              </w:rPr>
              <w:t>Evidence</w:t>
            </w:r>
          </w:p>
        </w:tc>
        <w:tc>
          <w:tcPr>
            <w:tcW w:type="dxa" w:w="7200"/>
            <w:vAlign w:val="center"/>
          </w:tcPr>
          <w:p>
            <w:pPr>
              <w:spacing w:after="0"/>
            </w:pPr>
            <w:r/>
            <w:r>
              <w:rPr>
                <w:rFonts w:ascii="Aptos" w:hAnsi="Aptos"/>
                <w:b w:val="0"/>
                <w:sz w:val="15"/>
              </w:rPr>
              <w:t>Artifacts required for closure</w:t>
            </w:r>
          </w:p>
        </w:tc>
      </w:tr>
    </w:tbl>
    <w:p/>
    <w:p>
      <w:pPr>
        <w:pStyle w:val="Heading1"/>
      </w:pPr>
      <w:r>
        <w:t>13. Improvement Portfolio Governance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016"/>
            <w:vAlign w:val="center"/>
            <w:shd w:fill="17324D"/>
          </w:tcPr>
          <w:p>
            <w:pPr>
              <w:spacing w:after="0"/>
            </w:pPr>
            <w:r/>
            <w:r>
              <w:rPr>
                <w:rFonts w:ascii="Aptos" w:hAnsi="Aptos"/>
                <w:b/>
                <w:color w:val="FFFFFF"/>
                <w:sz w:val="15"/>
              </w:rPr>
              <w:t>Cadence</w:t>
            </w:r>
          </w:p>
        </w:tc>
        <w:tc>
          <w:tcPr>
            <w:tcW w:type="dxa" w:w="7632"/>
            <w:vAlign w:val="center"/>
            <w:shd w:fill="17324D"/>
          </w:tcPr>
          <w:p>
            <w:pPr>
              <w:spacing w:after="0"/>
            </w:pPr>
            <w:r/>
            <w:r>
              <w:rPr>
                <w:rFonts w:ascii="Aptos" w:hAnsi="Aptos"/>
                <w:b/>
                <w:color w:val="FFFFFF"/>
                <w:sz w:val="15"/>
              </w:rPr>
              <w:t>Portfolio activity</w:t>
            </w:r>
          </w:p>
        </w:tc>
      </w:tr>
      <w:tr>
        <w:trPr>
          <w:cantSplit/>
        </w:trPr>
        <w:tc>
          <w:tcPr>
            <w:tcW w:type="dxa" w:w="2016"/>
            <w:vAlign w:val="center"/>
          </w:tcPr>
          <w:p>
            <w:pPr>
              <w:spacing w:after="0"/>
            </w:pPr>
            <w:r/>
            <w:r>
              <w:rPr>
                <w:rFonts w:ascii="Aptos" w:hAnsi="Aptos"/>
                <w:b w:val="0"/>
                <w:sz w:val="15"/>
              </w:rPr>
              <w:t>Weekly</w:t>
            </w:r>
          </w:p>
        </w:tc>
        <w:tc>
          <w:tcPr>
            <w:tcW w:type="dxa" w:w="7632"/>
            <w:vAlign w:val="center"/>
          </w:tcPr>
          <w:p>
            <w:pPr>
              <w:spacing w:after="0"/>
            </w:pPr>
            <w:r/>
            <w:r>
              <w:rPr>
                <w:rFonts w:ascii="Aptos" w:hAnsi="Aptos"/>
                <w:b w:val="0"/>
                <w:sz w:val="15"/>
              </w:rPr>
              <w:t>Review P0/P1 actions, blockers and containment</w:t>
            </w:r>
          </w:p>
        </w:tc>
      </w:tr>
      <w:tr>
        <w:trPr>
          <w:cantSplit/>
        </w:trPr>
        <w:tc>
          <w:tcPr>
            <w:tcW w:type="dxa" w:w="2016"/>
            <w:vAlign w:val="center"/>
            <w:shd w:fill="F3F6F7"/>
          </w:tcPr>
          <w:p>
            <w:pPr>
              <w:spacing w:after="0"/>
            </w:pPr>
            <w:r/>
            <w:r>
              <w:rPr>
                <w:rFonts w:ascii="Aptos" w:hAnsi="Aptos"/>
                <w:b w:val="0"/>
                <w:sz w:val="15"/>
              </w:rPr>
              <w:t>Monthly</w:t>
            </w:r>
          </w:p>
        </w:tc>
        <w:tc>
          <w:tcPr>
            <w:tcW w:type="dxa" w:w="7632"/>
            <w:vAlign w:val="center"/>
            <w:shd w:fill="F3F6F7"/>
          </w:tcPr>
          <w:p>
            <w:pPr>
              <w:spacing w:after="0"/>
            </w:pPr>
            <w:r/>
            <w:r>
              <w:rPr>
                <w:rFonts w:ascii="Aptos" w:hAnsi="Aptos"/>
                <w:b w:val="0"/>
                <w:sz w:val="15"/>
              </w:rPr>
              <w:t>Review roadmap status, overdue actions, evidence and dependencies</w:t>
            </w:r>
          </w:p>
        </w:tc>
      </w:tr>
      <w:tr>
        <w:trPr>
          <w:cantSplit/>
        </w:trPr>
        <w:tc>
          <w:tcPr>
            <w:tcW w:type="dxa" w:w="2016"/>
            <w:vAlign w:val="center"/>
          </w:tcPr>
          <w:p>
            <w:pPr>
              <w:spacing w:after="0"/>
            </w:pPr>
            <w:r/>
            <w:r>
              <w:rPr>
                <w:rFonts w:ascii="Aptos" w:hAnsi="Aptos"/>
                <w:b w:val="0"/>
                <w:sz w:val="15"/>
              </w:rPr>
              <w:t>Quarterly</w:t>
            </w:r>
          </w:p>
        </w:tc>
        <w:tc>
          <w:tcPr>
            <w:tcW w:type="dxa" w:w="7632"/>
            <w:vAlign w:val="center"/>
          </w:tcPr>
          <w:p>
            <w:pPr>
              <w:spacing w:after="0"/>
            </w:pPr>
            <w:r/>
            <w:r>
              <w:rPr>
                <w:rFonts w:ascii="Aptos" w:hAnsi="Aptos"/>
                <w:b w:val="0"/>
                <w:sz w:val="15"/>
              </w:rPr>
              <w:t>Reprioritize based on risk, metrics, incidents and change</w:t>
            </w:r>
          </w:p>
        </w:tc>
      </w:tr>
      <w:tr>
        <w:trPr>
          <w:cantSplit/>
        </w:trPr>
        <w:tc>
          <w:tcPr>
            <w:tcW w:type="dxa" w:w="2016"/>
            <w:vAlign w:val="center"/>
            <w:shd w:fill="F3F6F7"/>
          </w:tcPr>
          <w:p>
            <w:pPr>
              <w:spacing w:after="0"/>
            </w:pPr>
            <w:r/>
            <w:r>
              <w:rPr>
                <w:rFonts w:ascii="Aptos" w:hAnsi="Aptos"/>
                <w:b w:val="0"/>
                <w:sz w:val="15"/>
              </w:rPr>
              <w:t>Semiannual</w:t>
            </w:r>
          </w:p>
        </w:tc>
        <w:tc>
          <w:tcPr>
            <w:tcW w:type="dxa" w:w="7632"/>
            <w:vAlign w:val="center"/>
            <w:shd w:fill="F3F6F7"/>
          </w:tcPr>
          <w:p>
            <w:pPr>
              <w:spacing w:after="0"/>
            </w:pPr>
            <w:r/>
            <w:r>
              <w:rPr>
                <w:rFonts w:ascii="Aptos" w:hAnsi="Aptos"/>
                <w:b w:val="0"/>
                <w:sz w:val="15"/>
              </w:rPr>
              <w:t>Review maturity progression, systemic themes and supplier performance</w:t>
            </w:r>
          </w:p>
        </w:tc>
      </w:tr>
      <w:tr>
        <w:trPr>
          <w:cantSplit/>
        </w:trPr>
        <w:tc>
          <w:tcPr>
            <w:tcW w:type="dxa" w:w="2016"/>
            <w:vAlign w:val="center"/>
          </w:tcPr>
          <w:p>
            <w:pPr>
              <w:spacing w:after="0"/>
            </w:pPr>
            <w:r/>
            <w:r>
              <w:rPr>
                <w:rFonts w:ascii="Aptos" w:hAnsi="Aptos"/>
                <w:b w:val="0"/>
                <w:sz w:val="15"/>
              </w:rPr>
              <w:t>Annual</w:t>
            </w:r>
          </w:p>
        </w:tc>
        <w:tc>
          <w:tcPr>
            <w:tcW w:type="dxa" w:w="7632"/>
            <w:vAlign w:val="center"/>
          </w:tcPr>
          <w:p>
            <w:pPr>
              <w:spacing w:after="0"/>
            </w:pPr>
            <w:r/>
            <w:r>
              <w:rPr>
                <w:rFonts w:ascii="Aptos" w:hAnsi="Aptos"/>
                <w:b w:val="0"/>
                <w:sz w:val="15"/>
              </w:rPr>
              <w:t>Approve strategic target state, budget and framework migration</w:t>
            </w:r>
          </w:p>
        </w:tc>
      </w:tr>
      <w:tr>
        <w:trPr>
          <w:cantSplit/>
        </w:trPr>
        <w:tc>
          <w:tcPr>
            <w:tcW w:type="dxa" w:w="2016"/>
            <w:vAlign w:val="center"/>
            <w:shd w:fill="F3F6F7"/>
          </w:tcPr>
          <w:p>
            <w:pPr>
              <w:spacing w:after="0"/>
            </w:pPr>
            <w:r/>
            <w:r>
              <w:rPr>
                <w:rFonts w:ascii="Aptos" w:hAnsi="Aptos"/>
                <w:b w:val="0"/>
                <w:sz w:val="15"/>
              </w:rPr>
              <w:t>Event-driven</w:t>
            </w:r>
          </w:p>
        </w:tc>
        <w:tc>
          <w:tcPr>
            <w:tcW w:type="dxa" w:w="7632"/>
            <w:vAlign w:val="center"/>
            <w:shd w:fill="F3F6F7"/>
          </w:tcPr>
          <w:p>
            <w:pPr>
              <w:spacing w:after="0"/>
            </w:pPr>
            <w:r/>
            <w:r>
              <w:rPr>
                <w:rFonts w:ascii="Aptos" w:hAnsi="Aptos"/>
                <w:b w:val="0"/>
                <w:sz w:val="15"/>
              </w:rPr>
              <w:t>Replan after major incident, legal change, threat or GAISSF release</w:t>
            </w:r>
          </w:p>
        </w:tc>
      </w:tr>
    </w:tbl>
    <w:p/>
    <w:p>
      <w:pPr>
        <w:pStyle w:val="Heading1"/>
      </w:pPr>
      <w:r>
        <w:t>14. Metrics for Improvement</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160"/>
            <w:vAlign w:val="center"/>
            <w:shd w:fill="17324D"/>
          </w:tcPr>
          <w:p>
            <w:pPr>
              <w:spacing w:after="0"/>
            </w:pPr>
            <w:r/>
            <w:r>
              <w:rPr>
                <w:rFonts w:ascii="Aptos" w:hAnsi="Aptos"/>
                <w:b/>
                <w:color w:val="FFFFFF"/>
                <w:sz w:val="15"/>
              </w:rPr>
              <w:t>Metric type</w:t>
            </w:r>
          </w:p>
        </w:tc>
        <w:tc>
          <w:tcPr>
            <w:tcW w:type="dxa" w:w="4464"/>
            <w:vAlign w:val="center"/>
            <w:shd w:fill="17324D"/>
          </w:tcPr>
          <w:p>
            <w:pPr>
              <w:spacing w:after="0"/>
            </w:pPr>
            <w:r/>
            <w:r>
              <w:rPr>
                <w:rFonts w:ascii="Aptos" w:hAnsi="Aptos"/>
                <w:b/>
                <w:color w:val="FFFFFF"/>
                <w:sz w:val="15"/>
              </w:rPr>
              <w:t>Examples</w:t>
            </w:r>
          </w:p>
        </w:tc>
        <w:tc>
          <w:tcPr>
            <w:tcW w:type="dxa" w:w="3024"/>
            <w:vAlign w:val="center"/>
            <w:shd w:fill="17324D"/>
          </w:tcPr>
          <w:p>
            <w:pPr>
              <w:spacing w:after="0"/>
            </w:pPr>
            <w:r/>
            <w:r>
              <w:rPr>
                <w:rFonts w:ascii="Aptos" w:hAnsi="Aptos"/>
                <w:b/>
                <w:color w:val="FFFFFF"/>
                <w:sz w:val="15"/>
              </w:rPr>
              <w:t>Use</w:t>
            </w:r>
          </w:p>
        </w:tc>
      </w:tr>
      <w:tr>
        <w:trPr>
          <w:cantSplit/>
        </w:trPr>
        <w:tc>
          <w:tcPr>
            <w:tcW w:type="dxa" w:w="2160"/>
            <w:vAlign w:val="center"/>
          </w:tcPr>
          <w:p>
            <w:pPr>
              <w:spacing w:after="0"/>
            </w:pPr>
            <w:r/>
            <w:r>
              <w:rPr>
                <w:rFonts w:ascii="Aptos" w:hAnsi="Aptos"/>
                <w:b w:val="0"/>
                <w:sz w:val="15"/>
              </w:rPr>
              <w:t>Leading</w:t>
            </w:r>
          </w:p>
        </w:tc>
        <w:tc>
          <w:tcPr>
            <w:tcW w:type="dxa" w:w="4464"/>
            <w:vAlign w:val="center"/>
          </w:tcPr>
          <w:p>
            <w:pPr>
              <w:spacing w:after="0"/>
            </w:pPr>
            <w:r/>
            <w:r>
              <w:rPr>
                <w:rFonts w:ascii="Aptos" w:hAnsi="Aptos"/>
                <w:b w:val="0"/>
                <w:sz w:val="15"/>
              </w:rPr>
              <w:t>Control coverage, test automation, overdue evidence, training completion</w:t>
            </w:r>
          </w:p>
        </w:tc>
        <w:tc>
          <w:tcPr>
            <w:tcW w:type="dxa" w:w="3024"/>
            <w:vAlign w:val="center"/>
          </w:tcPr>
          <w:p>
            <w:pPr>
              <w:spacing w:after="0"/>
            </w:pPr>
            <w:r/>
            <w:r>
              <w:rPr>
                <w:rFonts w:ascii="Aptos" w:hAnsi="Aptos"/>
                <w:b w:val="0"/>
                <w:sz w:val="15"/>
              </w:rPr>
              <w:t>Predict future control performance</w:t>
            </w:r>
          </w:p>
        </w:tc>
      </w:tr>
      <w:tr>
        <w:trPr>
          <w:cantSplit/>
        </w:trPr>
        <w:tc>
          <w:tcPr>
            <w:tcW w:type="dxa" w:w="2160"/>
            <w:vAlign w:val="center"/>
            <w:shd w:fill="F3F6F7"/>
          </w:tcPr>
          <w:p>
            <w:pPr>
              <w:spacing w:after="0"/>
            </w:pPr>
            <w:r/>
            <w:r>
              <w:rPr>
                <w:rFonts w:ascii="Aptos" w:hAnsi="Aptos"/>
                <w:b w:val="0"/>
                <w:sz w:val="15"/>
              </w:rPr>
              <w:t>Lagging</w:t>
            </w:r>
          </w:p>
        </w:tc>
        <w:tc>
          <w:tcPr>
            <w:tcW w:type="dxa" w:w="4464"/>
            <w:vAlign w:val="center"/>
            <w:shd w:fill="F3F6F7"/>
          </w:tcPr>
          <w:p>
            <w:pPr>
              <w:spacing w:after="0"/>
            </w:pPr>
            <w:r/>
            <w:r>
              <w:rPr>
                <w:rFonts w:ascii="Aptos" w:hAnsi="Aptos"/>
                <w:b w:val="0"/>
                <w:sz w:val="15"/>
              </w:rPr>
              <w:t>Incidents, losses, harmful outcomes, nonconformities</w:t>
            </w:r>
          </w:p>
        </w:tc>
        <w:tc>
          <w:tcPr>
            <w:tcW w:type="dxa" w:w="3024"/>
            <w:vAlign w:val="center"/>
            <w:shd w:fill="F3F6F7"/>
          </w:tcPr>
          <w:p>
            <w:pPr>
              <w:spacing w:after="0"/>
            </w:pPr>
            <w:r/>
            <w:r>
              <w:rPr>
                <w:rFonts w:ascii="Aptos" w:hAnsi="Aptos"/>
                <w:b w:val="0"/>
                <w:sz w:val="15"/>
              </w:rPr>
              <w:t>Measure realized failure</w:t>
            </w:r>
          </w:p>
        </w:tc>
      </w:tr>
      <w:tr>
        <w:trPr>
          <w:cantSplit/>
        </w:trPr>
        <w:tc>
          <w:tcPr>
            <w:tcW w:type="dxa" w:w="2160"/>
            <w:vAlign w:val="center"/>
          </w:tcPr>
          <w:p>
            <w:pPr>
              <w:spacing w:after="0"/>
            </w:pPr>
            <w:r/>
            <w:r>
              <w:rPr>
                <w:rFonts w:ascii="Aptos" w:hAnsi="Aptos"/>
                <w:b w:val="0"/>
                <w:sz w:val="15"/>
              </w:rPr>
              <w:t>Quality</w:t>
            </w:r>
          </w:p>
        </w:tc>
        <w:tc>
          <w:tcPr>
            <w:tcW w:type="dxa" w:w="4464"/>
            <w:vAlign w:val="center"/>
          </w:tcPr>
          <w:p>
            <w:pPr>
              <w:spacing w:after="0"/>
            </w:pPr>
            <w:r/>
            <w:r>
              <w:rPr>
                <w:rFonts w:ascii="Aptos" w:hAnsi="Aptos"/>
                <w:b w:val="0"/>
                <w:sz w:val="15"/>
              </w:rPr>
              <w:t>Reopened findings, failed retests, evidence rejection</w:t>
            </w:r>
          </w:p>
        </w:tc>
        <w:tc>
          <w:tcPr>
            <w:tcW w:type="dxa" w:w="3024"/>
            <w:vAlign w:val="center"/>
          </w:tcPr>
          <w:p>
            <w:pPr>
              <w:spacing w:after="0"/>
            </w:pPr>
            <w:r/>
            <w:r>
              <w:rPr>
                <w:rFonts w:ascii="Aptos" w:hAnsi="Aptos"/>
                <w:b w:val="0"/>
                <w:sz w:val="15"/>
              </w:rPr>
              <w:t>Assess action quality</w:t>
            </w:r>
          </w:p>
        </w:tc>
      </w:tr>
      <w:tr>
        <w:trPr>
          <w:cantSplit/>
        </w:trPr>
        <w:tc>
          <w:tcPr>
            <w:tcW w:type="dxa" w:w="2160"/>
            <w:vAlign w:val="center"/>
            <w:shd w:fill="F3F6F7"/>
          </w:tcPr>
          <w:p>
            <w:pPr>
              <w:spacing w:after="0"/>
            </w:pPr>
            <w:r/>
            <w:r>
              <w:rPr>
                <w:rFonts w:ascii="Aptos" w:hAnsi="Aptos"/>
                <w:b w:val="0"/>
                <w:sz w:val="15"/>
              </w:rPr>
              <w:t>Speed</w:t>
            </w:r>
          </w:p>
        </w:tc>
        <w:tc>
          <w:tcPr>
            <w:tcW w:type="dxa" w:w="4464"/>
            <w:vAlign w:val="center"/>
            <w:shd w:fill="F3F6F7"/>
          </w:tcPr>
          <w:p>
            <w:pPr>
              <w:spacing w:after="0"/>
            </w:pPr>
            <w:r/>
            <w:r>
              <w:rPr>
                <w:rFonts w:ascii="Aptos" w:hAnsi="Aptos"/>
                <w:b w:val="0"/>
                <w:sz w:val="15"/>
              </w:rPr>
              <w:t>Time to contain, diagnose, remediate and verify</w:t>
            </w:r>
          </w:p>
        </w:tc>
        <w:tc>
          <w:tcPr>
            <w:tcW w:type="dxa" w:w="3024"/>
            <w:vAlign w:val="center"/>
            <w:shd w:fill="F3F6F7"/>
          </w:tcPr>
          <w:p>
            <w:pPr>
              <w:spacing w:after="0"/>
            </w:pPr>
            <w:r/>
            <w:r>
              <w:rPr>
                <w:rFonts w:ascii="Aptos" w:hAnsi="Aptos"/>
                <w:b w:val="0"/>
                <w:sz w:val="15"/>
              </w:rPr>
              <w:t>Assess responsiveness</w:t>
            </w:r>
          </w:p>
        </w:tc>
      </w:tr>
      <w:tr>
        <w:trPr>
          <w:cantSplit/>
        </w:trPr>
        <w:tc>
          <w:tcPr>
            <w:tcW w:type="dxa" w:w="2160"/>
            <w:vAlign w:val="center"/>
          </w:tcPr>
          <w:p>
            <w:pPr>
              <w:spacing w:after="0"/>
            </w:pPr>
            <w:r/>
            <w:r>
              <w:rPr>
                <w:rFonts w:ascii="Aptos" w:hAnsi="Aptos"/>
                <w:b w:val="0"/>
                <w:sz w:val="15"/>
              </w:rPr>
              <w:t>Sustainability</w:t>
            </w:r>
          </w:p>
        </w:tc>
        <w:tc>
          <w:tcPr>
            <w:tcW w:type="dxa" w:w="4464"/>
            <w:vAlign w:val="center"/>
          </w:tcPr>
          <w:p>
            <w:pPr>
              <w:spacing w:after="0"/>
            </w:pPr>
            <w:r/>
            <w:r>
              <w:rPr>
                <w:rFonts w:ascii="Aptos" w:hAnsi="Aptos"/>
                <w:b w:val="0"/>
                <w:sz w:val="15"/>
              </w:rPr>
              <w:t>Recurrence rate, control drift, exception renewal</w:t>
            </w:r>
          </w:p>
        </w:tc>
        <w:tc>
          <w:tcPr>
            <w:tcW w:type="dxa" w:w="3024"/>
            <w:vAlign w:val="center"/>
          </w:tcPr>
          <w:p>
            <w:pPr>
              <w:spacing w:after="0"/>
            </w:pPr>
            <w:r/>
            <w:r>
              <w:rPr>
                <w:rFonts w:ascii="Aptos" w:hAnsi="Aptos"/>
                <w:b w:val="0"/>
                <w:sz w:val="15"/>
              </w:rPr>
              <w:t>Assess durability</w:t>
            </w:r>
          </w:p>
        </w:tc>
      </w:tr>
      <w:tr>
        <w:trPr>
          <w:cantSplit/>
        </w:trPr>
        <w:tc>
          <w:tcPr>
            <w:tcW w:type="dxa" w:w="2160"/>
            <w:vAlign w:val="center"/>
            <w:shd w:fill="F3F6F7"/>
          </w:tcPr>
          <w:p>
            <w:pPr>
              <w:spacing w:after="0"/>
            </w:pPr>
            <w:r/>
            <w:r>
              <w:rPr>
                <w:rFonts w:ascii="Aptos" w:hAnsi="Aptos"/>
                <w:b w:val="0"/>
                <w:sz w:val="15"/>
              </w:rPr>
              <w:t>Maturity</w:t>
            </w:r>
          </w:p>
        </w:tc>
        <w:tc>
          <w:tcPr>
            <w:tcW w:type="dxa" w:w="4464"/>
            <w:vAlign w:val="center"/>
            <w:shd w:fill="F3F6F7"/>
          </w:tcPr>
          <w:p>
            <w:pPr>
              <w:spacing w:after="0"/>
            </w:pPr>
            <w:r/>
            <w:r>
              <w:rPr>
                <w:rFonts w:ascii="Aptos" w:hAnsi="Aptos"/>
                <w:b w:val="0"/>
                <w:sz w:val="15"/>
              </w:rPr>
              <w:t>Capabilities moving from defined to managed or integrated</w:t>
            </w:r>
          </w:p>
        </w:tc>
        <w:tc>
          <w:tcPr>
            <w:tcW w:type="dxa" w:w="3024"/>
            <w:vAlign w:val="center"/>
            <w:shd w:fill="F3F6F7"/>
          </w:tcPr>
          <w:p>
            <w:pPr>
              <w:spacing w:after="0"/>
            </w:pPr>
            <w:r/>
            <w:r>
              <w:rPr>
                <w:rFonts w:ascii="Aptos" w:hAnsi="Aptos"/>
                <w:b w:val="0"/>
                <w:sz w:val="15"/>
              </w:rPr>
              <w:t>Track operating development</w:t>
            </w:r>
          </w:p>
        </w:tc>
      </w:tr>
      <w:tr>
        <w:trPr>
          <w:cantSplit/>
        </w:trPr>
        <w:tc>
          <w:tcPr>
            <w:tcW w:type="dxa" w:w="2160"/>
            <w:vAlign w:val="center"/>
          </w:tcPr>
          <w:p>
            <w:pPr>
              <w:spacing w:after="0"/>
            </w:pPr>
            <w:r/>
            <w:r>
              <w:rPr>
                <w:rFonts w:ascii="Aptos" w:hAnsi="Aptos"/>
                <w:b w:val="0"/>
                <w:sz w:val="15"/>
              </w:rPr>
              <w:t>Efficiency</w:t>
            </w:r>
          </w:p>
        </w:tc>
        <w:tc>
          <w:tcPr>
            <w:tcW w:type="dxa" w:w="4464"/>
            <w:vAlign w:val="center"/>
          </w:tcPr>
          <w:p>
            <w:pPr>
              <w:spacing w:after="0"/>
            </w:pPr>
            <w:r/>
            <w:r>
              <w:rPr>
                <w:rFonts w:ascii="Aptos" w:hAnsi="Aptos"/>
                <w:b w:val="0"/>
                <w:sz w:val="15"/>
              </w:rPr>
              <w:t>Duplicate controls removed, evidence automation, assessor request time</w:t>
            </w:r>
          </w:p>
        </w:tc>
        <w:tc>
          <w:tcPr>
            <w:tcW w:type="dxa" w:w="3024"/>
            <w:vAlign w:val="center"/>
          </w:tcPr>
          <w:p>
            <w:pPr>
              <w:spacing w:after="0"/>
            </w:pPr>
            <w:r/>
            <w:r>
              <w:rPr>
                <w:rFonts w:ascii="Aptos" w:hAnsi="Aptos"/>
                <w:b w:val="0"/>
                <w:sz w:val="15"/>
              </w:rPr>
              <w:t>Measure program burden reduction</w:t>
            </w:r>
          </w:p>
        </w:tc>
      </w:tr>
    </w:tbl>
    <w:p/>
    <w:p>
      <w:pPr>
        <w:pStyle w:val="Heading2"/>
      </w:pPr>
      <w:r>
        <w:t>14.1 Metric design rules</w:t>
      </w:r>
    </w:p>
    <w:p>
      <w:pPr>
        <w:pStyle w:val="ListNumber"/>
      </w:pPr>
      <w:r>
        <w:t>Define source, calculation, scope, owner, frequency and threshold.</w:t>
      </w:r>
    </w:p>
    <w:p>
      <w:pPr>
        <w:pStyle w:val="ListNumber"/>
      </w:pPr>
      <w:r>
        <w:t>Use both leading and lagging measures.</w:t>
      </w:r>
    </w:p>
    <w:p>
      <w:pPr>
        <w:pStyle w:val="ListNumber"/>
      </w:pPr>
      <w:r>
        <w:t>Segment high-impact systems and populations.</w:t>
      </w:r>
    </w:p>
    <w:p>
      <w:pPr>
        <w:pStyle w:val="ListNumber"/>
      </w:pPr>
      <w:r>
        <w:t>Avoid rewarding closure volume without effectiveness.</w:t>
      </w:r>
    </w:p>
    <w:p>
      <w:pPr>
        <w:pStyle w:val="ListNumber"/>
      </w:pPr>
      <w:r>
        <w:t>Review metric gaming and unintended behavior.</w:t>
      </w:r>
    </w:p>
    <w:p>
      <w:pPr>
        <w:pStyle w:val="ListNumber"/>
      </w:pPr>
      <w:r>
        <w:t>Retain raw data and calculation logic for assurance.</w:t>
      </w:r>
    </w:p>
    <w:p>
      <w:pPr>
        <w:pStyle w:val="Heading1"/>
      </w:pPr>
      <w:r>
        <w:t>15. Management Review for Improvement</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024"/>
            <w:vAlign w:val="center"/>
            <w:shd w:fill="17324D"/>
          </w:tcPr>
          <w:p>
            <w:pPr>
              <w:spacing w:after="0"/>
            </w:pPr>
            <w:r/>
            <w:r>
              <w:rPr>
                <w:rFonts w:ascii="Aptos" w:hAnsi="Aptos"/>
                <w:b/>
                <w:color w:val="FFFFFF"/>
                <w:sz w:val="15"/>
              </w:rPr>
              <w:t>Review input</w:t>
            </w:r>
          </w:p>
        </w:tc>
        <w:tc>
          <w:tcPr>
            <w:tcW w:type="dxa" w:w="6624"/>
            <w:vAlign w:val="center"/>
            <w:shd w:fill="17324D"/>
          </w:tcPr>
          <w:p>
            <w:pPr>
              <w:spacing w:after="0"/>
            </w:pPr>
            <w:r/>
            <w:r>
              <w:rPr>
                <w:rFonts w:ascii="Aptos" w:hAnsi="Aptos"/>
                <w:b/>
                <w:color w:val="FFFFFF"/>
                <w:sz w:val="15"/>
              </w:rPr>
              <w:t>Management decision</w:t>
            </w:r>
          </w:p>
        </w:tc>
      </w:tr>
      <w:tr>
        <w:trPr>
          <w:cantSplit/>
        </w:trPr>
        <w:tc>
          <w:tcPr>
            <w:tcW w:type="dxa" w:w="3024"/>
            <w:vAlign w:val="center"/>
          </w:tcPr>
          <w:p>
            <w:pPr>
              <w:spacing w:after="0"/>
            </w:pPr>
            <w:r/>
            <w:r>
              <w:rPr>
                <w:rFonts w:ascii="Aptos" w:hAnsi="Aptos"/>
                <w:b w:val="0"/>
                <w:sz w:val="15"/>
              </w:rPr>
              <w:t>Control-health trends</w:t>
            </w:r>
          </w:p>
        </w:tc>
        <w:tc>
          <w:tcPr>
            <w:tcW w:type="dxa" w:w="6624"/>
            <w:vAlign w:val="center"/>
          </w:tcPr>
          <w:p>
            <w:pPr>
              <w:spacing w:after="0"/>
            </w:pPr>
            <w:r/>
            <w:r>
              <w:rPr>
                <w:rFonts w:ascii="Aptos" w:hAnsi="Aptos"/>
                <w:b w:val="0"/>
                <w:sz w:val="15"/>
              </w:rPr>
              <w:t>Where is deterioration or unknown status increasing?</w:t>
            </w:r>
          </w:p>
        </w:tc>
      </w:tr>
      <w:tr>
        <w:trPr>
          <w:cantSplit/>
        </w:trPr>
        <w:tc>
          <w:tcPr>
            <w:tcW w:type="dxa" w:w="3024"/>
            <w:vAlign w:val="center"/>
            <w:shd w:fill="F3F6F7"/>
          </w:tcPr>
          <w:p>
            <w:pPr>
              <w:spacing w:after="0"/>
            </w:pPr>
            <w:r/>
            <w:r>
              <w:rPr>
                <w:rFonts w:ascii="Aptos" w:hAnsi="Aptos"/>
                <w:b w:val="0"/>
                <w:sz w:val="15"/>
              </w:rPr>
              <w:t>Incidents and near misses</w:t>
            </w:r>
          </w:p>
        </w:tc>
        <w:tc>
          <w:tcPr>
            <w:tcW w:type="dxa" w:w="6624"/>
            <w:vAlign w:val="center"/>
            <w:shd w:fill="F3F6F7"/>
          </w:tcPr>
          <w:p>
            <w:pPr>
              <w:spacing w:after="0"/>
            </w:pPr>
            <w:r/>
            <w:r>
              <w:rPr>
                <w:rFonts w:ascii="Aptos" w:hAnsi="Aptos"/>
                <w:b w:val="0"/>
                <w:sz w:val="15"/>
              </w:rPr>
              <w:t>What systemic lessons and investments are required?</w:t>
            </w:r>
          </w:p>
        </w:tc>
      </w:tr>
      <w:tr>
        <w:trPr>
          <w:cantSplit/>
        </w:trPr>
        <w:tc>
          <w:tcPr>
            <w:tcW w:type="dxa" w:w="3024"/>
            <w:vAlign w:val="center"/>
          </w:tcPr>
          <w:p>
            <w:pPr>
              <w:spacing w:after="0"/>
            </w:pPr>
            <w:r/>
            <w:r>
              <w:rPr>
                <w:rFonts w:ascii="Aptos" w:hAnsi="Aptos"/>
                <w:b w:val="0"/>
                <w:sz w:val="15"/>
              </w:rPr>
              <w:t>Assessment findings</w:t>
            </w:r>
          </w:p>
        </w:tc>
        <w:tc>
          <w:tcPr>
            <w:tcW w:type="dxa" w:w="6624"/>
            <w:vAlign w:val="center"/>
          </w:tcPr>
          <w:p>
            <w:pPr>
              <w:spacing w:after="0"/>
            </w:pPr>
            <w:r/>
            <w:r>
              <w:rPr>
                <w:rFonts w:ascii="Aptos" w:hAnsi="Aptos"/>
                <w:b w:val="0"/>
                <w:sz w:val="15"/>
              </w:rPr>
              <w:t>Which gaps affect conformance or certification?</w:t>
            </w:r>
          </w:p>
        </w:tc>
      </w:tr>
      <w:tr>
        <w:trPr>
          <w:cantSplit/>
        </w:trPr>
        <w:tc>
          <w:tcPr>
            <w:tcW w:type="dxa" w:w="3024"/>
            <w:vAlign w:val="center"/>
            <w:shd w:fill="F3F6F7"/>
          </w:tcPr>
          <w:p>
            <w:pPr>
              <w:spacing w:after="0"/>
            </w:pPr>
            <w:r/>
            <w:r>
              <w:rPr>
                <w:rFonts w:ascii="Aptos" w:hAnsi="Aptos"/>
                <w:b w:val="0"/>
                <w:sz w:val="15"/>
              </w:rPr>
              <w:t>CAPA performance</w:t>
            </w:r>
          </w:p>
        </w:tc>
        <w:tc>
          <w:tcPr>
            <w:tcW w:type="dxa" w:w="6624"/>
            <w:vAlign w:val="center"/>
            <w:shd w:fill="F3F6F7"/>
          </w:tcPr>
          <w:p>
            <w:pPr>
              <w:spacing w:after="0"/>
            </w:pPr>
            <w:r/>
            <w:r>
              <w:rPr>
                <w:rFonts w:ascii="Aptos" w:hAnsi="Aptos"/>
                <w:b w:val="0"/>
                <w:sz w:val="15"/>
              </w:rPr>
              <w:t>Are root causes removed and actions sustainable?</w:t>
            </w:r>
          </w:p>
        </w:tc>
      </w:tr>
      <w:tr>
        <w:trPr>
          <w:cantSplit/>
        </w:trPr>
        <w:tc>
          <w:tcPr>
            <w:tcW w:type="dxa" w:w="3024"/>
            <w:vAlign w:val="center"/>
          </w:tcPr>
          <w:p>
            <w:pPr>
              <w:spacing w:after="0"/>
            </w:pPr>
            <w:r/>
            <w:r>
              <w:rPr>
                <w:rFonts w:ascii="Aptos" w:hAnsi="Aptos"/>
                <w:b w:val="0"/>
                <w:sz w:val="15"/>
              </w:rPr>
              <w:t>Maturity assessment</w:t>
            </w:r>
          </w:p>
        </w:tc>
        <w:tc>
          <w:tcPr>
            <w:tcW w:type="dxa" w:w="6624"/>
            <w:vAlign w:val="center"/>
          </w:tcPr>
          <w:p>
            <w:pPr>
              <w:spacing w:after="0"/>
            </w:pPr>
            <w:r/>
            <w:r>
              <w:rPr>
                <w:rFonts w:ascii="Aptos" w:hAnsi="Aptos"/>
                <w:b w:val="0"/>
                <w:sz w:val="15"/>
              </w:rPr>
              <w:t>Which capabilities need target-state change?</w:t>
            </w:r>
          </w:p>
        </w:tc>
      </w:tr>
      <w:tr>
        <w:trPr>
          <w:cantSplit/>
        </w:trPr>
        <w:tc>
          <w:tcPr>
            <w:tcW w:type="dxa" w:w="3024"/>
            <w:vAlign w:val="center"/>
            <w:shd w:fill="F3F6F7"/>
          </w:tcPr>
          <w:p>
            <w:pPr>
              <w:spacing w:after="0"/>
            </w:pPr>
            <w:r/>
            <w:r>
              <w:rPr>
                <w:rFonts w:ascii="Aptos" w:hAnsi="Aptos"/>
                <w:b w:val="0"/>
                <w:sz w:val="15"/>
              </w:rPr>
              <w:t>Supplier performance</w:t>
            </w:r>
          </w:p>
        </w:tc>
        <w:tc>
          <w:tcPr>
            <w:tcW w:type="dxa" w:w="6624"/>
            <w:vAlign w:val="center"/>
            <w:shd w:fill="F3F6F7"/>
          </w:tcPr>
          <w:p>
            <w:pPr>
              <w:spacing w:after="0"/>
            </w:pPr>
            <w:r/>
            <w:r>
              <w:rPr>
                <w:rFonts w:ascii="Aptos" w:hAnsi="Aptos"/>
                <w:b w:val="0"/>
                <w:sz w:val="15"/>
              </w:rPr>
              <w:t>Are inherited controls and contracts sufficient?</w:t>
            </w:r>
          </w:p>
        </w:tc>
      </w:tr>
      <w:tr>
        <w:trPr>
          <w:cantSplit/>
        </w:trPr>
        <w:tc>
          <w:tcPr>
            <w:tcW w:type="dxa" w:w="3024"/>
            <w:vAlign w:val="center"/>
          </w:tcPr>
          <w:p>
            <w:pPr>
              <w:spacing w:after="0"/>
            </w:pPr>
            <w:r/>
            <w:r>
              <w:rPr>
                <w:rFonts w:ascii="Aptos" w:hAnsi="Aptos"/>
                <w:b w:val="0"/>
                <w:sz w:val="15"/>
              </w:rPr>
              <w:t>Resources</w:t>
            </w:r>
          </w:p>
        </w:tc>
        <w:tc>
          <w:tcPr>
            <w:tcW w:type="dxa" w:w="6624"/>
            <w:vAlign w:val="center"/>
          </w:tcPr>
          <w:p>
            <w:pPr>
              <w:spacing w:after="0"/>
            </w:pPr>
            <w:r/>
            <w:r>
              <w:rPr>
                <w:rFonts w:ascii="Aptos" w:hAnsi="Aptos"/>
                <w:b w:val="0"/>
                <w:sz w:val="15"/>
              </w:rPr>
              <w:t>Are skills, tools, budget and authority adequate?</w:t>
            </w:r>
          </w:p>
        </w:tc>
      </w:tr>
      <w:tr>
        <w:trPr>
          <w:cantSplit/>
        </w:trPr>
        <w:tc>
          <w:tcPr>
            <w:tcW w:type="dxa" w:w="3024"/>
            <w:vAlign w:val="center"/>
            <w:shd w:fill="F3F6F7"/>
          </w:tcPr>
          <w:p>
            <w:pPr>
              <w:spacing w:after="0"/>
            </w:pPr>
            <w:r/>
            <w:r>
              <w:rPr>
                <w:rFonts w:ascii="Aptos" w:hAnsi="Aptos"/>
                <w:b w:val="0"/>
                <w:sz w:val="15"/>
              </w:rPr>
              <w:t>Framework changes</w:t>
            </w:r>
          </w:p>
        </w:tc>
        <w:tc>
          <w:tcPr>
            <w:tcW w:type="dxa" w:w="6624"/>
            <w:vAlign w:val="center"/>
            <w:shd w:fill="F3F6F7"/>
          </w:tcPr>
          <w:p>
            <w:pPr>
              <w:spacing w:after="0"/>
            </w:pPr>
            <w:r/>
            <w:r>
              <w:rPr>
                <w:rFonts w:ascii="Aptos" w:hAnsi="Aptos"/>
                <w:b w:val="0"/>
                <w:sz w:val="15"/>
              </w:rPr>
              <w:t>What migration or document updates are required?</w:t>
            </w:r>
          </w:p>
        </w:tc>
      </w:tr>
      <w:tr>
        <w:trPr>
          <w:cantSplit/>
        </w:trPr>
        <w:tc>
          <w:tcPr>
            <w:tcW w:type="dxa" w:w="3024"/>
            <w:vAlign w:val="center"/>
          </w:tcPr>
          <w:p>
            <w:pPr>
              <w:spacing w:after="0"/>
            </w:pPr>
            <w:r/>
            <w:r>
              <w:rPr>
                <w:rFonts w:ascii="Aptos" w:hAnsi="Aptos"/>
                <w:b w:val="0"/>
                <w:sz w:val="15"/>
              </w:rPr>
              <w:t>Improvement benefits</w:t>
            </w:r>
          </w:p>
        </w:tc>
        <w:tc>
          <w:tcPr>
            <w:tcW w:type="dxa" w:w="6624"/>
            <w:vAlign w:val="center"/>
          </w:tcPr>
          <w:p>
            <w:pPr>
              <w:spacing w:after="0"/>
            </w:pPr>
            <w:r/>
            <w:r>
              <w:rPr>
                <w:rFonts w:ascii="Aptos" w:hAnsi="Aptos"/>
                <w:b w:val="0"/>
                <w:sz w:val="15"/>
              </w:rPr>
              <w:t>What risk, cost, quality or assurance gains were realized?</w:t>
            </w:r>
          </w:p>
        </w:tc>
      </w:tr>
    </w:tbl>
    <w:p/>
    <w:p>
      <w:pPr>
        <w:pStyle w:val="Heading1"/>
      </w:pPr>
      <w:r>
        <w:t>16. Lessons Learned</w:t>
      </w:r>
    </w:p>
    <w:p>
      <w:r>
        <w:t>Lessons learned should convert isolated experience into reusable institutional knowledge.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448"/>
            <w:vAlign w:val="center"/>
            <w:shd w:fill="17324D"/>
          </w:tcPr>
          <w:p>
            <w:pPr>
              <w:spacing w:after="0"/>
            </w:pPr>
            <w:r/>
            <w:r>
              <w:rPr>
                <w:rFonts w:ascii="Aptos" w:hAnsi="Aptos"/>
                <w:b/>
                <w:color w:val="FFFFFF"/>
                <w:sz w:val="15"/>
              </w:rPr>
              <w:t>Lesson field</w:t>
            </w:r>
          </w:p>
        </w:tc>
        <w:tc>
          <w:tcPr>
            <w:tcW w:type="dxa" w:w="7200"/>
            <w:vAlign w:val="center"/>
            <w:shd w:fill="17324D"/>
          </w:tcPr>
          <w:p>
            <w:pPr>
              <w:spacing w:after="0"/>
            </w:pPr>
            <w:r/>
            <w:r>
              <w:rPr>
                <w:rFonts w:ascii="Aptos" w:hAnsi="Aptos"/>
                <w:b/>
                <w:color w:val="FFFFFF"/>
                <w:sz w:val="15"/>
              </w:rPr>
              <w:t>Required content</w:t>
            </w:r>
          </w:p>
        </w:tc>
      </w:tr>
      <w:tr>
        <w:trPr>
          <w:cantSplit/>
        </w:trPr>
        <w:tc>
          <w:tcPr>
            <w:tcW w:type="dxa" w:w="2448"/>
            <w:vAlign w:val="center"/>
          </w:tcPr>
          <w:p>
            <w:pPr>
              <w:spacing w:after="0"/>
            </w:pPr>
            <w:r/>
            <w:r>
              <w:rPr>
                <w:rFonts w:ascii="Aptos" w:hAnsi="Aptos"/>
                <w:b w:val="0"/>
                <w:sz w:val="15"/>
              </w:rPr>
              <w:t>Event</w:t>
            </w:r>
          </w:p>
        </w:tc>
        <w:tc>
          <w:tcPr>
            <w:tcW w:type="dxa" w:w="7200"/>
            <w:vAlign w:val="center"/>
          </w:tcPr>
          <w:p>
            <w:pPr>
              <w:spacing w:after="0"/>
            </w:pPr>
            <w:r/>
            <w:r>
              <w:rPr>
                <w:rFonts w:ascii="Aptos" w:hAnsi="Aptos"/>
                <w:b w:val="0"/>
                <w:sz w:val="15"/>
              </w:rPr>
              <w:t>Incident, test, finding, release or project</w:t>
            </w:r>
          </w:p>
        </w:tc>
      </w:tr>
      <w:tr>
        <w:trPr>
          <w:cantSplit/>
        </w:trPr>
        <w:tc>
          <w:tcPr>
            <w:tcW w:type="dxa" w:w="2448"/>
            <w:vAlign w:val="center"/>
            <w:shd w:fill="F3F6F7"/>
          </w:tcPr>
          <w:p>
            <w:pPr>
              <w:spacing w:after="0"/>
            </w:pPr>
            <w:r/>
            <w:r>
              <w:rPr>
                <w:rFonts w:ascii="Aptos" w:hAnsi="Aptos"/>
                <w:b w:val="0"/>
                <w:sz w:val="15"/>
              </w:rPr>
              <w:t>Context</w:t>
            </w:r>
          </w:p>
        </w:tc>
        <w:tc>
          <w:tcPr>
            <w:tcW w:type="dxa" w:w="7200"/>
            <w:vAlign w:val="center"/>
            <w:shd w:fill="F3F6F7"/>
          </w:tcPr>
          <w:p>
            <w:pPr>
              <w:spacing w:after="0"/>
            </w:pPr>
            <w:r/>
            <w:r>
              <w:rPr>
                <w:rFonts w:ascii="Aptos" w:hAnsi="Aptos"/>
                <w:b w:val="0"/>
                <w:sz w:val="15"/>
              </w:rPr>
              <w:t>System, scope and conditions</w:t>
            </w:r>
          </w:p>
        </w:tc>
      </w:tr>
      <w:tr>
        <w:trPr>
          <w:cantSplit/>
        </w:trPr>
        <w:tc>
          <w:tcPr>
            <w:tcW w:type="dxa" w:w="2448"/>
            <w:vAlign w:val="center"/>
          </w:tcPr>
          <w:p>
            <w:pPr>
              <w:spacing w:after="0"/>
            </w:pPr>
            <w:r/>
            <w:r>
              <w:rPr>
                <w:rFonts w:ascii="Aptos" w:hAnsi="Aptos"/>
                <w:b w:val="0"/>
                <w:sz w:val="15"/>
              </w:rPr>
              <w:t>What happened</w:t>
            </w:r>
          </w:p>
        </w:tc>
        <w:tc>
          <w:tcPr>
            <w:tcW w:type="dxa" w:w="7200"/>
            <w:vAlign w:val="center"/>
          </w:tcPr>
          <w:p>
            <w:pPr>
              <w:spacing w:after="0"/>
            </w:pPr>
            <w:r/>
            <w:r>
              <w:rPr>
                <w:rFonts w:ascii="Aptos" w:hAnsi="Aptos"/>
                <w:b w:val="0"/>
                <w:sz w:val="15"/>
              </w:rPr>
              <w:t>Supported factual summary</w:t>
            </w:r>
          </w:p>
        </w:tc>
      </w:tr>
      <w:tr>
        <w:trPr>
          <w:cantSplit/>
        </w:trPr>
        <w:tc>
          <w:tcPr>
            <w:tcW w:type="dxa" w:w="2448"/>
            <w:vAlign w:val="center"/>
            <w:shd w:fill="F3F6F7"/>
          </w:tcPr>
          <w:p>
            <w:pPr>
              <w:spacing w:after="0"/>
            </w:pPr>
            <w:r/>
            <w:r>
              <w:rPr>
                <w:rFonts w:ascii="Aptos" w:hAnsi="Aptos"/>
                <w:b w:val="0"/>
                <w:sz w:val="15"/>
              </w:rPr>
              <w:t>Why it happened</w:t>
            </w:r>
          </w:p>
        </w:tc>
        <w:tc>
          <w:tcPr>
            <w:tcW w:type="dxa" w:w="7200"/>
            <w:vAlign w:val="center"/>
            <w:shd w:fill="F3F6F7"/>
          </w:tcPr>
          <w:p>
            <w:pPr>
              <w:spacing w:after="0"/>
            </w:pPr>
            <w:r/>
            <w:r>
              <w:rPr>
                <w:rFonts w:ascii="Aptos" w:hAnsi="Aptos"/>
                <w:b w:val="0"/>
                <w:sz w:val="15"/>
              </w:rPr>
              <w:t>Root cause and contributing factors</w:t>
            </w:r>
          </w:p>
        </w:tc>
      </w:tr>
      <w:tr>
        <w:trPr>
          <w:cantSplit/>
        </w:trPr>
        <w:tc>
          <w:tcPr>
            <w:tcW w:type="dxa" w:w="2448"/>
            <w:vAlign w:val="center"/>
          </w:tcPr>
          <w:p>
            <w:pPr>
              <w:spacing w:after="0"/>
            </w:pPr>
            <w:r/>
            <w:r>
              <w:rPr>
                <w:rFonts w:ascii="Aptos" w:hAnsi="Aptos"/>
                <w:b w:val="0"/>
                <w:sz w:val="15"/>
              </w:rPr>
              <w:t>What worked</w:t>
            </w:r>
          </w:p>
        </w:tc>
        <w:tc>
          <w:tcPr>
            <w:tcW w:type="dxa" w:w="7200"/>
            <w:vAlign w:val="center"/>
          </w:tcPr>
          <w:p>
            <w:pPr>
              <w:spacing w:after="0"/>
            </w:pPr>
            <w:r/>
            <w:r>
              <w:rPr>
                <w:rFonts w:ascii="Aptos" w:hAnsi="Aptos"/>
                <w:b w:val="0"/>
                <w:sz w:val="15"/>
              </w:rPr>
              <w:t>Controls and responses that were effective</w:t>
            </w:r>
          </w:p>
        </w:tc>
      </w:tr>
      <w:tr>
        <w:trPr>
          <w:cantSplit/>
        </w:trPr>
        <w:tc>
          <w:tcPr>
            <w:tcW w:type="dxa" w:w="2448"/>
            <w:vAlign w:val="center"/>
            <w:shd w:fill="F3F6F7"/>
          </w:tcPr>
          <w:p>
            <w:pPr>
              <w:spacing w:after="0"/>
            </w:pPr>
            <w:r/>
            <w:r>
              <w:rPr>
                <w:rFonts w:ascii="Aptos" w:hAnsi="Aptos"/>
                <w:b w:val="0"/>
                <w:sz w:val="15"/>
              </w:rPr>
              <w:t>What failed</w:t>
            </w:r>
          </w:p>
        </w:tc>
        <w:tc>
          <w:tcPr>
            <w:tcW w:type="dxa" w:w="7200"/>
            <w:vAlign w:val="center"/>
            <w:shd w:fill="F3F6F7"/>
          </w:tcPr>
          <w:p>
            <w:pPr>
              <w:spacing w:after="0"/>
            </w:pPr>
            <w:r/>
            <w:r>
              <w:rPr>
                <w:rFonts w:ascii="Aptos" w:hAnsi="Aptos"/>
                <w:b w:val="0"/>
                <w:sz w:val="15"/>
              </w:rPr>
              <w:t>Controls, assumptions or handoffs that were ineffective</w:t>
            </w:r>
          </w:p>
        </w:tc>
      </w:tr>
      <w:tr>
        <w:trPr>
          <w:cantSplit/>
        </w:trPr>
        <w:tc>
          <w:tcPr>
            <w:tcW w:type="dxa" w:w="2448"/>
            <w:vAlign w:val="center"/>
          </w:tcPr>
          <w:p>
            <w:pPr>
              <w:spacing w:after="0"/>
            </w:pPr>
            <w:r/>
            <w:r>
              <w:rPr>
                <w:rFonts w:ascii="Aptos" w:hAnsi="Aptos"/>
                <w:b w:val="0"/>
                <w:sz w:val="15"/>
              </w:rPr>
              <w:t>Transferability</w:t>
            </w:r>
          </w:p>
        </w:tc>
        <w:tc>
          <w:tcPr>
            <w:tcW w:type="dxa" w:w="7200"/>
            <w:vAlign w:val="center"/>
          </w:tcPr>
          <w:p>
            <w:pPr>
              <w:spacing w:after="0"/>
            </w:pPr>
            <w:r/>
            <w:r>
              <w:rPr>
                <w:rFonts w:ascii="Aptos" w:hAnsi="Aptos"/>
                <w:b w:val="0"/>
                <w:sz w:val="15"/>
              </w:rPr>
              <w:t>Other systems, suppliers or controls potentially affected</w:t>
            </w:r>
          </w:p>
        </w:tc>
      </w:tr>
      <w:tr>
        <w:trPr>
          <w:cantSplit/>
        </w:trPr>
        <w:tc>
          <w:tcPr>
            <w:tcW w:type="dxa" w:w="2448"/>
            <w:vAlign w:val="center"/>
            <w:shd w:fill="F3F6F7"/>
          </w:tcPr>
          <w:p>
            <w:pPr>
              <w:spacing w:after="0"/>
            </w:pPr>
            <w:r/>
            <w:r>
              <w:rPr>
                <w:rFonts w:ascii="Aptos" w:hAnsi="Aptos"/>
                <w:b w:val="0"/>
                <w:sz w:val="15"/>
              </w:rPr>
              <w:t>Action</w:t>
            </w:r>
          </w:p>
        </w:tc>
        <w:tc>
          <w:tcPr>
            <w:tcW w:type="dxa" w:w="7200"/>
            <w:vAlign w:val="center"/>
            <w:shd w:fill="F3F6F7"/>
          </w:tcPr>
          <w:p>
            <w:pPr>
              <w:spacing w:after="0"/>
            </w:pPr>
            <w:r/>
            <w:r>
              <w:rPr>
                <w:rFonts w:ascii="Aptos" w:hAnsi="Aptos"/>
                <w:b w:val="0"/>
                <w:sz w:val="15"/>
              </w:rPr>
              <w:t>Required standard, training, architecture or monitoring change</w:t>
            </w:r>
          </w:p>
        </w:tc>
      </w:tr>
      <w:tr>
        <w:trPr>
          <w:cantSplit/>
        </w:trPr>
        <w:tc>
          <w:tcPr>
            <w:tcW w:type="dxa" w:w="2448"/>
            <w:vAlign w:val="center"/>
          </w:tcPr>
          <w:p>
            <w:pPr>
              <w:spacing w:after="0"/>
            </w:pPr>
            <w:r/>
            <w:r>
              <w:rPr>
                <w:rFonts w:ascii="Aptos" w:hAnsi="Aptos"/>
                <w:b w:val="0"/>
                <w:sz w:val="15"/>
              </w:rPr>
              <w:t>Validation</w:t>
            </w:r>
          </w:p>
        </w:tc>
        <w:tc>
          <w:tcPr>
            <w:tcW w:type="dxa" w:w="7200"/>
            <w:vAlign w:val="center"/>
          </w:tcPr>
          <w:p>
            <w:pPr>
              <w:spacing w:after="0"/>
            </w:pPr>
            <w:r/>
            <w:r>
              <w:rPr>
                <w:rFonts w:ascii="Aptos" w:hAnsi="Aptos"/>
                <w:b w:val="0"/>
                <w:sz w:val="15"/>
              </w:rPr>
              <w:t>How adoption of the lesson will be verified</w:t>
            </w:r>
          </w:p>
        </w:tc>
      </w:tr>
    </w:tbl>
    <w:p/>
    <w:p>
      <w:pPr>
        <w:pStyle w:val="Heading1"/>
      </w:pPr>
      <w:r>
        <w:t>17. Knowledge and Competence Improvement</w:t>
      </w:r>
    </w:p>
    <w:p>
      <w:pPr>
        <w:pStyle w:val="ListBullet"/>
      </w:pPr>
      <w:r>
        <w:t>Maintain role-specific competence profiles.</w:t>
      </w:r>
    </w:p>
    <w:p>
      <w:pPr>
        <w:pStyle w:val="ListBullet"/>
      </w:pPr>
      <w:r>
        <w:t>Use incidents, failed tests and recurring findings to update training.</w:t>
      </w:r>
    </w:p>
    <w:p>
      <w:pPr>
        <w:pStyle w:val="ListBullet"/>
      </w:pPr>
      <w:r>
        <w:t>Assess effectiveness through performance, simulation or observation—not attendance alone.</w:t>
      </w:r>
    </w:p>
    <w:p>
      <w:pPr>
        <w:pStyle w:val="ListBullet"/>
      </w:pPr>
      <w:r>
        <w:t>Capture specialist knowledge in runbooks, architecture decisions and test suites.</w:t>
      </w:r>
    </w:p>
    <w:p>
      <w:pPr>
        <w:pStyle w:val="ListBullet"/>
      </w:pPr>
      <w:r>
        <w:t>Plan succession and coverage for critical roles.</w:t>
      </w:r>
    </w:p>
    <w:p>
      <w:pPr>
        <w:pStyle w:val="ListBullet"/>
      </w:pPr>
      <w:r>
        <w:t>Review assessor, engineering and safety competence after material framework change.</w:t>
      </w:r>
    </w:p>
    <w:p>
      <w:pPr>
        <w:pStyle w:val="Heading1"/>
      </w:pPr>
      <w:r>
        <w:t>18. Technology and Automation Improvement</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448"/>
            <w:vAlign w:val="center"/>
            <w:shd w:fill="17324D"/>
          </w:tcPr>
          <w:p>
            <w:pPr>
              <w:spacing w:after="0"/>
            </w:pPr>
            <w:r/>
            <w:r>
              <w:rPr>
                <w:rFonts w:ascii="Aptos" w:hAnsi="Aptos"/>
                <w:b/>
                <w:color w:val="FFFFFF"/>
                <w:sz w:val="15"/>
              </w:rPr>
              <w:t>Opportunity</w:t>
            </w:r>
          </w:p>
        </w:tc>
        <w:tc>
          <w:tcPr>
            <w:tcW w:type="dxa" w:w="4320"/>
            <w:vAlign w:val="center"/>
            <w:shd w:fill="17324D"/>
          </w:tcPr>
          <w:p>
            <w:pPr>
              <w:spacing w:after="0"/>
            </w:pPr>
            <w:r/>
            <w:r>
              <w:rPr>
                <w:rFonts w:ascii="Aptos" w:hAnsi="Aptos"/>
                <w:b/>
                <w:color w:val="FFFFFF"/>
                <w:sz w:val="15"/>
              </w:rPr>
              <w:t>Improvement pattern</w:t>
            </w:r>
          </w:p>
        </w:tc>
        <w:tc>
          <w:tcPr>
            <w:tcW w:type="dxa" w:w="2880"/>
            <w:vAlign w:val="center"/>
            <w:shd w:fill="17324D"/>
          </w:tcPr>
          <w:p>
            <w:pPr>
              <w:spacing w:after="0"/>
            </w:pPr>
            <w:r/>
            <w:r>
              <w:rPr>
                <w:rFonts w:ascii="Aptos" w:hAnsi="Aptos"/>
                <w:b/>
                <w:color w:val="FFFFFF"/>
                <w:sz w:val="15"/>
              </w:rPr>
              <w:t>Risk to control</w:t>
            </w:r>
          </w:p>
        </w:tc>
      </w:tr>
      <w:tr>
        <w:trPr>
          <w:cantSplit/>
        </w:trPr>
        <w:tc>
          <w:tcPr>
            <w:tcW w:type="dxa" w:w="2448"/>
            <w:vAlign w:val="center"/>
          </w:tcPr>
          <w:p>
            <w:pPr>
              <w:spacing w:after="0"/>
            </w:pPr>
            <w:r/>
            <w:r>
              <w:rPr>
                <w:rFonts w:ascii="Aptos" w:hAnsi="Aptos"/>
                <w:b w:val="0"/>
                <w:sz w:val="15"/>
              </w:rPr>
              <w:t>Evidence automation</w:t>
            </w:r>
          </w:p>
        </w:tc>
        <w:tc>
          <w:tcPr>
            <w:tcW w:type="dxa" w:w="4320"/>
            <w:vAlign w:val="center"/>
          </w:tcPr>
          <w:p>
            <w:pPr>
              <w:spacing w:after="0"/>
            </w:pPr>
            <w:r/>
            <w:r>
              <w:rPr>
                <w:rFonts w:ascii="Aptos" w:hAnsi="Aptos"/>
                <w:b w:val="0"/>
                <w:sz w:val="15"/>
              </w:rPr>
              <w:t>API collection, manifests and evidence-as-code</w:t>
            </w:r>
          </w:p>
        </w:tc>
        <w:tc>
          <w:tcPr>
            <w:tcW w:type="dxa" w:w="2880"/>
            <w:vAlign w:val="center"/>
          </w:tcPr>
          <w:p>
            <w:pPr>
              <w:spacing w:after="0"/>
            </w:pPr>
            <w:r/>
            <w:r>
              <w:rPr>
                <w:rFonts w:ascii="Aptos" w:hAnsi="Aptos"/>
                <w:b w:val="0"/>
                <w:sz w:val="15"/>
              </w:rPr>
              <w:t>Automating incorrect or incomplete scope</w:t>
            </w:r>
          </w:p>
        </w:tc>
      </w:tr>
      <w:tr>
        <w:trPr>
          <w:cantSplit/>
        </w:trPr>
        <w:tc>
          <w:tcPr>
            <w:tcW w:type="dxa" w:w="2448"/>
            <w:vAlign w:val="center"/>
            <w:shd w:fill="F3F6F7"/>
          </w:tcPr>
          <w:p>
            <w:pPr>
              <w:spacing w:after="0"/>
            </w:pPr>
            <w:r/>
            <w:r>
              <w:rPr>
                <w:rFonts w:ascii="Aptos" w:hAnsi="Aptos"/>
                <w:b w:val="0"/>
                <w:sz w:val="15"/>
              </w:rPr>
              <w:t>Continuous validation</w:t>
            </w:r>
          </w:p>
        </w:tc>
        <w:tc>
          <w:tcPr>
            <w:tcW w:type="dxa" w:w="4320"/>
            <w:vAlign w:val="center"/>
            <w:shd w:fill="F3F6F7"/>
          </w:tcPr>
          <w:p>
            <w:pPr>
              <w:spacing w:after="0"/>
            </w:pPr>
            <w:r/>
            <w:r>
              <w:rPr>
                <w:rFonts w:ascii="Aptos" w:hAnsi="Aptos"/>
                <w:b w:val="0"/>
                <w:sz w:val="15"/>
              </w:rPr>
              <w:t>Scheduled security, safety and regression tests</w:t>
            </w:r>
          </w:p>
        </w:tc>
        <w:tc>
          <w:tcPr>
            <w:tcW w:type="dxa" w:w="2880"/>
            <w:vAlign w:val="center"/>
            <w:shd w:fill="F3F6F7"/>
          </w:tcPr>
          <w:p>
            <w:pPr>
              <w:spacing w:after="0"/>
            </w:pPr>
            <w:r/>
            <w:r>
              <w:rPr>
                <w:rFonts w:ascii="Aptos" w:hAnsi="Aptos"/>
                <w:b w:val="0"/>
                <w:sz w:val="15"/>
              </w:rPr>
              <w:t>False confidence from narrow test corpus</w:t>
            </w:r>
          </w:p>
        </w:tc>
      </w:tr>
      <w:tr>
        <w:trPr>
          <w:cantSplit/>
        </w:trPr>
        <w:tc>
          <w:tcPr>
            <w:tcW w:type="dxa" w:w="2448"/>
            <w:vAlign w:val="center"/>
          </w:tcPr>
          <w:p>
            <w:pPr>
              <w:spacing w:after="0"/>
            </w:pPr>
            <w:r/>
            <w:r>
              <w:rPr>
                <w:rFonts w:ascii="Aptos" w:hAnsi="Aptos"/>
                <w:b w:val="0"/>
                <w:sz w:val="15"/>
              </w:rPr>
              <w:t>Policy-as-code</w:t>
            </w:r>
          </w:p>
        </w:tc>
        <w:tc>
          <w:tcPr>
            <w:tcW w:type="dxa" w:w="4320"/>
            <w:vAlign w:val="center"/>
          </w:tcPr>
          <w:p>
            <w:pPr>
              <w:spacing w:after="0"/>
            </w:pPr>
            <w:r/>
            <w:r>
              <w:rPr>
                <w:rFonts w:ascii="Aptos" w:hAnsi="Aptos"/>
                <w:b w:val="0"/>
                <w:sz w:val="15"/>
              </w:rPr>
              <w:t>Versioned and testable enforcement rules</w:t>
            </w:r>
          </w:p>
        </w:tc>
        <w:tc>
          <w:tcPr>
            <w:tcW w:type="dxa" w:w="2880"/>
            <w:vAlign w:val="center"/>
          </w:tcPr>
          <w:p>
            <w:pPr>
              <w:spacing w:after="0"/>
            </w:pPr>
            <w:r/>
            <w:r>
              <w:rPr>
                <w:rFonts w:ascii="Aptos" w:hAnsi="Aptos"/>
                <w:b w:val="0"/>
                <w:sz w:val="15"/>
              </w:rPr>
              <w:t>Bypass outside controlled paths</w:t>
            </w:r>
          </w:p>
        </w:tc>
      </w:tr>
      <w:tr>
        <w:trPr>
          <w:cantSplit/>
        </w:trPr>
        <w:tc>
          <w:tcPr>
            <w:tcW w:type="dxa" w:w="2448"/>
            <w:vAlign w:val="center"/>
            <w:shd w:fill="F3F6F7"/>
          </w:tcPr>
          <w:p>
            <w:pPr>
              <w:spacing w:after="0"/>
            </w:pPr>
            <w:r/>
            <w:r>
              <w:rPr>
                <w:rFonts w:ascii="Aptos" w:hAnsi="Aptos"/>
                <w:b w:val="0"/>
                <w:sz w:val="15"/>
              </w:rPr>
              <w:t>Control-health analytics</w:t>
            </w:r>
          </w:p>
        </w:tc>
        <w:tc>
          <w:tcPr>
            <w:tcW w:type="dxa" w:w="4320"/>
            <w:vAlign w:val="center"/>
            <w:shd w:fill="F3F6F7"/>
          </w:tcPr>
          <w:p>
            <w:pPr>
              <w:spacing w:after="0"/>
            </w:pPr>
            <w:r/>
            <w:r>
              <w:rPr>
                <w:rFonts w:ascii="Aptos" w:hAnsi="Aptos"/>
                <w:b w:val="0"/>
                <w:sz w:val="15"/>
              </w:rPr>
              <w:t>Automated signals and trend detection</w:t>
            </w:r>
          </w:p>
        </w:tc>
        <w:tc>
          <w:tcPr>
            <w:tcW w:type="dxa" w:w="2880"/>
            <w:vAlign w:val="center"/>
            <w:shd w:fill="F3F6F7"/>
          </w:tcPr>
          <w:p>
            <w:pPr>
              <w:spacing w:after="0"/>
            </w:pPr>
            <w:r/>
            <w:r>
              <w:rPr>
                <w:rFonts w:ascii="Aptos" w:hAnsi="Aptos"/>
                <w:b w:val="0"/>
                <w:sz w:val="15"/>
              </w:rPr>
              <w:t>Metric quality and alert overload</w:t>
            </w:r>
          </w:p>
        </w:tc>
      </w:tr>
      <w:tr>
        <w:trPr>
          <w:cantSplit/>
        </w:trPr>
        <w:tc>
          <w:tcPr>
            <w:tcW w:type="dxa" w:w="2448"/>
            <w:vAlign w:val="center"/>
          </w:tcPr>
          <w:p>
            <w:pPr>
              <w:spacing w:after="0"/>
            </w:pPr>
            <w:r/>
            <w:r>
              <w:rPr>
                <w:rFonts w:ascii="Aptos" w:hAnsi="Aptos"/>
                <w:b w:val="0"/>
                <w:sz w:val="15"/>
              </w:rPr>
              <w:t>AI-assisted assurance</w:t>
            </w:r>
          </w:p>
        </w:tc>
        <w:tc>
          <w:tcPr>
            <w:tcW w:type="dxa" w:w="4320"/>
            <w:vAlign w:val="center"/>
          </w:tcPr>
          <w:p>
            <w:pPr>
              <w:spacing w:after="0"/>
            </w:pPr>
            <w:r/>
            <w:r>
              <w:rPr>
                <w:rFonts w:ascii="Aptos" w:hAnsi="Aptos"/>
                <w:b w:val="0"/>
                <w:sz w:val="15"/>
              </w:rPr>
              <w:t>Summarization, anomaly detection and evidence review support</w:t>
            </w:r>
          </w:p>
        </w:tc>
        <w:tc>
          <w:tcPr>
            <w:tcW w:type="dxa" w:w="2880"/>
            <w:vAlign w:val="center"/>
          </w:tcPr>
          <w:p>
            <w:pPr>
              <w:spacing w:after="0"/>
            </w:pPr>
            <w:r/>
            <w:r>
              <w:rPr>
                <w:rFonts w:ascii="Aptos" w:hAnsi="Aptos"/>
                <w:b w:val="0"/>
                <w:sz w:val="15"/>
              </w:rPr>
              <w:t>Hallucination, confidentiality and reviewer overreliance</w:t>
            </w:r>
          </w:p>
        </w:tc>
      </w:tr>
      <w:tr>
        <w:trPr>
          <w:cantSplit/>
        </w:trPr>
        <w:tc>
          <w:tcPr>
            <w:tcW w:type="dxa" w:w="2448"/>
            <w:vAlign w:val="center"/>
            <w:shd w:fill="F3F6F7"/>
          </w:tcPr>
          <w:p>
            <w:pPr>
              <w:spacing w:after="0"/>
            </w:pPr>
            <w:r/>
            <w:r>
              <w:rPr>
                <w:rFonts w:ascii="Aptos" w:hAnsi="Aptos"/>
                <w:b w:val="0"/>
                <w:sz w:val="15"/>
              </w:rPr>
              <w:t>Simulation and digital twins</w:t>
            </w:r>
          </w:p>
        </w:tc>
        <w:tc>
          <w:tcPr>
            <w:tcW w:type="dxa" w:w="4320"/>
            <w:vAlign w:val="center"/>
            <w:shd w:fill="F3F6F7"/>
          </w:tcPr>
          <w:p>
            <w:pPr>
              <w:spacing w:after="0"/>
            </w:pPr>
            <w:r/>
            <w:r>
              <w:rPr>
                <w:rFonts w:ascii="Aptos" w:hAnsi="Aptos"/>
                <w:b w:val="0"/>
                <w:sz w:val="15"/>
              </w:rPr>
              <w:t>Safe testing of rare physical scenarios</w:t>
            </w:r>
          </w:p>
        </w:tc>
        <w:tc>
          <w:tcPr>
            <w:tcW w:type="dxa" w:w="2880"/>
            <w:vAlign w:val="center"/>
            <w:shd w:fill="F3F6F7"/>
          </w:tcPr>
          <w:p>
            <w:pPr>
              <w:spacing w:after="0"/>
            </w:pPr>
            <w:r/>
            <w:r>
              <w:rPr>
                <w:rFonts w:ascii="Aptos" w:hAnsi="Aptos"/>
                <w:b w:val="0"/>
                <w:sz w:val="15"/>
              </w:rPr>
              <w:t>Model fidelity and unrepresented conditions</w:t>
            </w:r>
          </w:p>
        </w:tc>
      </w:tr>
    </w:tbl>
    <w:p/>
    <w:p>
      <w:pPr>
        <w:pStyle w:val="Heading1"/>
      </w:pPr>
      <w:r>
        <w:t>19. Improvement Across GAISSF Domains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1008"/>
            <w:vAlign w:val="center"/>
            <w:shd w:fill="17324D"/>
          </w:tcPr>
          <w:p>
            <w:pPr>
              <w:spacing w:after="0"/>
            </w:pPr>
            <w:r/>
            <w:r>
              <w:rPr>
                <w:rFonts w:ascii="Aptos" w:hAnsi="Aptos"/>
                <w:b/>
                <w:color w:val="FFFFFF"/>
                <w:sz w:val="15"/>
              </w:rPr>
              <w:t>Domain</w:t>
            </w:r>
          </w:p>
        </w:tc>
        <w:tc>
          <w:tcPr>
            <w:tcW w:type="dxa" w:w="8640"/>
            <w:vAlign w:val="center"/>
            <w:shd w:fill="17324D"/>
          </w:tcPr>
          <w:p>
            <w:pPr>
              <w:spacing w:after="0"/>
            </w:pPr>
            <w:r/>
            <w:r>
              <w:rPr>
                <w:rFonts w:ascii="Aptos" w:hAnsi="Aptos"/>
                <w:b/>
                <w:color w:val="FFFFFF"/>
                <w:sz w:val="15"/>
              </w:rPr>
              <w:t>Typical improvement themes</w:t>
            </w:r>
          </w:p>
        </w:tc>
      </w:tr>
      <w:tr>
        <w:trPr>
          <w:cantSplit/>
        </w:trPr>
        <w:tc>
          <w:tcPr>
            <w:tcW w:type="dxa" w:w="1008"/>
            <w:vAlign w:val="center"/>
          </w:tcPr>
          <w:p>
            <w:pPr>
              <w:spacing w:after="0"/>
            </w:pPr>
            <w:r/>
            <w:r>
              <w:rPr>
                <w:rFonts w:ascii="Aptos" w:hAnsi="Aptos"/>
                <w:b w:val="0"/>
                <w:sz w:val="15"/>
              </w:rPr>
              <w:t>D1</w:t>
            </w:r>
          </w:p>
        </w:tc>
        <w:tc>
          <w:tcPr>
            <w:tcW w:type="dxa" w:w="8640"/>
            <w:vAlign w:val="center"/>
          </w:tcPr>
          <w:p>
            <w:pPr>
              <w:spacing w:after="0"/>
            </w:pPr>
            <w:r/>
            <w:r>
              <w:rPr>
                <w:rFonts w:ascii="Aptos" w:hAnsi="Aptos"/>
                <w:b w:val="0"/>
                <w:sz w:val="15"/>
              </w:rPr>
              <w:t>Automated provenance, stronger integrity verification, expanded poisoning and adapter tests</w:t>
            </w:r>
          </w:p>
        </w:tc>
      </w:tr>
      <w:tr>
        <w:trPr>
          <w:cantSplit/>
        </w:trPr>
        <w:tc>
          <w:tcPr>
            <w:tcW w:type="dxa" w:w="1008"/>
            <w:vAlign w:val="center"/>
            <w:shd w:fill="F3F6F7"/>
          </w:tcPr>
          <w:p>
            <w:pPr>
              <w:spacing w:after="0"/>
            </w:pPr>
            <w:r/>
            <w:r>
              <w:rPr>
                <w:rFonts w:ascii="Aptos" w:hAnsi="Aptos"/>
                <w:b w:val="0"/>
                <w:sz w:val="15"/>
              </w:rPr>
              <w:t>D2</w:t>
            </w:r>
          </w:p>
        </w:tc>
        <w:tc>
          <w:tcPr>
            <w:tcW w:type="dxa" w:w="8640"/>
            <w:vAlign w:val="center"/>
            <w:shd w:fill="F3F6F7"/>
          </w:tcPr>
          <w:p>
            <w:pPr>
              <w:spacing w:after="0"/>
            </w:pPr>
            <w:r/>
            <w:r>
              <w:rPr>
                <w:rFonts w:ascii="Aptos" w:hAnsi="Aptos"/>
                <w:b w:val="0"/>
                <w:sz w:val="15"/>
              </w:rPr>
              <w:t>Broader adversarial corpus, repeatability, multimodal and tool-injection coverage</w:t>
            </w:r>
          </w:p>
        </w:tc>
      </w:tr>
      <w:tr>
        <w:trPr>
          <w:cantSplit/>
        </w:trPr>
        <w:tc>
          <w:tcPr>
            <w:tcW w:type="dxa" w:w="1008"/>
            <w:vAlign w:val="center"/>
          </w:tcPr>
          <w:p>
            <w:pPr>
              <w:spacing w:after="0"/>
            </w:pPr>
            <w:r/>
            <w:r>
              <w:rPr>
                <w:rFonts w:ascii="Aptos" w:hAnsi="Aptos"/>
                <w:b w:val="0"/>
                <w:sz w:val="15"/>
              </w:rPr>
              <w:t>D3</w:t>
            </w:r>
          </w:p>
        </w:tc>
        <w:tc>
          <w:tcPr>
            <w:tcW w:type="dxa" w:w="8640"/>
            <w:vAlign w:val="center"/>
          </w:tcPr>
          <w:p>
            <w:pPr>
              <w:spacing w:after="0"/>
            </w:pPr>
            <w:r/>
            <w:r>
              <w:rPr>
                <w:rFonts w:ascii="Aptos" w:hAnsi="Aptos"/>
                <w:b w:val="0"/>
                <w:sz w:val="15"/>
              </w:rPr>
              <w:t>Finer agent authorization, memory isolation, delegation traceability and containment</w:t>
            </w:r>
          </w:p>
        </w:tc>
      </w:tr>
      <w:tr>
        <w:trPr>
          <w:cantSplit/>
        </w:trPr>
        <w:tc>
          <w:tcPr>
            <w:tcW w:type="dxa" w:w="1008"/>
            <w:vAlign w:val="center"/>
            <w:shd w:fill="F3F6F7"/>
          </w:tcPr>
          <w:p>
            <w:pPr>
              <w:spacing w:after="0"/>
            </w:pPr>
            <w:r/>
            <w:r>
              <w:rPr>
                <w:rFonts w:ascii="Aptos" w:hAnsi="Aptos"/>
                <w:b w:val="0"/>
                <w:sz w:val="15"/>
              </w:rPr>
              <w:t>D4</w:t>
            </w:r>
          </w:p>
        </w:tc>
        <w:tc>
          <w:tcPr>
            <w:tcW w:type="dxa" w:w="8640"/>
            <w:vAlign w:val="center"/>
            <w:shd w:fill="F3F6F7"/>
          </w:tcPr>
          <w:p>
            <w:pPr>
              <w:spacing w:after="0"/>
            </w:pPr>
            <w:r/>
            <w:r>
              <w:rPr>
                <w:rFonts w:ascii="Aptos" w:hAnsi="Aptos"/>
                <w:b w:val="0"/>
                <w:sz w:val="15"/>
              </w:rPr>
              <w:t>AI BOM completeness, supplier telemetry, behavioral monitoring and exit readiness</w:t>
            </w:r>
          </w:p>
        </w:tc>
      </w:tr>
      <w:tr>
        <w:trPr>
          <w:cantSplit/>
        </w:trPr>
        <w:tc>
          <w:tcPr>
            <w:tcW w:type="dxa" w:w="1008"/>
            <w:vAlign w:val="center"/>
          </w:tcPr>
          <w:p>
            <w:pPr>
              <w:spacing w:after="0"/>
            </w:pPr>
            <w:r/>
            <w:r>
              <w:rPr>
                <w:rFonts w:ascii="Aptos" w:hAnsi="Aptos"/>
                <w:b w:val="0"/>
                <w:sz w:val="15"/>
              </w:rPr>
              <w:t>D5</w:t>
            </w:r>
          </w:p>
        </w:tc>
        <w:tc>
          <w:tcPr>
            <w:tcW w:type="dxa" w:w="8640"/>
            <w:vAlign w:val="center"/>
          </w:tcPr>
          <w:p>
            <w:pPr>
              <w:spacing w:after="0"/>
            </w:pPr>
            <w:r/>
            <w:r>
              <w:rPr>
                <w:rFonts w:ascii="Aptos" w:hAnsi="Aptos"/>
                <w:b w:val="0"/>
                <w:sz w:val="15"/>
              </w:rPr>
              <w:t>Better leakage prevention, privacy-preserving methods, content-safety calibration</w:t>
            </w:r>
          </w:p>
        </w:tc>
      </w:tr>
      <w:tr>
        <w:trPr>
          <w:cantSplit/>
        </w:trPr>
        <w:tc>
          <w:tcPr>
            <w:tcW w:type="dxa" w:w="1008"/>
            <w:vAlign w:val="center"/>
            <w:shd w:fill="F3F6F7"/>
          </w:tcPr>
          <w:p>
            <w:pPr>
              <w:spacing w:after="0"/>
            </w:pPr>
            <w:r/>
            <w:r>
              <w:rPr>
                <w:rFonts w:ascii="Aptos" w:hAnsi="Aptos"/>
                <w:b w:val="0"/>
                <w:sz w:val="15"/>
              </w:rPr>
              <w:t>D6</w:t>
            </w:r>
          </w:p>
        </w:tc>
        <w:tc>
          <w:tcPr>
            <w:tcW w:type="dxa" w:w="8640"/>
            <w:vAlign w:val="center"/>
            <w:shd w:fill="F3F6F7"/>
          </w:tcPr>
          <w:p>
            <w:pPr>
              <w:spacing w:after="0"/>
            </w:pPr>
            <w:r/>
            <w:r>
              <w:rPr>
                <w:rFonts w:ascii="Aptos" w:hAnsi="Aptos"/>
                <w:b w:val="0"/>
                <w:sz w:val="15"/>
              </w:rPr>
              <w:t>Clearer accountability, incident exercises, lifecycle governance and resilience</w:t>
            </w:r>
          </w:p>
        </w:tc>
      </w:tr>
      <w:tr>
        <w:trPr>
          <w:cantSplit/>
        </w:trPr>
        <w:tc>
          <w:tcPr>
            <w:tcW w:type="dxa" w:w="1008"/>
            <w:vAlign w:val="center"/>
          </w:tcPr>
          <w:p>
            <w:pPr>
              <w:spacing w:after="0"/>
            </w:pPr>
            <w:r/>
            <w:r>
              <w:rPr>
                <w:rFonts w:ascii="Aptos" w:hAnsi="Aptos"/>
                <w:b w:val="0"/>
                <w:sz w:val="15"/>
              </w:rPr>
              <w:t>D7</w:t>
            </w:r>
          </w:p>
        </w:tc>
        <w:tc>
          <w:tcPr>
            <w:tcW w:type="dxa" w:w="8640"/>
            <w:vAlign w:val="center"/>
          </w:tcPr>
          <w:p>
            <w:pPr>
              <w:spacing w:after="0"/>
            </w:pPr>
            <w:r/>
            <w:r>
              <w:rPr>
                <w:rFonts w:ascii="Aptos" w:hAnsi="Aptos"/>
                <w:b w:val="0"/>
                <w:sz w:val="15"/>
              </w:rPr>
              <w:t>Improved training effectiveness, authentication, deepfake and social-engineering response</w:t>
            </w:r>
          </w:p>
        </w:tc>
      </w:tr>
      <w:tr>
        <w:trPr>
          <w:cantSplit/>
        </w:trPr>
        <w:tc>
          <w:tcPr>
            <w:tcW w:type="dxa" w:w="1008"/>
            <w:vAlign w:val="center"/>
            <w:shd w:fill="F3F6F7"/>
          </w:tcPr>
          <w:p>
            <w:pPr>
              <w:spacing w:after="0"/>
            </w:pPr>
            <w:r/>
            <w:r>
              <w:rPr>
                <w:rFonts w:ascii="Aptos" w:hAnsi="Aptos"/>
                <w:b w:val="0"/>
                <w:sz w:val="15"/>
              </w:rPr>
              <w:t>D8</w:t>
            </w:r>
          </w:p>
        </w:tc>
        <w:tc>
          <w:tcPr>
            <w:tcW w:type="dxa" w:w="8640"/>
            <w:vAlign w:val="center"/>
            <w:shd w:fill="F3F6F7"/>
          </w:tcPr>
          <w:p>
            <w:pPr>
              <w:spacing w:after="0"/>
            </w:pPr>
            <w:r/>
            <w:r>
              <w:rPr>
                <w:rFonts w:ascii="Aptos" w:hAnsi="Aptos"/>
                <w:b w:val="0"/>
                <w:sz w:val="15"/>
              </w:rPr>
              <w:t>Updated legal mappings, assurance integration and risk decision quality</w:t>
            </w:r>
          </w:p>
        </w:tc>
      </w:tr>
      <w:tr>
        <w:trPr>
          <w:cantSplit/>
        </w:trPr>
        <w:tc>
          <w:tcPr>
            <w:tcW w:type="dxa" w:w="1008"/>
            <w:vAlign w:val="center"/>
          </w:tcPr>
          <w:p>
            <w:pPr>
              <w:spacing w:after="0"/>
            </w:pPr>
            <w:r/>
            <w:r>
              <w:rPr>
                <w:rFonts w:ascii="Aptos" w:hAnsi="Aptos"/>
                <w:b w:val="0"/>
                <w:sz w:val="15"/>
              </w:rPr>
              <w:t>D9</w:t>
            </w:r>
          </w:p>
        </w:tc>
        <w:tc>
          <w:tcPr>
            <w:tcW w:type="dxa" w:w="8640"/>
            <w:vAlign w:val="center"/>
          </w:tcPr>
          <w:p>
            <w:pPr>
              <w:spacing w:after="0"/>
            </w:pPr>
            <w:r/>
            <w:r>
              <w:rPr>
                <w:rFonts w:ascii="Aptos" w:hAnsi="Aptos"/>
                <w:b w:val="0"/>
                <w:sz w:val="15"/>
              </w:rPr>
              <w:t>Independent safety supervision, stronger HIL coverage, override and evidence synchronization</w:t>
            </w:r>
          </w:p>
        </w:tc>
      </w:tr>
    </w:tbl>
    <w:p/>
    <w:p>
      <w:pPr>
        <w:pStyle w:val="Heading1"/>
      </w:pPr>
      <w:r>
        <w:t>20. Certification and Improvement</w:t>
      </w:r>
    </w:p>
    <w:p>
      <w:r>
        <w:t>Certification findings, surveillance results and assessor observations should feed the same improvement system as operational incidents and internal assurance. Certification should not create a separate corrective-action process that competes with normal governance.</w:t>
      </w:r>
    </w:p>
    <w:p>
      <w:pPr>
        <w:pStyle w:val="ListNumber"/>
      </w:pPr>
      <w:r>
        <w:t>Map every finding to the relevant control and root cause.</w:t>
      </w:r>
    </w:p>
    <w:p>
      <w:pPr>
        <w:pStyle w:val="ListNumber"/>
      </w:pPr>
      <w:r>
        <w:t>Distinguish correction from corrective action.</w:t>
      </w:r>
    </w:p>
    <w:p>
      <w:pPr>
        <w:pStyle w:val="ListNumber"/>
      </w:pPr>
      <w:r>
        <w:t>Assess whether the finding affects other certified or uncertified scopes.</w:t>
      </w:r>
    </w:p>
    <w:p>
      <w:pPr>
        <w:pStyle w:val="ListNumber"/>
      </w:pPr>
      <w:r>
        <w:t>Preserve closure evidence and assessor correspondence.</w:t>
      </w:r>
    </w:p>
    <w:p>
      <w:pPr>
        <w:pStyle w:val="ListNumber"/>
      </w:pPr>
      <w:r>
        <w:t>Update public claims if scope, profile or status changes.</w:t>
      </w:r>
    </w:p>
    <w:p>
      <w:pPr>
        <w:pStyle w:val="Heading1"/>
      </w:pPr>
      <w:r>
        <w:t>21. Release and Change-Driven Improvement</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168"/>
            <w:vAlign w:val="center"/>
            <w:shd w:fill="17324D"/>
          </w:tcPr>
          <w:p>
            <w:pPr>
              <w:spacing w:after="0"/>
            </w:pPr>
            <w:r/>
            <w:r>
              <w:rPr>
                <w:rFonts w:ascii="Aptos" w:hAnsi="Aptos"/>
                <w:b/>
                <w:color w:val="FFFFFF"/>
                <w:sz w:val="15"/>
              </w:rPr>
              <w:t>Trigger</w:t>
            </w:r>
          </w:p>
        </w:tc>
        <w:tc>
          <w:tcPr>
            <w:tcW w:type="dxa" w:w="6480"/>
            <w:vAlign w:val="center"/>
            <w:shd w:fill="17324D"/>
          </w:tcPr>
          <w:p>
            <w:pPr>
              <w:spacing w:after="0"/>
            </w:pPr>
            <w:r/>
            <w:r>
              <w:rPr>
                <w:rFonts w:ascii="Aptos" w:hAnsi="Aptos"/>
                <w:b/>
                <w:color w:val="FFFFFF"/>
                <w:sz w:val="15"/>
              </w:rPr>
              <w:t>Required action</w:t>
            </w:r>
          </w:p>
        </w:tc>
      </w:tr>
      <w:tr>
        <w:trPr>
          <w:cantSplit/>
        </w:trPr>
        <w:tc>
          <w:tcPr>
            <w:tcW w:type="dxa" w:w="3168"/>
            <w:vAlign w:val="center"/>
          </w:tcPr>
          <w:p>
            <w:pPr>
              <w:spacing w:after="0"/>
            </w:pPr>
            <w:r/>
            <w:r>
              <w:rPr>
                <w:rFonts w:ascii="Aptos" w:hAnsi="Aptos"/>
                <w:b w:val="0"/>
                <w:sz w:val="15"/>
              </w:rPr>
              <w:t>New GAISSF release</w:t>
            </w:r>
          </w:p>
        </w:tc>
        <w:tc>
          <w:tcPr>
            <w:tcW w:type="dxa" w:w="6480"/>
            <w:vAlign w:val="center"/>
          </w:tcPr>
          <w:p>
            <w:pPr>
              <w:spacing w:after="0"/>
            </w:pPr>
            <w:r/>
            <w:r>
              <w:rPr>
                <w:rFonts w:ascii="Aptos" w:hAnsi="Aptos"/>
                <w:b w:val="0"/>
                <w:sz w:val="15"/>
              </w:rPr>
              <w:t>Impact assessment, gap analysis, migration plan and updated evidence</w:t>
            </w:r>
          </w:p>
        </w:tc>
      </w:tr>
      <w:tr>
        <w:trPr>
          <w:cantSplit/>
        </w:trPr>
        <w:tc>
          <w:tcPr>
            <w:tcW w:type="dxa" w:w="3168"/>
            <w:vAlign w:val="center"/>
            <w:shd w:fill="F3F6F7"/>
          </w:tcPr>
          <w:p>
            <w:pPr>
              <w:spacing w:after="0"/>
            </w:pPr>
            <w:r/>
            <w:r>
              <w:rPr>
                <w:rFonts w:ascii="Aptos" w:hAnsi="Aptos"/>
                <w:b w:val="0"/>
                <w:sz w:val="15"/>
              </w:rPr>
              <w:t>Normative correction</w:t>
            </w:r>
          </w:p>
        </w:tc>
        <w:tc>
          <w:tcPr>
            <w:tcW w:type="dxa" w:w="6480"/>
            <w:vAlign w:val="center"/>
            <w:shd w:fill="F3F6F7"/>
          </w:tcPr>
          <w:p>
            <w:pPr>
              <w:spacing w:after="0"/>
            </w:pPr>
            <w:r/>
            <w:r>
              <w:rPr>
                <w:rFonts w:ascii="Aptos" w:hAnsi="Aptos"/>
                <w:b w:val="0"/>
                <w:sz w:val="15"/>
              </w:rPr>
              <w:t>Immediate reconciliation of affected documents, tools and claims</w:t>
            </w:r>
          </w:p>
        </w:tc>
      </w:tr>
      <w:tr>
        <w:trPr>
          <w:cantSplit/>
        </w:trPr>
        <w:tc>
          <w:tcPr>
            <w:tcW w:type="dxa" w:w="3168"/>
            <w:vAlign w:val="center"/>
          </w:tcPr>
          <w:p>
            <w:pPr>
              <w:spacing w:after="0"/>
            </w:pPr>
            <w:r/>
            <w:r>
              <w:rPr>
                <w:rFonts w:ascii="Aptos" w:hAnsi="Aptos"/>
                <w:b w:val="0"/>
                <w:sz w:val="15"/>
              </w:rPr>
              <w:t>External standard revision</w:t>
            </w:r>
          </w:p>
        </w:tc>
        <w:tc>
          <w:tcPr>
            <w:tcW w:type="dxa" w:w="6480"/>
            <w:vAlign w:val="center"/>
          </w:tcPr>
          <w:p>
            <w:pPr>
              <w:spacing w:after="0"/>
            </w:pPr>
            <w:r/>
            <w:r>
              <w:rPr>
                <w:rFonts w:ascii="Aptos" w:hAnsi="Aptos"/>
                <w:b w:val="0"/>
                <w:sz w:val="15"/>
              </w:rPr>
              <w:t>Review crosswalks, legal register and supplier requirements</w:t>
            </w:r>
          </w:p>
        </w:tc>
      </w:tr>
      <w:tr>
        <w:trPr>
          <w:cantSplit/>
        </w:trPr>
        <w:tc>
          <w:tcPr>
            <w:tcW w:type="dxa" w:w="3168"/>
            <w:vAlign w:val="center"/>
            <w:shd w:fill="F3F6F7"/>
          </w:tcPr>
          <w:p>
            <w:pPr>
              <w:spacing w:after="0"/>
            </w:pPr>
            <w:r/>
            <w:r>
              <w:rPr>
                <w:rFonts w:ascii="Aptos" w:hAnsi="Aptos"/>
                <w:b w:val="0"/>
                <w:sz w:val="15"/>
              </w:rPr>
              <w:t>Major model/provider change</w:t>
            </w:r>
          </w:p>
        </w:tc>
        <w:tc>
          <w:tcPr>
            <w:tcW w:type="dxa" w:w="6480"/>
            <w:vAlign w:val="center"/>
            <w:shd w:fill="F3F6F7"/>
          </w:tcPr>
          <w:p>
            <w:pPr>
              <w:spacing w:after="0"/>
            </w:pPr>
            <w:r/>
            <w:r>
              <w:rPr>
                <w:rFonts w:ascii="Aptos" w:hAnsi="Aptos"/>
                <w:b w:val="0"/>
                <w:sz w:val="15"/>
              </w:rPr>
              <w:t>Reassess evaluations, controls and operating assumptions</w:t>
            </w:r>
          </w:p>
        </w:tc>
      </w:tr>
      <w:tr>
        <w:trPr>
          <w:cantSplit/>
        </w:trPr>
        <w:tc>
          <w:tcPr>
            <w:tcW w:type="dxa" w:w="3168"/>
            <w:vAlign w:val="center"/>
          </w:tcPr>
          <w:p>
            <w:pPr>
              <w:spacing w:after="0"/>
            </w:pPr>
            <w:r/>
            <w:r>
              <w:rPr>
                <w:rFonts w:ascii="Aptos" w:hAnsi="Aptos"/>
                <w:b w:val="0"/>
                <w:sz w:val="15"/>
              </w:rPr>
              <w:t>New threat technique</w:t>
            </w:r>
          </w:p>
        </w:tc>
        <w:tc>
          <w:tcPr>
            <w:tcW w:type="dxa" w:w="6480"/>
            <w:vAlign w:val="center"/>
          </w:tcPr>
          <w:p>
            <w:pPr>
              <w:spacing w:after="0"/>
            </w:pPr>
            <w:r/>
            <w:r>
              <w:rPr>
                <w:rFonts w:ascii="Aptos" w:hAnsi="Aptos"/>
                <w:b w:val="0"/>
                <w:sz w:val="15"/>
              </w:rPr>
              <w:t>Update threat model, test corpus, monitoring and response</w:t>
            </w:r>
          </w:p>
        </w:tc>
      </w:tr>
      <w:tr>
        <w:trPr>
          <w:cantSplit/>
        </w:trPr>
        <w:tc>
          <w:tcPr>
            <w:tcW w:type="dxa" w:w="3168"/>
            <w:vAlign w:val="center"/>
            <w:shd w:fill="F3F6F7"/>
          </w:tcPr>
          <w:p>
            <w:pPr>
              <w:spacing w:after="0"/>
            </w:pPr>
            <w:r/>
            <w:r>
              <w:rPr>
                <w:rFonts w:ascii="Aptos" w:hAnsi="Aptos"/>
                <w:b w:val="0"/>
                <w:sz w:val="15"/>
              </w:rPr>
              <w:t>Material legal change</w:t>
            </w:r>
          </w:p>
        </w:tc>
        <w:tc>
          <w:tcPr>
            <w:tcW w:type="dxa" w:w="6480"/>
            <w:vAlign w:val="center"/>
            <w:shd w:fill="F3F6F7"/>
          </w:tcPr>
          <w:p>
            <w:pPr>
              <w:spacing w:after="0"/>
            </w:pPr>
            <w:r/>
            <w:r>
              <w:rPr>
                <w:rFonts w:ascii="Aptos" w:hAnsi="Aptos"/>
                <w:b w:val="0"/>
                <w:sz w:val="15"/>
              </w:rPr>
              <w:t>Review applicability, policy, evidence and reporting</w:t>
            </w:r>
          </w:p>
        </w:tc>
      </w:tr>
    </w:tbl>
    <w:p/>
    <w:p>
      <w:pPr>
        <w:pStyle w:val="Heading1"/>
      </w:pPr>
      <w:r>
        <w:t>22. Improvement Risk Management</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024"/>
            <w:vAlign w:val="center"/>
            <w:shd w:fill="17324D"/>
          </w:tcPr>
          <w:p>
            <w:pPr>
              <w:spacing w:after="0"/>
            </w:pPr>
            <w:r/>
            <w:r>
              <w:rPr>
                <w:rFonts w:ascii="Aptos" w:hAnsi="Aptos"/>
                <w:b/>
                <w:color w:val="FFFFFF"/>
                <w:sz w:val="15"/>
              </w:rPr>
              <w:t>Improvement risk</w:t>
            </w:r>
          </w:p>
        </w:tc>
        <w:tc>
          <w:tcPr>
            <w:tcW w:type="dxa" w:w="6624"/>
            <w:vAlign w:val="center"/>
            <w:shd w:fill="17324D"/>
          </w:tcPr>
          <w:p>
            <w:pPr>
              <w:spacing w:after="0"/>
            </w:pPr>
            <w:r/>
            <w:r>
              <w:rPr>
                <w:rFonts w:ascii="Aptos" w:hAnsi="Aptos"/>
                <w:b/>
                <w:color w:val="FFFFFF"/>
                <w:sz w:val="15"/>
              </w:rPr>
              <w:t>Control response</w:t>
            </w:r>
          </w:p>
        </w:tc>
      </w:tr>
      <w:tr>
        <w:trPr>
          <w:cantSplit/>
        </w:trPr>
        <w:tc>
          <w:tcPr>
            <w:tcW w:type="dxa" w:w="3024"/>
            <w:vAlign w:val="center"/>
          </w:tcPr>
          <w:p>
            <w:pPr>
              <w:spacing w:after="0"/>
            </w:pPr>
            <w:r/>
            <w:r>
              <w:rPr>
                <w:rFonts w:ascii="Aptos" w:hAnsi="Aptos"/>
                <w:b w:val="0"/>
                <w:sz w:val="15"/>
              </w:rPr>
              <w:t>Change introduces new vulnerability</w:t>
            </w:r>
          </w:p>
        </w:tc>
        <w:tc>
          <w:tcPr>
            <w:tcW w:type="dxa" w:w="6624"/>
            <w:vAlign w:val="center"/>
          </w:tcPr>
          <w:p>
            <w:pPr>
              <w:spacing w:after="0"/>
            </w:pPr>
            <w:r/>
            <w:r>
              <w:rPr>
                <w:rFonts w:ascii="Aptos" w:hAnsi="Aptos"/>
                <w:b w:val="0"/>
                <w:sz w:val="15"/>
              </w:rPr>
              <w:t>Threat model, staged deployment and regression testing</w:t>
            </w:r>
          </w:p>
        </w:tc>
      </w:tr>
      <w:tr>
        <w:trPr>
          <w:cantSplit/>
        </w:trPr>
        <w:tc>
          <w:tcPr>
            <w:tcW w:type="dxa" w:w="3024"/>
            <w:vAlign w:val="center"/>
            <w:shd w:fill="F3F6F7"/>
          </w:tcPr>
          <w:p>
            <w:pPr>
              <w:spacing w:after="0"/>
            </w:pPr>
            <w:r/>
            <w:r>
              <w:rPr>
                <w:rFonts w:ascii="Aptos" w:hAnsi="Aptos"/>
                <w:b w:val="0"/>
                <w:sz w:val="15"/>
              </w:rPr>
              <w:t>Automation hides control failure</w:t>
            </w:r>
          </w:p>
        </w:tc>
        <w:tc>
          <w:tcPr>
            <w:tcW w:type="dxa" w:w="6624"/>
            <w:vAlign w:val="center"/>
            <w:shd w:fill="F3F6F7"/>
          </w:tcPr>
          <w:p>
            <w:pPr>
              <w:spacing w:after="0"/>
            </w:pPr>
            <w:r/>
            <w:r>
              <w:rPr>
                <w:rFonts w:ascii="Aptos" w:hAnsi="Aptos"/>
                <w:b w:val="0"/>
                <w:sz w:val="15"/>
              </w:rPr>
              <w:t>Independent validation and manual review</w:t>
            </w:r>
          </w:p>
        </w:tc>
      </w:tr>
      <w:tr>
        <w:trPr>
          <w:cantSplit/>
        </w:trPr>
        <w:tc>
          <w:tcPr>
            <w:tcW w:type="dxa" w:w="3024"/>
            <w:vAlign w:val="center"/>
          </w:tcPr>
          <w:p>
            <w:pPr>
              <w:spacing w:after="0"/>
            </w:pPr>
            <w:r/>
            <w:r>
              <w:rPr>
                <w:rFonts w:ascii="Aptos" w:hAnsi="Aptos"/>
                <w:b w:val="0"/>
                <w:sz w:val="15"/>
              </w:rPr>
              <w:t>Metric gaming</w:t>
            </w:r>
          </w:p>
        </w:tc>
        <w:tc>
          <w:tcPr>
            <w:tcW w:type="dxa" w:w="6624"/>
            <w:vAlign w:val="center"/>
          </w:tcPr>
          <w:p>
            <w:pPr>
              <w:spacing w:after="0"/>
            </w:pPr>
            <w:r/>
            <w:r>
              <w:rPr>
                <w:rFonts w:ascii="Aptos" w:hAnsi="Aptos"/>
                <w:b w:val="0"/>
                <w:sz w:val="15"/>
              </w:rPr>
              <w:t>Balanced measures and assurance challenge</w:t>
            </w:r>
          </w:p>
        </w:tc>
      </w:tr>
      <w:tr>
        <w:trPr>
          <w:cantSplit/>
        </w:trPr>
        <w:tc>
          <w:tcPr>
            <w:tcW w:type="dxa" w:w="3024"/>
            <w:vAlign w:val="center"/>
            <w:shd w:fill="F3F6F7"/>
          </w:tcPr>
          <w:p>
            <w:pPr>
              <w:spacing w:after="0"/>
            </w:pPr>
            <w:r/>
            <w:r>
              <w:rPr>
                <w:rFonts w:ascii="Aptos" w:hAnsi="Aptos"/>
                <w:b w:val="0"/>
                <w:sz w:val="15"/>
              </w:rPr>
              <w:t>Improvement overload</w:t>
            </w:r>
          </w:p>
        </w:tc>
        <w:tc>
          <w:tcPr>
            <w:tcW w:type="dxa" w:w="6624"/>
            <w:vAlign w:val="center"/>
            <w:shd w:fill="F3F6F7"/>
          </w:tcPr>
          <w:p>
            <w:pPr>
              <w:spacing w:after="0"/>
            </w:pPr>
            <w:r/>
            <w:r>
              <w:rPr>
                <w:rFonts w:ascii="Aptos" w:hAnsi="Aptos"/>
                <w:b w:val="0"/>
                <w:sz w:val="15"/>
              </w:rPr>
              <w:t>Risk-based prioritization and change capacity limits</w:t>
            </w:r>
          </w:p>
        </w:tc>
      </w:tr>
      <w:tr>
        <w:trPr>
          <w:cantSplit/>
        </w:trPr>
        <w:tc>
          <w:tcPr>
            <w:tcW w:type="dxa" w:w="3024"/>
            <w:vAlign w:val="center"/>
          </w:tcPr>
          <w:p>
            <w:pPr>
              <w:spacing w:after="0"/>
            </w:pPr>
            <w:r/>
            <w:r>
              <w:rPr>
                <w:rFonts w:ascii="Aptos" w:hAnsi="Aptos"/>
                <w:b w:val="0"/>
                <w:sz w:val="15"/>
              </w:rPr>
              <w:t>Local optimization</w:t>
            </w:r>
          </w:p>
        </w:tc>
        <w:tc>
          <w:tcPr>
            <w:tcW w:type="dxa" w:w="6624"/>
            <w:vAlign w:val="center"/>
          </w:tcPr>
          <w:p>
            <w:pPr>
              <w:spacing w:after="0"/>
            </w:pPr>
            <w:r/>
            <w:r>
              <w:rPr>
                <w:rFonts w:ascii="Aptos" w:hAnsi="Aptos"/>
                <w:b w:val="0"/>
                <w:sz w:val="15"/>
              </w:rPr>
              <w:t>Portfolio review and cross-system impact analysis</w:t>
            </w:r>
          </w:p>
        </w:tc>
      </w:tr>
      <w:tr>
        <w:trPr>
          <w:cantSplit/>
        </w:trPr>
        <w:tc>
          <w:tcPr>
            <w:tcW w:type="dxa" w:w="3024"/>
            <w:vAlign w:val="center"/>
            <w:shd w:fill="F3F6F7"/>
          </w:tcPr>
          <w:p>
            <w:pPr>
              <w:spacing w:after="0"/>
            </w:pPr>
            <w:r/>
            <w:r>
              <w:rPr>
                <w:rFonts w:ascii="Aptos" w:hAnsi="Aptos"/>
                <w:b w:val="0"/>
                <w:sz w:val="15"/>
              </w:rPr>
              <w:t>Premature standardization</w:t>
            </w:r>
          </w:p>
        </w:tc>
        <w:tc>
          <w:tcPr>
            <w:tcW w:type="dxa" w:w="6624"/>
            <w:vAlign w:val="center"/>
            <w:shd w:fill="F3F6F7"/>
          </w:tcPr>
          <w:p>
            <w:pPr>
              <w:spacing w:after="0"/>
            </w:pPr>
            <w:r/>
            <w:r>
              <w:rPr>
                <w:rFonts w:ascii="Aptos" w:hAnsi="Aptos"/>
                <w:b w:val="0"/>
                <w:sz w:val="15"/>
              </w:rPr>
              <w:t>Pilot and validate before enterprise rollout</w:t>
            </w:r>
          </w:p>
        </w:tc>
      </w:tr>
      <w:tr>
        <w:trPr>
          <w:cantSplit/>
        </w:trPr>
        <w:tc>
          <w:tcPr>
            <w:tcW w:type="dxa" w:w="3024"/>
            <w:vAlign w:val="center"/>
          </w:tcPr>
          <w:p>
            <w:pPr>
              <w:spacing w:after="0"/>
            </w:pPr>
            <w:r/>
            <w:r>
              <w:rPr>
                <w:rFonts w:ascii="Aptos" w:hAnsi="Aptos"/>
                <w:b w:val="0"/>
                <w:sz w:val="15"/>
              </w:rPr>
              <w:t>Supplier dependency</w:t>
            </w:r>
          </w:p>
        </w:tc>
        <w:tc>
          <w:tcPr>
            <w:tcW w:type="dxa" w:w="6624"/>
            <w:vAlign w:val="center"/>
          </w:tcPr>
          <w:p>
            <w:pPr>
              <w:spacing w:after="0"/>
            </w:pPr>
            <w:r/>
            <w:r>
              <w:rPr>
                <w:rFonts w:ascii="Aptos" w:hAnsi="Aptos"/>
                <w:b w:val="0"/>
                <w:sz w:val="15"/>
              </w:rPr>
              <w:t>Contractual commitments, fallback and exit plan</w:t>
            </w:r>
          </w:p>
        </w:tc>
      </w:tr>
    </w:tbl>
    <w:p/>
    <w:p>
      <w:pPr>
        <w:pStyle w:val="Heading1"/>
      </w:pPr>
      <w:r>
        <w:t>23. Improvement Closure Criteria</w:t>
      </w:r>
    </w:p>
    <w:p>
      <w:r>
        <w:t>☐ Problem or opportunity is clearly defined</w:t>
      </w:r>
    </w:p>
    <w:p>
      <w:r>
        <w:t>☐ Root cause or evidence-based rationale is documented</w:t>
      </w:r>
    </w:p>
    <w:p>
      <w:r>
        <w:t>☐ Approved action is implemented</w:t>
      </w:r>
    </w:p>
    <w:p>
      <w:r>
        <w:t>☐ Original failure or target outcome is retested</w:t>
      </w:r>
    </w:p>
    <w:p>
      <w:r>
        <w:t>☐ Related controls and systems are reviewed</w:t>
      </w:r>
    </w:p>
    <w:p>
      <w:r>
        <w:t>☐ Residual risk is accepted where applicable</w:t>
      </w:r>
    </w:p>
    <w:p>
      <w:r>
        <w:t>☐ Evidence is indexed and protected</w:t>
      </w:r>
    </w:p>
    <w:p>
      <w:r>
        <w:t>☐ Policy, procedure, training and tooling are updated</w:t>
      </w:r>
    </w:p>
    <w:p>
      <w:r>
        <w:t>☐ Monitoring detects recurrence or degradation</w:t>
      </w:r>
    </w:p>
    <w:p>
      <w:r>
        <w:t>☐ Owner and independent reviewer approve closure</w:t>
      </w:r>
    </w:p>
    <w:p>
      <w:pPr>
        <w:pStyle w:val="Heading1"/>
      </w:pPr>
      <w:r>
        <w:t>24. Common Improvement Anti-Patterns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592"/>
            <w:vAlign w:val="center"/>
            <w:shd w:fill="17324D"/>
          </w:tcPr>
          <w:p>
            <w:pPr>
              <w:spacing w:after="0"/>
            </w:pPr>
            <w:r/>
            <w:r>
              <w:rPr>
                <w:rFonts w:ascii="Aptos" w:hAnsi="Aptos"/>
                <w:b/>
                <w:color w:val="FFFFFF"/>
                <w:sz w:val="15"/>
              </w:rPr>
              <w:t>Anti-pattern</w:t>
            </w:r>
          </w:p>
        </w:tc>
        <w:tc>
          <w:tcPr>
            <w:tcW w:type="dxa" w:w="3456"/>
            <w:vAlign w:val="center"/>
            <w:shd w:fill="17324D"/>
          </w:tcPr>
          <w:p>
            <w:pPr>
              <w:spacing w:after="0"/>
            </w:pPr>
            <w:r/>
            <w:r>
              <w:rPr>
                <w:rFonts w:ascii="Aptos" w:hAnsi="Aptos"/>
                <w:b/>
                <w:color w:val="FFFFFF"/>
                <w:sz w:val="15"/>
              </w:rPr>
              <w:t>Why it fails</w:t>
            </w:r>
          </w:p>
        </w:tc>
        <w:tc>
          <w:tcPr>
            <w:tcW w:type="dxa" w:w="3600"/>
            <w:vAlign w:val="center"/>
            <w:shd w:fill="17324D"/>
          </w:tcPr>
          <w:p>
            <w:pPr>
              <w:spacing w:after="0"/>
            </w:pPr>
            <w:r/>
            <w:r>
              <w:rPr>
                <w:rFonts w:ascii="Aptos" w:hAnsi="Aptos"/>
                <w:b/>
                <w:color w:val="FFFFFF"/>
                <w:sz w:val="15"/>
              </w:rPr>
              <w:t>Corrective practice</w:t>
            </w:r>
          </w:p>
        </w:tc>
      </w:tr>
      <w:tr>
        <w:trPr>
          <w:cantSplit/>
        </w:trPr>
        <w:tc>
          <w:tcPr>
            <w:tcW w:type="dxa" w:w="2592"/>
            <w:vAlign w:val="center"/>
          </w:tcPr>
          <w:p>
            <w:pPr>
              <w:spacing w:after="0"/>
            </w:pPr>
            <w:r/>
            <w:r>
              <w:rPr>
                <w:rFonts w:ascii="Aptos" w:hAnsi="Aptos"/>
                <w:b w:val="0"/>
                <w:sz w:val="15"/>
              </w:rPr>
              <w:t>Maturity scoring without evidence</w:t>
            </w:r>
          </w:p>
        </w:tc>
        <w:tc>
          <w:tcPr>
            <w:tcW w:type="dxa" w:w="3456"/>
            <w:vAlign w:val="center"/>
          </w:tcPr>
          <w:p>
            <w:pPr>
              <w:spacing w:after="0"/>
            </w:pPr>
            <w:r/>
            <w:r>
              <w:rPr>
                <w:rFonts w:ascii="Aptos" w:hAnsi="Aptos"/>
                <w:b w:val="0"/>
                <w:sz w:val="15"/>
              </w:rPr>
              <w:t>Produces optimistic but unsupported ratings</w:t>
            </w:r>
          </w:p>
        </w:tc>
        <w:tc>
          <w:tcPr>
            <w:tcW w:type="dxa" w:w="3600"/>
            <w:vAlign w:val="center"/>
          </w:tcPr>
          <w:p>
            <w:pPr>
              <w:spacing w:after="0"/>
            </w:pPr>
            <w:r/>
            <w:r>
              <w:rPr>
                <w:rFonts w:ascii="Aptos" w:hAnsi="Aptos"/>
                <w:b w:val="0"/>
                <w:sz w:val="15"/>
              </w:rPr>
              <w:t>Require artifacts and operating examples</w:t>
            </w:r>
          </w:p>
        </w:tc>
      </w:tr>
      <w:tr>
        <w:trPr>
          <w:cantSplit/>
        </w:trPr>
        <w:tc>
          <w:tcPr>
            <w:tcW w:type="dxa" w:w="2592"/>
            <w:vAlign w:val="center"/>
            <w:shd w:fill="F3F6F7"/>
          </w:tcPr>
          <w:p>
            <w:pPr>
              <w:spacing w:after="0"/>
            </w:pPr>
            <w:r/>
            <w:r>
              <w:rPr>
                <w:rFonts w:ascii="Aptos" w:hAnsi="Aptos"/>
                <w:b w:val="0"/>
                <w:sz w:val="15"/>
              </w:rPr>
              <w:t>Closing actions by due date alone</w:t>
            </w:r>
          </w:p>
        </w:tc>
        <w:tc>
          <w:tcPr>
            <w:tcW w:type="dxa" w:w="3456"/>
            <w:vAlign w:val="center"/>
            <w:shd w:fill="F3F6F7"/>
          </w:tcPr>
          <w:p>
            <w:pPr>
              <w:spacing w:after="0"/>
            </w:pPr>
            <w:r/>
            <w:r>
              <w:rPr>
                <w:rFonts w:ascii="Aptos" w:hAnsi="Aptos"/>
                <w:b w:val="0"/>
                <w:sz w:val="15"/>
              </w:rPr>
              <w:t>Encourages superficial completion</w:t>
            </w:r>
          </w:p>
        </w:tc>
        <w:tc>
          <w:tcPr>
            <w:tcW w:type="dxa" w:w="3600"/>
            <w:vAlign w:val="center"/>
            <w:shd w:fill="F3F6F7"/>
          </w:tcPr>
          <w:p>
            <w:pPr>
              <w:spacing w:after="0"/>
            </w:pPr>
            <w:r/>
            <w:r>
              <w:rPr>
                <w:rFonts w:ascii="Aptos" w:hAnsi="Aptos"/>
                <w:b w:val="0"/>
                <w:sz w:val="15"/>
              </w:rPr>
              <w:t>Require validation and control retest</w:t>
            </w:r>
          </w:p>
        </w:tc>
      </w:tr>
      <w:tr>
        <w:trPr>
          <w:cantSplit/>
        </w:trPr>
        <w:tc>
          <w:tcPr>
            <w:tcW w:type="dxa" w:w="2592"/>
            <w:vAlign w:val="center"/>
          </w:tcPr>
          <w:p>
            <w:pPr>
              <w:spacing w:after="0"/>
            </w:pPr>
            <w:r/>
            <w:r>
              <w:rPr>
                <w:rFonts w:ascii="Aptos" w:hAnsi="Aptos"/>
                <w:b w:val="0"/>
                <w:sz w:val="15"/>
              </w:rPr>
              <w:t>Improving only after audit</w:t>
            </w:r>
          </w:p>
        </w:tc>
        <w:tc>
          <w:tcPr>
            <w:tcW w:type="dxa" w:w="3456"/>
            <w:vAlign w:val="center"/>
          </w:tcPr>
          <w:p>
            <w:pPr>
              <w:spacing w:after="0"/>
            </w:pPr>
            <w:r/>
            <w:r>
              <w:rPr>
                <w:rFonts w:ascii="Aptos" w:hAnsi="Aptos"/>
                <w:b w:val="0"/>
                <w:sz w:val="15"/>
              </w:rPr>
              <w:t>Makes improvement episodic</w:t>
            </w:r>
          </w:p>
        </w:tc>
        <w:tc>
          <w:tcPr>
            <w:tcW w:type="dxa" w:w="3600"/>
            <w:vAlign w:val="center"/>
          </w:tcPr>
          <w:p>
            <w:pPr>
              <w:spacing w:after="0"/>
            </w:pPr>
            <w:r/>
            <w:r>
              <w:rPr>
                <w:rFonts w:ascii="Aptos" w:hAnsi="Aptos"/>
                <w:b w:val="0"/>
                <w:sz w:val="15"/>
              </w:rPr>
              <w:t>Integrate operational signals and incidents</w:t>
            </w:r>
          </w:p>
        </w:tc>
      </w:tr>
      <w:tr>
        <w:trPr>
          <w:cantSplit/>
        </w:trPr>
        <w:tc>
          <w:tcPr>
            <w:tcW w:type="dxa" w:w="2592"/>
            <w:vAlign w:val="center"/>
            <w:shd w:fill="F3F6F7"/>
          </w:tcPr>
          <w:p>
            <w:pPr>
              <w:spacing w:after="0"/>
            </w:pPr>
            <w:r/>
            <w:r>
              <w:rPr>
                <w:rFonts w:ascii="Aptos" w:hAnsi="Aptos"/>
                <w:b w:val="0"/>
                <w:sz w:val="15"/>
              </w:rPr>
              <w:t>Automating broken process</w:t>
            </w:r>
          </w:p>
        </w:tc>
        <w:tc>
          <w:tcPr>
            <w:tcW w:type="dxa" w:w="3456"/>
            <w:vAlign w:val="center"/>
            <w:shd w:fill="F3F6F7"/>
          </w:tcPr>
          <w:p>
            <w:pPr>
              <w:spacing w:after="0"/>
            </w:pPr>
            <w:r/>
            <w:r>
              <w:rPr>
                <w:rFonts w:ascii="Aptos" w:hAnsi="Aptos"/>
                <w:b w:val="0"/>
                <w:sz w:val="15"/>
              </w:rPr>
              <w:t>Scales inconsistency</w:t>
            </w:r>
          </w:p>
        </w:tc>
        <w:tc>
          <w:tcPr>
            <w:tcW w:type="dxa" w:w="3600"/>
            <w:vAlign w:val="center"/>
            <w:shd w:fill="F3F6F7"/>
          </w:tcPr>
          <w:p>
            <w:pPr>
              <w:spacing w:after="0"/>
            </w:pPr>
            <w:r/>
            <w:r>
              <w:rPr>
                <w:rFonts w:ascii="Aptos" w:hAnsi="Aptos"/>
                <w:b w:val="0"/>
                <w:sz w:val="15"/>
              </w:rPr>
              <w:t>Stabilize and validate process first</w:t>
            </w:r>
          </w:p>
        </w:tc>
      </w:tr>
      <w:tr>
        <w:trPr>
          <w:cantSplit/>
        </w:trPr>
        <w:tc>
          <w:tcPr>
            <w:tcW w:type="dxa" w:w="2592"/>
            <w:vAlign w:val="center"/>
          </w:tcPr>
          <w:p>
            <w:pPr>
              <w:spacing w:after="0"/>
            </w:pPr>
            <w:r/>
            <w:r>
              <w:rPr>
                <w:rFonts w:ascii="Aptos" w:hAnsi="Aptos"/>
                <w:b w:val="0"/>
                <w:sz w:val="15"/>
              </w:rPr>
              <w:t>Focusing on low-effort wins</w:t>
            </w:r>
          </w:p>
        </w:tc>
        <w:tc>
          <w:tcPr>
            <w:tcW w:type="dxa" w:w="3456"/>
            <w:vAlign w:val="center"/>
          </w:tcPr>
          <w:p>
            <w:pPr>
              <w:spacing w:after="0"/>
            </w:pPr>
            <w:r/>
            <w:r>
              <w:rPr>
                <w:rFonts w:ascii="Aptos" w:hAnsi="Aptos"/>
                <w:b w:val="0"/>
                <w:sz w:val="15"/>
              </w:rPr>
              <w:t>Leaves high-risk weaknesses unresolved</w:t>
            </w:r>
          </w:p>
        </w:tc>
        <w:tc>
          <w:tcPr>
            <w:tcW w:type="dxa" w:w="3600"/>
            <w:vAlign w:val="center"/>
          </w:tcPr>
          <w:p>
            <w:pPr>
              <w:spacing w:after="0"/>
            </w:pPr>
            <w:r/>
            <w:r>
              <w:rPr>
                <w:rFonts w:ascii="Aptos" w:hAnsi="Aptos"/>
                <w:b w:val="0"/>
                <w:sz w:val="15"/>
              </w:rPr>
              <w:t>Use risk-weighted prioritization</w:t>
            </w:r>
          </w:p>
        </w:tc>
      </w:tr>
      <w:tr>
        <w:trPr>
          <w:cantSplit/>
        </w:trPr>
        <w:tc>
          <w:tcPr>
            <w:tcW w:type="dxa" w:w="2592"/>
            <w:vAlign w:val="center"/>
            <w:shd w:fill="F3F6F7"/>
          </w:tcPr>
          <w:p>
            <w:pPr>
              <w:spacing w:after="0"/>
            </w:pPr>
            <w:r/>
            <w:r>
              <w:rPr>
                <w:rFonts w:ascii="Aptos" w:hAnsi="Aptos"/>
                <w:b w:val="0"/>
                <w:sz w:val="15"/>
              </w:rPr>
              <w:t>Treating every failure as local</w:t>
            </w:r>
          </w:p>
        </w:tc>
        <w:tc>
          <w:tcPr>
            <w:tcW w:type="dxa" w:w="3456"/>
            <w:vAlign w:val="center"/>
            <w:shd w:fill="F3F6F7"/>
          </w:tcPr>
          <w:p>
            <w:pPr>
              <w:spacing w:after="0"/>
            </w:pPr>
            <w:r/>
            <w:r>
              <w:rPr>
                <w:rFonts w:ascii="Aptos" w:hAnsi="Aptos"/>
                <w:b w:val="0"/>
                <w:sz w:val="15"/>
              </w:rPr>
              <w:t>Misses systemic causes</w:t>
            </w:r>
          </w:p>
        </w:tc>
        <w:tc>
          <w:tcPr>
            <w:tcW w:type="dxa" w:w="3600"/>
            <w:vAlign w:val="center"/>
            <w:shd w:fill="F3F6F7"/>
          </w:tcPr>
          <w:p>
            <w:pPr>
              <w:spacing w:after="0"/>
            </w:pPr>
            <w:r/>
            <w:r>
              <w:rPr>
                <w:rFonts w:ascii="Aptos" w:hAnsi="Aptos"/>
                <w:b w:val="0"/>
                <w:sz w:val="15"/>
              </w:rPr>
              <w:t>Perform cross-system review</w:t>
            </w:r>
          </w:p>
        </w:tc>
      </w:tr>
      <w:tr>
        <w:trPr>
          <w:cantSplit/>
        </w:trPr>
        <w:tc>
          <w:tcPr>
            <w:tcW w:type="dxa" w:w="2592"/>
            <w:vAlign w:val="center"/>
          </w:tcPr>
          <w:p>
            <w:pPr>
              <w:spacing w:after="0"/>
            </w:pPr>
            <w:r/>
            <w:r>
              <w:rPr>
                <w:rFonts w:ascii="Aptos" w:hAnsi="Aptos"/>
                <w:b w:val="0"/>
                <w:sz w:val="15"/>
              </w:rPr>
              <w:t>Replacing controls to appear modern</w:t>
            </w:r>
          </w:p>
        </w:tc>
        <w:tc>
          <w:tcPr>
            <w:tcW w:type="dxa" w:w="3456"/>
            <w:vAlign w:val="center"/>
          </w:tcPr>
          <w:p>
            <w:pPr>
              <w:spacing w:after="0"/>
            </w:pPr>
            <w:r/>
            <w:r>
              <w:rPr>
                <w:rFonts w:ascii="Aptos" w:hAnsi="Aptos"/>
                <w:b w:val="0"/>
                <w:sz w:val="15"/>
              </w:rPr>
              <w:t>Creates disruption without risk benefit</w:t>
            </w:r>
          </w:p>
        </w:tc>
        <w:tc>
          <w:tcPr>
            <w:tcW w:type="dxa" w:w="3600"/>
            <w:vAlign w:val="center"/>
          </w:tcPr>
          <w:p>
            <w:pPr>
              <w:spacing w:after="0"/>
            </w:pPr>
            <w:r/>
            <w:r>
              <w:rPr>
                <w:rFonts w:ascii="Aptos" w:hAnsi="Aptos"/>
                <w:b w:val="0"/>
                <w:sz w:val="15"/>
              </w:rPr>
              <w:t>Retain effective controls and improve evidence</w:t>
            </w:r>
          </w:p>
        </w:tc>
      </w:tr>
      <w:tr>
        <w:trPr>
          <w:cantSplit/>
        </w:trPr>
        <w:tc>
          <w:tcPr>
            <w:tcW w:type="dxa" w:w="2592"/>
            <w:vAlign w:val="center"/>
            <w:shd w:fill="F3F6F7"/>
          </w:tcPr>
          <w:p>
            <w:pPr>
              <w:spacing w:after="0"/>
            </w:pPr>
            <w:r/>
            <w:r>
              <w:rPr>
                <w:rFonts w:ascii="Aptos" w:hAnsi="Aptos"/>
                <w:b w:val="0"/>
                <w:sz w:val="15"/>
              </w:rPr>
              <w:t>Suppressing negative trends</w:t>
            </w:r>
          </w:p>
        </w:tc>
        <w:tc>
          <w:tcPr>
            <w:tcW w:type="dxa" w:w="3456"/>
            <w:vAlign w:val="center"/>
            <w:shd w:fill="F3F6F7"/>
          </w:tcPr>
          <w:p>
            <w:pPr>
              <w:spacing w:after="0"/>
            </w:pPr>
            <w:r/>
            <w:r>
              <w:rPr>
                <w:rFonts w:ascii="Aptos" w:hAnsi="Aptos"/>
                <w:b w:val="0"/>
                <w:sz w:val="15"/>
              </w:rPr>
              <w:t>Destroys learning and assurance integrity</w:t>
            </w:r>
          </w:p>
        </w:tc>
        <w:tc>
          <w:tcPr>
            <w:tcW w:type="dxa" w:w="3600"/>
            <w:vAlign w:val="center"/>
            <w:shd w:fill="F3F6F7"/>
          </w:tcPr>
          <w:p>
            <w:pPr>
              <w:spacing w:after="0"/>
            </w:pPr>
            <w:r/>
            <w:r>
              <w:rPr>
                <w:rFonts w:ascii="Aptos" w:hAnsi="Aptos"/>
                <w:b w:val="0"/>
                <w:sz w:val="15"/>
              </w:rPr>
              <w:t>Preserve and investigate adverse data</w:t>
            </w:r>
          </w:p>
        </w:tc>
      </w:tr>
    </w:tbl>
    <w:p/>
    <w:p>
      <w:pPr>
        <w:pStyle w:val="Heading1"/>
      </w:pPr>
      <w:r>
        <w:t>25. Limitations</w:t>
      </w:r>
    </w:p>
    <w:p>
      <w:pPr>
        <w:pStyle w:val="ListBullet"/>
      </w:pPr>
      <w:r>
        <w:t>Maturity assessments involve judgement and may vary by scope and assessor.</w:t>
      </w:r>
    </w:p>
    <w:p>
      <w:pPr>
        <w:pStyle w:val="ListBullet"/>
      </w:pPr>
      <w:r>
        <w:t>Improvement metrics may be affected by reporting culture, system volume and detection quality.</w:t>
      </w:r>
    </w:p>
    <w:p>
      <w:pPr>
        <w:pStyle w:val="ListBullet"/>
      </w:pPr>
      <w:r>
        <w:t>Not every control can be optimized continuously or automated safely.</w:t>
      </w:r>
    </w:p>
    <w:p>
      <w:pPr>
        <w:pStyle w:val="ListBullet"/>
      </w:pPr>
      <w:r>
        <w:t>A completed roadmap does not guarantee future effectiveness.</w:t>
      </w:r>
    </w:p>
    <w:p>
      <w:pPr>
        <w:pStyle w:val="ListBullet"/>
      </w:pPr>
      <w:r>
        <w:t>External threats, suppliers and legal obligations may change faster than planned improvement cycles.</w:t>
      </w:r>
    </w:p>
    <w:p>
      <w:pPr>
        <w:pStyle w:val="Heading1"/>
      </w:pPr>
      <w:r>
        <w:t>26. Notably Absent</w:t>
      </w:r>
    </w:p>
    <w:p>
      <w:pPr>
        <w:pStyle w:val="ListBullet"/>
      </w:pPr>
      <w:r>
        <w:t>No permission to trade mandatory conformance for a higher maturity score.</w:t>
      </w:r>
    </w:p>
    <w:p>
      <w:pPr>
        <w:pStyle w:val="ListBullet"/>
      </w:pPr>
      <w:r>
        <w:t>No universal improvement target or fixed maturity level for every organization.</w:t>
      </w:r>
    </w:p>
    <w:p>
      <w:pPr>
        <w:pStyle w:val="ListBullet"/>
      </w:pPr>
      <w:r>
        <w:t>No assumption that automation always improves control effectiveness.</w:t>
      </w:r>
    </w:p>
    <w:p>
      <w:pPr>
        <w:pStyle w:val="ListBullet"/>
      </w:pPr>
      <w:r>
        <w:t>No requirement to replace effective controls solely for innovation.</w:t>
      </w:r>
    </w:p>
    <w:p>
      <w:pPr>
        <w:pStyle w:val="ListBullet"/>
      </w:pPr>
      <w:r>
        <w:t>No guarantee that fewer incidents means lower risk.</w:t>
      </w:r>
    </w:p>
    <w:p>
      <w:pPr>
        <w:pStyle w:val="ListBullet"/>
      </w:pPr>
      <w:r>
        <w:t>No substitute for independent assurance, safety engineering or legal review.</w:t>
      </w:r>
    </w:p>
    <w:p>
      <w:pPr>
        <w:pStyle w:val="Heading1"/>
      </w:pPr>
      <w:r>
        <w:t>Annex A - Maturity Assessment Template</w:t>
      </w:r>
    </w:p>
    <w:tbl>
      <w:tblPr>
        <w:tblStyle w:val="TableGrid"/>
        <w:tblW w:type="auto" w:w="0"/>
        <w:jc w:val="center"/>
        <w:tblLook w:firstColumn="1" w:firstRow="1" w:lastColumn="0" w:lastRow="0" w:noHBand="0" w:noVBand="1" w:val="04A0"/>
      </w:tblPr>
      <w:tblGrid>
        <w:gridCol w:w="1469"/>
        <w:gridCol w:w="1469"/>
        <w:gridCol w:w="1469"/>
        <w:gridCol w:w="1469"/>
        <w:gridCol w:w="1469"/>
        <w:gridCol w:w="1469"/>
        <w:gridCol w:w="1469"/>
      </w:tblGrid>
      <w:tr>
        <w:trPr>
          <w:tblHeader w:val="true"/>
          <w:cantSplit/>
        </w:trPr>
        <w:tc>
          <w:tcPr>
            <w:tcW w:type="dxa" w:w="1584"/>
            <w:vAlign w:val="center"/>
            <w:shd w:fill="17324D"/>
          </w:tcPr>
          <w:p>
            <w:pPr>
              <w:spacing w:after="0"/>
            </w:pPr>
            <w:r/>
            <w:r>
              <w:rPr>
                <w:rFonts w:ascii="Aptos" w:hAnsi="Aptos"/>
                <w:b/>
                <w:color w:val="FFFFFF"/>
                <w:sz w:val="15"/>
              </w:rPr>
              <w:t>Dimension</w:t>
            </w:r>
          </w:p>
        </w:tc>
        <w:tc>
          <w:tcPr>
            <w:tcW w:type="dxa" w:w="1152"/>
            <w:vAlign w:val="center"/>
            <w:shd w:fill="17324D"/>
          </w:tcPr>
          <w:p>
            <w:pPr>
              <w:spacing w:after="0"/>
            </w:pPr>
            <w:r/>
            <w:r>
              <w:rPr>
                <w:rFonts w:ascii="Aptos" w:hAnsi="Aptos"/>
                <w:b/>
                <w:color w:val="FFFFFF"/>
                <w:sz w:val="15"/>
              </w:rPr>
              <w:t>Current level</w:t>
            </w:r>
          </w:p>
        </w:tc>
        <w:tc>
          <w:tcPr>
            <w:tcW w:type="dxa" w:w="2016"/>
            <w:vAlign w:val="center"/>
            <w:shd w:fill="17324D"/>
          </w:tcPr>
          <w:p>
            <w:pPr>
              <w:spacing w:after="0"/>
            </w:pPr>
            <w:r/>
            <w:r>
              <w:rPr>
                <w:rFonts w:ascii="Aptos" w:hAnsi="Aptos"/>
                <w:b/>
                <w:color w:val="FFFFFF"/>
                <w:sz w:val="15"/>
              </w:rPr>
              <w:t>Evidence</w:t>
            </w:r>
          </w:p>
        </w:tc>
        <w:tc>
          <w:tcPr>
            <w:tcW w:type="dxa" w:w="1152"/>
            <w:vAlign w:val="center"/>
            <w:shd w:fill="17324D"/>
          </w:tcPr>
          <w:p>
            <w:pPr>
              <w:spacing w:after="0"/>
            </w:pPr>
            <w:r/>
            <w:r>
              <w:rPr>
                <w:rFonts w:ascii="Aptos" w:hAnsi="Aptos"/>
                <w:b/>
                <w:color w:val="FFFFFF"/>
                <w:sz w:val="15"/>
              </w:rPr>
              <w:t>Target level</w:t>
            </w:r>
          </w:p>
        </w:tc>
        <w:tc>
          <w:tcPr>
            <w:tcW w:type="dxa" w:w="1440"/>
            <w:vAlign w:val="center"/>
            <w:shd w:fill="17324D"/>
          </w:tcPr>
          <w:p>
            <w:pPr>
              <w:spacing w:after="0"/>
            </w:pPr>
            <w:r/>
            <w:r>
              <w:rPr>
                <w:rFonts w:ascii="Aptos" w:hAnsi="Aptos"/>
                <w:b/>
                <w:color w:val="FFFFFF"/>
                <w:sz w:val="15"/>
              </w:rPr>
              <w:t>Gap</w:t>
            </w:r>
          </w:p>
        </w:tc>
        <w:tc>
          <w:tcPr>
            <w:tcW w:type="dxa" w:w="1872"/>
            <w:vAlign w:val="center"/>
            <w:shd w:fill="17324D"/>
          </w:tcPr>
          <w:p>
            <w:pPr>
              <w:spacing w:after="0"/>
            </w:pPr>
            <w:r/>
            <w:r>
              <w:rPr>
                <w:rFonts w:ascii="Aptos" w:hAnsi="Aptos"/>
                <w:b/>
                <w:color w:val="FFFFFF"/>
                <w:sz w:val="15"/>
              </w:rPr>
              <w:t>Action</w:t>
            </w:r>
          </w:p>
        </w:tc>
        <w:tc>
          <w:tcPr>
            <w:tcW w:type="dxa" w:w="1152"/>
            <w:vAlign w:val="center"/>
            <w:shd w:fill="17324D"/>
          </w:tcPr>
          <w:p>
            <w:pPr>
              <w:spacing w:after="0"/>
            </w:pPr>
            <w:r/>
            <w:r>
              <w:rPr>
                <w:rFonts w:ascii="Aptos" w:hAnsi="Aptos"/>
                <w:b/>
                <w:color w:val="FFFFFF"/>
                <w:sz w:val="15"/>
              </w:rPr>
              <w:t>Owner</w:t>
            </w:r>
          </w:p>
        </w:tc>
      </w:tr>
      <w:tr>
        <w:trPr>
          <w:cantSplit/>
        </w:trPr>
        <w:tc>
          <w:tcPr>
            <w:tcW w:type="dxa" w:w="1584"/>
            <w:vAlign w:val="center"/>
          </w:tcPr>
          <w:p>
            <w:pPr>
              <w:spacing w:after="0"/>
            </w:pPr>
            <w:r/>
            <w:r>
              <w:rPr>
                <w:rFonts w:ascii="Aptos" w:hAnsi="Aptos"/>
                <w:b w:val="0"/>
                <w:sz w:val="15"/>
              </w:rPr>
              <w:t>Governance</w:t>
            </w:r>
          </w:p>
        </w:tc>
        <w:tc>
          <w:tcPr>
            <w:tcW w:type="dxa" w:w="1152"/>
            <w:vAlign w:val="center"/>
          </w:tcPr>
          <w:p>
            <w:pPr>
              <w:spacing w:after="0"/>
            </w:pPr>
            <w:r/>
            <w:r>
              <w:rPr>
                <w:rFonts w:ascii="Aptos" w:hAnsi="Aptos"/>
                <w:b w:val="0"/>
                <w:sz w:val="15"/>
              </w:rPr>
            </w:r>
          </w:p>
        </w:tc>
        <w:tc>
          <w:tcPr>
            <w:tcW w:type="dxa" w:w="2016"/>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872"/>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r>
      <w:tr>
        <w:trPr>
          <w:cantSplit/>
        </w:trPr>
        <w:tc>
          <w:tcPr>
            <w:tcW w:type="dxa" w:w="1584"/>
            <w:vAlign w:val="center"/>
            <w:shd w:fill="F3F6F7"/>
          </w:tcPr>
          <w:p>
            <w:pPr>
              <w:spacing w:after="0"/>
            </w:pPr>
            <w:r/>
            <w:r>
              <w:rPr>
                <w:rFonts w:ascii="Aptos" w:hAnsi="Aptos"/>
                <w:b w:val="0"/>
                <w:sz w:val="15"/>
              </w:rPr>
              <w:t>Ownership</w:t>
            </w:r>
          </w:p>
        </w:tc>
        <w:tc>
          <w:tcPr>
            <w:tcW w:type="dxa" w:w="1152"/>
            <w:vAlign w:val="center"/>
            <w:shd w:fill="F3F6F7"/>
          </w:tcPr>
          <w:p>
            <w:pPr>
              <w:spacing w:after="0"/>
            </w:pPr>
            <w:r/>
            <w:r>
              <w:rPr>
                <w:rFonts w:ascii="Aptos" w:hAnsi="Aptos"/>
                <w:b w:val="0"/>
                <w:sz w:val="15"/>
              </w:rPr>
            </w:r>
          </w:p>
        </w:tc>
        <w:tc>
          <w:tcPr>
            <w:tcW w:type="dxa" w:w="2016"/>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872"/>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r>
      <w:tr>
        <w:trPr>
          <w:cantSplit/>
        </w:trPr>
        <w:tc>
          <w:tcPr>
            <w:tcW w:type="dxa" w:w="1584"/>
            <w:vAlign w:val="center"/>
          </w:tcPr>
          <w:p>
            <w:pPr>
              <w:spacing w:after="0"/>
            </w:pPr>
            <w:r/>
            <w:r>
              <w:rPr>
                <w:rFonts w:ascii="Aptos" w:hAnsi="Aptos"/>
                <w:b w:val="0"/>
                <w:sz w:val="15"/>
              </w:rPr>
              <w:t>Process</w:t>
            </w:r>
          </w:p>
        </w:tc>
        <w:tc>
          <w:tcPr>
            <w:tcW w:type="dxa" w:w="1152"/>
            <w:vAlign w:val="center"/>
          </w:tcPr>
          <w:p>
            <w:pPr>
              <w:spacing w:after="0"/>
            </w:pPr>
            <w:r/>
            <w:r>
              <w:rPr>
                <w:rFonts w:ascii="Aptos" w:hAnsi="Aptos"/>
                <w:b w:val="0"/>
                <w:sz w:val="15"/>
              </w:rPr>
            </w:r>
          </w:p>
        </w:tc>
        <w:tc>
          <w:tcPr>
            <w:tcW w:type="dxa" w:w="2016"/>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872"/>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r>
      <w:tr>
        <w:trPr>
          <w:cantSplit/>
        </w:trPr>
        <w:tc>
          <w:tcPr>
            <w:tcW w:type="dxa" w:w="1584"/>
            <w:vAlign w:val="center"/>
            <w:shd w:fill="F3F6F7"/>
          </w:tcPr>
          <w:p>
            <w:pPr>
              <w:spacing w:after="0"/>
            </w:pPr>
            <w:r/>
            <w:r>
              <w:rPr>
                <w:rFonts w:ascii="Aptos" w:hAnsi="Aptos"/>
                <w:b w:val="0"/>
                <w:sz w:val="15"/>
              </w:rPr>
              <w:t>Technology</w:t>
            </w:r>
          </w:p>
        </w:tc>
        <w:tc>
          <w:tcPr>
            <w:tcW w:type="dxa" w:w="1152"/>
            <w:vAlign w:val="center"/>
            <w:shd w:fill="F3F6F7"/>
          </w:tcPr>
          <w:p>
            <w:pPr>
              <w:spacing w:after="0"/>
            </w:pPr>
            <w:r/>
            <w:r>
              <w:rPr>
                <w:rFonts w:ascii="Aptos" w:hAnsi="Aptos"/>
                <w:b w:val="0"/>
                <w:sz w:val="15"/>
              </w:rPr>
            </w:r>
          </w:p>
        </w:tc>
        <w:tc>
          <w:tcPr>
            <w:tcW w:type="dxa" w:w="2016"/>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872"/>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r>
      <w:tr>
        <w:trPr>
          <w:cantSplit/>
        </w:trPr>
        <w:tc>
          <w:tcPr>
            <w:tcW w:type="dxa" w:w="1584"/>
            <w:vAlign w:val="center"/>
          </w:tcPr>
          <w:p>
            <w:pPr>
              <w:spacing w:after="0"/>
            </w:pPr>
            <w:r/>
            <w:r>
              <w:rPr>
                <w:rFonts w:ascii="Aptos" w:hAnsi="Aptos"/>
                <w:b w:val="0"/>
                <w:sz w:val="15"/>
              </w:rPr>
              <w:t>Evidence</w:t>
            </w:r>
          </w:p>
        </w:tc>
        <w:tc>
          <w:tcPr>
            <w:tcW w:type="dxa" w:w="1152"/>
            <w:vAlign w:val="center"/>
          </w:tcPr>
          <w:p>
            <w:pPr>
              <w:spacing w:after="0"/>
            </w:pPr>
            <w:r/>
            <w:r>
              <w:rPr>
                <w:rFonts w:ascii="Aptos" w:hAnsi="Aptos"/>
                <w:b w:val="0"/>
                <w:sz w:val="15"/>
              </w:rPr>
            </w:r>
          </w:p>
        </w:tc>
        <w:tc>
          <w:tcPr>
            <w:tcW w:type="dxa" w:w="2016"/>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872"/>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r>
      <w:tr>
        <w:trPr>
          <w:cantSplit/>
        </w:trPr>
        <w:tc>
          <w:tcPr>
            <w:tcW w:type="dxa" w:w="1584"/>
            <w:vAlign w:val="center"/>
            <w:shd w:fill="F3F6F7"/>
          </w:tcPr>
          <w:p>
            <w:pPr>
              <w:spacing w:after="0"/>
            </w:pPr>
            <w:r/>
            <w:r>
              <w:rPr>
                <w:rFonts w:ascii="Aptos" w:hAnsi="Aptos"/>
                <w:b w:val="0"/>
                <w:sz w:val="15"/>
              </w:rPr>
              <w:t>Metrics</w:t>
            </w:r>
          </w:p>
        </w:tc>
        <w:tc>
          <w:tcPr>
            <w:tcW w:type="dxa" w:w="1152"/>
            <w:vAlign w:val="center"/>
            <w:shd w:fill="F3F6F7"/>
          </w:tcPr>
          <w:p>
            <w:pPr>
              <w:spacing w:after="0"/>
            </w:pPr>
            <w:r/>
            <w:r>
              <w:rPr>
                <w:rFonts w:ascii="Aptos" w:hAnsi="Aptos"/>
                <w:b w:val="0"/>
                <w:sz w:val="15"/>
              </w:rPr>
            </w:r>
          </w:p>
        </w:tc>
        <w:tc>
          <w:tcPr>
            <w:tcW w:type="dxa" w:w="2016"/>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872"/>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r>
      <w:tr>
        <w:trPr>
          <w:cantSplit/>
        </w:trPr>
        <w:tc>
          <w:tcPr>
            <w:tcW w:type="dxa" w:w="1584"/>
            <w:vAlign w:val="center"/>
          </w:tcPr>
          <w:p>
            <w:pPr>
              <w:spacing w:after="0"/>
            </w:pPr>
            <w:r/>
            <w:r>
              <w:rPr>
                <w:rFonts w:ascii="Aptos" w:hAnsi="Aptos"/>
                <w:b w:val="0"/>
                <w:sz w:val="15"/>
              </w:rPr>
              <w:t>Assurance</w:t>
            </w:r>
          </w:p>
        </w:tc>
        <w:tc>
          <w:tcPr>
            <w:tcW w:type="dxa" w:w="1152"/>
            <w:vAlign w:val="center"/>
          </w:tcPr>
          <w:p>
            <w:pPr>
              <w:spacing w:after="0"/>
            </w:pPr>
            <w:r/>
            <w:r>
              <w:rPr>
                <w:rFonts w:ascii="Aptos" w:hAnsi="Aptos"/>
                <w:b w:val="0"/>
                <w:sz w:val="15"/>
              </w:rPr>
            </w:r>
          </w:p>
        </w:tc>
        <w:tc>
          <w:tcPr>
            <w:tcW w:type="dxa" w:w="2016"/>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872"/>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r>
      <w:tr>
        <w:trPr>
          <w:cantSplit/>
        </w:trPr>
        <w:tc>
          <w:tcPr>
            <w:tcW w:type="dxa" w:w="1584"/>
            <w:vAlign w:val="center"/>
            <w:shd w:fill="F3F6F7"/>
          </w:tcPr>
          <w:p>
            <w:pPr>
              <w:spacing w:after="0"/>
            </w:pPr>
            <w:r/>
            <w:r>
              <w:rPr>
                <w:rFonts w:ascii="Aptos" w:hAnsi="Aptos"/>
                <w:b w:val="0"/>
                <w:sz w:val="15"/>
              </w:rPr>
              <w:t>Learning</w:t>
            </w:r>
          </w:p>
        </w:tc>
        <w:tc>
          <w:tcPr>
            <w:tcW w:type="dxa" w:w="1152"/>
            <w:vAlign w:val="center"/>
            <w:shd w:fill="F3F6F7"/>
          </w:tcPr>
          <w:p>
            <w:pPr>
              <w:spacing w:after="0"/>
            </w:pPr>
            <w:r/>
            <w:r>
              <w:rPr>
                <w:rFonts w:ascii="Aptos" w:hAnsi="Aptos"/>
                <w:b w:val="0"/>
                <w:sz w:val="15"/>
              </w:rPr>
            </w:r>
          </w:p>
        </w:tc>
        <w:tc>
          <w:tcPr>
            <w:tcW w:type="dxa" w:w="2016"/>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872"/>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r>
      <w:tr>
        <w:trPr>
          <w:cantSplit/>
        </w:trPr>
        <w:tc>
          <w:tcPr>
            <w:tcW w:type="dxa" w:w="1584"/>
            <w:vAlign w:val="center"/>
          </w:tcPr>
          <w:p>
            <w:pPr>
              <w:spacing w:after="0"/>
            </w:pPr>
            <w:r/>
            <w:r>
              <w:rPr>
                <w:rFonts w:ascii="Aptos" w:hAnsi="Aptos"/>
                <w:b w:val="0"/>
                <w:sz w:val="15"/>
              </w:rPr>
              <w:t>Adaptability</w:t>
            </w:r>
          </w:p>
        </w:tc>
        <w:tc>
          <w:tcPr>
            <w:tcW w:type="dxa" w:w="1152"/>
            <w:vAlign w:val="center"/>
          </w:tcPr>
          <w:p>
            <w:pPr>
              <w:spacing w:after="0"/>
            </w:pPr>
            <w:r/>
            <w:r>
              <w:rPr>
                <w:rFonts w:ascii="Aptos" w:hAnsi="Aptos"/>
                <w:b w:val="0"/>
                <w:sz w:val="15"/>
              </w:rPr>
            </w:r>
          </w:p>
        </w:tc>
        <w:tc>
          <w:tcPr>
            <w:tcW w:type="dxa" w:w="2016"/>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872"/>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r>
    </w:tbl>
    <w:p/>
    <w:p>
      <w:pPr>
        <w:pStyle w:val="Heading1"/>
      </w:pPr>
      <w:r>
        <w:t>Annex B - Improvement Initiative Template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024"/>
            <w:vAlign w:val="center"/>
            <w:shd w:fill="17324D"/>
          </w:tcPr>
          <w:p>
            <w:pPr>
              <w:spacing w:after="0"/>
            </w:pPr>
            <w:r/>
            <w:r>
              <w:rPr>
                <w:rFonts w:ascii="Aptos" w:hAnsi="Aptos"/>
                <w:b/>
                <w:color w:val="FFFFFF"/>
                <w:sz w:val="15"/>
              </w:rPr>
              <w:t>Field</w:t>
            </w:r>
          </w:p>
        </w:tc>
        <w:tc>
          <w:tcPr>
            <w:tcW w:type="dxa" w:w="6624"/>
            <w:vAlign w:val="center"/>
            <w:shd w:fill="17324D"/>
          </w:tcPr>
          <w:p>
            <w:pPr>
              <w:spacing w:after="0"/>
            </w:pPr>
            <w:r/>
            <w:r>
              <w:rPr>
                <w:rFonts w:ascii="Aptos" w:hAnsi="Aptos"/>
                <w:b/>
                <w:color w:val="FFFFFF"/>
                <w:sz w:val="15"/>
              </w:rPr>
              <w:t>Entry</w:t>
            </w:r>
          </w:p>
        </w:tc>
      </w:tr>
      <w:tr>
        <w:trPr>
          <w:cantSplit/>
        </w:trPr>
        <w:tc>
          <w:tcPr>
            <w:tcW w:type="dxa" w:w="3024"/>
            <w:vAlign w:val="center"/>
          </w:tcPr>
          <w:p>
            <w:pPr>
              <w:spacing w:after="0"/>
            </w:pPr>
            <w:r/>
            <w:r>
              <w:rPr>
                <w:rFonts w:ascii="Aptos" w:hAnsi="Aptos"/>
                <w:b w:val="0"/>
                <w:sz w:val="15"/>
              </w:rPr>
              <w:t>Initiative ID</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Problem/opportunity</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Affected controls</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Scope</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Priority</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Root cause</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Actions</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Owner</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Resources</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Dependencies</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Milestones</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Success measures</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Risks</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Evidence</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Closure decision</w:t>
            </w:r>
          </w:p>
        </w:tc>
        <w:tc>
          <w:tcPr>
            <w:tcW w:type="dxa" w:w="6624"/>
            <w:vAlign w:val="center"/>
          </w:tcPr>
          <w:p>
            <w:pPr>
              <w:spacing w:after="0"/>
            </w:pPr>
            <w:r/>
            <w:r>
              <w:rPr>
                <w:rFonts w:ascii="Aptos" w:hAnsi="Aptos"/>
                <w:b w:val="0"/>
                <w:sz w:val="15"/>
              </w:rPr>
            </w:r>
          </w:p>
        </w:tc>
      </w:tr>
    </w:tbl>
    <w:p/>
    <w:p>
      <w:pPr>
        <w:pStyle w:val="Heading1"/>
      </w:pPr>
      <w:r>
        <w:t>Annex C - CAPA Record</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024"/>
            <w:vAlign w:val="center"/>
            <w:shd w:fill="17324D"/>
          </w:tcPr>
          <w:p>
            <w:pPr>
              <w:spacing w:after="0"/>
            </w:pPr>
            <w:r/>
            <w:r>
              <w:rPr>
                <w:rFonts w:ascii="Aptos" w:hAnsi="Aptos"/>
                <w:b/>
                <w:color w:val="FFFFFF"/>
                <w:sz w:val="15"/>
              </w:rPr>
              <w:t>Field</w:t>
            </w:r>
          </w:p>
        </w:tc>
        <w:tc>
          <w:tcPr>
            <w:tcW w:type="dxa" w:w="6624"/>
            <w:vAlign w:val="center"/>
            <w:shd w:fill="17324D"/>
          </w:tcPr>
          <w:p>
            <w:pPr>
              <w:spacing w:after="0"/>
            </w:pPr>
            <w:r/>
            <w:r>
              <w:rPr>
                <w:rFonts w:ascii="Aptos" w:hAnsi="Aptos"/>
                <w:b/>
                <w:color w:val="FFFFFF"/>
                <w:sz w:val="15"/>
              </w:rPr>
              <w:t>Entry</w:t>
            </w:r>
          </w:p>
        </w:tc>
      </w:tr>
      <w:tr>
        <w:trPr>
          <w:cantSplit/>
        </w:trPr>
        <w:tc>
          <w:tcPr>
            <w:tcW w:type="dxa" w:w="3024"/>
            <w:vAlign w:val="center"/>
          </w:tcPr>
          <w:p>
            <w:pPr>
              <w:spacing w:after="0"/>
            </w:pPr>
            <w:r/>
            <w:r>
              <w:rPr>
                <w:rFonts w:ascii="Aptos" w:hAnsi="Aptos"/>
                <w:b w:val="0"/>
                <w:sz w:val="15"/>
              </w:rPr>
              <w:t>Finding/incident ID</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Correction</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Containment</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Root cause</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Corrective action</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Preventive action</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Owner</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Due date</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Validation method</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Related systems</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Evidence</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Independent review</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Closure date</w:t>
            </w:r>
          </w:p>
        </w:tc>
        <w:tc>
          <w:tcPr>
            <w:tcW w:type="dxa" w:w="6624"/>
            <w:vAlign w:val="center"/>
          </w:tcPr>
          <w:p>
            <w:pPr>
              <w:spacing w:after="0"/>
            </w:pPr>
            <w:r/>
            <w:r>
              <w:rPr>
                <w:rFonts w:ascii="Aptos" w:hAnsi="Aptos"/>
                <w:b w:val="0"/>
                <w:sz w:val="15"/>
              </w:rPr>
            </w:r>
          </w:p>
        </w:tc>
      </w:tr>
    </w:tbl>
    <w:p/>
    <w:p>
      <w:pPr>
        <w:pStyle w:val="Heading1"/>
      </w:pPr>
      <w:r>
        <w:t>Annex D - Lessons-Learned Record</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024"/>
            <w:vAlign w:val="center"/>
            <w:shd w:fill="17324D"/>
          </w:tcPr>
          <w:p>
            <w:pPr>
              <w:spacing w:after="0"/>
            </w:pPr>
            <w:r/>
            <w:r>
              <w:rPr>
                <w:rFonts w:ascii="Aptos" w:hAnsi="Aptos"/>
                <w:b/>
                <w:color w:val="FFFFFF"/>
                <w:sz w:val="15"/>
              </w:rPr>
              <w:t>Field</w:t>
            </w:r>
          </w:p>
        </w:tc>
        <w:tc>
          <w:tcPr>
            <w:tcW w:type="dxa" w:w="6624"/>
            <w:vAlign w:val="center"/>
            <w:shd w:fill="17324D"/>
          </w:tcPr>
          <w:p>
            <w:pPr>
              <w:spacing w:after="0"/>
            </w:pPr>
            <w:r/>
            <w:r>
              <w:rPr>
                <w:rFonts w:ascii="Aptos" w:hAnsi="Aptos"/>
                <w:b/>
                <w:color w:val="FFFFFF"/>
                <w:sz w:val="15"/>
              </w:rPr>
              <w:t>Entry</w:t>
            </w:r>
          </w:p>
        </w:tc>
      </w:tr>
      <w:tr>
        <w:trPr>
          <w:cantSplit/>
        </w:trPr>
        <w:tc>
          <w:tcPr>
            <w:tcW w:type="dxa" w:w="3024"/>
            <w:vAlign w:val="center"/>
          </w:tcPr>
          <w:p>
            <w:pPr>
              <w:spacing w:after="0"/>
            </w:pPr>
            <w:r/>
            <w:r>
              <w:rPr>
                <w:rFonts w:ascii="Aptos" w:hAnsi="Aptos"/>
                <w:b w:val="0"/>
                <w:sz w:val="15"/>
              </w:rPr>
              <w:t>Event</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Context</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What happened</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What worked</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What failed</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Root cause</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Transferability</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Required action</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Owner</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Validation</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Review date</w:t>
            </w:r>
          </w:p>
        </w:tc>
        <w:tc>
          <w:tcPr>
            <w:tcW w:type="dxa" w:w="6624"/>
            <w:vAlign w:val="center"/>
          </w:tcPr>
          <w:p>
            <w:pPr>
              <w:spacing w:after="0"/>
            </w:pPr>
            <w:r/>
            <w:r>
              <w:rPr>
                <w:rFonts w:ascii="Aptos" w:hAnsi="Aptos"/>
                <w:b w:val="0"/>
                <w:sz w:val="15"/>
              </w:rPr>
            </w:r>
          </w:p>
        </w:tc>
      </w:tr>
    </w:tbl>
    <w:p/>
    <w:p>
      <w:pPr>
        <w:pStyle w:val="Heading1"/>
      </w:pPr>
      <w:r>
        <w:t>Annex E - Improvement Dashboard Template</w:t>
      </w:r>
    </w:p>
    <w:tbl>
      <w:tblPr>
        <w:tblStyle w:val="TableGrid"/>
        <w:tblW w:type="auto" w:w="0"/>
        <w:jc w:val="center"/>
        <w:tblLook w:firstColumn="1" w:firstRow="1" w:lastColumn="0" w:lastRow="0" w:noHBand="0" w:noVBand="1" w:val="04A0"/>
      </w:tblPr>
      <w:tblGrid>
        <w:gridCol w:w="1714"/>
        <w:gridCol w:w="1714"/>
        <w:gridCol w:w="1714"/>
        <w:gridCol w:w="1714"/>
        <w:gridCol w:w="1714"/>
        <w:gridCol w:w="1714"/>
      </w:tblGrid>
      <w:tr>
        <w:trPr>
          <w:tblHeader w:val="true"/>
          <w:cantSplit/>
        </w:trPr>
        <w:tc>
          <w:tcPr>
            <w:tcW w:type="dxa" w:w="2592"/>
            <w:vAlign w:val="center"/>
            <w:shd w:fill="17324D"/>
          </w:tcPr>
          <w:p>
            <w:pPr>
              <w:spacing w:after="0"/>
            </w:pPr>
            <w:r/>
            <w:r>
              <w:rPr>
                <w:rFonts w:ascii="Aptos" w:hAnsi="Aptos"/>
                <w:b/>
                <w:color w:val="FFFFFF"/>
                <w:sz w:val="15"/>
              </w:rPr>
              <w:t>Indicator</w:t>
            </w:r>
          </w:p>
        </w:tc>
        <w:tc>
          <w:tcPr>
            <w:tcW w:type="dxa" w:w="1296"/>
            <w:vAlign w:val="center"/>
            <w:shd w:fill="17324D"/>
          </w:tcPr>
          <w:p>
            <w:pPr>
              <w:spacing w:after="0"/>
            </w:pPr>
            <w:r/>
            <w:r>
              <w:rPr>
                <w:rFonts w:ascii="Aptos" w:hAnsi="Aptos"/>
                <w:b/>
                <w:color w:val="FFFFFF"/>
                <w:sz w:val="15"/>
              </w:rPr>
              <w:t>Current</w:t>
            </w:r>
          </w:p>
        </w:tc>
        <w:tc>
          <w:tcPr>
            <w:tcW w:type="dxa" w:w="1296"/>
            <w:vAlign w:val="center"/>
            <w:shd w:fill="17324D"/>
          </w:tcPr>
          <w:p>
            <w:pPr>
              <w:spacing w:after="0"/>
            </w:pPr>
            <w:r/>
            <w:r>
              <w:rPr>
                <w:rFonts w:ascii="Aptos" w:hAnsi="Aptos"/>
                <w:b/>
                <w:color w:val="FFFFFF"/>
                <w:sz w:val="15"/>
              </w:rPr>
              <w:t>Target</w:t>
            </w:r>
          </w:p>
        </w:tc>
        <w:tc>
          <w:tcPr>
            <w:tcW w:type="dxa" w:w="1152"/>
            <w:vAlign w:val="center"/>
            <w:shd w:fill="17324D"/>
          </w:tcPr>
          <w:p>
            <w:pPr>
              <w:spacing w:after="0"/>
            </w:pPr>
            <w:r/>
            <w:r>
              <w:rPr>
                <w:rFonts w:ascii="Aptos" w:hAnsi="Aptos"/>
                <w:b/>
                <w:color w:val="FFFFFF"/>
                <w:sz w:val="15"/>
              </w:rPr>
              <w:t>Trend</w:t>
            </w:r>
          </w:p>
        </w:tc>
        <w:tc>
          <w:tcPr>
            <w:tcW w:type="dxa" w:w="1440"/>
            <w:vAlign w:val="center"/>
            <w:shd w:fill="17324D"/>
          </w:tcPr>
          <w:p>
            <w:pPr>
              <w:spacing w:after="0"/>
            </w:pPr>
            <w:r/>
            <w:r>
              <w:rPr>
                <w:rFonts w:ascii="Aptos" w:hAnsi="Aptos"/>
                <w:b/>
                <w:color w:val="FFFFFF"/>
                <w:sz w:val="15"/>
              </w:rPr>
              <w:t>Owner</w:t>
            </w:r>
          </w:p>
        </w:tc>
        <w:tc>
          <w:tcPr>
            <w:tcW w:type="dxa" w:w="2160"/>
            <w:vAlign w:val="center"/>
            <w:shd w:fill="17324D"/>
          </w:tcPr>
          <w:p>
            <w:pPr>
              <w:spacing w:after="0"/>
            </w:pPr>
            <w:r/>
            <w:r>
              <w:rPr>
                <w:rFonts w:ascii="Aptos" w:hAnsi="Aptos"/>
                <w:b/>
                <w:color w:val="FFFFFF"/>
                <w:sz w:val="15"/>
              </w:rPr>
              <w:t>Decision/action</w:t>
            </w:r>
          </w:p>
        </w:tc>
      </w:tr>
      <w:tr>
        <w:trPr>
          <w:cantSplit/>
        </w:trPr>
        <w:tc>
          <w:tcPr>
            <w:tcW w:type="dxa" w:w="2592"/>
            <w:vAlign w:val="center"/>
          </w:tcPr>
          <w:p>
            <w:pPr>
              <w:spacing w:after="0"/>
            </w:pPr>
            <w:r/>
            <w:r>
              <w:rPr>
                <w:rFonts w:ascii="Aptos" w:hAnsi="Aptos"/>
                <w:b w:val="0"/>
                <w:sz w:val="15"/>
              </w:rPr>
              <w:t>P0/P1 actions open</w:t>
            </w:r>
          </w:p>
        </w:tc>
        <w:tc>
          <w:tcPr>
            <w:tcW w:type="dxa" w:w="1296"/>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2160"/>
            <w:vAlign w:val="center"/>
          </w:tcPr>
          <w:p>
            <w:pPr>
              <w:spacing w:after="0"/>
            </w:pPr>
            <w:r/>
            <w:r>
              <w:rPr>
                <w:rFonts w:ascii="Aptos" w:hAnsi="Aptos"/>
                <w:b w:val="0"/>
                <w:sz w:val="15"/>
              </w:rPr>
            </w:r>
          </w:p>
        </w:tc>
      </w:tr>
      <w:tr>
        <w:trPr>
          <w:cantSplit/>
        </w:trPr>
        <w:tc>
          <w:tcPr>
            <w:tcW w:type="dxa" w:w="2592"/>
            <w:vAlign w:val="center"/>
            <w:shd w:fill="F3F6F7"/>
          </w:tcPr>
          <w:p>
            <w:pPr>
              <w:spacing w:after="0"/>
            </w:pPr>
            <w:r/>
            <w:r>
              <w:rPr>
                <w:rFonts w:ascii="Aptos" w:hAnsi="Aptos"/>
                <w:b w:val="0"/>
                <w:sz w:val="15"/>
              </w:rPr>
              <w:t>Overdue CAPA</w:t>
            </w:r>
          </w:p>
        </w:tc>
        <w:tc>
          <w:tcPr>
            <w:tcW w:type="dxa" w:w="1296"/>
            <w:vAlign w:val="center"/>
            <w:shd w:fill="F3F6F7"/>
          </w:tcPr>
          <w:p>
            <w:pPr>
              <w:spacing w:after="0"/>
            </w:pPr>
            <w:r/>
            <w:r>
              <w:rPr>
                <w:rFonts w:ascii="Aptos" w:hAnsi="Aptos"/>
                <w:b w:val="0"/>
                <w:sz w:val="15"/>
              </w:rPr>
            </w:r>
          </w:p>
        </w:tc>
        <w:tc>
          <w:tcPr>
            <w:tcW w:type="dxa" w:w="1296"/>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2160"/>
            <w:vAlign w:val="center"/>
            <w:shd w:fill="F3F6F7"/>
          </w:tcPr>
          <w:p>
            <w:pPr>
              <w:spacing w:after="0"/>
            </w:pPr>
            <w:r/>
            <w:r>
              <w:rPr>
                <w:rFonts w:ascii="Aptos" w:hAnsi="Aptos"/>
                <w:b w:val="0"/>
                <w:sz w:val="15"/>
              </w:rPr>
            </w:r>
          </w:p>
        </w:tc>
      </w:tr>
      <w:tr>
        <w:trPr>
          <w:cantSplit/>
        </w:trPr>
        <w:tc>
          <w:tcPr>
            <w:tcW w:type="dxa" w:w="2592"/>
            <w:vAlign w:val="center"/>
          </w:tcPr>
          <w:p>
            <w:pPr>
              <w:spacing w:after="0"/>
            </w:pPr>
            <w:r/>
            <w:r>
              <w:rPr>
                <w:rFonts w:ascii="Aptos" w:hAnsi="Aptos"/>
                <w:b w:val="0"/>
                <w:sz w:val="15"/>
              </w:rPr>
              <w:t>Repeat issue rate</w:t>
            </w:r>
          </w:p>
        </w:tc>
        <w:tc>
          <w:tcPr>
            <w:tcW w:type="dxa" w:w="1296"/>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2160"/>
            <w:vAlign w:val="center"/>
          </w:tcPr>
          <w:p>
            <w:pPr>
              <w:spacing w:after="0"/>
            </w:pPr>
            <w:r/>
            <w:r>
              <w:rPr>
                <w:rFonts w:ascii="Aptos" w:hAnsi="Aptos"/>
                <w:b w:val="0"/>
                <w:sz w:val="15"/>
              </w:rPr>
            </w:r>
          </w:p>
        </w:tc>
      </w:tr>
      <w:tr>
        <w:trPr>
          <w:cantSplit/>
        </w:trPr>
        <w:tc>
          <w:tcPr>
            <w:tcW w:type="dxa" w:w="2592"/>
            <w:vAlign w:val="center"/>
            <w:shd w:fill="F3F6F7"/>
          </w:tcPr>
          <w:p>
            <w:pPr>
              <w:spacing w:after="0"/>
            </w:pPr>
            <w:r/>
            <w:r>
              <w:rPr>
                <w:rFonts w:ascii="Aptos" w:hAnsi="Aptos"/>
                <w:b w:val="0"/>
                <w:sz w:val="15"/>
              </w:rPr>
              <w:t>Failed retests</w:t>
            </w:r>
          </w:p>
        </w:tc>
        <w:tc>
          <w:tcPr>
            <w:tcW w:type="dxa" w:w="1296"/>
            <w:vAlign w:val="center"/>
            <w:shd w:fill="F3F6F7"/>
          </w:tcPr>
          <w:p>
            <w:pPr>
              <w:spacing w:after="0"/>
            </w:pPr>
            <w:r/>
            <w:r>
              <w:rPr>
                <w:rFonts w:ascii="Aptos" w:hAnsi="Aptos"/>
                <w:b w:val="0"/>
                <w:sz w:val="15"/>
              </w:rPr>
            </w:r>
          </w:p>
        </w:tc>
        <w:tc>
          <w:tcPr>
            <w:tcW w:type="dxa" w:w="1296"/>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2160"/>
            <w:vAlign w:val="center"/>
            <w:shd w:fill="F3F6F7"/>
          </w:tcPr>
          <w:p>
            <w:pPr>
              <w:spacing w:after="0"/>
            </w:pPr>
            <w:r/>
            <w:r>
              <w:rPr>
                <w:rFonts w:ascii="Aptos" w:hAnsi="Aptos"/>
                <w:b w:val="0"/>
                <w:sz w:val="15"/>
              </w:rPr>
            </w:r>
          </w:p>
        </w:tc>
      </w:tr>
      <w:tr>
        <w:trPr>
          <w:cantSplit/>
        </w:trPr>
        <w:tc>
          <w:tcPr>
            <w:tcW w:type="dxa" w:w="2592"/>
            <w:vAlign w:val="center"/>
          </w:tcPr>
          <w:p>
            <w:pPr>
              <w:spacing w:after="0"/>
            </w:pPr>
            <w:r/>
            <w:r>
              <w:rPr>
                <w:rFonts w:ascii="Aptos" w:hAnsi="Aptos"/>
                <w:b w:val="0"/>
                <w:sz w:val="15"/>
              </w:rPr>
              <w:t>Maturity progress</w:t>
            </w:r>
          </w:p>
        </w:tc>
        <w:tc>
          <w:tcPr>
            <w:tcW w:type="dxa" w:w="1296"/>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2160"/>
            <w:vAlign w:val="center"/>
          </w:tcPr>
          <w:p>
            <w:pPr>
              <w:spacing w:after="0"/>
            </w:pPr>
            <w:r/>
            <w:r>
              <w:rPr>
                <w:rFonts w:ascii="Aptos" w:hAnsi="Aptos"/>
                <w:b w:val="0"/>
                <w:sz w:val="15"/>
              </w:rPr>
            </w:r>
          </w:p>
        </w:tc>
      </w:tr>
      <w:tr>
        <w:trPr>
          <w:cantSplit/>
        </w:trPr>
        <w:tc>
          <w:tcPr>
            <w:tcW w:type="dxa" w:w="2592"/>
            <w:vAlign w:val="center"/>
            <w:shd w:fill="F3F6F7"/>
          </w:tcPr>
          <w:p>
            <w:pPr>
              <w:spacing w:after="0"/>
            </w:pPr>
            <w:r/>
            <w:r>
              <w:rPr>
                <w:rFonts w:ascii="Aptos" w:hAnsi="Aptos"/>
                <w:b w:val="0"/>
                <w:sz w:val="15"/>
              </w:rPr>
              <w:t>Evidence rejection</w:t>
            </w:r>
          </w:p>
        </w:tc>
        <w:tc>
          <w:tcPr>
            <w:tcW w:type="dxa" w:w="1296"/>
            <w:vAlign w:val="center"/>
            <w:shd w:fill="F3F6F7"/>
          </w:tcPr>
          <w:p>
            <w:pPr>
              <w:spacing w:after="0"/>
            </w:pPr>
            <w:r/>
            <w:r>
              <w:rPr>
                <w:rFonts w:ascii="Aptos" w:hAnsi="Aptos"/>
                <w:b w:val="0"/>
                <w:sz w:val="15"/>
              </w:rPr>
            </w:r>
          </w:p>
        </w:tc>
        <w:tc>
          <w:tcPr>
            <w:tcW w:type="dxa" w:w="1296"/>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2160"/>
            <w:vAlign w:val="center"/>
            <w:shd w:fill="F3F6F7"/>
          </w:tcPr>
          <w:p>
            <w:pPr>
              <w:spacing w:after="0"/>
            </w:pPr>
            <w:r/>
            <w:r>
              <w:rPr>
                <w:rFonts w:ascii="Aptos" w:hAnsi="Aptos"/>
                <w:b w:val="0"/>
                <w:sz w:val="15"/>
              </w:rPr>
            </w:r>
          </w:p>
        </w:tc>
      </w:tr>
      <w:tr>
        <w:trPr>
          <w:cantSplit/>
        </w:trPr>
        <w:tc>
          <w:tcPr>
            <w:tcW w:type="dxa" w:w="2592"/>
            <w:vAlign w:val="center"/>
          </w:tcPr>
          <w:p>
            <w:pPr>
              <w:spacing w:after="0"/>
            </w:pPr>
            <w:r/>
            <w:r>
              <w:rPr>
                <w:rFonts w:ascii="Aptos" w:hAnsi="Aptos"/>
                <w:b w:val="0"/>
                <w:sz w:val="15"/>
              </w:rPr>
              <w:t>Automation coverage</w:t>
            </w:r>
          </w:p>
        </w:tc>
        <w:tc>
          <w:tcPr>
            <w:tcW w:type="dxa" w:w="1296"/>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2160"/>
            <w:vAlign w:val="center"/>
          </w:tcPr>
          <w:p>
            <w:pPr>
              <w:spacing w:after="0"/>
            </w:pPr>
            <w:r/>
            <w:r>
              <w:rPr>
                <w:rFonts w:ascii="Aptos" w:hAnsi="Aptos"/>
                <w:b w:val="0"/>
                <w:sz w:val="15"/>
              </w:rPr>
            </w:r>
          </w:p>
        </w:tc>
      </w:tr>
      <w:tr>
        <w:trPr>
          <w:cantSplit/>
        </w:trPr>
        <w:tc>
          <w:tcPr>
            <w:tcW w:type="dxa" w:w="2592"/>
            <w:vAlign w:val="center"/>
            <w:shd w:fill="F3F6F7"/>
          </w:tcPr>
          <w:p>
            <w:pPr>
              <w:spacing w:after="0"/>
            </w:pPr>
            <w:r/>
            <w:r>
              <w:rPr>
                <w:rFonts w:ascii="Aptos" w:hAnsi="Aptos"/>
                <w:b w:val="0"/>
                <w:sz w:val="15"/>
              </w:rPr>
              <w:t>Supplier improvement</w:t>
            </w:r>
          </w:p>
        </w:tc>
        <w:tc>
          <w:tcPr>
            <w:tcW w:type="dxa" w:w="1296"/>
            <w:vAlign w:val="center"/>
            <w:shd w:fill="F3F6F7"/>
          </w:tcPr>
          <w:p>
            <w:pPr>
              <w:spacing w:after="0"/>
            </w:pPr>
            <w:r/>
            <w:r>
              <w:rPr>
                <w:rFonts w:ascii="Aptos" w:hAnsi="Aptos"/>
                <w:b w:val="0"/>
                <w:sz w:val="15"/>
              </w:rPr>
            </w:r>
          </w:p>
        </w:tc>
        <w:tc>
          <w:tcPr>
            <w:tcW w:type="dxa" w:w="1296"/>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2160"/>
            <w:vAlign w:val="center"/>
            <w:shd w:fill="F3F6F7"/>
          </w:tcPr>
          <w:p>
            <w:pPr>
              <w:spacing w:after="0"/>
            </w:pPr>
            <w:r/>
            <w:r>
              <w:rPr>
                <w:rFonts w:ascii="Aptos" w:hAnsi="Aptos"/>
                <w:b w:val="0"/>
                <w:sz w:val="15"/>
              </w:rPr>
            </w:r>
          </w:p>
        </w:tc>
      </w:tr>
    </w:tbl>
    <w:p/>
    <w:p>
      <w:pPr>
        <w:pStyle w:val="Heading1"/>
      </w:pPr>
      <w:r>
        <w:t>Annex F - Source Traceability</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4320"/>
            <w:vAlign w:val="center"/>
            <w:shd w:fill="17324D"/>
          </w:tcPr>
          <w:p>
            <w:pPr>
              <w:spacing w:after="0"/>
            </w:pPr>
            <w:r/>
            <w:r>
              <w:rPr>
                <w:rFonts w:ascii="Aptos" w:hAnsi="Aptos"/>
                <w:b/>
                <w:color w:val="FFFFFF"/>
                <w:sz w:val="15"/>
              </w:rPr>
              <w:t>Improvement subject</w:t>
            </w:r>
          </w:p>
        </w:tc>
        <w:tc>
          <w:tcPr>
            <w:tcW w:type="dxa" w:w="5040"/>
            <w:vAlign w:val="center"/>
            <w:shd w:fill="17324D"/>
          </w:tcPr>
          <w:p>
            <w:pPr>
              <w:spacing w:after="0"/>
            </w:pPr>
            <w:r/>
            <w:r>
              <w:rPr>
                <w:rFonts w:ascii="Aptos" w:hAnsi="Aptos"/>
                <w:b/>
                <w:color w:val="FFFFFF"/>
                <w:sz w:val="15"/>
              </w:rPr>
              <w:t>Controlled source</w:t>
            </w:r>
          </w:p>
        </w:tc>
      </w:tr>
      <w:tr>
        <w:trPr>
          <w:cantSplit/>
        </w:trPr>
        <w:tc>
          <w:tcPr>
            <w:tcW w:type="dxa" w:w="4320"/>
            <w:vAlign w:val="center"/>
          </w:tcPr>
          <w:p>
            <w:pPr>
              <w:spacing w:after="0"/>
            </w:pPr>
            <w:r/>
            <w:r>
              <w:rPr>
                <w:rFonts w:ascii="Aptos" w:hAnsi="Aptos"/>
                <w:b w:val="0"/>
                <w:sz w:val="15"/>
              </w:rPr>
              <w:t>Normative controls</w:t>
            </w:r>
          </w:p>
        </w:tc>
        <w:tc>
          <w:tcPr>
            <w:tcW w:type="dxa" w:w="5040"/>
            <w:vAlign w:val="center"/>
          </w:tcPr>
          <w:p>
            <w:pPr>
              <w:spacing w:after="0"/>
            </w:pPr>
            <w:r/>
            <w:r>
              <w:rPr>
                <w:rFonts w:ascii="Aptos" w:hAnsi="Aptos"/>
                <w:b w:val="0"/>
                <w:sz w:val="15"/>
              </w:rPr>
              <w:t>GAISSF-NOR-001 and GAISSF-NOR-004</w:t>
            </w:r>
          </w:p>
        </w:tc>
      </w:tr>
      <w:tr>
        <w:trPr>
          <w:cantSplit/>
        </w:trPr>
        <w:tc>
          <w:tcPr>
            <w:tcW w:type="dxa" w:w="4320"/>
            <w:vAlign w:val="center"/>
            <w:shd w:fill="F3F6F7"/>
          </w:tcPr>
          <w:p>
            <w:pPr>
              <w:spacing w:after="0"/>
            </w:pPr>
            <w:r/>
            <w:r>
              <w:rPr>
                <w:rFonts w:ascii="Aptos" w:hAnsi="Aptos"/>
                <w:b w:val="0"/>
                <w:sz w:val="15"/>
              </w:rPr>
              <w:t>Terminology</w:t>
            </w:r>
          </w:p>
        </w:tc>
        <w:tc>
          <w:tcPr>
            <w:tcW w:type="dxa" w:w="5040"/>
            <w:vAlign w:val="center"/>
            <w:shd w:fill="F3F6F7"/>
          </w:tcPr>
          <w:p>
            <w:pPr>
              <w:spacing w:after="0"/>
            </w:pPr>
            <w:r/>
            <w:r>
              <w:rPr>
                <w:rFonts w:ascii="Aptos" w:hAnsi="Aptos"/>
                <w:b w:val="0"/>
                <w:sz w:val="15"/>
              </w:rPr>
              <w:t>GAISSF-NOR-005</w:t>
            </w:r>
          </w:p>
        </w:tc>
      </w:tr>
      <w:tr>
        <w:trPr>
          <w:cantSplit/>
        </w:trPr>
        <w:tc>
          <w:tcPr>
            <w:tcW w:type="dxa" w:w="4320"/>
            <w:vAlign w:val="center"/>
          </w:tcPr>
          <w:p>
            <w:pPr>
              <w:spacing w:after="0"/>
            </w:pPr>
            <w:r/>
            <w:r>
              <w:rPr>
                <w:rFonts w:ascii="Aptos" w:hAnsi="Aptos"/>
                <w:b w:val="0"/>
                <w:sz w:val="15"/>
              </w:rPr>
              <w:t>Release and change history</w:t>
            </w:r>
          </w:p>
        </w:tc>
        <w:tc>
          <w:tcPr>
            <w:tcW w:type="dxa" w:w="5040"/>
            <w:vAlign w:val="center"/>
          </w:tcPr>
          <w:p>
            <w:pPr>
              <w:spacing w:after="0"/>
            </w:pPr>
            <w:r/>
            <w:r>
              <w:rPr>
                <w:rFonts w:ascii="Aptos" w:hAnsi="Aptos"/>
                <w:b w:val="0"/>
                <w:sz w:val="15"/>
              </w:rPr>
              <w:t>GAISSF-NOR-007 and GAISSF-NOR-008</w:t>
            </w:r>
          </w:p>
        </w:tc>
      </w:tr>
      <w:tr>
        <w:trPr>
          <w:cantSplit/>
        </w:trPr>
        <w:tc>
          <w:tcPr>
            <w:tcW w:type="dxa" w:w="4320"/>
            <w:vAlign w:val="center"/>
            <w:shd w:fill="F3F6F7"/>
          </w:tcPr>
          <w:p>
            <w:pPr>
              <w:spacing w:after="0"/>
            </w:pPr>
            <w:r/>
            <w:r>
              <w:rPr>
                <w:rFonts w:ascii="Aptos" w:hAnsi="Aptos"/>
                <w:b w:val="0"/>
                <w:sz w:val="15"/>
              </w:rPr>
              <w:t>Adoption and governance</w:t>
            </w:r>
          </w:p>
        </w:tc>
        <w:tc>
          <w:tcPr>
            <w:tcW w:type="dxa" w:w="5040"/>
            <w:vAlign w:val="center"/>
            <w:shd w:fill="F3F6F7"/>
          </w:tcPr>
          <w:p>
            <w:pPr>
              <w:spacing w:after="0"/>
            </w:pPr>
            <w:r/>
            <w:r>
              <w:rPr>
                <w:rFonts w:ascii="Aptos" w:hAnsi="Aptos"/>
                <w:b w:val="0"/>
                <w:sz w:val="15"/>
              </w:rPr>
              <w:t>GAISSF-IMP-009</w:t>
            </w:r>
          </w:p>
        </w:tc>
      </w:tr>
      <w:tr>
        <w:trPr>
          <w:cantSplit/>
        </w:trPr>
        <w:tc>
          <w:tcPr>
            <w:tcW w:type="dxa" w:w="4320"/>
            <w:vAlign w:val="center"/>
          </w:tcPr>
          <w:p>
            <w:pPr>
              <w:spacing w:after="0"/>
            </w:pPr>
            <w:r/>
            <w:r>
              <w:rPr>
                <w:rFonts w:ascii="Aptos" w:hAnsi="Aptos"/>
                <w:b w:val="0"/>
                <w:sz w:val="15"/>
              </w:rPr>
              <w:t>Implementation and deployment</w:t>
            </w:r>
          </w:p>
        </w:tc>
        <w:tc>
          <w:tcPr>
            <w:tcW w:type="dxa" w:w="5040"/>
            <w:vAlign w:val="center"/>
          </w:tcPr>
          <w:p>
            <w:pPr>
              <w:spacing w:after="0"/>
            </w:pPr>
            <w:r/>
            <w:r>
              <w:rPr>
                <w:rFonts w:ascii="Aptos" w:hAnsi="Aptos"/>
                <w:b w:val="0"/>
                <w:sz w:val="15"/>
              </w:rPr>
              <w:t>GAISSF-IMP-010 and GAISSF-IMP-011</w:t>
            </w:r>
          </w:p>
        </w:tc>
      </w:tr>
      <w:tr>
        <w:trPr>
          <w:cantSplit/>
        </w:trPr>
        <w:tc>
          <w:tcPr>
            <w:tcW w:type="dxa" w:w="4320"/>
            <w:vAlign w:val="center"/>
            <w:shd w:fill="F3F6F7"/>
          </w:tcPr>
          <w:p>
            <w:pPr>
              <w:spacing w:after="0"/>
            </w:pPr>
            <w:r/>
            <w:r>
              <w:rPr>
                <w:rFonts w:ascii="Aptos" w:hAnsi="Aptos"/>
                <w:b w:val="0"/>
                <w:sz w:val="15"/>
              </w:rPr>
              <w:t>Migration and architecture</w:t>
            </w:r>
          </w:p>
        </w:tc>
        <w:tc>
          <w:tcPr>
            <w:tcW w:type="dxa" w:w="5040"/>
            <w:vAlign w:val="center"/>
            <w:shd w:fill="F3F6F7"/>
          </w:tcPr>
          <w:p>
            <w:pPr>
              <w:spacing w:after="0"/>
            </w:pPr>
            <w:r/>
            <w:r>
              <w:rPr>
                <w:rFonts w:ascii="Aptos" w:hAnsi="Aptos"/>
                <w:b w:val="0"/>
                <w:sz w:val="15"/>
              </w:rPr>
              <w:t>GAISSF-IMP-012 and GAISSF-IMP-013</w:t>
            </w:r>
          </w:p>
        </w:tc>
      </w:tr>
      <w:tr>
        <w:trPr>
          <w:cantSplit/>
        </w:trPr>
        <w:tc>
          <w:tcPr>
            <w:tcW w:type="dxa" w:w="4320"/>
            <w:vAlign w:val="center"/>
          </w:tcPr>
          <w:p>
            <w:pPr>
              <w:spacing w:after="0"/>
            </w:pPr>
            <w:r/>
            <w:r>
              <w:rPr>
                <w:rFonts w:ascii="Aptos" w:hAnsi="Aptos"/>
                <w:b w:val="0"/>
                <w:sz w:val="15"/>
              </w:rPr>
              <w:t>Run-state monitoring</w:t>
            </w:r>
          </w:p>
        </w:tc>
        <w:tc>
          <w:tcPr>
            <w:tcW w:type="dxa" w:w="5040"/>
            <w:vAlign w:val="center"/>
          </w:tcPr>
          <w:p>
            <w:pPr>
              <w:spacing w:after="0"/>
            </w:pPr>
            <w:r/>
            <w:r>
              <w:rPr>
                <w:rFonts w:ascii="Aptos" w:hAnsi="Aptos"/>
                <w:b w:val="0"/>
                <w:sz w:val="15"/>
              </w:rPr>
              <w:t>GAISSF-IMP-014</w:t>
            </w:r>
          </w:p>
        </w:tc>
      </w:tr>
      <w:tr>
        <w:trPr>
          <w:cantSplit/>
        </w:trPr>
        <w:tc>
          <w:tcPr>
            <w:tcW w:type="dxa" w:w="4320"/>
            <w:vAlign w:val="center"/>
            <w:shd w:fill="F3F6F7"/>
          </w:tcPr>
          <w:p>
            <w:pPr>
              <w:spacing w:after="0"/>
            </w:pPr>
            <w:r/>
            <w:r>
              <w:rPr>
                <w:rFonts w:ascii="Aptos" w:hAnsi="Aptos"/>
                <w:b w:val="0"/>
                <w:sz w:val="15"/>
              </w:rPr>
              <w:t>Interpretation and troubleshooting</w:t>
            </w:r>
          </w:p>
        </w:tc>
        <w:tc>
          <w:tcPr>
            <w:tcW w:type="dxa" w:w="5040"/>
            <w:vAlign w:val="center"/>
            <w:shd w:fill="F3F6F7"/>
          </w:tcPr>
          <w:p>
            <w:pPr>
              <w:spacing w:after="0"/>
            </w:pPr>
            <w:r/>
            <w:r>
              <w:rPr>
                <w:rFonts w:ascii="Aptos" w:hAnsi="Aptos"/>
                <w:b w:val="0"/>
                <w:sz w:val="15"/>
              </w:rPr>
              <w:t>GAISSF-IMP-015 and GAISSF-IMP-016</w:t>
            </w:r>
          </w:p>
        </w:tc>
      </w:tr>
      <w:tr>
        <w:trPr>
          <w:cantSplit/>
        </w:trPr>
        <w:tc>
          <w:tcPr>
            <w:tcW w:type="dxa" w:w="4320"/>
            <w:vAlign w:val="center"/>
          </w:tcPr>
          <w:p>
            <w:pPr>
              <w:spacing w:after="0"/>
            </w:pPr>
            <w:r/>
            <w:r>
              <w:rPr>
                <w:rFonts w:ascii="Aptos" w:hAnsi="Aptos"/>
                <w:b w:val="0"/>
                <w:sz w:val="15"/>
              </w:rPr>
              <w:t>Evidence collection and validation</w:t>
            </w:r>
          </w:p>
        </w:tc>
        <w:tc>
          <w:tcPr>
            <w:tcW w:type="dxa" w:w="5040"/>
            <w:vAlign w:val="center"/>
          </w:tcPr>
          <w:p>
            <w:pPr>
              <w:spacing w:after="0"/>
            </w:pPr>
            <w:r/>
            <w:r>
              <w:rPr>
                <w:rFonts w:ascii="Aptos" w:hAnsi="Aptos"/>
                <w:b w:val="0"/>
                <w:sz w:val="15"/>
              </w:rPr>
              <w:t>GAISSF-IMP-017</w:t>
            </w:r>
          </w:p>
        </w:tc>
      </w:tr>
    </w:tbl>
    <w:p/>
    <w:p>
      <w:pPr>
        <w:pStyle w:val="Heading1"/>
      </w:pPr>
      <w:r>
        <w:t>Annex G - Publication Record</w:t>
      </w:r>
    </w:p>
    <w:tbl>
      <w:tblPr>
        <w:tblStyle w:val="TableGrid"/>
        <w:tblW w:type="auto" w:w="0"/>
        <w:jc w:val="center"/>
        <w:tblLook w:firstColumn="1" w:firstRow="1" w:lastColumn="0" w:lastRow="0" w:noHBand="0" w:noVBand="1" w:val="04A0"/>
      </w:tblPr>
      <w:tblGrid>
        <w:gridCol w:w="2570"/>
        <w:gridCol w:w="2570"/>
        <w:gridCol w:w="2570"/>
        <w:gridCol w:w="2570"/>
      </w:tblGrid>
      <w:tr>
        <w:trPr>
          <w:tblHeader w:val="true"/>
          <w:cantSplit/>
        </w:trPr>
        <w:tc>
          <w:tcPr>
            <w:tcW w:type="dxa" w:w="1152"/>
            <w:vAlign w:val="center"/>
            <w:shd w:fill="17324D"/>
          </w:tcPr>
          <w:p>
            <w:pPr>
              <w:spacing w:after="0"/>
            </w:pPr>
            <w:r/>
            <w:r>
              <w:rPr>
                <w:rFonts w:ascii="Aptos" w:hAnsi="Aptos"/>
                <w:b/>
                <w:color w:val="FFFFFF"/>
                <w:sz w:val="15"/>
              </w:rPr>
              <w:t>Version</w:t>
            </w:r>
          </w:p>
        </w:tc>
        <w:tc>
          <w:tcPr>
            <w:tcW w:type="dxa" w:w="1728"/>
            <w:vAlign w:val="center"/>
            <w:shd w:fill="17324D"/>
          </w:tcPr>
          <w:p>
            <w:pPr>
              <w:spacing w:after="0"/>
            </w:pPr>
            <w:r/>
            <w:r>
              <w:rPr>
                <w:rFonts w:ascii="Aptos" w:hAnsi="Aptos"/>
                <w:b/>
                <w:color w:val="FFFFFF"/>
                <w:sz w:val="15"/>
              </w:rPr>
              <w:t>Date</w:t>
            </w:r>
          </w:p>
        </w:tc>
        <w:tc>
          <w:tcPr>
            <w:tcW w:type="dxa" w:w="5184"/>
            <w:vAlign w:val="center"/>
            <w:shd w:fill="17324D"/>
          </w:tcPr>
          <w:p>
            <w:pPr>
              <w:spacing w:after="0"/>
            </w:pPr>
            <w:r/>
            <w:r>
              <w:rPr>
                <w:rFonts w:ascii="Aptos" w:hAnsi="Aptos"/>
                <w:b/>
                <w:color w:val="FFFFFF"/>
                <w:sz w:val="15"/>
              </w:rPr>
              <w:t>Change</w:t>
            </w:r>
          </w:p>
        </w:tc>
        <w:tc>
          <w:tcPr>
            <w:tcW w:type="dxa" w:w="1584"/>
            <w:vAlign w:val="center"/>
            <w:shd w:fill="17324D"/>
          </w:tcPr>
          <w:p>
            <w:pPr>
              <w:spacing w:after="0"/>
            </w:pPr>
            <w:r/>
            <w:r>
              <w:rPr>
                <w:rFonts w:ascii="Aptos" w:hAnsi="Aptos"/>
                <w:b/>
                <w:color w:val="FFFFFF"/>
                <w:sz w:val="15"/>
              </w:rPr>
              <w:t>Status</w:t>
            </w:r>
          </w:p>
        </w:tc>
      </w:tr>
      <w:tr>
        <w:trPr>
          <w:cantSplit/>
        </w:trPr>
        <w:tc>
          <w:tcPr>
            <w:tcW w:type="dxa" w:w="1152"/>
            <w:vAlign w:val="center"/>
          </w:tcPr>
          <w:p>
            <w:pPr>
              <w:spacing w:after="0"/>
            </w:pPr>
            <w:r/>
            <w:r>
              <w:rPr>
                <w:rFonts w:ascii="Aptos" w:hAnsi="Aptos"/>
                <w:b w:val="0"/>
                <w:sz w:val="15"/>
              </w:rPr>
              <w:t>1.0</w:t>
            </w:r>
          </w:p>
        </w:tc>
        <w:tc>
          <w:tcPr>
            <w:tcW w:type="dxa" w:w="1728"/>
            <w:vAlign w:val="center"/>
          </w:tcPr>
          <w:p>
            <w:pPr>
              <w:spacing w:after="0"/>
            </w:pPr>
            <w:r/>
            <w:r>
              <w:rPr>
                <w:rFonts w:ascii="Aptos" w:hAnsi="Aptos"/>
                <w:b w:val="0"/>
                <w:sz w:val="15"/>
              </w:rPr>
              <w:t>29 June 2026</w:t>
            </w:r>
          </w:p>
        </w:tc>
        <w:tc>
          <w:tcPr>
            <w:tcW w:type="dxa" w:w="5184"/>
            <w:vAlign w:val="center"/>
          </w:tcPr>
          <w:p>
            <w:pPr>
              <w:spacing w:after="0"/>
            </w:pPr>
            <w:r/>
            <w:r>
              <w:rPr>
                <w:rFonts w:ascii="Aptos" w:hAnsi="Aptos"/>
                <w:b w:val="0"/>
                <w:sz w:val="15"/>
              </w:rPr>
              <w:t>Initial full continuous improvement guide for GAISSF v1.0</w:t>
            </w:r>
          </w:p>
        </w:tc>
        <w:tc>
          <w:tcPr>
            <w:tcW w:type="dxa" w:w="1584"/>
            <w:vAlign w:val="center"/>
          </w:tcPr>
          <w:p>
            <w:pPr>
              <w:spacing w:after="0"/>
            </w:pPr>
            <w:r/>
            <w:r>
              <w:rPr>
                <w:rFonts w:ascii="Aptos" w:hAnsi="Aptos"/>
                <w:b w:val="0"/>
                <w:sz w:val="15"/>
              </w:rPr>
              <w:t>Final Publication Edition</w:t>
            </w:r>
          </w:p>
        </w:tc>
      </w:tr>
    </w:tbl>
    <w:p/>
    <w:p>
      <w:r>
        <w:br w:type="page"/>
      </w:r>
    </w:p>
    <w:p>
      <w:pPr>
        <w:pStyle w:val="Heading1"/>
      </w:pPr>
      <w:r>
        <w:t>Legal and Regulatory Integration</w:t>
      </w:r>
    </w:p>
    <w:p>
      <w:r>
        <w:t>GAISSF provides an operational security, safety, governance and evidence framework. It does not determine which laws apply, establish statutory compliance, create a legal safe harbour, define a legal standard of care, replace competent legal advice, or guarantee that evidence collected for GAISSF purposes will satisfy a regulator, court or other authority. Organizations should maintain a jurisdiction-specific legal and regulatory obligations register and map applicable obligations to their GAISSF scope, controls, evidence, reporting processes and decision authorities.</w:t>
      </w:r>
    </w:p>
    <w:p>
      <w:pPr>
        <w:pStyle w:val="Heading2"/>
      </w:pPr>
      <w:r>
        <w:t>Legal and regulatory interface requirements</w:t>
      </w:r>
    </w:p>
    <w:p>
      <w:pPr>
        <w:pStyle w:val="ListBullet"/>
      </w:pPr>
      <w:r>
        <w:t>Identify applicable jurisdictions, regulators, sector rules, contractual duties and internal legal authorities before relying on this guide.</w:t>
      </w:r>
    </w:p>
    <w:p>
      <w:pPr>
        <w:pStyle w:val="ListBullet"/>
      </w:pPr>
      <w:r>
        <w:t>Maintain a controlled obligations register, reporting-clock register, retention schedule, legal-hold process and conflicts-of-obligation procedure.</w:t>
      </w:r>
    </w:p>
    <w:p>
      <w:pPr>
        <w:pStyle w:val="ListBullet"/>
      </w:pPr>
      <w:r>
        <w:t>Treat statutory, regulatory and contractual analysis as a parallel workstream to GAISSF implementation and assurance.</w:t>
      </w:r>
    </w:p>
    <w:p>
      <w:pPr>
        <w:pStyle w:val="ListBullet"/>
      </w:pPr>
      <w:r>
        <w:t>Record the legal basis, responsible owner, scope, decision, evidence, deadline and review date for each material obligation.</w:t>
      </w:r>
    </w:p>
    <w:p>
      <w:pPr>
        <w:pStyle w:val="ListBullet"/>
      </w:pPr>
      <w:r>
        <w:t>Do not represent GAISSF conformance, maturity or certification as legal approval, permission to operate, immunity from enforcement or proof that harm cannot occur.</w:t>
      </w:r>
    </w:p>
    <w:p>
      <w:pPr>
        <w:pStyle w:val="Heading1"/>
      </w:pPr>
      <w:r>
        <w:t>How to use this document</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Reader</w:t>
            </w:r>
          </w:p>
        </w:tc>
        <w:tc>
          <w:tcPr>
            <w:tcW w:type="dxa" w:w="5141"/>
            <w:shd w:fill="17324D"/>
            <w:vAlign w:val="center"/>
          </w:tcPr>
          <w:p>
            <w:r>
              <w:rPr>
                <w:b/>
              </w:rPr>
              <w:t>Recommended use</w:t>
            </w:r>
          </w:p>
        </w:tc>
      </w:tr>
      <w:tr>
        <w:tc>
          <w:tcPr>
            <w:tcW w:type="dxa" w:w="5141"/>
          </w:tcPr>
          <w:p>
            <w:r>
              <w:t>Executive or board reader</w:t>
            </w:r>
          </w:p>
        </w:tc>
        <w:tc>
          <w:tcPr>
            <w:tcW w:type="dxa" w:w="5141"/>
          </w:tcPr>
          <w:p>
            <w:r>
              <w:t>Review purpose, decision rights, legal and regulatory integration, limitations and Notably Absent sections.</w:t>
            </w:r>
          </w:p>
        </w:tc>
      </w:tr>
      <w:tr>
        <w:tc>
          <w:tcPr>
            <w:tcW w:type="dxa" w:w="5141"/>
          </w:tcPr>
          <w:p>
            <w:r>
              <w:t>Program or control owner</w:t>
            </w:r>
          </w:p>
        </w:tc>
        <w:tc>
          <w:tcPr>
            <w:tcW w:type="dxa" w:w="5141"/>
          </w:tcPr>
          <w:p>
            <w:r>
              <w:t>Use workflows, templates, gates, evidence fields and escalation criteria as implementation aids.</w:t>
            </w:r>
          </w:p>
        </w:tc>
      </w:tr>
      <w:tr>
        <w:tc>
          <w:tcPr>
            <w:tcW w:type="dxa" w:w="5141"/>
          </w:tcPr>
          <w:p>
            <w:r>
              <w:t>Engineering or operations team</w:t>
            </w:r>
          </w:p>
        </w:tc>
        <w:tc>
          <w:tcPr>
            <w:tcW w:type="dxa" w:w="5141"/>
          </w:tcPr>
          <w:p>
            <w:r>
              <w:t>Translate guidance into system-specific procedures, configurations, runbooks and testable acceptance criteria.</w:t>
            </w:r>
          </w:p>
        </w:tc>
      </w:tr>
      <w:tr>
        <w:tc>
          <w:tcPr>
            <w:tcW w:type="dxa" w:w="5141"/>
          </w:tcPr>
          <w:p>
            <w:r>
              <w:t>Legal, privacy or compliance team</w:t>
            </w:r>
          </w:p>
        </w:tc>
        <w:tc>
          <w:tcPr>
            <w:tcW w:type="dxa" w:w="5141"/>
          </w:tcPr>
          <w:p>
            <w:r>
              <w:t>Validate jurisdiction-specific obligations, deadlines, retention, disclosure, privilege and regulator-facing requirements.</w:t>
            </w:r>
          </w:p>
        </w:tc>
      </w:tr>
      <w:tr>
        <w:tc>
          <w:tcPr>
            <w:tcW w:type="dxa" w:w="5141"/>
          </w:tcPr>
          <w:p>
            <w:r>
              <w:t>Assessor or auditor</w:t>
            </w:r>
          </w:p>
        </w:tc>
        <w:tc>
          <w:tcPr>
            <w:tcW w:type="dxa" w:w="5141"/>
          </w:tcPr>
          <w:p>
            <w:r>
              <w:t>Use the document as informative context only; test claims against the authoritative normative sources and applicable assessment criteria.</w:t>
            </w:r>
          </w:p>
        </w:tc>
      </w:tr>
    </w:tbl>
    <w:p>
      <w:pPr>
        <w:pStyle w:val="Heading1"/>
      </w:pPr>
      <w:r>
        <w:t>See Also</w:t>
      </w:r>
    </w:p>
    <w:p>
      <w:pPr>
        <w:pStyle w:val="ListBullet"/>
      </w:pPr>
      <w:r>
        <w:t>GAISSF-IMP-014 for operational monitoring.</w:t>
      </w:r>
    </w:p>
    <w:p>
      <w:pPr>
        <w:pStyle w:val="ListBullet"/>
      </w:pPr>
      <w:r>
        <w:t>GAISSF-IMP-016 for RCA and corrective action.</w:t>
      </w:r>
    </w:p>
    <w:p>
      <w:pPr>
        <w:pStyle w:val="ListBullet"/>
      </w:pPr>
      <w:r>
        <w:t>GAISSF-IMP-017 for validation evidence.</w:t>
      </w:r>
    </w:p>
    <w:p>
      <w:pPr>
        <w:pStyle w:val="Heading1"/>
      </w:pPr>
      <w:r>
        <w:t>Improvement-specific regulatory enhancements</w:t>
      </w:r>
    </w:p>
    <w:p>
      <w:pPr>
        <w:pStyle w:val="Heading2"/>
      </w:pPr>
      <w:r>
        <w:t>External regulatory and legal intelligence inputs</w:t>
      </w:r>
    </w:p>
    <w:p>
      <w:pPr>
        <w:pStyle w:val="ListBullet"/>
      </w:pPr>
      <w:r>
        <w:t>Enforcement actions, consent orders, supervisory findings and court decisions.</w:t>
      </w:r>
    </w:p>
    <w:p>
      <w:pPr>
        <w:pStyle w:val="ListBullet"/>
      </w:pPr>
      <w:r>
        <w:t>Regulator guidance, product recalls, certification suspensions and sector incident reports.</w:t>
      </w:r>
    </w:p>
    <w:p>
      <w:pPr>
        <w:pStyle w:val="ListBullet"/>
      </w:pPr>
      <w:r>
        <w:t>Peer fines, insurer requirements and customer assurance trends.</w:t>
      </w:r>
    </w:p>
    <w:p>
      <w:pPr>
        <w:pStyle w:val="ListBullet"/>
      </w:pPr>
      <w:r>
        <w:t>Assess relevance by jurisdiction, sector, system type and factual similarity before acting.</w:t>
      </w:r>
    </w:p>
    <w:p>
      <w:pPr>
        <w:pStyle w:val="Heading2"/>
      </w:pPr>
      <w:r>
        <w:t>CAPA non-deferral rule</w:t>
      </w:r>
    </w:p>
    <w:p>
      <w:r>
        <w:t>A corrective or preventive action plan does not convert an unmet mandatory legal, regulatory, contractual or GAISSF requirement into conformity. Where an obligation requires immediate or time-bound remediation, CAPA shall not be used to defer action beyond the applicable deadline or approved treatment.</w:t>
      </w:r>
    </w:p>
    <w:p>
      <w:pPr>
        <w:pStyle w:val="Heading2"/>
      </w:pPr>
      <w:r>
        <w:t>Board and leadership reporting</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Report element</w:t>
            </w:r>
          </w:p>
        </w:tc>
        <w:tc>
          <w:tcPr>
            <w:tcW w:type="dxa" w:w="5141"/>
            <w:shd w:fill="17324D"/>
            <w:vAlign w:val="center"/>
          </w:tcPr>
          <w:p>
            <w:r>
              <w:rPr>
                <w:b/>
              </w:rPr>
              <w:t>Minimum content</w:t>
            </w:r>
          </w:p>
        </w:tc>
      </w:tr>
      <w:tr>
        <w:tc>
          <w:tcPr>
            <w:tcW w:type="dxa" w:w="5141"/>
          </w:tcPr>
          <w:p>
            <w:r>
              <w:t>Mandatory gaps</w:t>
            </w:r>
          </w:p>
        </w:tc>
        <w:tc>
          <w:tcPr>
            <w:tcW w:type="dxa" w:w="5141"/>
          </w:tcPr>
          <w:p>
            <w:r>
              <w:t>Unmet controls and legal obligations, duration and exposure.</w:t>
            </w:r>
          </w:p>
        </w:tc>
      </w:tr>
      <w:tr>
        <w:tc>
          <w:tcPr>
            <w:tcW w:type="dxa" w:w="5141"/>
          </w:tcPr>
          <w:p>
            <w:r>
              <w:t>CAPA health</w:t>
            </w:r>
          </w:p>
        </w:tc>
        <w:tc>
          <w:tcPr>
            <w:tcW w:type="dxa" w:w="5141"/>
          </w:tcPr>
          <w:p>
            <w:r>
              <w:t>Overdue, repeat, ineffective and high-risk actions.</w:t>
            </w:r>
          </w:p>
        </w:tc>
      </w:tr>
      <w:tr>
        <w:tc>
          <w:tcPr>
            <w:tcW w:type="dxa" w:w="5141"/>
          </w:tcPr>
          <w:p>
            <w:r>
              <w:t>Regulatory change</w:t>
            </w:r>
          </w:p>
        </w:tc>
        <w:tc>
          <w:tcPr>
            <w:tcW w:type="dxa" w:w="5141"/>
          </w:tcPr>
          <w:p>
            <w:r>
              <w:t>New deadlines, enforcement themes and readiness impact.</w:t>
            </w:r>
          </w:p>
        </w:tc>
      </w:tr>
      <w:tr>
        <w:tc>
          <w:tcPr>
            <w:tcW w:type="dxa" w:w="5141"/>
          </w:tcPr>
          <w:p>
            <w:r>
              <w:t>Residual risk</w:t>
            </w:r>
          </w:p>
        </w:tc>
        <w:tc>
          <w:tcPr>
            <w:tcW w:type="dxa" w:w="5141"/>
          </w:tcPr>
          <w:p>
            <w:r>
              <w:t>Accepted risks, decision authority and review date.</w:t>
            </w:r>
          </w:p>
        </w:tc>
      </w:tr>
      <w:tr>
        <w:tc>
          <w:tcPr>
            <w:tcW w:type="dxa" w:w="5141"/>
          </w:tcPr>
          <w:p>
            <w:r>
              <w:t>Resources</w:t>
            </w:r>
          </w:p>
        </w:tc>
        <w:tc>
          <w:tcPr>
            <w:tcW w:type="dxa" w:w="5141"/>
          </w:tcPr>
          <w:p>
            <w:r>
              <w:t>Funding, competence and dependency constraints.</w:t>
            </w:r>
          </w:p>
        </w:tc>
      </w:tr>
      <w:tr>
        <w:tc>
          <w:tcPr>
            <w:tcW w:type="dxa" w:w="5141"/>
          </w:tcPr>
          <w:p>
            <w:r>
              <w:t>Outcomes</w:t>
            </w:r>
          </w:p>
        </w:tc>
        <w:tc>
          <w:tcPr>
            <w:tcW w:type="dxa" w:w="5141"/>
          </w:tcPr>
          <w:p>
            <w:r>
              <w:t>Measured risk reduction and verified side effects.</w:t>
            </w:r>
          </w:p>
        </w:tc>
      </w:tr>
    </w:tbl>
    <w:p>
      <w:pPr>
        <w:pStyle w:val="Heading2"/>
      </w:pPr>
      <w:r>
        <w:t>Maturity versus conformance decision rule</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Condition</w:t>
            </w:r>
          </w:p>
        </w:tc>
        <w:tc>
          <w:tcPr>
            <w:tcW w:type="dxa" w:w="5141"/>
            <w:shd w:fill="17324D"/>
            <w:vAlign w:val="center"/>
          </w:tcPr>
          <w:p>
            <w:r>
              <w:rPr>
                <w:b/>
              </w:rPr>
              <w:t>Priority</w:t>
            </w:r>
          </w:p>
        </w:tc>
      </w:tr>
      <w:tr>
        <w:tc>
          <w:tcPr>
            <w:tcW w:type="dxa" w:w="5141"/>
          </w:tcPr>
          <w:p>
            <w:r>
              <w:t>Mandatory control or obligation unmet</w:t>
            </w:r>
          </w:p>
        </w:tc>
        <w:tc>
          <w:tcPr>
            <w:tcW w:type="dxa" w:w="5141"/>
          </w:tcPr>
          <w:p>
            <w:r>
              <w:t>Correct the gap first; maturity work cannot compensate.</w:t>
            </w:r>
          </w:p>
        </w:tc>
      </w:tr>
      <w:tr>
        <w:tc>
          <w:tcPr>
            <w:tcW w:type="dxa" w:w="5141"/>
          </w:tcPr>
          <w:p>
            <w:r>
              <w:t>Control operates but is manual or inefficient</w:t>
            </w:r>
          </w:p>
        </w:tc>
        <w:tc>
          <w:tcPr>
            <w:tcW w:type="dxa" w:w="5141"/>
          </w:tcPr>
          <w:p>
            <w:r>
              <w:t>Candidate for optimization after conformance is stable.</w:t>
            </w:r>
          </w:p>
        </w:tc>
      </w:tr>
      <w:tr>
        <w:tc>
          <w:tcPr>
            <w:tcW w:type="dxa" w:w="5141"/>
          </w:tcPr>
          <w:p>
            <w:r>
              <w:t>Control repeatedly fails</w:t>
            </w:r>
          </w:p>
        </w:tc>
        <w:tc>
          <w:tcPr>
            <w:tcW w:type="dxa" w:w="5141"/>
          </w:tcPr>
          <w:p>
            <w:r>
              <w:t>Perform systemic root-cause analysis and corrective action.</w:t>
            </w:r>
          </w:p>
        </w:tc>
      </w:tr>
      <w:tr>
        <w:tc>
          <w:tcPr>
            <w:tcW w:type="dxa" w:w="5141"/>
          </w:tcPr>
          <w:p>
            <w:r>
              <w:t>Emerging external risk</w:t>
            </w:r>
          </w:p>
        </w:tc>
        <w:tc>
          <w:tcPr>
            <w:tcW w:type="dxa" w:w="5141"/>
          </w:tcPr>
          <w:p>
            <w:r>
              <w:t>Assess relevance and update controls through governed change.</w:t>
            </w:r>
          </w:p>
        </w:tc>
      </w:tr>
    </w:tbl>
    <w:p>
      <w:pPr>
        <w:pStyle w:val="Heading2"/>
      </w:pPr>
      <w:r>
        <w:t>Illustrative Five Whys</w:t>
      </w:r>
    </w:p>
    <w:p>
      <w:r>
        <w:t>Problem: harmful output reached a user. Why 1: the safety filter missed it. Why 2: the test corpus lacked the new pattern. Why 3: no process refreshed the corpus from threat intelligence. Why 4: ownership and cadence were undefined. Why 5: management had not funded safety-maintenance capacity. Supported root cause: governance and resource failure, not merely a classifier defect.</w:t>
      </w:r>
    </w:p>
    <w:p>
      <w:pPr>
        <w:pStyle w:val="Heading2"/>
      </w:pPr>
      <w:r>
        <w:t>Notably Absent — legal and regulatory boundary</w:t>
      </w:r>
    </w:p>
    <w:p>
      <w:pPr>
        <w:pStyle w:val="ListBullet"/>
      </w:pPr>
      <w:r>
        <w:t>No universal application of a jurisdiction-specific board-duty doctrine.</w:t>
      </w:r>
    </w:p>
    <w:p>
      <w:pPr>
        <w:pStyle w:val="ListBullet"/>
      </w:pPr>
      <w:r>
        <w:t>No permission to keep mandatory failures open merely because a CAPA exists.</w:t>
      </w:r>
    </w:p>
    <w:p>
      <w:pPr>
        <w:pStyle w:val="ListBullet"/>
      </w:pPr>
      <w:r>
        <w:t>No requirement to own a particular automation technology to reach advanced maturity.</w:t>
      </w:r>
    </w:p>
    <w:p>
      <w:pPr>
        <w:pStyle w:val="Heading1"/>
      </w:pPr>
      <w:r>
        <w:t>Publication revision record</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Revision</w:t>
            </w:r>
          </w:p>
        </w:tc>
        <w:tc>
          <w:tcPr>
            <w:tcW w:type="dxa" w:w="5141"/>
            <w:shd w:fill="17324D"/>
            <w:vAlign w:val="center"/>
          </w:tcPr>
          <w:p>
            <w:r>
              <w:rPr>
                <w:b/>
              </w:rPr>
              <w:t>Disposition</w:t>
            </w:r>
          </w:p>
        </w:tc>
      </w:tr>
      <w:tr>
        <w:tc>
          <w:tcPr>
            <w:tcW w:type="dxa" w:w="5141"/>
          </w:tcPr>
          <w:p>
            <w:r>
              <w:t>R2 — Regulatory and practitioner refinement</w:t>
            </w:r>
          </w:p>
        </w:tc>
        <w:tc>
          <w:tcPr>
            <w:tcW w:type="dxa" w:w="5141"/>
          </w:tcPr>
          <w:p>
            <w:r>
              <w:t>Added legal and regulatory integration, preservation, reporting, decision-record, public-claim and usability guidance. No normative GAISSF control was added, removed, renamed or amended.</w:t>
            </w:r>
          </w:p>
        </w:tc>
      </w:tr>
      <w:tr>
        <w:tc>
          <w:tcPr>
            <w:tcW w:type="dxa" w:w="5141"/>
          </w:tcPr>
          <w:p>
            <w:r>
              <w:t>Authority boundary</w:t>
            </w:r>
          </w:p>
        </w:tc>
        <w:tc>
          <w:tcPr>
            <w:tcW w:type="dxa" w:w="5141"/>
          </w:tcPr>
          <w:p>
            <w:r>
              <w:t>GAISSF-NOR-001, GAISSF-NOR-004 and controlled profile records remain authoritative.</w:t>
            </w:r>
          </w:p>
        </w:tc>
      </w:tr>
    </w:tbl>
    <w:sectPr w:rsidR="00FC693F" w:rsidRPr="0006063C" w:rsidSect="00034616">
      <w:headerReference w:type="default" r:id="rId9"/>
      <w:footerReference w:type="default" r:id="rId10"/>
      <w:pgSz w:w="12240" w:h="15840"/>
      <w:pgMar w:top="893" w:right="979" w:bottom="893" w:left="9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 xml:space="preserve">Version 1.0 | Implementation guidance | © 2026 ODA3 Pvt Ltd | Page </w:t>
    </w: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4C6B7A"/>
        <w:sz w:val="16"/>
      </w:rPr>
      <w:t>GAISSF-IMP-018 | GAISSF® v1.0 Continuous Improvement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7"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24D"/>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05B6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7324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val="0"/>
      <w:i/>
      <w:iCs/>
      <w:color w:val="4C6B7A"/>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ptos" w:hAnsi="Aptos"/>
      <w:color w:val="4A5560"/>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GAISSF® v1.0 Continuous Improvement Guide</dc:title>
  <dc:subject>Program maturity, improvement cycles and sustained evolution</dc:subject>
  <dc:creator>ODA3 Institute</dc:creator>
  <cp:keywords>GAISSF, AI security, AI safety, implementation guidance, ODA3 Institute</cp:keywords>
  <dc:description>Verified and revised publication edition aligned to GAISSF v1.0 authoritative normative sources.</dc:description>
  <cp:lastModifiedBy>ODA3 Institute</cp:lastModifiedBy>
  <cp:revision>1</cp:revision>
  <dcterms:created xsi:type="dcterms:W3CDTF">2013-12-23T23:15:00Z</dcterms:created>
  <dcterms:modified xsi:type="dcterms:W3CDTF">2013-12-23T23:15:00Z</dcterms:modified>
  <cp:category/>
</cp:coreProperties>
</file>