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jc w:val="center"/>
      </w:pPr>
      <w:r>
        <w:rPr>
          <w:b/>
          <w:color w:val="17324D"/>
          <w:sz w:val="60"/>
        </w:rPr>
        <w:t>GAISSF® v1.0</w:t>
      </w:r>
    </w:p>
    <w:p>
      <w:pPr>
        <w:jc w:val="center"/>
      </w:pPr>
      <w:r>
        <w:rPr>
          <w:b/>
          <w:color w:val="205B65"/>
          <w:sz w:val="50"/>
        </w:rPr>
        <w:t>Release Notes</w:t>
      </w:r>
    </w:p>
    <w:p>
      <w:pPr>
        <w:jc w:val="center"/>
      </w:pPr>
      <w:r>
        <w:rPr>
          <w:color w:val="4C6B7A"/>
          <w:sz w:val="24"/>
        </w:rPr>
        <w:t>Version Communication, Change Disclosure and Compatibility Record</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592"/>
            <w:vAlign w:val="center"/>
            <w:shd w:fill="17324D"/>
          </w:tcPr>
          <w:p>
            <w:pPr>
              <w:spacing w:after="0"/>
            </w:pPr>
            <w:r/>
            <w:r>
              <w:rPr>
                <w:rFonts w:ascii="Aptos" w:hAnsi="Aptos"/>
                <w:b/>
                <w:color w:val="FFFFFF"/>
                <w:sz w:val="16"/>
              </w:rPr>
              <w:t>Field</w:t>
            </w:r>
          </w:p>
        </w:tc>
        <w:tc>
          <w:tcPr>
            <w:tcW w:type="dxa" w:w="7056"/>
            <w:vAlign w:val="center"/>
            <w:shd w:fill="17324D"/>
          </w:tcPr>
          <w:p>
            <w:pPr>
              <w:spacing w:after="0"/>
            </w:pPr>
            <w:r/>
            <w:r>
              <w:rPr>
                <w:rFonts w:ascii="Aptos" w:hAnsi="Aptos"/>
                <w:b/>
                <w:color w:val="FFFFFF"/>
                <w:sz w:val="16"/>
              </w:rPr>
              <w:t>Value</w:t>
            </w:r>
          </w:p>
        </w:tc>
      </w:tr>
      <w:tr>
        <w:trPr>
          <w:cantSplit/>
        </w:trPr>
        <w:tc>
          <w:tcPr>
            <w:tcW w:type="dxa" w:w="2592"/>
            <w:vAlign w:val="center"/>
          </w:tcPr>
          <w:p>
            <w:pPr>
              <w:spacing w:after="0"/>
            </w:pPr>
            <w:r/>
            <w:r>
              <w:rPr>
                <w:rFonts w:ascii="Aptos" w:hAnsi="Aptos"/>
                <w:b w:val="0"/>
                <w:sz w:val="15"/>
              </w:rPr>
              <w:t>Document ID</w:t>
            </w:r>
          </w:p>
        </w:tc>
        <w:tc>
          <w:tcPr>
            <w:tcW w:type="dxa" w:w="7056"/>
            <w:vAlign w:val="center"/>
          </w:tcPr>
          <w:p>
            <w:pPr>
              <w:spacing w:after="0"/>
            </w:pPr>
            <w:r/>
            <w:r>
              <w:rPr>
                <w:rFonts w:ascii="Aptos" w:hAnsi="Aptos"/>
                <w:b w:val="0"/>
                <w:sz w:val="15"/>
              </w:rPr>
              <w:t>GAISSF-NOR-007</w:t>
            </w:r>
          </w:p>
        </w:tc>
      </w:tr>
      <w:tr>
        <w:trPr>
          <w:cantSplit/>
        </w:trPr>
        <w:tc>
          <w:tcPr>
            <w:tcW w:type="dxa" w:w="2592"/>
            <w:vAlign w:val="center"/>
            <w:shd w:fill="F3F6F7"/>
          </w:tcPr>
          <w:p>
            <w:pPr>
              <w:spacing w:after="0"/>
            </w:pPr>
            <w:r/>
            <w:r>
              <w:rPr>
                <w:rFonts w:ascii="Aptos" w:hAnsi="Aptos"/>
                <w:b w:val="0"/>
                <w:sz w:val="15"/>
              </w:rPr>
              <w:t>Framework release</w:t>
            </w:r>
          </w:p>
        </w:tc>
        <w:tc>
          <w:tcPr>
            <w:tcW w:type="dxa" w:w="7056"/>
            <w:vAlign w:val="center"/>
            <w:shd w:fill="F3F6F7"/>
          </w:tcPr>
          <w:p>
            <w:pPr>
              <w:spacing w:after="0"/>
            </w:pPr>
            <w:r/>
            <w:r>
              <w:rPr>
                <w:rFonts w:ascii="Aptos" w:hAnsi="Aptos"/>
                <w:b w:val="0"/>
                <w:sz w:val="15"/>
              </w:rPr>
              <w:t>GAISSF® v1.0</w:t>
            </w:r>
          </w:p>
        </w:tc>
      </w:tr>
      <w:tr>
        <w:trPr>
          <w:cantSplit/>
        </w:trPr>
        <w:tc>
          <w:tcPr>
            <w:tcW w:type="dxa" w:w="2592"/>
            <w:vAlign w:val="center"/>
          </w:tcPr>
          <w:p>
            <w:pPr>
              <w:spacing w:after="0"/>
            </w:pPr>
            <w:r/>
            <w:r>
              <w:rPr>
                <w:rFonts w:ascii="Aptos" w:hAnsi="Aptos"/>
                <w:b w:val="0"/>
                <w:sz w:val="15"/>
              </w:rPr>
              <w:t>Document version</w:t>
            </w:r>
          </w:p>
        </w:tc>
        <w:tc>
          <w:tcPr>
            <w:tcW w:type="dxa" w:w="7056"/>
            <w:vAlign w:val="center"/>
          </w:tcPr>
          <w:p>
            <w:pPr>
              <w:spacing w:after="0"/>
            </w:pPr>
            <w:r/>
            <w:r>
              <w:rPr>
                <w:rFonts w:ascii="Aptos" w:hAnsi="Aptos"/>
                <w:b w:val="0"/>
                <w:sz w:val="15"/>
              </w:rPr>
              <w:t>1.0</w:t>
            </w:r>
          </w:p>
        </w:tc>
      </w:tr>
      <w:tr>
        <w:trPr>
          <w:cantSplit/>
        </w:trPr>
        <w:tc>
          <w:tcPr>
            <w:tcW w:type="dxa" w:w="2592"/>
            <w:vAlign w:val="center"/>
            <w:shd w:fill="F3F6F7"/>
          </w:tcPr>
          <w:p>
            <w:pPr>
              <w:spacing w:after="0"/>
            </w:pPr>
            <w:r/>
            <w:r>
              <w:rPr>
                <w:rFonts w:ascii="Aptos" w:hAnsi="Aptos"/>
                <w:b w:val="0"/>
                <w:sz w:val="15"/>
              </w:rPr>
              <w:t>Status</w:t>
            </w:r>
          </w:p>
        </w:tc>
        <w:tc>
          <w:tcPr>
            <w:tcW w:type="dxa" w:w="7056"/>
            <w:vAlign w:val="center"/>
            <w:shd w:fill="F3F6F7"/>
          </w:tcPr>
          <w:p>
            <w:r>
              <w:t>Final Publication Edition</w:t>
            </w:r>
          </w:p>
        </w:tc>
      </w:tr>
      <w:tr>
        <w:trPr>
          <w:cantSplit/>
        </w:trPr>
        <w:tc>
          <w:tcPr>
            <w:tcW w:type="dxa" w:w="2592"/>
            <w:vAlign w:val="center"/>
          </w:tcPr>
          <w:p>
            <w:pPr>
              <w:spacing w:after="0"/>
            </w:pPr>
            <w:r/>
            <w:r>
              <w:rPr>
                <w:rFonts w:ascii="Aptos" w:hAnsi="Aptos"/>
                <w:b w:val="0"/>
                <w:sz w:val="15"/>
              </w:rPr>
              <w:t>Classification</w:t>
            </w:r>
          </w:p>
        </w:tc>
        <w:tc>
          <w:tcPr>
            <w:tcW w:type="dxa" w:w="7056"/>
            <w:vAlign w:val="center"/>
          </w:tcPr>
          <w:p>
            <w:pPr>
              <w:spacing w:after="0"/>
            </w:pPr>
            <w:r/>
            <w:r>
              <w:rPr>
                <w:rFonts w:ascii="Aptos" w:hAnsi="Aptos"/>
                <w:b w:val="0"/>
                <w:sz w:val="15"/>
              </w:rPr>
              <w:t>Normative release record; explanatory commentary informative</w:t>
            </w:r>
          </w:p>
        </w:tc>
      </w:tr>
      <w:tr>
        <w:trPr>
          <w:cantSplit/>
        </w:trPr>
        <w:tc>
          <w:tcPr>
            <w:tcW w:type="dxa" w:w="2592"/>
            <w:vAlign w:val="center"/>
            <w:shd w:fill="F3F6F7"/>
          </w:tcPr>
          <w:p>
            <w:pPr>
              <w:spacing w:after="0"/>
            </w:pPr>
            <w:r/>
            <w:r>
              <w:rPr>
                <w:rFonts w:ascii="Aptos" w:hAnsi="Aptos"/>
                <w:b w:val="0"/>
                <w:sz w:val="15"/>
              </w:rPr>
              <w:t>Publisher</w:t>
            </w:r>
          </w:p>
        </w:tc>
        <w:tc>
          <w:tcPr>
            <w:tcW w:type="dxa" w:w="7056"/>
            <w:vAlign w:val="center"/>
            <w:shd w:fill="F3F6F7"/>
          </w:tcPr>
          <w:p>
            <w:pPr>
              <w:spacing w:after="0"/>
            </w:pPr>
            <w:r/>
            <w:r>
              <w:rPr>
                <w:rFonts w:ascii="Aptos" w:hAnsi="Aptos"/>
                <w:b w:val="0"/>
                <w:sz w:val="15"/>
              </w:rPr>
              <w:t>ODA3 Institute</w:t>
            </w:r>
          </w:p>
        </w:tc>
      </w:tr>
      <w:tr>
        <w:trPr>
          <w:cantSplit/>
        </w:trPr>
        <w:tc>
          <w:tcPr>
            <w:tcW w:type="dxa" w:w="2592"/>
            <w:vAlign w:val="center"/>
          </w:tcPr>
          <w:p>
            <w:pPr>
              <w:spacing w:after="0"/>
            </w:pPr>
            <w:r/>
            <w:r>
              <w:rPr>
                <w:rFonts w:ascii="Aptos" w:hAnsi="Aptos"/>
                <w:b w:val="0"/>
                <w:sz w:val="15"/>
              </w:rPr>
              <w:t>Legal entity</w:t>
            </w:r>
          </w:p>
        </w:tc>
        <w:tc>
          <w:tcPr>
            <w:tcW w:type="dxa" w:w="7056"/>
            <w:vAlign w:val="center"/>
          </w:tcPr>
          <w:p>
            <w:pPr>
              <w:spacing w:after="0"/>
            </w:pPr>
            <w:r/>
            <w:r>
              <w:rPr>
                <w:rFonts w:ascii="Aptos" w:hAnsi="Aptos"/>
                <w:b w:val="0"/>
                <w:sz w:val="15"/>
              </w:rPr>
              <w:t>ODA3 Pvt Ltd</w:t>
            </w:r>
          </w:p>
        </w:tc>
      </w:tr>
      <w:tr>
        <w:trPr>
          <w:cantSplit/>
        </w:trPr>
        <w:tc>
          <w:tcPr>
            <w:tcW w:type="dxa" w:w="2592"/>
            <w:vAlign w:val="center"/>
            <w:shd w:fill="F3F6F7"/>
          </w:tcPr>
          <w:p>
            <w:pPr>
              <w:spacing w:after="0"/>
            </w:pPr>
            <w:r/>
            <w:r>
              <w:rPr>
                <w:rFonts w:ascii="Aptos" w:hAnsi="Aptos"/>
                <w:b w:val="0"/>
                <w:sz w:val="15"/>
              </w:rPr>
              <w:t>Release date</w:t>
            </w:r>
          </w:p>
        </w:tc>
        <w:tc>
          <w:tcPr>
            <w:tcW w:type="dxa" w:w="7056"/>
            <w:vAlign w:val="center"/>
            <w:shd w:fill="F3F6F7"/>
          </w:tcPr>
          <w:p>
            <w:pPr>
              <w:spacing w:after="0"/>
            </w:pPr>
            <w:r>
              <w:t>1 July 2026</w:t>
            </w:r>
            <w:r>
              <w:rPr>
                <w:rFonts w:ascii="Aptos" w:hAnsi="Aptos"/>
                <w:b w:val="0"/>
                <w:sz w:val="15"/>
              </w:rPr>
            </w:r>
          </w:p>
        </w:tc>
      </w:tr>
      <w:tr>
        <w:trPr>
          <w:cantSplit/>
        </w:trPr>
        <w:tc>
          <w:tcPr>
            <w:tcW w:type="dxa" w:w="2592"/>
            <w:vAlign w:val="center"/>
          </w:tcPr>
          <w:p>
            <w:pPr>
              <w:spacing w:after="0"/>
            </w:pPr>
            <w:r/>
            <w:r>
              <w:rPr>
                <w:rFonts w:ascii="Aptos" w:hAnsi="Aptos"/>
                <w:b w:val="0"/>
                <w:sz w:val="15"/>
              </w:rPr>
              <w:t>Control baseline</w:t>
            </w:r>
          </w:p>
        </w:tc>
        <w:tc>
          <w:tcPr>
            <w:tcW w:type="dxa" w:w="7056"/>
            <w:vAlign w:val="center"/>
          </w:tcPr>
          <w:p>
            <w:pPr>
              <w:spacing w:after="0"/>
            </w:pPr>
            <w:r/>
            <w:r>
              <w:rPr>
                <w:rFonts w:ascii="Aptos" w:hAnsi="Aptos"/>
                <w:b w:val="0"/>
                <w:sz w:val="15"/>
              </w:rPr>
              <w:t>59 controls across nine domains</w:t>
            </w:r>
          </w:p>
        </w:tc>
      </w:tr>
      <w:tr>
        <w:tc>
          <w:tcPr>
            <w:tcW w:type="dxa" w:w="5083"/>
          </w:tcPr>
          <w:p/>
        </w:tc>
        <w:tc>
          <w:tcPr>
            <w:tcW w:type="dxa" w:w="5083"/>
          </w:tcPr>
          <w:p/>
        </w:tc>
      </w:tr>
    </w:tbl>
    <w:p/>
    <w:p>
      <w:pPr>
        <w:pStyle w:val="SmallNote"/>
        <w:jc w:val="center"/>
      </w:pPr>
      <w:r>
        <w:t>This document communicates the controlled GAISSF v1.0 release baseline and records material changes, compatibility impacts, corrections, known limitations and migration expectations.</w:t>
      </w:r>
    </w:p>
    <w:p>
      <w:r>
        <w:br w:type="page"/>
      </w:r>
    </w:p>
    <w:p>
      <w:pPr>
        <w:pStyle w:val="Heading1"/>
      </w:pPr>
      <w:r>
        <w:t>Document Control</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592"/>
            <w:vAlign w:val="center"/>
            <w:shd w:fill="17324D"/>
          </w:tcPr>
          <w:p>
            <w:pPr>
              <w:spacing w:after="0"/>
            </w:pPr>
            <w:r/>
            <w:r>
              <w:rPr>
                <w:rFonts w:ascii="Aptos" w:hAnsi="Aptos"/>
                <w:b/>
                <w:color w:val="FFFFFF"/>
                <w:sz w:val="16"/>
              </w:rPr>
              <w:t>Attribute</w:t>
            </w:r>
          </w:p>
        </w:tc>
        <w:tc>
          <w:tcPr>
            <w:tcW w:type="dxa" w:w="7056"/>
            <w:vAlign w:val="center"/>
            <w:shd w:fill="17324D"/>
          </w:tcPr>
          <w:p>
            <w:pPr>
              <w:spacing w:after="0"/>
            </w:pPr>
            <w:r/>
            <w:r>
              <w:rPr>
                <w:rFonts w:ascii="Aptos" w:hAnsi="Aptos"/>
                <w:b/>
                <w:color w:val="FFFFFF"/>
                <w:sz w:val="16"/>
              </w:rPr>
              <w:t>Controlled value</w:t>
            </w:r>
          </w:p>
        </w:tc>
      </w:tr>
      <w:tr>
        <w:trPr>
          <w:cantSplit/>
        </w:trPr>
        <w:tc>
          <w:tcPr>
            <w:tcW w:type="dxa" w:w="2592"/>
            <w:vAlign w:val="center"/>
          </w:tcPr>
          <w:p>
            <w:pPr>
              <w:spacing w:after="0"/>
            </w:pPr>
            <w:r/>
            <w:r>
              <w:rPr>
                <w:rFonts w:ascii="Aptos" w:hAnsi="Aptos"/>
                <w:b w:val="0"/>
                <w:sz w:val="15"/>
              </w:rPr>
              <w:t>Title</w:t>
            </w:r>
          </w:p>
        </w:tc>
        <w:tc>
          <w:tcPr>
            <w:tcW w:type="dxa" w:w="7056"/>
            <w:vAlign w:val="center"/>
          </w:tcPr>
          <w:p>
            <w:pPr>
              <w:spacing w:after="0"/>
            </w:pPr>
            <w:r/>
            <w:r>
              <w:rPr>
                <w:rFonts w:ascii="Aptos" w:hAnsi="Aptos"/>
                <w:b w:val="0"/>
                <w:sz w:val="15"/>
              </w:rPr>
              <w:t>GAISSF® v1.0 Release Notes</w:t>
            </w:r>
          </w:p>
        </w:tc>
      </w:tr>
      <w:tr>
        <w:trPr>
          <w:cantSplit/>
        </w:trPr>
        <w:tc>
          <w:tcPr>
            <w:tcW w:type="dxa" w:w="2592"/>
            <w:vAlign w:val="center"/>
            <w:shd w:fill="F3F6F7"/>
          </w:tcPr>
          <w:p>
            <w:pPr>
              <w:spacing w:after="0"/>
            </w:pPr>
            <w:r/>
            <w:r>
              <w:rPr>
                <w:rFonts w:ascii="Aptos" w:hAnsi="Aptos"/>
                <w:b w:val="0"/>
                <w:sz w:val="15"/>
              </w:rPr>
              <w:t>Document ID</w:t>
            </w:r>
          </w:p>
        </w:tc>
        <w:tc>
          <w:tcPr>
            <w:tcW w:type="dxa" w:w="7056"/>
            <w:vAlign w:val="center"/>
            <w:shd w:fill="F3F6F7"/>
          </w:tcPr>
          <w:p>
            <w:pPr>
              <w:spacing w:after="0"/>
            </w:pPr>
            <w:r/>
            <w:r>
              <w:rPr>
                <w:rFonts w:ascii="Aptos" w:hAnsi="Aptos"/>
                <w:b w:val="0"/>
                <w:sz w:val="15"/>
              </w:rPr>
              <w:t>GAISSF-NOR-007</w:t>
            </w:r>
          </w:p>
        </w:tc>
      </w:tr>
      <w:tr>
        <w:trPr>
          <w:cantSplit/>
        </w:trPr>
        <w:tc>
          <w:tcPr>
            <w:tcW w:type="dxa" w:w="2592"/>
            <w:vAlign w:val="center"/>
          </w:tcPr>
          <w:p>
            <w:pPr>
              <w:spacing w:after="0"/>
            </w:pPr>
            <w:r/>
            <w:r>
              <w:rPr>
                <w:rFonts w:ascii="Aptos" w:hAnsi="Aptos"/>
                <w:b w:val="0"/>
                <w:sz w:val="15"/>
              </w:rPr>
              <w:t>Version</w:t>
            </w:r>
          </w:p>
        </w:tc>
        <w:tc>
          <w:tcPr>
            <w:tcW w:type="dxa" w:w="7056"/>
            <w:vAlign w:val="center"/>
          </w:tcPr>
          <w:p>
            <w:pPr>
              <w:spacing w:after="0"/>
            </w:pPr>
            <w:r/>
            <w:r>
              <w:rPr>
                <w:rFonts w:ascii="Aptos" w:hAnsi="Aptos"/>
                <w:b w:val="0"/>
                <w:sz w:val="15"/>
              </w:rPr>
              <w:t>1.0</w:t>
            </w:r>
          </w:p>
        </w:tc>
      </w:tr>
      <w:tr>
        <w:trPr>
          <w:cantSplit/>
        </w:trPr>
        <w:tc>
          <w:tcPr>
            <w:tcW w:type="dxa" w:w="2592"/>
            <w:vAlign w:val="center"/>
            <w:shd w:fill="F3F6F7"/>
          </w:tcPr>
          <w:p>
            <w:pPr>
              <w:spacing w:after="0"/>
            </w:pPr>
            <w:r/>
            <w:r>
              <w:rPr>
                <w:rFonts w:ascii="Aptos" w:hAnsi="Aptos"/>
                <w:b w:val="0"/>
                <w:sz w:val="15"/>
              </w:rPr>
              <w:t>Purpose</w:t>
            </w:r>
          </w:p>
        </w:tc>
        <w:tc>
          <w:tcPr>
            <w:tcW w:type="dxa" w:w="7056"/>
            <w:vAlign w:val="center"/>
            <w:shd w:fill="F3F6F7"/>
          </w:tcPr>
          <w:p>
            <w:pPr>
              <w:spacing w:after="0"/>
            </w:pPr>
            <w:r/>
            <w:r>
              <w:rPr>
                <w:rFonts w:ascii="Aptos" w:hAnsi="Aptos"/>
                <w:b w:val="0"/>
                <w:sz w:val="15"/>
              </w:rPr>
              <w:t>Version communication and controlled disclosure of release changes</w:t>
            </w:r>
          </w:p>
        </w:tc>
      </w:tr>
      <w:tr>
        <w:trPr>
          <w:cantSplit/>
        </w:trPr>
        <w:tc>
          <w:tcPr>
            <w:tcW w:type="dxa" w:w="2592"/>
            <w:vAlign w:val="center"/>
          </w:tcPr>
          <w:p>
            <w:pPr>
              <w:spacing w:after="0"/>
            </w:pPr>
            <w:r/>
            <w:r>
              <w:rPr>
                <w:rFonts w:ascii="Aptos" w:hAnsi="Aptos"/>
                <w:b w:val="0"/>
                <w:sz w:val="15"/>
              </w:rPr>
              <w:t>Applies to</w:t>
            </w:r>
          </w:p>
        </w:tc>
        <w:tc>
          <w:tcPr>
            <w:tcW w:type="dxa" w:w="7056"/>
            <w:vAlign w:val="center"/>
          </w:tcPr>
          <w:p>
            <w:pPr>
              <w:spacing w:after="0"/>
            </w:pPr>
            <w:r/>
            <w:r>
              <w:rPr>
                <w:rFonts w:ascii="Aptos" w:hAnsi="Aptos"/>
                <w:b w:val="0"/>
                <w:sz w:val="15"/>
              </w:rPr>
              <w:t>GAISSF-NOR-001 through NOR-006 and downstream GAISSF artifacts</w:t>
            </w:r>
          </w:p>
        </w:tc>
      </w:tr>
      <w:tr>
        <w:trPr>
          <w:cantSplit/>
        </w:trPr>
        <w:tc>
          <w:tcPr>
            <w:tcW w:type="dxa" w:w="2592"/>
            <w:vAlign w:val="center"/>
            <w:shd w:fill="F3F6F7"/>
          </w:tcPr>
          <w:p>
            <w:pPr>
              <w:spacing w:after="0"/>
            </w:pPr>
            <w:r/>
            <w:r>
              <w:rPr>
                <w:rFonts w:ascii="Aptos" w:hAnsi="Aptos"/>
                <w:b w:val="0"/>
                <w:sz w:val="15"/>
              </w:rPr>
              <w:t>Normative authority</w:t>
            </w:r>
          </w:p>
        </w:tc>
        <w:tc>
          <w:tcPr>
            <w:tcW w:type="dxa" w:w="7056"/>
            <w:vAlign w:val="center"/>
            <w:shd w:fill="F3F6F7"/>
          </w:tcPr>
          <w:p>
            <w:pPr>
              <w:spacing w:after="0"/>
            </w:pPr>
            <w:r/>
            <w:r>
              <w:rPr>
                <w:rFonts w:ascii="Aptos" w:hAnsi="Aptos"/>
                <w:b w:val="0"/>
                <w:sz w:val="15"/>
              </w:rPr>
              <w:t>Normative for release status, supersession, compatibility classification and migration notices</w:t>
            </w:r>
          </w:p>
        </w:tc>
      </w:tr>
      <w:tr>
        <w:trPr>
          <w:cantSplit/>
        </w:trPr>
        <w:tc>
          <w:tcPr>
            <w:tcW w:type="dxa" w:w="2592"/>
            <w:vAlign w:val="center"/>
          </w:tcPr>
          <w:p>
            <w:pPr>
              <w:spacing w:after="0"/>
            </w:pPr>
            <w:r/>
            <w:r>
              <w:rPr>
                <w:rFonts w:ascii="Aptos" w:hAnsi="Aptos"/>
                <w:b w:val="0"/>
                <w:sz w:val="15"/>
              </w:rPr>
              <w:t>Precedence</w:t>
            </w:r>
          </w:p>
        </w:tc>
        <w:tc>
          <w:tcPr>
            <w:tcW w:type="dxa" w:w="7056"/>
            <w:vAlign w:val="center"/>
          </w:tcPr>
          <w:p>
            <w:pPr>
              <w:spacing w:after="0"/>
            </w:pPr>
            <w:r/>
            <w:r>
              <w:rPr>
                <w:rFonts w:ascii="Aptos" w:hAnsi="Aptos"/>
                <w:b w:val="0"/>
                <w:sz w:val="15"/>
              </w:rPr>
              <w:t>GAISSF-NOR-001 remains the authoritative source for framework requirements</w:t>
            </w:r>
          </w:p>
        </w:tc>
      </w:tr>
      <w:tr>
        <w:trPr>
          <w:cantSplit/>
        </w:trPr>
        <w:tc>
          <w:tcPr>
            <w:tcW w:type="dxa" w:w="2592"/>
            <w:vAlign w:val="center"/>
            <w:shd w:fill="F3F6F7"/>
          </w:tcPr>
          <w:p>
            <w:pPr>
              <w:spacing w:after="0"/>
            </w:pPr>
            <w:r/>
            <w:r>
              <w:rPr>
                <w:rFonts w:ascii="Aptos" w:hAnsi="Aptos"/>
                <w:b w:val="0"/>
                <w:sz w:val="15"/>
              </w:rPr>
              <w:t>Distribution</w:t>
            </w:r>
          </w:p>
        </w:tc>
        <w:tc>
          <w:tcPr>
            <w:tcW w:type="dxa" w:w="7056"/>
            <w:vAlign w:val="center"/>
            <w:shd w:fill="F3F6F7"/>
          </w:tcPr>
          <w:p>
            <w:pPr>
              <w:spacing w:after="0"/>
            </w:pPr>
            <w:r/>
            <w:r>
              <w:rPr>
                <w:rFonts w:ascii="Aptos" w:hAnsi="Aptos"/>
                <w:b w:val="0"/>
                <w:sz w:val="15"/>
              </w:rPr>
              <w:t>Public — Website and GitHub</w:t>
            </w:r>
          </w:p>
        </w:tc>
      </w:tr>
    </w:tbl>
    <w:p/>
    <w:p>
      <w:pPr>
        <w:pStyle w:val="Heading1"/>
      </w:pPr>
      <w:r>
        <w:t>Copyright, Licensing and Legal Notices</w:t>
      </w:r>
    </w:p>
    <w:p>
      <w:r>
        <w:t>© 2026 ODA3 Pvt Ltd. Published market-facing by ODA3 Institute.</w:t>
      </w:r>
    </w:p>
    <w:p>
      <w:r>
        <w:t>GAISSF® is used as a framework mark. Third-party names and marks remain the property of their respective owners.</w:t>
      </w:r>
    </w:p>
    <w:p>
      <w:r>
        <w:t>These release notes do not constitute legal, regulatory, certification or implementation advice.</w:t>
      </w:r>
    </w:p>
    <w:p>
      <w:r>
        <w:t>Where a release note conflicts with a normative requirement in GAISSF-NOR-001, GAISSF-NOR-001 prevails.</w:t>
      </w:r>
    </w:p>
    <w:p>
      <w:pPr>
        <w:pStyle w:val="Heading1"/>
      </w:pPr>
      <w:r>
        <w:t>Foreword</w:t>
      </w:r>
    </w:p>
    <w:p>
      <w:r>
        <w:t>Release notes are a controlled part of standards governance. They provide users, assessors, certification bodies, tool developers and regulators with a concise record of what changed, why it changed, what did not change, and whether migration action is required.</w:t>
      </w:r>
    </w:p>
    <w:p>
      <w:pPr>
        <w:pStyle w:val="Heading1"/>
      </w:pPr>
      <w:r>
        <w:t>1. Release Identification</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3024"/>
            <w:vAlign w:val="center"/>
            <w:shd w:fill="17324D"/>
          </w:tcPr>
          <w:p>
            <w:pPr>
              <w:spacing w:after="0"/>
            </w:pPr>
            <w:r/>
            <w:r>
              <w:rPr>
                <w:rFonts w:ascii="Aptos" w:hAnsi="Aptos"/>
                <w:b/>
                <w:color w:val="FFFFFF"/>
                <w:sz w:val="16"/>
              </w:rPr>
              <w:t>Item</w:t>
            </w:r>
          </w:p>
        </w:tc>
        <w:tc>
          <w:tcPr>
            <w:tcW w:type="dxa" w:w="6624"/>
            <w:vAlign w:val="center"/>
            <w:shd w:fill="17324D"/>
          </w:tcPr>
          <w:p>
            <w:pPr>
              <w:spacing w:after="0"/>
            </w:pPr>
            <w:r/>
            <w:r>
              <w:rPr>
                <w:rFonts w:ascii="Aptos" w:hAnsi="Aptos"/>
                <w:b/>
                <w:color w:val="FFFFFF"/>
                <w:sz w:val="16"/>
              </w:rPr>
              <w:t>Release value</w:t>
            </w:r>
          </w:p>
        </w:tc>
      </w:tr>
      <w:tr>
        <w:trPr>
          <w:cantSplit/>
        </w:trPr>
        <w:tc>
          <w:tcPr>
            <w:tcW w:type="dxa" w:w="3024"/>
            <w:vAlign w:val="center"/>
          </w:tcPr>
          <w:p>
            <w:pPr>
              <w:spacing w:after="0"/>
            </w:pPr>
            <w:r/>
            <w:r>
              <w:rPr>
                <w:rFonts w:ascii="Aptos" w:hAnsi="Aptos"/>
                <w:b w:val="0"/>
                <w:sz w:val="15"/>
              </w:rPr>
              <w:t>Release name</w:t>
            </w:r>
          </w:p>
        </w:tc>
        <w:tc>
          <w:tcPr>
            <w:tcW w:type="dxa" w:w="6624"/>
            <w:vAlign w:val="center"/>
          </w:tcPr>
          <w:p>
            <w:pPr>
              <w:spacing w:after="0"/>
            </w:pPr>
            <w:r/>
            <w:r>
              <w:rPr>
                <w:rFonts w:ascii="Aptos" w:hAnsi="Aptos"/>
                <w:b w:val="0"/>
                <w:sz w:val="15"/>
              </w:rPr>
              <w:t>GAISSF® v1.0</w:t>
            </w:r>
          </w:p>
        </w:tc>
      </w:tr>
      <w:tr>
        <w:trPr>
          <w:cantSplit/>
        </w:trPr>
        <w:tc>
          <w:tcPr>
            <w:tcW w:type="dxa" w:w="3024"/>
            <w:vAlign w:val="center"/>
            <w:shd w:fill="F3F6F7"/>
          </w:tcPr>
          <w:p>
            <w:pPr>
              <w:spacing w:after="0"/>
            </w:pPr>
            <w:r/>
            <w:r>
              <w:rPr>
                <w:rFonts w:ascii="Aptos" w:hAnsi="Aptos"/>
                <w:b w:val="0"/>
                <w:sz w:val="15"/>
              </w:rPr>
              <w:t>Release type</w:t>
            </w:r>
          </w:p>
        </w:tc>
        <w:tc>
          <w:tcPr>
            <w:tcW w:type="dxa" w:w="6624"/>
            <w:vAlign w:val="center"/>
            <w:shd w:fill="F3F6F7"/>
          </w:tcPr>
          <w:p>
            <w:pPr>
              <w:spacing w:after="0"/>
            </w:pPr>
            <w:r/>
            <w:r>
              <w:rPr>
                <w:rFonts w:ascii="Aptos" w:hAnsi="Aptos"/>
                <w:b w:val="0"/>
                <w:sz w:val="15"/>
              </w:rPr>
              <w:t>Initial public major release</w:t>
            </w:r>
          </w:p>
        </w:tc>
      </w:tr>
      <w:tr>
        <w:trPr>
          <w:cantSplit/>
        </w:trPr>
        <w:tc>
          <w:tcPr>
            <w:tcW w:type="dxa" w:w="3024"/>
            <w:vAlign w:val="center"/>
          </w:tcPr>
          <w:p>
            <w:pPr>
              <w:spacing w:after="0"/>
            </w:pPr>
            <w:r/>
            <w:r>
              <w:rPr>
                <w:rFonts w:ascii="Aptos" w:hAnsi="Aptos"/>
                <w:b w:val="0"/>
                <w:sz w:val="15"/>
              </w:rPr>
              <w:t>Normative baseline</w:t>
            </w:r>
          </w:p>
        </w:tc>
        <w:tc>
          <w:tcPr>
            <w:tcW w:type="dxa" w:w="6624"/>
            <w:vAlign w:val="center"/>
          </w:tcPr>
          <w:p>
            <w:pPr>
              <w:spacing w:after="0"/>
            </w:pPr>
            <w:r/>
            <w:r>
              <w:rPr>
                <w:rFonts w:ascii="Aptos" w:hAnsi="Aptos"/>
                <w:b w:val="0"/>
                <w:sz w:val="15"/>
              </w:rPr>
              <w:t>59 controls across D1-D9</w:t>
            </w:r>
          </w:p>
        </w:tc>
      </w:tr>
      <w:tr>
        <w:trPr>
          <w:cantSplit/>
        </w:trPr>
        <w:tc>
          <w:tcPr>
            <w:tcW w:type="dxa" w:w="3024"/>
            <w:vAlign w:val="center"/>
            <w:shd w:fill="F3F6F7"/>
          </w:tcPr>
          <w:p>
            <w:pPr>
              <w:spacing w:after="0"/>
            </w:pPr>
            <w:r/>
            <w:r>
              <w:rPr>
                <w:rFonts w:ascii="Aptos" w:hAnsi="Aptos"/>
                <w:b w:val="0"/>
                <w:sz w:val="15"/>
              </w:rPr>
              <w:t>Foundational scope</w:t>
            </w:r>
          </w:p>
        </w:tc>
        <w:tc>
          <w:tcPr>
            <w:tcW w:type="dxa" w:w="6624"/>
            <w:vAlign w:val="center"/>
            <w:shd w:fill="F3F6F7"/>
          </w:tcPr>
          <w:p>
            <w:r>
              <w:t>52 canonical controls in D1-D8</w:t>
            </w:r>
          </w:p>
        </w:tc>
      </w:tr>
      <w:tr>
        <w:trPr>
          <w:cantSplit/>
        </w:trPr>
        <w:tc>
          <w:tcPr>
            <w:tcW w:type="dxa" w:w="3024"/>
            <w:vAlign w:val="center"/>
          </w:tcPr>
          <w:p>
            <w:pPr>
              <w:spacing w:after="0"/>
            </w:pPr>
            <w:r/>
            <w:r>
              <w:rPr>
                <w:rFonts w:ascii="Aptos" w:hAnsi="Aptos"/>
                <w:b w:val="0"/>
                <w:sz w:val="15"/>
              </w:rPr>
              <w:t>Operational scope</w:t>
            </w:r>
          </w:p>
        </w:tc>
        <w:tc>
          <w:tcPr>
            <w:tcW w:type="dxa" w:w="6624"/>
            <w:vAlign w:val="center"/>
          </w:tcPr>
          <w:p>
            <w:pPr>
              <w:spacing w:after="0"/>
            </w:pPr>
            <w:r/>
            <w:r>
              <w:rPr>
                <w:rFonts w:ascii="Aptos" w:hAnsi="Aptos"/>
                <w:b w:val="0"/>
                <w:sz w:val="15"/>
              </w:rPr>
              <w:t>All 59 controls</w:t>
            </w:r>
          </w:p>
        </w:tc>
      </w:tr>
      <w:tr>
        <w:trPr>
          <w:cantSplit/>
        </w:trPr>
        <w:tc>
          <w:tcPr>
            <w:tcW w:type="dxa" w:w="3024"/>
            <w:vAlign w:val="center"/>
            <w:shd w:fill="F3F6F7"/>
          </w:tcPr>
          <w:p>
            <w:pPr>
              <w:spacing w:after="0"/>
            </w:pPr>
            <w:r/>
            <w:r>
              <w:rPr>
                <w:rFonts w:ascii="Aptos" w:hAnsi="Aptos"/>
                <w:b w:val="0"/>
                <w:sz w:val="15"/>
              </w:rPr>
              <w:t>Optimized scope</w:t>
            </w:r>
          </w:p>
        </w:tc>
        <w:tc>
          <w:tcPr>
            <w:tcW w:type="dxa" w:w="6624"/>
            <w:vAlign w:val="center"/>
            <w:shd w:fill="F3F6F7"/>
          </w:tcPr>
          <w:p>
            <w:pPr>
              <w:spacing w:after="0"/>
            </w:pPr>
            <w:r/>
            <w:r>
              <w:rPr>
                <w:rFonts w:ascii="Aptos" w:hAnsi="Aptos"/>
                <w:b w:val="0"/>
                <w:sz w:val="15"/>
              </w:rPr>
              <w:t>All 59 controls plus continuous monitoring</w:t>
            </w:r>
          </w:p>
        </w:tc>
      </w:tr>
      <w:tr>
        <w:trPr>
          <w:cantSplit/>
        </w:trPr>
        <w:tc>
          <w:tcPr>
            <w:tcW w:type="dxa" w:w="3024"/>
            <w:vAlign w:val="center"/>
          </w:tcPr>
          <w:p>
            <w:pPr>
              <w:spacing w:after="0"/>
            </w:pPr>
            <w:r/>
            <w:r>
              <w:rPr>
                <w:rFonts w:ascii="Aptos" w:hAnsi="Aptos"/>
                <w:b w:val="0"/>
                <w:sz w:val="15"/>
              </w:rPr>
              <w:t>Sector profiles</w:t>
            </w:r>
          </w:p>
        </w:tc>
        <w:tc>
          <w:tcPr>
            <w:tcW w:type="dxa" w:w="6624"/>
            <w:vAlign w:val="center"/>
          </w:tcPr>
          <w:p>
            <w:pPr>
              <w:spacing w:after="0"/>
            </w:pPr>
            <w:r/>
            <w:r>
              <w:rPr>
                <w:rFonts w:ascii="Aptos" w:hAnsi="Aptos"/>
                <w:b w:val="0"/>
                <w:sz w:val="15"/>
              </w:rPr>
              <w:t>Additive and separately controlled</w:t>
            </w:r>
          </w:p>
        </w:tc>
      </w:tr>
      <w:tr>
        <w:trPr>
          <w:cantSplit/>
        </w:trPr>
        <w:tc>
          <w:tcPr>
            <w:tcW w:type="dxa" w:w="3024"/>
            <w:vAlign w:val="center"/>
            <w:shd w:fill="F3F6F7"/>
          </w:tcPr>
          <w:p>
            <w:pPr>
              <w:spacing w:after="0"/>
            </w:pPr>
            <w:r/>
            <w:r>
              <w:rPr>
                <w:rFonts w:ascii="Aptos" w:hAnsi="Aptos"/>
                <w:b w:val="0"/>
                <w:sz w:val="15"/>
              </w:rPr>
              <w:t>Primary normative source</w:t>
            </w:r>
          </w:p>
        </w:tc>
        <w:tc>
          <w:tcPr>
            <w:tcW w:type="dxa" w:w="6624"/>
            <w:vAlign w:val="center"/>
            <w:shd w:fill="F3F6F7"/>
          </w:tcPr>
          <w:p>
            <w:pPr>
              <w:spacing w:after="0"/>
            </w:pPr>
            <w:r/>
            <w:r>
              <w:rPr>
                <w:rFonts w:ascii="Aptos" w:hAnsi="Aptos"/>
                <w:b w:val="0"/>
                <w:sz w:val="15"/>
              </w:rPr>
              <w:t>GAISSF-NOR-001</w:t>
            </w:r>
          </w:p>
        </w:tc>
      </w:tr>
      <w:tr>
        <w:trPr>
          <w:cantSplit/>
        </w:trPr>
        <w:tc>
          <w:tcPr>
            <w:tcW w:type="dxa" w:w="3024"/>
            <w:vAlign w:val="center"/>
          </w:tcPr>
          <w:p>
            <w:pPr>
              <w:spacing w:after="0"/>
            </w:pPr>
            <w:r/>
            <w:r>
              <w:rPr>
                <w:rFonts w:ascii="Aptos" w:hAnsi="Aptos"/>
                <w:b w:val="0"/>
                <w:sz w:val="15"/>
              </w:rPr>
              <w:t>Control library</w:t>
            </w:r>
          </w:p>
        </w:tc>
        <w:tc>
          <w:tcPr>
            <w:tcW w:type="dxa" w:w="6624"/>
            <w:vAlign w:val="center"/>
          </w:tcPr>
          <w:p>
            <w:pPr>
              <w:spacing w:after="0"/>
            </w:pPr>
            <w:r/>
            <w:r>
              <w:rPr>
                <w:rFonts w:ascii="Aptos" w:hAnsi="Aptos"/>
                <w:b w:val="0"/>
                <w:sz w:val="15"/>
              </w:rPr>
              <w:t>GAISSF-NOR-004</w:t>
            </w:r>
          </w:p>
        </w:tc>
      </w:tr>
      <w:tr>
        <w:trPr>
          <w:cantSplit/>
        </w:trPr>
        <w:tc>
          <w:tcPr>
            <w:tcW w:type="dxa" w:w="3024"/>
            <w:vAlign w:val="center"/>
            <w:shd w:fill="F3F6F7"/>
          </w:tcPr>
          <w:p>
            <w:pPr>
              <w:spacing w:after="0"/>
            </w:pPr>
            <w:r/>
            <w:r>
              <w:rPr>
                <w:rFonts w:ascii="Aptos" w:hAnsi="Aptos"/>
                <w:b w:val="0"/>
                <w:sz w:val="15"/>
              </w:rPr>
              <w:t>Terminology authority</w:t>
            </w:r>
          </w:p>
        </w:tc>
        <w:tc>
          <w:tcPr>
            <w:tcW w:type="dxa" w:w="6624"/>
            <w:vAlign w:val="center"/>
            <w:shd w:fill="F3F6F7"/>
          </w:tcPr>
          <w:p>
            <w:pPr>
              <w:spacing w:after="0"/>
            </w:pPr>
            <w:r/>
            <w:r>
              <w:rPr>
                <w:rFonts w:ascii="Aptos" w:hAnsi="Aptos"/>
                <w:b w:val="0"/>
                <w:sz w:val="15"/>
              </w:rPr>
              <w:t>GAISSF-NOR-005</w:t>
            </w:r>
          </w:p>
        </w:tc>
      </w:tr>
      <w:tr>
        <w:trPr>
          <w:cantSplit/>
        </w:trPr>
        <w:tc>
          <w:tcPr>
            <w:tcW w:type="dxa" w:w="3024"/>
            <w:vAlign w:val="center"/>
          </w:tcPr>
          <w:p>
            <w:pPr>
              <w:spacing w:after="0"/>
            </w:pPr>
            <w:r/>
            <w:r>
              <w:rPr>
                <w:rFonts w:ascii="Aptos" w:hAnsi="Aptos"/>
                <w:b w:val="0"/>
                <w:sz w:val="15"/>
              </w:rPr>
              <w:t>Bibliographic authority</w:t>
            </w:r>
          </w:p>
        </w:tc>
        <w:tc>
          <w:tcPr>
            <w:tcW w:type="dxa" w:w="6624"/>
            <w:vAlign w:val="center"/>
          </w:tcPr>
          <w:p>
            <w:pPr>
              <w:spacing w:after="0"/>
            </w:pPr>
            <w:r/>
            <w:r>
              <w:rPr>
                <w:rFonts w:ascii="Aptos" w:hAnsi="Aptos"/>
                <w:b w:val="0"/>
                <w:sz w:val="15"/>
              </w:rPr>
              <w:t>GAISSF-NOR-006</w:t>
            </w:r>
          </w:p>
        </w:tc>
      </w:tr>
    </w:tbl>
    <w:p/>
    <w:p>
      <w:pPr>
        <w:pStyle w:val="Heading1"/>
      </w:pPr>
      <w:r>
        <w:t>2. Executive Release Summary</w:t>
      </w:r>
    </w:p>
    <w:p>
      <w:r>
        <w:t>GAISSF v1.0 establishes the initial controlled release of the Global AI Security &amp; Safety Framework. It provides a 59-control baseline across nine domains, a 52-control Foundational scope, full Operational and Optimized scopes, evidence requirements, assessment expectations, certification considerations, implementation guidance and controlled terminology.</w:t>
      </w:r>
    </w:p>
    <w:p>
      <w:r>
        <w:t>This release also closes an editorial reconciliation issue that had temporarily produced incorrect downstream drafts containing 45 controls. Those drafts are superseded. The authoritative v1.0 baseline remains 59 controls.</w:t>
      </w:r>
    </w:p>
    <w:p>
      <w:pPr>
        <w:pStyle w:val="Heading1"/>
      </w:pPr>
      <w:r>
        <w:t>3. Release Contents</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trPr>
        <w:tc>
          <w:tcPr>
            <w:tcW w:type="dxa" w:w="1800"/>
            <w:vAlign w:val="center"/>
            <w:shd w:fill="17324D"/>
          </w:tcPr>
          <w:p>
            <w:pPr>
              <w:spacing w:after="0"/>
            </w:pPr>
            <w:r/>
            <w:r>
              <w:rPr>
                <w:rFonts w:ascii="Aptos" w:hAnsi="Aptos"/>
                <w:b/>
                <w:color w:val="FFFFFF"/>
                <w:sz w:val="16"/>
              </w:rPr>
              <w:t>Document</w:t>
            </w:r>
          </w:p>
        </w:tc>
        <w:tc>
          <w:tcPr>
            <w:tcW w:type="dxa" w:w="2232"/>
            <w:vAlign w:val="center"/>
            <w:shd w:fill="17324D"/>
          </w:tcPr>
          <w:p>
            <w:pPr>
              <w:spacing w:after="0"/>
            </w:pPr>
            <w:r/>
            <w:r>
              <w:rPr>
                <w:rFonts w:ascii="Aptos" w:hAnsi="Aptos"/>
                <w:b/>
                <w:color w:val="FFFFFF"/>
                <w:sz w:val="16"/>
              </w:rPr>
              <w:t>Title</w:t>
            </w:r>
          </w:p>
        </w:tc>
        <w:tc>
          <w:tcPr>
            <w:tcW w:type="dxa" w:w="4176"/>
            <w:vAlign w:val="center"/>
            <w:shd w:fill="17324D"/>
          </w:tcPr>
          <w:p>
            <w:pPr>
              <w:spacing w:after="0"/>
            </w:pPr>
            <w:r/>
            <w:r>
              <w:rPr>
                <w:rFonts w:ascii="Aptos" w:hAnsi="Aptos"/>
                <w:b/>
                <w:color w:val="FFFFFF"/>
                <w:sz w:val="16"/>
              </w:rPr>
              <w:t>Release role</w:t>
            </w:r>
          </w:p>
        </w:tc>
        <w:tc>
          <w:tcPr>
            <w:tcW w:type="dxa" w:w="1440"/>
            <w:vAlign w:val="center"/>
            <w:shd w:fill="17324D"/>
          </w:tcPr>
          <w:p>
            <w:pPr>
              <w:spacing w:after="0"/>
            </w:pPr>
            <w:r/>
            <w:r>
              <w:rPr>
                <w:rFonts w:ascii="Aptos" w:hAnsi="Aptos"/>
                <w:b/>
                <w:color w:val="FFFFFF"/>
                <w:sz w:val="16"/>
              </w:rPr>
              <w:t>Status</w:t>
            </w:r>
          </w:p>
        </w:tc>
      </w:tr>
      <w:tr>
        <w:trPr>
          <w:cantSplit/>
        </w:trPr>
        <w:tc>
          <w:tcPr>
            <w:tcW w:type="dxa" w:w="1800"/>
            <w:vAlign w:val="center"/>
          </w:tcPr>
          <w:p>
            <w:pPr>
              <w:spacing w:after="0"/>
            </w:pPr>
            <w:r/>
            <w:r>
              <w:rPr>
                <w:rFonts w:ascii="Aptos" w:hAnsi="Aptos"/>
                <w:b w:val="0"/>
                <w:sz w:val="15"/>
              </w:rPr>
              <w:t>GAISSF-NOR-001</w:t>
            </w:r>
          </w:p>
        </w:tc>
        <w:tc>
          <w:tcPr>
            <w:tcW w:type="dxa" w:w="2232"/>
            <w:vAlign w:val="center"/>
          </w:tcPr>
          <w:p>
            <w:pPr>
              <w:spacing w:after="0"/>
            </w:pPr>
            <w:r/>
            <w:r>
              <w:rPr>
                <w:rFonts w:ascii="Aptos" w:hAnsi="Aptos"/>
                <w:b w:val="0"/>
                <w:sz w:val="15"/>
              </w:rPr>
              <w:t>Framework Standard</w:t>
            </w:r>
          </w:p>
        </w:tc>
        <w:tc>
          <w:tcPr>
            <w:tcW w:type="dxa" w:w="4176"/>
            <w:vAlign w:val="center"/>
          </w:tcPr>
          <w:p>
            <w:pPr>
              <w:spacing w:after="0"/>
            </w:pPr>
            <w:r/>
            <w:r>
              <w:rPr>
                <w:rFonts w:ascii="Aptos" w:hAnsi="Aptos"/>
                <w:b w:val="0"/>
                <w:sz w:val="15"/>
              </w:rPr>
              <w:t>Authoritative normative source</w:t>
            </w:r>
          </w:p>
        </w:tc>
        <w:tc>
          <w:tcPr>
            <w:tcW w:type="dxa" w:w="1440"/>
            <w:vAlign w:val="center"/>
          </w:tcPr>
          <w:p>
            <w:pPr>
              <w:spacing w:after="0"/>
            </w:pPr>
            <w:r/>
            <w:r>
              <w:rPr>
                <w:rFonts w:ascii="Aptos" w:hAnsi="Aptos"/>
                <w:b w:val="0"/>
                <w:sz w:val="15"/>
              </w:rPr>
              <w:t>Released</w:t>
            </w:r>
          </w:p>
        </w:tc>
      </w:tr>
      <w:tr>
        <w:trPr>
          <w:cantSplit/>
        </w:trPr>
        <w:tc>
          <w:tcPr>
            <w:tcW w:type="dxa" w:w="1800"/>
            <w:vAlign w:val="center"/>
            <w:shd w:fill="F3F6F7"/>
          </w:tcPr>
          <w:p>
            <w:pPr>
              <w:spacing w:after="0"/>
            </w:pPr>
            <w:r/>
            <w:r>
              <w:rPr>
                <w:rFonts w:ascii="Aptos" w:hAnsi="Aptos"/>
                <w:b w:val="0"/>
                <w:sz w:val="15"/>
              </w:rPr>
              <w:t>GAISSF-NOR-002</w:t>
            </w:r>
          </w:p>
        </w:tc>
        <w:tc>
          <w:tcPr>
            <w:tcW w:type="dxa" w:w="2232"/>
            <w:vAlign w:val="center"/>
            <w:shd w:fill="F3F6F7"/>
          </w:tcPr>
          <w:p>
            <w:pPr>
              <w:spacing w:after="0"/>
            </w:pPr>
            <w:r/>
            <w:r>
              <w:rPr>
                <w:rFonts w:ascii="Aptos" w:hAnsi="Aptos"/>
                <w:b w:val="0"/>
                <w:sz w:val="15"/>
              </w:rPr>
              <w:t>Executive Summary</w:t>
            </w:r>
          </w:p>
        </w:tc>
        <w:tc>
          <w:tcPr>
            <w:tcW w:type="dxa" w:w="4176"/>
            <w:vAlign w:val="center"/>
            <w:shd w:fill="F3F6F7"/>
          </w:tcPr>
          <w:p>
            <w:pPr>
              <w:spacing w:after="0"/>
            </w:pPr>
            <w:r/>
            <w:r>
              <w:rPr>
                <w:rFonts w:ascii="Aptos" w:hAnsi="Aptos"/>
                <w:b w:val="0"/>
                <w:sz w:val="15"/>
              </w:rPr>
              <w:t>Executive interpretation</w:t>
            </w:r>
          </w:p>
        </w:tc>
        <w:tc>
          <w:tcPr>
            <w:tcW w:type="dxa" w:w="1440"/>
            <w:vAlign w:val="center"/>
            <w:shd w:fill="F3F6F7"/>
          </w:tcPr>
          <w:p>
            <w:pPr>
              <w:spacing w:after="0"/>
            </w:pPr>
            <w:r/>
            <w:r>
              <w:rPr>
                <w:rFonts w:ascii="Aptos" w:hAnsi="Aptos"/>
                <w:b w:val="0"/>
                <w:sz w:val="15"/>
              </w:rPr>
              <w:t>Released</w:t>
            </w:r>
          </w:p>
        </w:tc>
      </w:tr>
      <w:tr>
        <w:trPr>
          <w:cantSplit/>
        </w:trPr>
        <w:tc>
          <w:tcPr>
            <w:tcW w:type="dxa" w:w="1800"/>
            <w:vAlign w:val="center"/>
          </w:tcPr>
          <w:p>
            <w:pPr>
              <w:spacing w:after="0"/>
            </w:pPr>
            <w:r/>
            <w:r>
              <w:rPr>
                <w:rFonts w:ascii="Aptos" w:hAnsi="Aptos"/>
                <w:b w:val="0"/>
                <w:sz w:val="15"/>
              </w:rPr>
              <w:t>GAISSF-NOR-003</w:t>
            </w:r>
          </w:p>
        </w:tc>
        <w:tc>
          <w:tcPr>
            <w:tcW w:type="dxa" w:w="2232"/>
            <w:vAlign w:val="center"/>
          </w:tcPr>
          <w:p>
            <w:pPr>
              <w:spacing w:after="0"/>
            </w:pPr>
            <w:r/>
            <w:r>
              <w:rPr>
                <w:rFonts w:ascii="Aptos" w:hAnsi="Aptos"/>
                <w:b w:val="0"/>
                <w:sz w:val="15"/>
              </w:rPr>
              <w:t>Quick Start Guide</w:t>
            </w:r>
          </w:p>
        </w:tc>
        <w:tc>
          <w:tcPr>
            <w:tcW w:type="dxa" w:w="4176"/>
            <w:vAlign w:val="center"/>
          </w:tcPr>
          <w:p>
            <w:pPr>
              <w:spacing w:after="0"/>
            </w:pPr>
            <w:r/>
            <w:r>
              <w:rPr>
                <w:rFonts w:ascii="Aptos" w:hAnsi="Aptos"/>
                <w:b w:val="0"/>
                <w:sz w:val="15"/>
              </w:rPr>
              <w:t>Implementation onboarding</w:t>
            </w:r>
          </w:p>
        </w:tc>
        <w:tc>
          <w:tcPr>
            <w:tcW w:type="dxa" w:w="1440"/>
            <w:vAlign w:val="center"/>
          </w:tcPr>
          <w:p>
            <w:pPr>
              <w:spacing w:after="0"/>
            </w:pPr>
            <w:r/>
            <w:r>
              <w:rPr>
                <w:rFonts w:ascii="Aptos" w:hAnsi="Aptos"/>
                <w:b w:val="0"/>
                <w:sz w:val="15"/>
              </w:rPr>
              <w:t>Released</w:t>
            </w:r>
          </w:p>
        </w:tc>
      </w:tr>
      <w:tr>
        <w:trPr>
          <w:cantSplit/>
        </w:trPr>
        <w:tc>
          <w:tcPr>
            <w:tcW w:type="dxa" w:w="1800"/>
            <w:vAlign w:val="center"/>
            <w:shd w:fill="F3F6F7"/>
          </w:tcPr>
          <w:p>
            <w:pPr>
              <w:spacing w:after="0"/>
            </w:pPr>
            <w:r/>
            <w:r>
              <w:rPr>
                <w:rFonts w:ascii="Aptos" w:hAnsi="Aptos"/>
                <w:b w:val="0"/>
                <w:sz w:val="15"/>
              </w:rPr>
              <w:t>GAISSF-NOR-004</w:t>
            </w:r>
          </w:p>
        </w:tc>
        <w:tc>
          <w:tcPr>
            <w:tcW w:type="dxa" w:w="2232"/>
            <w:vAlign w:val="center"/>
            <w:shd w:fill="F3F6F7"/>
          </w:tcPr>
          <w:p>
            <w:pPr>
              <w:spacing w:after="0"/>
            </w:pPr>
            <w:r/>
            <w:r>
              <w:rPr>
                <w:rFonts w:ascii="Aptos" w:hAnsi="Aptos"/>
                <w:b w:val="0"/>
                <w:sz w:val="15"/>
              </w:rPr>
              <w:t>Control Catalogue</w:t>
            </w:r>
          </w:p>
        </w:tc>
        <w:tc>
          <w:tcPr>
            <w:tcW w:type="dxa" w:w="4176"/>
            <w:vAlign w:val="center"/>
            <w:shd w:fill="F3F6F7"/>
          </w:tcPr>
          <w:p>
            <w:pPr>
              <w:spacing w:after="0"/>
            </w:pPr>
            <w:r/>
            <w:r>
              <w:rPr>
                <w:rFonts w:ascii="Aptos" w:hAnsi="Aptos"/>
                <w:b w:val="0"/>
                <w:sz w:val="15"/>
              </w:rPr>
              <w:t>Single 59-control library</w:t>
            </w:r>
          </w:p>
        </w:tc>
        <w:tc>
          <w:tcPr>
            <w:tcW w:type="dxa" w:w="1440"/>
            <w:vAlign w:val="center"/>
            <w:shd w:fill="F3F6F7"/>
          </w:tcPr>
          <w:p>
            <w:pPr>
              <w:spacing w:after="0"/>
            </w:pPr>
            <w:r/>
            <w:r>
              <w:rPr>
                <w:rFonts w:ascii="Aptos" w:hAnsi="Aptos"/>
                <w:b w:val="0"/>
                <w:sz w:val="15"/>
              </w:rPr>
              <w:t>Released</w:t>
            </w:r>
          </w:p>
        </w:tc>
      </w:tr>
      <w:tr>
        <w:trPr>
          <w:cantSplit/>
        </w:trPr>
        <w:tc>
          <w:tcPr>
            <w:tcW w:type="dxa" w:w="1800"/>
            <w:vAlign w:val="center"/>
          </w:tcPr>
          <w:p>
            <w:pPr>
              <w:spacing w:after="0"/>
            </w:pPr>
            <w:r/>
            <w:r>
              <w:rPr>
                <w:rFonts w:ascii="Aptos" w:hAnsi="Aptos"/>
                <w:b w:val="0"/>
                <w:sz w:val="15"/>
              </w:rPr>
              <w:t>GAISSF-NOR-005</w:t>
            </w:r>
          </w:p>
        </w:tc>
        <w:tc>
          <w:tcPr>
            <w:tcW w:type="dxa" w:w="2232"/>
            <w:vAlign w:val="center"/>
          </w:tcPr>
          <w:p>
            <w:pPr>
              <w:spacing w:after="0"/>
            </w:pPr>
            <w:r/>
            <w:r>
              <w:rPr>
                <w:rFonts w:ascii="Aptos" w:hAnsi="Aptos"/>
                <w:b w:val="0"/>
                <w:sz w:val="15"/>
              </w:rPr>
              <w:t>Glossary</w:t>
            </w:r>
          </w:p>
        </w:tc>
        <w:tc>
          <w:tcPr>
            <w:tcW w:type="dxa" w:w="4176"/>
            <w:vAlign w:val="center"/>
          </w:tcPr>
          <w:p>
            <w:pPr>
              <w:spacing w:after="0"/>
            </w:pPr>
            <w:r/>
            <w:r>
              <w:rPr>
                <w:rFonts w:ascii="Aptos" w:hAnsi="Aptos"/>
                <w:b w:val="0"/>
                <w:sz w:val="15"/>
              </w:rPr>
              <w:t>Controlled terminology</w:t>
            </w:r>
          </w:p>
        </w:tc>
        <w:tc>
          <w:tcPr>
            <w:tcW w:type="dxa" w:w="1440"/>
            <w:vAlign w:val="center"/>
          </w:tcPr>
          <w:p>
            <w:pPr>
              <w:spacing w:after="0"/>
            </w:pPr>
            <w:r/>
            <w:r>
              <w:rPr>
                <w:rFonts w:ascii="Aptos" w:hAnsi="Aptos"/>
                <w:b w:val="0"/>
                <w:sz w:val="15"/>
              </w:rPr>
              <w:t>Released</w:t>
            </w:r>
          </w:p>
        </w:tc>
      </w:tr>
      <w:tr>
        <w:trPr>
          <w:cantSplit/>
        </w:trPr>
        <w:tc>
          <w:tcPr>
            <w:tcW w:type="dxa" w:w="1800"/>
            <w:vAlign w:val="center"/>
            <w:shd w:fill="F3F6F7"/>
          </w:tcPr>
          <w:p>
            <w:pPr>
              <w:spacing w:after="0"/>
            </w:pPr>
            <w:r/>
            <w:r>
              <w:rPr>
                <w:rFonts w:ascii="Aptos" w:hAnsi="Aptos"/>
                <w:b w:val="0"/>
                <w:sz w:val="15"/>
              </w:rPr>
              <w:t>GAISSF-NOR-006</w:t>
            </w:r>
          </w:p>
        </w:tc>
        <w:tc>
          <w:tcPr>
            <w:tcW w:type="dxa" w:w="2232"/>
            <w:vAlign w:val="center"/>
            <w:shd w:fill="F3F6F7"/>
          </w:tcPr>
          <w:p>
            <w:pPr>
              <w:spacing w:after="0"/>
            </w:pPr>
            <w:r/>
            <w:r>
              <w:rPr>
                <w:rFonts w:ascii="Aptos" w:hAnsi="Aptos"/>
                <w:b w:val="0"/>
                <w:sz w:val="15"/>
              </w:rPr>
              <w:t>Bibliography</w:t>
            </w:r>
          </w:p>
        </w:tc>
        <w:tc>
          <w:tcPr>
            <w:tcW w:type="dxa" w:w="4176"/>
            <w:vAlign w:val="center"/>
            <w:shd w:fill="F3F6F7"/>
          </w:tcPr>
          <w:p>
            <w:pPr>
              <w:spacing w:after="0"/>
            </w:pPr>
            <w:r/>
            <w:r>
              <w:rPr>
                <w:rFonts w:ascii="Aptos" w:hAnsi="Aptos"/>
                <w:b w:val="0"/>
                <w:sz w:val="15"/>
              </w:rPr>
              <w:t>Controlled references and citations</w:t>
            </w:r>
          </w:p>
        </w:tc>
        <w:tc>
          <w:tcPr>
            <w:tcW w:type="dxa" w:w="1440"/>
            <w:vAlign w:val="center"/>
            <w:shd w:fill="F3F6F7"/>
          </w:tcPr>
          <w:p>
            <w:pPr>
              <w:spacing w:after="0"/>
            </w:pPr>
            <w:r/>
            <w:r>
              <w:rPr>
                <w:rFonts w:ascii="Aptos" w:hAnsi="Aptos"/>
                <w:b w:val="0"/>
                <w:sz w:val="15"/>
              </w:rPr>
              <w:t>Released</w:t>
            </w:r>
          </w:p>
        </w:tc>
      </w:tr>
      <w:tr>
        <w:trPr>
          <w:cantSplit/>
        </w:trPr>
        <w:tc>
          <w:tcPr>
            <w:tcW w:type="dxa" w:w="1800"/>
            <w:vAlign w:val="center"/>
          </w:tcPr>
          <w:p>
            <w:pPr>
              <w:spacing w:after="0"/>
            </w:pPr>
            <w:r/>
            <w:r>
              <w:rPr>
                <w:rFonts w:ascii="Aptos" w:hAnsi="Aptos"/>
                <w:b w:val="0"/>
                <w:sz w:val="15"/>
              </w:rPr>
              <w:t>GAISSF-NOR-007</w:t>
            </w:r>
          </w:p>
        </w:tc>
        <w:tc>
          <w:tcPr>
            <w:tcW w:type="dxa" w:w="2232"/>
            <w:vAlign w:val="center"/>
          </w:tcPr>
          <w:p>
            <w:pPr>
              <w:spacing w:after="0"/>
            </w:pPr>
            <w:r/>
            <w:r>
              <w:rPr>
                <w:rFonts w:ascii="Aptos" w:hAnsi="Aptos"/>
                <w:b w:val="0"/>
                <w:sz w:val="15"/>
              </w:rPr>
              <w:t>Release Notes</w:t>
            </w:r>
          </w:p>
        </w:tc>
        <w:tc>
          <w:tcPr>
            <w:tcW w:type="dxa" w:w="4176"/>
            <w:vAlign w:val="center"/>
          </w:tcPr>
          <w:p>
            <w:pPr>
              <w:spacing w:after="0"/>
            </w:pPr>
            <w:r/>
            <w:r>
              <w:rPr>
                <w:rFonts w:ascii="Aptos" w:hAnsi="Aptos"/>
                <w:b w:val="0"/>
                <w:sz w:val="15"/>
              </w:rPr>
              <w:t>Release communication and change record</w:t>
            </w:r>
          </w:p>
        </w:tc>
        <w:tc>
          <w:tcPr>
            <w:tcW w:type="dxa" w:w="1440"/>
            <w:vAlign w:val="center"/>
          </w:tcPr>
          <w:p>
            <w:pPr>
              <w:spacing w:after="0"/>
            </w:pPr>
            <w:r/>
            <w:r>
              <w:rPr>
                <w:rFonts w:ascii="Aptos" w:hAnsi="Aptos"/>
                <w:b w:val="0"/>
                <w:sz w:val="15"/>
              </w:rPr>
              <w:t>This release</w:t>
            </w:r>
          </w:p>
        </w:tc>
      </w:tr>
    </w:tbl>
    <w:p/>
    <w:p>
      <w:pPr>
        <w:pStyle w:val="Heading1"/>
      </w:pPr>
      <w:r>
        <w:t>4. Control Baseline</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trPr>
        <w:tc>
          <w:tcPr>
            <w:tcW w:type="dxa" w:w="1008"/>
            <w:vAlign w:val="center"/>
            <w:shd w:fill="17324D"/>
          </w:tcPr>
          <w:p>
            <w:pPr>
              <w:spacing w:after="0"/>
            </w:pPr>
            <w:r/>
            <w:r>
              <w:rPr>
                <w:rFonts w:ascii="Aptos" w:hAnsi="Aptos"/>
                <w:b/>
                <w:color w:val="FFFFFF"/>
                <w:sz w:val="16"/>
              </w:rPr>
              <w:t>Domain</w:t>
            </w:r>
          </w:p>
        </w:tc>
        <w:tc>
          <w:tcPr>
            <w:tcW w:type="dxa" w:w="3312"/>
            <w:vAlign w:val="center"/>
            <w:shd w:fill="17324D"/>
          </w:tcPr>
          <w:p>
            <w:pPr>
              <w:spacing w:after="0"/>
            </w:pPr>
            <w:r/>
            <w:r>
              <w:rPr>
                <w:rFonts w:ascii="Aptos" w:hAnsi="Aptos"/>
                <w:b/>
                <w:color w:val="FFFFFF"/>
                <w:sz w:val="16"/>
              </w:rPr>
              <w:t>Control range</w:t>
            </w:r>
          </w:p>
        </w:tc>
        <w:tc>
          <w:tcPr>
            <w:tcW w:type="dxa" w:w="2016"/>
            <w:vAlign w:val="center"/>
            <w:shd w:fill="17324D"/>
          </w:tcPr>
          <w:p>
            <w:pPr>
              <w:spacing w:after="0"/>
            </w:pPr>
            <w:r/>
            <w:r>
              <w:rPr>
                <w:rFonts w:ascii="Aptos" w:hAnsi="Aptos"/>
                <w:b/>
                <w:color w:val="FFFFFF"/>
                <w:sz w:val="16"/>
              </w:rPr>
              <w:t>Count</w:t>
            </w:r>
          </w:p>
        </w:tc>
        <w:tc>
          <w:tcPr>
            <w:tcW w:type="dxa" w:w="3168"/>
            <w:vAlign w:val="center"/>
            <w:shd w:fill="17324D"/>
          </w:tcPr>
          <w:p>
            <w:pPr>
              <w:spacing w:after="0"/>
            </w:pPr>
            <w:r/>
            <w:r>
              <w:rPr>
                <w:rFonts w:ascii="Aptos" w:hAnsi="Aptos"/>
                <w:b/>
                <w:color w:val="FFFFFF"/>
                <w:sz w:val="16"/>
              </w:rPr>
              <w:t>Foundational status</w:t>
            </w:r>
          </w:p>
        </w:tc>
      </w:tr>
      <w:tr>
        <w:trPr>
          <w:cantSplit/>
        </w:trPr>
        <w:tc>
          <w:tcPr>
            <w:tcW w:type="dxa" w:w="1008"/>
            <w:vAlign w:val="center"/>
          </w:tcPr>
          <w:p>
            <w:pPr>
              <w:spacing w:after="0"/>
            </w:pPr>
            <w:r/>
            <w:r>
              <w:rPr>
                <w:rFonts w:ascii="Aptos" w:hAnsi="Aptos"/>
                <w:b w:val="0"/>
                <w:sz w:val="15"/>
              </w:rPr>
              <w:t>D1</w:t>
            </w:r>
          </w:p>
        </w:tc>
        <w:tc>
          <w:tcPr>
            <w:tcW w:type="dxa" w:w="3312"/>
            <w:vAlign w:val="center"/>
          </w:tcPr>
          <w:p>
            <w:pPr>
              <w:spacing w:after="0"/>
            </w:pPr>
            <w:r/>
            <w:r>
              <w:rPr>
                <w:rFonts w:ascii="Aptos" w:hAnsi="Aptos"/>
                <w:b w:val="0"/>
                <w:sz w:val="15"/>
              </w:rPr>
              <w:t>D1-CTL-01 onward</w:t>
            </w:r>
          </w:p>
        </w:tc>
        <w:tc>
          <w:tcPr>
            <w:tcW w:type="dxa" w:w="2016"/>
            <w:vAlign w:val="center"/>
          </w:tcPr>
          <w:p>
            <w:pPr>
              <w:spacing w:after="0"/>
            </w:pPr>
            <w:r/>
            <w:r>
              <w:rPr>
                <w:rFonts w:ascii="Aptos" w:hAnsi="Aptos"/>
                <w:b w:val="0"/>
                <w:sz w:val="15"/>
              </w:rPr>
              <w:t>As defined in NOR-001/NOR-004</w:t>
            </w:r>
          </w:p>
        </w:tc>
        <w:tc>
          <w:tcPr>
            <w:tcW w:type="dxa" w:w="3168"/>
            <w:vAlign w:val="center"/>
          </w:tcPr>
          <w:p>
            <w:pPr>
              <w:spacing w:after="0"/>
            </w:pPr>
            <w:r/>
            <w:r>
              <w:rPr>
                <w:rFonts w:ascii="Aptos" w:hAnsi="Aptos"/>
                <w:b w:val="0"/>
                <w:sz w:val="15"/>
              </w:rPr>
              <w:t>Included</w:t>
            </w:r>
          </w:p>
        </w:tc>
      </w:tr>
      <w:tr>
        <w:trPr>
          <w:cantSplit/>
        </w:trPr>
        <w:tc>
          <w:tcPr>
            <w:tcW w:type="dxa" w:w="1008"/>
            <w:vAlign w:val="center"/>
            <w:shd w:fill="F3F6F7"/>
          </w:tcPr>
          <w:p>
            <w:pPr>
              <w:spacing w:after="0"/>
            </w:pPr>
            <w:r/>
            <w:r>
              <w:rPr>
                <w:rFonts w:ascii="Aptos" w:hAnsi="Aptos"/>
                <w:b w:val="0"/>
                <w:sz w:val="15"/>
              </w:rPr>
              <w:t>D2</w:t>
            </w:r>
          </w:p>
        </w:tc>
        <w:tc>
          <w:tcPr>
            <w:tcW w:type="dxa" w:w="3312"/>
            <w:vAlign w:val="center"/>
            <w:shd w:fill="F3F6F7"/>
          </w:tcPr>
          <w:p>
            <w:pPr>
              <w:spacing w:after="0"/>
            </w:pPr>
            <w:r/>
            <w:r>
              <w:rPr>
                <w:rFonts w:ascii="Aptos" w:hAnsi="Aptos"/>
                <w:b w:val="0"/>
                <w:sz w:val="15"/>
              </w:rPr>
              <w:t>D2-CTL-01 onward</w:t>
            </w:r>
          </w:p>
        </w:tc>
        <w:tc>
          <w:tcPr>
            <w:tcW w:type="dxa" w:w="2016"/>
            <w:vAlign w:val="center"/>
            <w:shd w:fill="F3F6F7"/>
          </w:tcPr>
          <w:p>
            <w:pPr>
              <w:spacing w:after="0"/>
            </w:pPr>
            <w:r/>
            <w:r>
              <w:rPr>
                <w:rFonts w:ascii="Aptos" w:hAnsi="Aptos"/>
                <w:b w:val="0"/>
                <w:sz w:val="15"/>
              </w:rPr>
              <w:t>As defined in NOR-001/NOR-004</w:t>
            </w:r>
          </w:p>
        </w:tc>
        <w:tc>
          <w:tcPr>
            <w:tcW w:type="dxa" w:w="3168"/>
            <w:vAlign w:val="center"/>
            <w:shd w:fill="F3F6F7"/>
          </w:tcPr>
          <w:p>
            <w:pPr>
              <w:spacing w:after="0"/>
            </w:pPr>
            <w:r/>
            <w:r>
              <w:rPr>
                <w:rFonts w:ascii="Aptos" w:hAnsi="Aptos"/>
                <w:b w:val="0"/>
                <w:sz w:val="15"/>
              </w:rPr>
              <w:t>Included</w:t>
            </w:r>
          </w:p>
        </w:tc>
      </w:tr>
      <w:tr>
        <w:trPr>
          <w:cantSplit/>
        </w:trPr>
        <w:tc>
          <w:tcPr>
            <w:tcW w:type="dxa" w:w="1008"/>
            <w:vAlign w:val="center"/>
          </w:tcPr>
          <w:p>
            <w:pPr>
              <w:spacing w:after="0"/>
            </w:pPr>
            <w:r/>
            <w:r>
              <w:rPr>
                <w:rFonts w:ascii="Aptos" w:hAnsi="Aptos"/>
                <w:b w:val="0"/>
                <w:sz w:val="15"/>
              </w:rPr>
              <w:t>D3</w:t>
            </w:r>
          </w:p>
        </w:tc>
        <w:tc>
          <w:tcPr>
            <w:tcW w:type="dxa" w:w="3312"/>
            <w:vAlign w:val="center"/>
          </w:tcPr>
          <w:p>
            <w:pPr>
              <w:spacing w:after="0"/>
            </w:pPr>
            <w:r/>
            <w:r>
              <w:rPr>
                <w:rFonts w:ascii="Aptos" w:hAnsi="Aptos"/>
                <w:b w:val="0"/>
                <w:sz w:val="15"/>
              </w:rPr>
              <w:t>D3-CTL-01 onward</w:t>
            </w:r>
          </w:p>
        </w:tc>
        <w:tc>
          <w:tcPr>
            <w:tcW w:type="dxa" w:w="2016"/>
            <w:vAlign w:val="center"/>
          </w:tcPr>
          <w:p>
            <w:pPr>
              <w:spacing w:after="0"/>
            </w:pPr>
            <w:r/>
            <w:r>
              <w:rPr>
                <w:rFonts w:ascii="Aptos" w:hAnsi="Aptos"/>
                <w:b w:val="0"/>
                <w:sz w:val="15"/>
              </w:rPr>
              <w:t>As defined in NOR-001/NOR-004</w:t>
            </w:r>
          </w:p>
        </w:tc>
        <w:tc>
          <w:tcPr>
            <w:tcW w:type="dxa" w:w="3168"/>
            <w:vAlign w:val="center"/>
          </w:tcPr>
          <w:p>
            <w:pPr>
              <w:spacing w:after="0"/>
            </w:pPr>
            <w:r/>
            <w:r>
              <w:rPr>
                <w:rFonts w:ascii="Aptos" w:hAnsi="Aptos"/>
                <w:b w:val="0"/>
                <w:sz w:val="15"/>
              </w:rPr>
              <w:t>Included</w:t>
            </w:r>
          </w:p>
        </w:tc>
      </w:tr>
      <w:tr>
        <w:trPr>
          <w:cantSplit/>
        </w:trPr>
        <w:tc>
          <w:tcPr>
            <w:tcW w:type="dxa" w:w="1008"/>
            <w:vAlign w:val="center"/>
            <w:shd w:fill="F3F6F7"/>
          </w:tcPr>
          <w:p>
            <w:pPr>
              <w:spacing w:after="0"/>
            </w:pPr>
            <w:r/>
            <w:r>
              <w:rPr>
                <w:rFonts w:ascii="Aptos" w:hAnsi="Aptos"/>
                <w:b w:val="0"/>
                <w:sz w:val="15"/>
              </w:rPr>
              <w:t>D4</w:t>
            </w:r>
          </w:p>
        </w:tc>
        <w:tc>
          <w:tcPr>
            <w:tcW w:type="dxa" w:w="3312"/>
            <w:vAlign w:val="center"/>
            <w:shd w:fill="F3F6F7"/>
          </w:tcPr>
          <w:p>
            <w:pPr>
              <w:spacing w:after="0"/>
            </w:pPr>
            <w:r/>
            <w:r>
              <w:rPr>
                <w:rFonts w:ascii="Aptos" w:hAnsi="Aptos"/>
                <w:b w:val="0"/>
                <w:sz w:val="15"/>
              </w:rPr>
              <w:t>D4-CTL-01 onward</w:t>
            </w:r>
          </w:p>
        </w:tc>
        <w:tc>
          <w:tcPr>
            <w:tcW w:type="dxa" w:w="2016"/>
            <w:vAlign w:val="center"/>
            <w:shd w:fill="F3F6F7"/>
          </w:tcPr>
          <w:p>
            <w:pPr>
              <w:spacing w:after="0"/>
            </w:pPr>
            <w:r/>
            <w:r>
              <w:rPr>
                <w:rFonts w:ascii="Aptos" w:hAnsi="Aptos"/>
                <w:b w:val="0"/>
                <w:sz w:val="15"/>
              </w:rPr>
              <w:t>As defined in NOR-001/NOR-004</w:t>
            </w:r>
          </w:p>
        </w:tc>
        <w:tc>
          <w:tcPr>
            <w:tcW w:type="dxa" w:w="3168"/>
            <w:vAlign w:val="center"/>
            <w:shd w:fill="F3F6F7"/>
          </w:tcPr>
          <w:p>
            <w:pPr>
              <w:spacing w:after="0"/>
            </w:pPr>
            <w:r/>
            <w:r>
              <w:rPr>
                <w:rFonts w:ascii="Aptos" w:hAnsi="Aptos"/>
                <w:b w:val="0"/>
                <w:sz w:val="15"/>
              </w:rPr>
              <w:t>Included</w:t>
            </w:r>
          </w:p>
        </w:tc>
      </w:tr>
      <w:tr>
        <w:trPr>
          <w:cantSplit/>
        </w:trPr>
        <w:tc>
          <w:tcPr>
            <w:tcW w:type="dxa" w:w="1008"/>
            <w:vAlign w:val="center"/>
          </w:tcPr>
          <w:p>
            <w:pPr>
              <w:spacing w:after="0"/>
            </w:pPr>
            <w:r/>
            <w:r>
              <w:rPr>
                <w:rFonts w:ascii="Aptos" w:hAnsi="Aptos"/>
                <w:b w:val="0"/>
                <w:sz w:val="15"/>
              </w:rPr>
              <w:t>D5</w:t>
            </w:r>
          </w:p>
        </w:tc>
        <w:tc>
          <w:tcPr>
            <w:tcW w:type="dxa" w:w="3312"/>
            <w:vAlign w:val="center"/>
          </w:tcPr>
          <w:p>
            <w:pPr>
              <w:spacing w:after="0"/>
            </w:pPr>
            <w:r/>
            <w:r>
              <w:rPr>
                <w:rFonts w:ascii="Aptos" w:hAnsi="Aptos"/>
                <w:b w:val="0"/>
                <w:sz w:val="15"/>
              </w:rPr>
              <w:t>D5-CTL-01 onward</w:t>
            </w:r>
          </w:p>
        </w:tc>
        <w:tc>
          <w:tcPr>
            <w:tcW w:type="dxa" w:w="2016"/>
            <w:vAlign w:val="center"/>
          </w:tcPr>
          <w:p>
            <w:pPr>
              <w:spacing w:after="0"/>
            </w:pPr>
            <w:r/>
            <w:r>
              <w:rPr>
                <w:rFonts w:ascii="Aptos" w:hAnsi="Aptos"/>
                <w:b w:val="0"/>
                <w:sz w:val="15"/>
              </w:rPr>
              <w:t>As defined in NOR-001/NOR-004</w:t>
            </w:r>
          </w:p>
        </w:tc>
        <w:tc>
          <w:tcPr>
            <w:tcW w:type="dxa" w:w="3168"/>
            <w:vAlign w:val="center"/>
          </w:tcPr>
          <w:p>
            <w:pPr>
              <w:spacing w:after="0"/>
            </w:pPr>
            <w:r/>
            <w:r>
              <w:rPr>
                <w:rFonts w:ascii="Aptos" w:hAnsi="Aptos"/>
                <w:b w:val="0"/>
                <w:sz w:val="15"/>
              </w:rPr>
              <w:t>Included</w:t>
            </w:r>
          </w:p>
        </w:tc>
      </w:tr>
      <w:tr>
        <w:trPr>
          <w:cantSplit/>
        </w:trPr>
        <w:tc>
          <w:tcPr>
            <w:tcW w:type="dxa" w:w="1008"/>
            <w:vAlign w:val="center"/>
            <w:shd w:fill="F3F6F7"/>
          </w:tcPr>
          <w:p>
            <w:pPr>
              <w:spacing w:after="0"/>
            </w:pPr>
            <w:r/>
            <w:r>
              <w:rPr>
                <w:rFonts w:ascii="Aptos" w:hAnsi="Aptos"/>
                <w:b w:val="0"/>
                <w:sz w:val="15"/>
              </w:rPr>
              <w:t>D6</w:t>
            </w:r>
          </w:p>
        </w:tc>
        <w:tc>
          <w:tcPr>
            <w:tcW w:type="dxa" w:w="3312"/>
            <w:vAlign w:val="center"/>
            <w:shd w:fill="F3F6F7"/>
          </w:tcPr>
          <w:p>
            <w:pPr>
              <w:spacing w:after="0"/>
            </w:pPr>
            <w:r/>
            <w:r>
              <w:rPr>
                <w:rFonts w:ascii="Aptos" w:hAnsi="Aptos"/>
                <w:b w:val="0"/>
                <w:sz w:val="15"/>
              </w:rPr>
              <w:t>D6-CTL-01 onward</w:t>
            </w:r>
          </w:p>
        </w:tc>
        <w:tc>
          <w:tcPr>
            <w:tcW w:type="dxa" w:w="2016"/>
            <w:vAlign w:val="center"/>
            <w:shd w:fill="F3F6F7"/>
          </w:tcPr>
          <w:p>
            <w:pPr>
              <w:spacing w:after="0"/>
            </w:pPr>
            <w:r/>
            <w:r>
              <w:rPr>
                <w:rFonts w:ascii="Aptos" w:hAnsi="Aptos"/>
                <w:b w:val="0"/>
                <w:sz w:val="15"/>
              </w:rPr>
              <w:t>As defined in NOR-001/NOR-004</w:t>
            </w:r>
          </w:p>
        </w:tc>
        <w:tc>
          <w:tcPr>
            <w:tcW w:type="dxa" w:w="3168"/>
            <w:vAlign w:val="center"/>
            <w:shd w:fill="F3F6F7"/>
          </w:tcPr>
          <w:p>
            <w:pPr>
              <w:spacing w:after="0"/>
            </w:pPr>
            <w:r/>
            <w:r>
              <w:rPr>
                <w:rFonts w:ascii="Aptos" w:hAnsi="Aptos"/>
                <w:b w:val="0"/>
                <w:sz w:val="15"/>
              </w:rPr>
              <w:t>Included</w:t>
            </w:r>
          </w:p>
        </w:tc>
      </w:tr>
      <w:tr>
        <w:trPr>
          <w:cantSplit/>
        </w:trPr>
        <w:tc>
          <w:tcPr>
            <w:tcW w:type="dxa" w:w="1008"/>
            <w:vAlign w:val="center"/>
          </w:tcPr>
          <w:p>
            <w:pPr>
              <w:spacing w:after="0"/>
            </w:pPr>
            <w:r/>
            <w:r>
              <w:rPr>
                <w:rFonts w:ascii="Aptos" w:hAnsi="Aptos"/>
                <w:b w:val="0"/>
                <w:sz w:val="15"/>
              </w:rPr>
              <w:t>D7</w:t>
            </w:r>
          </w:p>
        </w:tc>
        <w:tc>
          <w:tcPr>
            <w:tcW w:type="dxa" w:w="3312"/>
            <w:vAlign w:val="center"/>
          </w:tcPr>
          <w:p>
            <w:pPr>
              <w:spacing w:after="0"/>
            </w:pPr>
            <w:r/>
            <w:r>
              <w:rPr>
                <w:rFonts w:ascii="Aptos" w:hAnsi="Aptos"/>
                <w:b w:val="0"/>
                <w:sz w:val="15"/>
              </w:rPr>
              <w:t>D7-CTL-01 onward</w:t>
            </w:r>
          </w:p>
        </w:tc>
        <w:tc>
          <w:tcPr>
            <w:tcW w:type="dxa" w:w="2016"/>
            <w:vAlign w:val="center"/>
          </w:tcPr>
          <w:p>
            <w:pPr>
              <w:spacing w:after="0"/>
            </w:pPr>
            <w:r/>
            <w:r>
              <w:rPr>
                <w:rFonts w:ascii="Aptos" w:hAnsi="Aptos"/>
                <w:b w:val="0"/>
                <w:sz w:val="15"/>
              </w:rPr>
              <w:t>As defined in NOR-001/NOR-004</w:t>
            </w:r>
          </w:p>
        </w:tc>
        <w:tc>
          <w:tcPr>
            <w:tcW w:type="dxa" w:w="3168"/>
            <w:vAlign w:val="center"/>
          </w:tcPr>
          <w:p>
            <w:pPr>
              <w:spacing w:after="0"/>
            </w:pPr>
            <w:r/>
            <w:r>
              <w:rPr>
                <w:rFonts w:ascii="Aptos" w:hAnsi="Aptos"/>
                <w:b w:val="0"/>
                <w:sz w:val="15"/>
              </w:rPr>
              <w:t>Included</w:t>
            </w:r>
          </w:p>
        </w:tc>
      </w:tr>
      <w:tr>
        <w:trPr>
          <w:cantSplit/>
        </w:trPr>
        <w:tc>
          <w:tcPr>
            <w:tcW w:type="dxa" w:w="1008"/>
            <w:vAlign w:val="center"/>
            <w:shd w:fill="F3F6F7"/>
          </w:tcPr>
          <w:p>
            <w:pPr>
              <w:spacing w:after="0"/>
            </w:pPr>
            <w:r/>
            <w:r>
              <w:rPr>
                <w:rFonts w:ascii="Aptos" w:hAnsi="Aptos"/>
                <w:b w:val="0"/>
                <w:sz w:val="15"/>
              </w:rPr>
              <w:t>D8</w:t>
            </w:r>
          </w:p>
        </w:tc>
        <w:tc>
          <w:tcPr>
            <w:tcW w:type="dxa" w:w="3312"/>
            <w:vAlign w:val="center"/>
            <w:shd w:fill="F3F6F7"/>
          </w:tcPr>
          <w:p>
            <w:pPr>
              <w:spacing w:after="0"/>
            </w:pPr>
            <w:r/>
            <w:r>
              <w:rPr>
                <w:rFonts w:ascii="Aptos" w:hAnsi="Aptos"/>
                <w:b w:val="0"/>
                <w:sz w:val="15"/>
              </w:rPr>
              <w:t>D8-CTL-01 onward</w:t>
            </w:r>
          </w:p>
        </w:tc>
        <w:tc>
          <w:tcPr>
            <w:tcW w:type="dxa" w:w="2016"/>
            <w:vAlign w:val="center"/>
            <w:shd w:fill="F3F6F7"/>
          </w:tcPr>
          <w:p>
            <w:pPr>
              <w:spacing w:after="0"/>
            </w:pPr>
            <w:r/>
            <w:r>
              <w:rPr>
                <w:rFonts w:ascii="Aptos" w:hAnsi="Aptos"/>
                <w:b w:val="0"/>
                <w:sz w:val="15"/>
              </w:rPr>
              <w:t>As defined in NOR-001/NOR-004</w:t>
            </w:r>
          </w:p>
        </w:tc>
        <w:tc>
          <w:tcPr>
            <w:tcW w:type="dxa" w:w="3168"/>
            <w:vAlign w:val="center"/>
            <w:shd w:fill="F3F6F7"/>
          </w:tcPr>
          <w:p>
            <w:pPr>
              <w:spacing w:after="0"/>
            </w:pPr>
            <w:r/>
            <w:r>
              <w:rPr>
                <w:rFonts w:ascii="Aptos" w:hAnsi="Aptos"/>
                <w:b w:val="0"/>
                <w:sz w:val="15"/>
              </w:rPr>
              <w:t>Included</w:t>
            </w:r>
          </w:p>
        </w:tc>
      </w:tr>
      <w:tr>
        <w:trPr>
          <w:cantSplit/>
        </w:trPr>
        <w:tc>
          <w:tcPr>
            <w:tcW w:type="dxa" w:w="1008"/>
            <w:vAlign w:val="center"/>
          </w:tcPr>
          <w:p>
            <w:pPr>
              <w:spacing w:after="0"/>
            </w:pPr>
            <w:r/>
            <w:r>
              <w:rPr>
                <w:rFonts w:ascii="Aptos" w:hAnsi="Aptos"/>
                <w:b w:val="0"/>
                <w:sz w:val="15"/>
              </w:rPr>
              <w:t>D9</w:t>
            </w:r>
          </w:p>
        </w:tc>
        <w:tc>
          <w:tcPr>
            <w:tcW w:type="dxa" w:w="3312"/>
            <w:vAlign w:val="center"/>
          </w:tcPr>
          <w:p>
            <w:pPr>
              <w:spacing w:after="0"/>
            </w:pPr>
            <w:r/>
            <w:r>
              <w:rPr>
                <w:rFonts w:ascii="Aptos" w:hAnsi="Aptos"/>
                <w:b w:val="0"/>
                <w:sz w:val="15"/>
              </w:rPr>
              <w:t>D9-CTL-01 through D9-CTL-07</w:t>
            </w:r>
          </w:p>
        </w:tc>
        <w:tc>
          <w:tcPr>
            <w:tcW w:type="dxa" w:w="2016"/>
            <w:vAlign w:val="center"/>
          </w:tcPr>
          <w:p>
            <w:pPr>
              <w:spacing w:after="0"/>
            </w:pPr>
            <w:r/>
            <w:r>
              <w:rPr>
                <w:rFonts w:ascii="Aptos" w:hAnsi="Aptos"/>
                <w:b w:val="0"/>
                <w:sz w:val="15"/>
              </w:rPr>
              <w:t>7</w:t>
            </w:r>
          </w:p>
        </w:tc>
        <w:tc>
          <w:tcPr>
            <w:tcW w:type="dxa" w:w="3168"/>
            <w:vAlign w:val="center"/>
          </w:tcPr>
          <w:p>
            <w:pPr>
              <w:spacing w:after="0"/>
            </w:pPr>
            <w:r>
              <w:t>Additional mandatory where physical AI or cyber-physical actuation is within scope</w:t>
            </w:r>
            <w:r>
              <w:rPr>
                <w:rFonts w:ascii="Aptos" w:hAnsi="Aptos"/>
                <w:b w:val="0"/>
                <w:sz w:val="15"/>
              </w:rPr>
            </w:r>
          </w:p>
        </w:tc>
      </w:tr>
      <w:tr>
        <w:trPr>
          <w:cantSplit/>
        </w:trPr>
        <w:tc>
          <w:tcPr>
            <w:tcW w:type="dxa" w:w="1008"/>
            <w:vAlign w:val="center"/>
            <w:shd w:fill="F3F6F7"/>
          </w:tcPr>
          <w:p>
            <w:pPr>
              <w:spacing w:after="0"/>
            </w:pPr>
            <w:r/>
            <w:r>
              <w:rPr>
                <w:rFonts w:ascii="Aptos" w:hAnsi="Aptos"/>
                <w:b w:val="0"/>
                <w:sz w:val="15"/>
              </w:rPr>
              <w:t>Total</w:t>
            </w:r>
          </w:p>
        </w:tc>
        <w:tc>
          <w:tcPr>
            <w:tcW w:type="dxa" w:w="3312"/>
            <w:vAlign w:val="center"/>
            <w:shd w:fill="F3F6F7"/>
          </w:tcPr>
          <w:p>
            <w:pPr>
              <w:spacing w:after="0"/>
            </w:pPr>
            <w:r/>
            <w:r>
              <w:rPr>
                <w:rFonts w:ascii="Aptos" w:hAnsi="Aptos"/>
                <w:b w:val="0"/>
                <w:sz w:val="15"/>
              </w:rPr>
              <w:t>D1-D9</w:t>
            </w:r>
          </w:p>
        </w:tc>
        <w:tc>
          <w:tcPr>
            <w:tcW w:type="dxa" w:w="2016"/>
            <w:vAlign w:val="center"/>
            <w:shd w:fill="F3F6F7"/>
          </w:tcPr>
          <w:p>
            <w:pPr>
              <w:spacing w:after="0"/>
            </w:pPr>
            <w:r/>
            <w:r>
              <w:rPr>
                <w:rFonts w:ascii="Aptos" w:hAnsi="Aptos"/>
                <w:b w:val="0"/>
                <w:sz w:val="15"/>
              </w:rPr>
              <w:t>59</w:t>
            </w:r>
          </w:p>
        </w:tc>
        <w:tc>
          <w:tcPr>
            <w:tcW w:type="dxa" w:w="3168"/>
            <w:vAlign w:val="center"/>
            <w:shd w:fill="F3F6F7"/>
          </w:tcPr>
          <w:p>
            <w:r>
              <w:t>52 included; seven controlled exclusions</w:t>
            </w:r>
          </w:p>
        </w:tc>
      </w:tr>
    </w:tbl>
    <w:p/>
    <w:p>
      <w:pPr>
        <w:pStyle w:val="Heading1"/>
      </w:pPr>
      <w:r>
        <w:t>5. Material Changes and Corrections</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cantSplit/>
        </w:trPr>
        <w:tc>
          <w:tcPr>
            <w:tcW w:type="dxa" w:w="1080"/>
            <w:vAlign w:val="center"/>
            <w:shd w:fill="17324D"/>
          </w:tcPr>
          <w:p>
            <w:pPr>
              <w:spacing w:after="0"/>
            </w:pPr>
            <w:r/>
            <w:r>
              <w:rPr>
                <w:rFonts w:ascii="Aptos" w:hAnsi="Aptos"/>
                <w:b/>
                <w:color w:val="FFFFFF"/>
                <w:sz w:val="16"/>
              </w:rPr>
              <w:t>Change ID</w:t>
            </w:r>
          </w:p>
        </w:tc>
        <w:tc>
          <w:tcPr>
            <w:tcW w:type="dxa" w:w="2736"/>
            <w:vAlign w:val="center"/>
            <w:shd w:fill="17324D"/>
          </w:tcPr>
          <w:p>
            <w:pPr>
              <w:spacing w:after="0"/>
            </w:pPr>
            <w:r/>
            <w:r>
              <w:rPr>
                <w:rFonts w:ascii="Aptos" w:hAnsi="Aptos"/>
                <w:b/>
                <w:color w:val="FFFFFF"/>
                <w:sz w:val="16"/>
              </w:rPr>
              <w:t>Change</w:t>
            </w:r>
          </w:p>
        </w:tc>
        <w:tc>
          <w:tcPr>
            <w:tcW w:type="dxa" w:w="2592"/>
            <w:vAlign w:val="center"/>
            <w:shd w:fill="17324D"/>
          </w:tcPr>
          <w:p>
            <w:pPr>
              <w:spacing w:after="0"/>
            </w:pPr>
            <w:r/>
            <w:r>
              <w:rPr>
                <w:rFonts w:ascii="Aptos" w:hAnsi="Aptos"/>
                <w:b/>
                <w:color w:val="FFFFFF"/>
                <w:sz w:val="16"/>
              </w:rPr>
              <w:t>Reason</w:t>
            </w:r>
          </w:p>
        </w:tc>
        <w:tc>
          <w:tcPr>
            <w:tcW w:type="dxa" w:w="1008"/>
            <w:vAlign w:val="center"/>
            <w:shd w:fill="17324D"/>
          </w:tcPr>
          <w:p>
            <w:pPr>
              <w:spacing w:after="0"/>
            </w:pPr>
            <w:r/>
            <w:r>
              <w:rPr>
                <w:rFonts w:ascii="Aptos" w:hAnsi="Aptos"/>
                <w:b/>
                <w:color w:val="FFFFFF"/>
                <w:sz w:val="16"/>
              </w:rPr>
              <w:t>Impact</w:t>
            </w:r>
          </w:p>
        </w:tc>
        <w:tc>
          <w:tcPr>
            <w:tcW w:type="dxa" w:w="2880"/>
            <w:vAlign w:val="center"/>
            <w:shd w:fill="17324D"/>
          </w:tcPr>
          <w:p>
            <w:pPr>
              <w:spacing w:after="0"/>
            </w:pPr>
            <w:r/>
            <w:r>
              <w:rPr>
                <w:rFonts w:ascii="Aptos" w:hAnsi="Aptos"/>
                <w:b/>
                <w:color w:val="FFFFFF"/>
                <w:sz w:val="16"/>
              </w:rPr>
              <w:t>Required action</w:t>
            </w:r>
          </w:p>
        </w:tc>
      </w:tr>
      <w:tr>
        <w:trPr>
          <w:cantSplit/>
        </w:trPr>
        <w:tc>
          <w:tcPr>
            <w:tcW w:type="dxa" w:w="1080"/>
            <w:vAlign w:val="center"/>
          </w:tcPr>
          <w:p>
            <w:pPr>
              <w:spacing w:after="0"/>
            </w:pPr>
            <w:r/>
            <w:r>
              <w:rPr>
                <w:rFonts w:ascii="Aptos" w:hAnsi="Aptos"/>
                <w:b w:val="0"/>
                <w:sz w:val="15"/>
              </w:rPr>
              <w:t>RN-001</w:t>
            </w:r>
          </w:p>
        </w:tc>
        <w:tc>
          <w:tcPr>
            <w:tcW w:type="dxa" w:w="2736"/>
            <w:vAlign w:val="center"/>
          </w:tcPr>
          <w:p>
            <w:pPr>
              <w:spacing w:after="0"/>
            </w:pPr>
            <w:r/>
            <w:r>
              <w:rPr>
                <w:rFonts w:ascii="Aptos" w:hAnsi="Aptos"/>
                <w:b w:val="0"/>
                <w:sz w:val="15"/>
              </w:rPr>
              <w:t>59-control baseline confirmed across all normative artifacts</w:t>
            </w:r>
          </w:p>
        </w:tc>
        <w:tc>
          <w:tcPr>
            <w:tcW w:type="dxa" w:w="2592"/>
            <w:vAlign w:val="center"/>
          </w:tcPr>
          <w:p>
            <w:pPr>
              <w:spacing w:after="0"/>
            </w:pPr>
            <w:r/>
            <w:r>
              <w:rPr>
                <w:rFonts w:ascii="Aptos" w:hAnsi="Aptos"/>
                <w:b w:val="0"/>
                <w:sz w:val="15"/>
              </w:rPr>
              <w:t>Reconcile downstream documents with authoritative source</w:t>
            </w:r>
          </w:p>
        </w:tc>
        <w:tc>
          <w:tcPr>
            <w:tcW w:type="dxa" w:w="1008"/>
            <w:vAlign w:val="center"/>
          </w:tcPr>
          <w:p>
            <w:pPr>
              <w:spacing w:after="0"/>
            </w:pPr>
            <w:r/>
            <w:r>
              <w:rPr>
                <w:rFonts w:ascii="Aptos" w:hAnsi="Aptos"/>
                <w:b w:val="0"/>
                <w:sz w:val="15"/>
              </w:rPr>
              <w:t>High</w:t>
            </w:r>
          </w:p>
        </w:tc>
        <w:tc>
          <w:tcPr>
            <w:tcW w:type="dxa" w:w="2880"/>
            <w:vAlign w:val="center"/>
          </w:tcPr>
          <w:p>
            <w:pPr>
              <w:spacing w:after="0"/>
            </w:pPr>
            <w:r/>
            <w:r>
              <w:rPr>
                <w:rFonts w:ascii="Aptos" w:hAnsi="Aptos"/>
                <w:b w:val="0"/>
                <w:sz w:val="15"/>
              </w:rPr>
              <w:t>Use only corrected 59-control editions</w:t>
            </w:r>
          </w:p>
        </w:tc>
      </w:tr>
      <w:tr>
        <w:trPr>
          <w:cantSplit/>
        </w:trPr>
        <w:tc>
          <w:tcPr>
            <w:tcW w:type="dxa" w:w="1080"/>
            <w:vAlign w:val="center"/>
            <w:shd w:fill="F3F6F7"/>
          </w:tcPr>
          <w:p>
            <w:pPr>
              <w:spacing w:after="0"/>
            </w:pPr>
            <w:r/>
            <w:r>
              <w:rPr>
                <w:rFonts w:ascii="Aptos" w:hAnsi="Aptos"/>
                <w:b w:val="0"/>
                <w:sz w:val="15"/>
              </w:rPr>
              <w:t>RN-002</w:t>
            </w:r>
          </w:p>
        </w:tc>
        <w:tc>
          <w:tcPr>
            <w:tcW w:type="dxa" w:w="2736"/>
            <w:vAlign w:val="center"/>
            <w:shd w:fill="F3F6F7"/>
          </w:tcPr>
          <w:p>
            <w:r>
              <w:t>Foundational scope fixed at 52 canonical controls in D1-D8</w:t>
            </w:r>
          </w:p>
        </w:tc>
        <w:tc>
          <w:tcPr>
            <w:tcW w:type="dxa" w:w="2592"/>
            <w:vAlign w:val="center"/>
            <w:shd w:fill="F3F6F7"/>
          </w:tcPr>
          <w:p>
            <w:pPr>
              <w:spacing w:after="0"/>
            </w:pPr>
            <w:r/>
            <w:r>
              <w:rPr>
                <w:rFonts w:ascii="Aptos" w:hAnsi="Aptos"/>
                <w:b w:val="0"/>
                <w:sz w:val="15"/>
              </w:rPr>
              <w:t>Close scope ambiguity</w:t>
            </w:r>
          </w:p>
        </w:tc>
        <w:tc>
          <w:tcPr>
            <w:tcW w:type="dxa" w:w="1008"/>
            <w:vAlign w:val="center"/>
            <w:shd w:fill="F3F6F7"/>
          </w:tcPr>
          <w:p>
            <w:pPr>
              <w:spacing w:after="0"/>
            </w:pPr>
            <w:r/>
            <w:r>
              <w:rPr>
                <w:rFonts w:ascii="Aptos" w:hAnsi="Aptos"/>
                <w:b w:val="0"/>
                <w:sz w:val="15"/>
              </w:rPr>
              <w:t>High</w:t>
            </w:r>
          </w:p>
        </w:tc>
        <w:tc>
          <w:tcPr>
            <w:tcW w:type="dxa" w:w="2880"/>
            <w:vAlign w:val="center"/>
            <w:shd w:fill="F3F6F7"/>
          </w:tcPr>
          <w:p>
            <w:pPr>
              <w:spacing w:after="0"/>
            </w:pPr>
            <w:r/>
            <w:r>
              <w:rPr>
                <w:rFonts w:ascii="Aptos" w:hAnsi="Aptos"/>
                <w:b w:val="0"/>
                <w:sz w:val="15"/>
              </w:rPr>
              <w:t>Update SoA, schemas and assessor materials</w:t>
            </w:r>
          </w:p>
        </w:tc>
      </w:tr>
      <w:tr>
        <w:trPr>
          <w:cantSplit/>
        </w:trPr>
        <w:tc>
          <w:tcPr>
            <w:tcW w:type="dxa" w:w="1080"/>
            <w:vAlign w:val="center"/>
          </w:tcPr>
          <w:p>
            <w:pPr>
              <w:spacing w:after="0"/>
            </w:pPr>
            <w:r/>
            <w:r>
              <w:rPr>
                <w:rFonts w:ascii="Aptos" w:hAnsi="Aptos"/>
                <w:b w:val="0"/>
                <w:sz w:val="15"/>
              </w:rPr>
              <w:t>RN-003</w:t>
            </w:r>
          </w:p>
        </w:tc>
        <w:tc>
          <w:tcPr>
            <w:tcW w:type="dxa" w:w="2736"/>
            <w:vAlign w:val="center"/>
          </w:tcPr>
          <w:p>
            <w:r>
              <w:t>Seven D9 controls confirmed as additional and conditionally mandatory where physical AI or cyber-physical actuation is in scope</w:t>
            </w:r>
          </w:p>
        </w:tc>
        <w:tc>
          <w:tcPr>
            <w:tcW w:type="dxa" w:w="2592"/>
            <w:vAlign w:val="center"/>
          </w:tcPr>
          <w:p>
            <w:pPr>
              <w:spacing w:after="0"/>
            </w:pPr>
            <w:r/>
            <w:r>
              <w:rPr>
                <w:rFonts w:ascii="Aptos" w:hAnsi="Aptos"/>
                <w:b w:val="0"/>
                <w:sz w:val="15"/>
              </w:rPr>
              <w:t>Preserve physical-AI control architecture</w:t>
            </w:r>
          </w:p>
        </w:tc>
        <w:tc>
          <w:tcPr>
            <w:tcW w:type="dxa" w:w="1008"/>
            <w:vAlign w:val="center"/>
          </w:tcPr>
          <w:p>
            <w:pPr>
              <w:spacing w:after="0"/>
            </w:pPr>
            <w:r/>
            <w:r>
              <w:rPr>
                <w:rFonts w:ascii="Aptos" w:hAnsi="Aptos"/>
                <w:b w:val="0"/>
                <w:sz w:val="15"/>
              </w:rPr>
              <w:t>High</w:t>
            </w:r>
          </w:p>
        </w:tc>
        <w:tc>
          <w:tcPr>
            <w:tcW w:type="dxa" w:w="2880"/>
            <w:vAlign w:val="center"/>
          </w:tcPr>
          <w:p>
            <w:pPr>
              <w:spacing w:after="0"/>
            </w:pPr>
            <w:r/>
            <w:r>
              <w:rPr>
                <w:rFonts w:ascii="Aptos" w:hAnsi="Aptos"/>
                <w:b w:val="0"/>
                <w:sz w:val="15"/>
              </w:rPr>
              <w:t>Apply D9 when scope includes physical AI or when profile requires it</w:t>
            </w:r>
          </w:p>
        </w:tc>
      </w:tr>
      <w:tr>
        <w:trPr>
          <w:cantSplit/>
        </w:trPr>
        <w:tc>
          <w:tcPr>
            <w:tcW w:type="dxa" w:w="1080"/>
            <w:vAlign w:val="center"/>
            <w:shd w:fill="F3F6F7"/>
          </w:tcPr>
          <w:p>
            <w:pPr>
              <w:spacing w:after="0"/>
            </w:pPr>
            <w:r/>
            <w:r>
              <w:rPr>
                <w:rFonts w:ascii="Aptos" w:hAnsi="Aptos"/>
                <w:b w:val="0"/>
                <w:sz w:val="15"/>
              </w:rPr>
              <w:t>RN-004</w:t>
            </w:r>
          </w:p>
        </w:tc>
        <w:tc>
          <w:tcPr>
            <w:tcW w:type="dxa" w:w="2736"/>
            <w:vAlign w:val="center"/>
            <w:shd w:fill="F3F6F7"/>
          </w:tcPr>
          <w:p>
            <w:pPr>
              <w:spacing w:after="0"/>
            </w:pPr>
            <w:r/>
            <w:r>
              <w:rPr>
                <w:rFonts w:ascii="Aptos" w:hAnsi="Aptos"/>
                <w:b w:val="0"/>
                <w:sz w:val="15"/>
              </w:rPr>
              <w:t>Operational scope confirmed as all 59 controls</w:t>
            </w:r>
          </w:p>
        </w:tc>
        <w:tc>
          <w:tcPr>
            <w:tcW w:type="dxa" w:w="2592"/>
            <w:vAlign w:val="center"/>
            <w:shd w:fill="F3F6F7"/>
          </w:tcPr>
          <w:p>
            <w:pPr>
              <w:spacing w:after="0"/>
            </w:pPr>
            <w:r/>
            <w:r>
              <w:rPr>
                <w:rFonts w:ascii="Aptos" w:hAnsi="Aptos"/>
                <w:b w:val="0"/>
                <w:sz w:val="15"/>
              </w:rPr>
              <w:t>Ensure full control coverage</w:t>
            </w:r>
          </w:p>
        </w:tc>
        <w:tc>
          <w:tcPr>
            <w:tcW w:type="dxa" w:w="1008"/>
            <w:vAlign w:val="center"/>
            <w:shd w:fill="F3F6F7"/>
          </w:tcPr>
          <w:p>
            <w:pPr>
              <w:spacing w:after="0"/>
            </w:pPr>
            <w:r/>
            <w:r>
              <w:rPr>
                <w:rFonts w:ascii="Aptos" w:hAnsi="Aptos"/>
                <w:b w:val="0"/>
                <w:sz w:val="15"/>
              </w:rPr>
              <w:t>Medium</w:t>
            </w:r>
          </w:p>
        </w:tc>
        <w:tc>
          <w:tcPr>
            <w:tcW w:type="dxa" w:w="2880"/>
            <w:vAlign w:val="center"/>
            <w:shd w:fill="F3F6F7"/>
          </w:tcPr>
          <w:p>
            <w:pPr>
              <w:spacing w:after="0"/>
            </w:pPr>
            <w:r/>
            <w:r>
              <w:rPr>
                <w:rFonts w:ascii="Aptos" w:hAnsi="Aptos"/>
                <w:b w:val="0"/>
                <w:sz w:val="15"/>
              </w:rPr>
              <w:t>Update certification and assessment profiles</w:t>
            </w:r>
          </w:p>
        </w:tc>
      </w:tr>
      <w:tr>
        <w:trPr>
          <w:cantSplit/>
        </w:trPr>
        <w:tc>
          <w:tcPr>
            <w:tcW w:type="dxa" w:w="1080"/>
            <w:vAlign w:val="center"/>
          </w:tcPr>
          <w:p>
            <w:pPr>
              <w:spacing w:after="0"/>
            </w:pPr>
            <w:r/>
            <w:r>
              <w:rPr>
                <w:rFonts w:ascii="Aptos" w:hAnsi="Aptos"/>
                <w:b w:val="0"/>
                <w:sz w:val="15"/>
              </w:rPr>
              <w:t>RN-005</w:t>
            </w:r>
          </w:p>
        </w:tc>
        <w:tc>
          <w:tcPr>
            <w:tcW w:type="dxa" w:w="2736"/>
            <w:vAlign w:val="center"/>
          </w:tcPr>
          <w:p>
            <w:pPr>
              <w:spacing w:after="0"/>
            </w:pPr>
            <w:r/>
            <w:r>
              <w:rPr>
                <w:rFonts w:ascii="Aptos" w:hAnsi="Aptos"/>
                <w:b w:val="0"/>
                <w:sz w:val="15"/>
              </w:rPr>
              <w:t>Optimized scope confirmed as all 59 controls plus continuous monitoring</w:t>
            </w:r>
          </w:p>
        </w:tc>
        <w:tc>
          <w:tcPr>
            <w:tcW w:type="dxa" w:w="2592"/>
            <w:vAlign w:val="center"/>
          </w:tcPr>
          <w:p>
            <w:pPr>
              <w:spacing w:after="0"/>
            </w:pPr>
            <w:r/>
            <w:r>
              <w:rPr>
                <w:rFonts w:ascii="Aptos" w:hAnsi="Aptos"/>
                <w:b w:val="0"/>
                <w:sz w:val="15"/>
              </w:rPr>
              <w:t>Separate enhanced monitoring from control count</w:t>
            </w:r>
          </w:p>
        </w:tc>
        <w:tc>
          <w:tcPr>
            <w:tcW w:type="dxa" w:w="1008"/>
            <w:vAlign w:val="center"/>
          </w:tcPr>
          <w:p>
            <w:pPr>
              <w:spacing w:after="0"/>
            </w:pPr>
            <w:r/>
            <w:r>
              <w:rPr>
                <w:rFonts w:ascii="Aptos" w:hAnsi="Aptos"/>
                <w:b w:val="0"/>
                <w:sz w:val="15"/>
              </w:rPr>
              <w:t>Medium</w:t>
            </w:r>
          </w:p>
        </w:tc>
        <w:tc>
          <w:tcPr>
            <w:tcW w:type="dxa" w:w="2880"/>
            <w:vAlign w:val="center"/>
          </w:tcPr>
          <w:p>
            <w:pPr>
              <w:spacing w:after="0"/>
            </w:pPr>
            <w:r/>
            <w:r>
              <w:rPr>
                <w:rFonts w:ascii="Aptos" w:hAnsi="Aptos"/>
                <w:b w:val="0"/>
                <w:sz w:val="15"/>
              </w:rPr>
              <w:t>Update maturity and monitoring claims</w:t>
            </w:r>
          </w:p>
        </w:tc>
      </w:tr>
      <w:tr>
        <w:trPr>
          <w:cantSplit/>
        </w:trPr>
        <w:tc>
          <w:tcPr>
            <w:tcW w:type="dxa" w:w="1080"/>
            <w:vAlign w:val="center"/>
            <w:shd w:fill="F3F6F7"/>
          </w:tcPr>
          <w:p>
            <w:pPr>
              <w:spacing w:after="0"/>
            </w:pPr>
            <w:r/>
            <w:r>
              <w:rPr>
                <w:rFonts w:ascii="Aptos" w:hAnsi="Aptos"/>
                <w:b w:val="0"/>
                <w:sz w:val="15"/>
              </w:rPr>
              <w:t>RN-006</w:t>
            </w:r>
          </w:p>
        </w:tc>
        <w:tc>
          <w:tcPr>
            <w:tcW w:type="dxa" w:w="2736"/>
            <w:vAlign w:val="center"/>
            <w:shd w:fill="F3F6F7"/>
          </w:tcPr>
          <w:p>
            <w:pPr>
              <w:spacing w:after="0"/>
            </w:pPr>
            <w:r/>
            <w:r>
              <w:rPr>
                <w:rFonts w:ascii="Aptos" w:hAnsi="Aptos"/>
                <w:b w:val="0"/>
                <w:sz w:val="15"/>
              </w:rPr>
              <w:t>Earlier 45-control drafts superseded</w:t>
            </w:r>
          </w:p>
        </w:tc>
        <w:tc>
          <w:tcPr>
            <w:tcW w:type="dxa" w:w="2592"/>
            <w:vAlign w:val="center"/>
            <w:shd w:fill="F3F6F7"/>
          </w:tcPr>
          <w:p>
            <w:pPr>
              <w:spacing w:after="0"/>
            </w:pPr>
            <w:r/>
            <w:r>
              <w:rPr>
                <w:rFonts w:ascii="Aptos" w:hAnsi="Aptos"/>
                <w:b w:val="0"/>
                <w:sz w:val="15"/>
              </w:rPr>
              <w:t>Correct erroneous reconstruction</w:t>
            </w:r>
          </w:p>
        </w:tc>
        <w:tc>
          <w:tcPr>
            <w:tcW w:type="dxa" w:w="1008"/>
            <w:vAlign w:val="center"/>
            <w:shd w:fill="F3F6F7"/>
          </w:tcPr>
          <w:p>
            <w:pPr>
              <w:spacing w:after="0"/>
            </w:pPr>
            <w:r/>
            <w:r>
              <w:rPr>
                <w:rFonts w:ascii="Aptos" w:hAnsi="Aptos"/>
                <w:b w:val="0"/>
                <w:sz w:val="15"/>
              </w:rPr>
              <w:t>Critical</w:t>
            </w:r>
          </w:p>
        </w:tc>
        <w:tc>
          <w:tcPr>
            <w:tcW w:type="dxa" w:w="2880"/>
            <w:vAlign w:val="center"/>
            <w:shd w:fill="F3F6F7"/>
          </w:tcPr>
          <w:p>
            <w:pPr>
              <w:spacing w:after="0"/>
            </w:pPr>
            <w:r/>
            <w:r>
              <w:rPr>
                <w:rFonts w:ascii="Aptos" w:hAnsi="Aptos"/>
                <w:b w:val="0"/>
                <w:sz w:val="15"/>
              </w:rPr>
              <w:t>Remove from publication and internal use</w:t>
            </w:r>
          </w:p>
        </w:tc>
      </w:tr>
      <w:tr>
        <w:trPr>
          <w:cantSplit/>
        </w:trPr>
        <w:tc>
          <w:tcPr>
            <w:tcW w:type="dxa" w:w="1080"/>
            <w:vAlign w:val="center"/>
          </w:tcPr>
          <w:p>
            <w:pPr>
              <w:spacing w:after="0"/>
            </w:pPr>
            <w:r/>
            <w:r>
              <w:rPr>
                <w:rFonts w:ascii="Aptos" w:hAnsi="Aptos"/>
                <w:b w:val="0"/>
                <w:sz w:val="15"/>
              </w:rPr>
              <w:t>RN-007</w:t>
            </w:r>
          </w:p>
        </w:tc>
        <w:tc>
          <w:tcPr>
            <w:tcW w:type="dxa" w:w="2736"/>
            <w:vAlign w:val="center"/>
          </w:tcPr>
          <w:p>
            <w:pPr>
              <w:spacing w:after="0"/>
            </w:pPr>
            <w:r/>
            <w:r>
              <w:rPr>
                <w:rFonts w:ascii="Aptos" w:hAnsi="Aptos"/>
                <w:b w:val="0"/>
                <w:sz w:val="15"/>
              </w:rPr>
              <w:t>Glossary and bibliography established as controlled sources</w:t>
            </w:r>
          </w:p>
        </w:tc>
        <w:tc>
          <w:tcPr>
            <w:tcW w:type="dxa" w:w="2592"/>
            <w:vAlign w:val="center"/>
          </w:tcPr>
          <w:p>
            <w:pPr>
              <w:spacing w:after="0"/>
            </w:pPr>
            <w:r/>
            <w:r>
              <w:rPr>
                <w:rFonts w:ascii="Aptos" w:hAnsi="Aptos"/>
                <w:b w:val="0"/>
                <w:sz w:val="15"/>
              </w:rPr>
              <w:t>Improve terminology and source consistency</w:t>
            </w:r>
          </w:p>
        </w:tc>
        <w:tc>
          <w:tcPr>
            <w:tcW w:type="dxa" w:w="1008"/>
            <w:vAlign w:val="center"/>
          </w:tcPr>
          <w:p>
            <w:pPr>
              <w:spacing w:after="0"/>
            </w:pPr>
            <w:r/>
            <w:r>
              <w:rPr>
                <w:rFonts w:ascii="Aptos" w:hAnsi="Aptos"/>
                <w:b w:val="0"/>
                <w:sz w:val="15"/>
              </w:rPr>
              <w:t>Medium</w:t>
            </w:r>
          </w:p>
        </w:tc>
        <w:tc>
          <w:tcPr>
            <w:tcW w:type="dxa" w:w="2880"/>
            <w:vAlign w:val="center"/>
          </w:tcPr>
          <w:p>
            <w:pPr>
              <w:spacing w:after="0"/>
            </w:pPr>
            <w:r/>
            <w:r>
              <w:rPr>
                <w:rFonts w:ascii="Aptos" w:hAnsi="Aptos"/>
                <w:b w:val="0"/>
                <w:sz w:val="15"/>
              </w:rPr>
              <w:t>Use NOR-005 and NOR-006 identifiers in downstream artifacts</w:t>
            </w:r>
          </w:p>
        </w:tc>
      </w:tr>
    </w:tbl>
    <w:p/>
    <w:p>
      <w:pPr>
        <w:pStyle w:val="Heading1"/>
      </w:pPr>
      <w:r>
        <w:t>6. Superseded Materials</w:t>
      </w:r>
    </w:p>
    <w:p>
      <w:r>
        <w:t>Any GAISSF-NOR-001, NOR-002, NOR-003 or NOR-004 draft that states or implies a 45-control baseline is superseded and SHALL NOT be used for implementation, assessment, certification, training, tooling, public claims or crosswalk development.</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4320"/>
            <w:vAlign w:val="center"/>
            <w:shd w:fill="17324D"/>
          </w:tcPr>
          <w:p>
            <w:pPr>
              <w:spacing w:after="0"/>
            </w:pPr>
            <w:r/>
            <w:r>
              <w:rPr>
                <w:rFonts w:ascii="Aptos" w:hAnsi="Aptos"/>
                <w:b/>
                <w:color w:val="FFFFFF"/>
                <w:sz w:val="16"/>
              </w:rPr>
              <w:t>Superseded artifact class</w:t>
            </w:r>
          </w:p>
        </w:tc>
        <w:tc>
          <w:tcPr>
            <w:tcW w:type="dxa" w:w="5040"/>
            <w:vAlign w:val="center"/>
            <w:shd w:fill="17324D"/>
          </w:tcPr>
          <w:p>
            <w:pPr>
              <w:spacing w:after="0"/>
            </w:pPr>
            <w:r/>
            <w:r>
              <w:rPr>
                <w:rFonts w:ascii="Aptos" w:hAnsi="Aptos"/>
                <w:b/>
                <w:color w:val="FFFFFF"/>
                <w:sz w:val="16"/>
              </w:rPr>
              <w:t>Superseding basis</w:t>
            </w:r>
          </w:p>
        </w:tc>
      </w:tr>
      <w:tr>
        <w:trPr>
          <w:cantSplit/>
        </w:trPr>
        <w:tc>
          <w:tcPr>
            <w:tcW w:type="dxa" w:w="4320"/>
            <w:vAlign w:val="center"/>
          </w:tcPr>
          <w:p>
            <w:pPr>
              <w:spacing w:after="0"/>
            </w:pPr>
            <w:r/>
            <w:r>
              <w:rPr>
                <w:rFonts w:ascii="Aptos" w:hAnsi="Aptos"/>
                <w:b w:val="0"/>
                <w:sz w:val="15"/>
              </w:rPr>
              <w:t>45-control Framework Standard drafts</w:t>
            </w:r>
          </w:p>
        </w:tc>
        <w:tc>
          <w:tcPr>
            <w:tcW w:type="dxa" w:w="5040"/>
            <w:vAlign w:val="center"/>
          </w:tcPr>
          <w:p>
            <w:pPr>
              <w:spacing w:after="0"/>
            </w:pPr>
            <w:r/>
            <w:r>
              <w:rPr>
                <w:rFonts w:ascii="Aptos" w:hAnsi="Aptos"/>
                <w:b w:val="0"/>
                <w:sz w:val="15"/>
              </w:rPr>
              <w:t>Corrected GAISSF-NOR-001</w:t>
            </w:r>
          </w:p>
        </w:tc>
      </w:tr>
      <w:tr>
        <w:trPr>
          <w:cantSplit/>
        </w:trPr>
        <w:tc>
          <w:tcPr>
            <w:tcW w:type="dxa" w:w="4320"/>
            <w:vAlign w:val="center"/>
            <w:shd w:fill="F3F6F7"/>
          </w:tcPr>
          <w:p>
            <w:pPr>
              <w:spacing w:after="0"/>
            </w:pPr>
            <w:r/>
            <w:r>
              <w:rPr>
                <w:rFonts w:ascii="Aptos" w:hAnsi="Aptos"/>
                <w:b w:val="0"/>
                <w:sz w:val="15"/>
              </w:rPr>
              <w:t>45-control Executive Summary drafts</w:t>
            </w:r>
          </w:p>
        </w:tc>
        <w:tc>
          <w:tcPr>
            <w:tcW w:type="dxa" w:w="5040"/>
            <w:vAlign w:val="center"/>
            <w:shd w:fill="F3F6F7"/>
          </w:tcPr>
          <w:p>
            <w:pPr>
              <w:spacing w:after="0"/>
            </w:pPr>
            <w:r/>
            <w:r>
              <w:rPr>
                <w:rFonts w:ascii="Aptos" w:hAnsi="Aptos"/>
                <w:b w:val="0"/>
                <w:sz w:val="15"/>
              </w:rPr>
              <w:t>Corrected GAISSF-NOR-002</w:t>
            </w:r>
          </w:p>
        </w:tc>
      </w:tr>
      <w:tr>
        <w:trPr>
          <w:cantSplit/>
        </w:trPr>
        <w:tc>
          <w:tcPr>
            <w:tcW w:type="dxa" w:w="4320"/>
            <w:vAlign w:val="center"/>
          </w:tcPr>
          <w:p>
            <w:pPr>
              <w:spacing w:after="0"/>
            </w:pPr>
            <w:r/>
            <w:r>
              <w:rPr>
                <w:rFonts w:ascii="Aptos" w:hAnsi="Aptos"/>
                <w:b w:val="0"/>
                <w:sz w:val="15"/>
              </w:rPr>
              <w:t>45-control Quick Start Guide drafts</w:t>
            </w:r>
          </w:p>
        </w:tc>
        <w:tc>
          <w:tcPr>
            <w:tcW w:type="dxa" w:w="5040"/>
            <w:vAlign w:val="center"/>
          </w:tcPr>
          <w:p>
            <w:pPr>
              <w:spacing w:after="0"/>
            </w:pPr>
            <w:r/>
            <w:r>
              <w:rPr>
                <w:rFonts w:ascii="Aptos" w:hAnsi="Aptos"/>
                <w:b w:val="0"/>
                <w:sz w:val="15"/>
              </w:rPr>
              <w:t>Corrected GAISSF-NOR-003</w:t>
            </w:r>
          </w:p>
        </w:tc>
      </w:tr>
      <w:tr>
        <w:trPr>
          <w:cantSplit/>
        </w:trPr>
        <w:tc>
          <w:tcPr>
            <w:tcW w:type="dxa" w:w="4320"/>
            <w:vAlign w:val="center"/>
            <w:shd w:fill="F3F6F7"/>
          </w:tcPr>
          <w:p>
            <w:pPr>
              <w:spacing w:after="0"/>
            </w:pPr>
            <w:r/>
            <w:r>
              <w:rPr>
                <w:rFonts w:ascii="Aptos" w:hAnsi="Aptos"/>
                <w:b w:val="0"/>
                <w:sz w:val="15"/>
              </w:rPr>
              <w:t>45-control Control Catalogue drafts</w:t>
            </w:r>
          </w:p>
        </w:tc>
        <w:tc>
          <w:tcPr>
            <w:tcW w:type="dxa" w:w="5040"/>
            <w:vAlign w:val="center"/>
            <w:shd w:fill="F3F6F7"/>
          </w:tcPr>
          <w:p>
            <w:pPr>
              <w:spacing w:after="0"/>
            </w:pPr>
            <w:r/>
            <w:r>
              <w:rPr>
                <w:rFonts w:ascii="Aptos" w:hAnsi="Aptos"/>
                <w:b w:val="0"/>
                <w:sz w:val="15"/>
              </w:rPr>
              <w:t>Corrected GAISSF-NOR-004</w:t>
            </w:r>
          </w:p>
        </w:tc>
      </w:tr>
      <w:tr>
        <w:trPr>
          <w:cantSplit/>
        </w:trPr>
        <w:tc>
          <w:tcPr>
            <w:tcW w:type="dxa" w:w="4320"/>
            <w:vAlign w:val="center"/>
          </w:tcPr>
          <w:p>
            <w:pPr>
              <w:spacing w:after="0"/>
            </w:pPr>
            <w:r/>
            <w:r>
              <w:rPr>
                <w:rFonts w:ascii="Aptos" w:hAnsi="Aptos"/>
                <w:b w:val="0"/>
                <w:sz w:val="15"/>
              </w:rPr>
              <w:t>Derived spreadsheets, schemas, test plans or crosswalks using 45 controls</w:t>
            </w:r>
          </w:p>
        </w:tc>
        <w:tc>
          <w:tcPr>
            <w:tcW w:type="dxa" w:w="5040"/>
            <w:vAlign w:val="center"/>
          </w:tcPr>
          <w:p>
            <w:pPr>
              <w:spacing w:after="0"/>
            </w:pPr>
            <w:r/>
            <w:r>
              <w:rPr>
                <w:rFonts w:ascii="Aptos" w:hAnsi="Aptos"/>
                <w:b w:val="0"/>
                <w:sz w:val="15"/>
              </w:rPr>
              <w:t>59-control source baseline and downstream reconciliation</w:t>
            </w:r>
          </w:p>
        </w:tc>
      </w:tr>
    </w:tbl>
    <w:p/>
    <w:p>
      <w:pPr>
        <w:pStyle w:val="Heading1"/>
      </w:pPr>
      <w:r>
        <w:t>7. Compatibility Classification</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2016"/>
            <w:vAlign w:val="center"/>
            <w:shd w:fill="17324D"/>
          </w:tcPr>
          <w:p>
            <w:pPr>
              <w:spacing w:after="0"/>
            </w:pPr>
            <w:r/>
            <w:r>
              <w:rPr>
                <w:rFonts w:ascii="Aptos" w:hAnsi="Aptos"/>
                <w:b/>
                <w:color w:val="FFFFFF"/>
                <w:sz w:val="16"/>
              </w:rPr>
              <w:t>Classification</w:t>
            </w:r>
          </w:p>
        </w:tc>
        <w:tc>
          <w:tcPr>
            <w:tcW w:type="dxa" w:w="4320"/>
            <w:vAlign w:val="center"/>
            <w:shd w:fill="17324D"/>
          </w:tcPr>
          <w:p>
            <w:pPr>
              <w:spacing w:after="0"/>
            </w:pPr>
            <w:r/>
            <w:r>
              <w:rPr>
                <w:rFonts w:ascii="Aptos" w:hAnsi="Aptos"/>
                <w:b/>
                <w:color w:val="FFFFFF"/>
                <w:sz w:val="16"/>
              </w:rPr>
              <w:t>Meaning</w:t>
            </w:r>
          </w:p>
        </w:tc>
        <w:tc>
          <w:tcPr>
            <w:tcW w:type="dxa" w:w="3024"/>
            <w:vAlign w:val="center"/>
            <w:shd w:fill="17324D"/>
          </w:tcPr>
          <w:p>
            <w:pPr>
              <w:spacing w:after="0"/>
            </w:pPr>
            <w:r/>
            <w:r>
              <w:rPr>
                <w:rFonts w:ascii="Aptos" w:hAnsi="Aptos"/>
                <w:b/>
                <w:color w:val="FFFFFF"/>
                <w:sz w:val="16"/>
              </w:rPr>
              <w:t>v1.0 applicability</w:t>
            </w:r>
          </w:p>
        </w:tc>
      </w:tr>
      <w:tr>
        <w:trPr>
          <w:cantSplit/>
        </w:trPr>
        <w:tc>
          <w:tcPr>
            <w:tcW w:type="dxa" w:w="2016"/>
            <w:vAlign w:val="center"/>
          </w:tcPr>
          <w:p>
            <w:pPr>
              <w:spacing w:after="0"/>
            </w:pPr>
            <w:r/>
            <w:r>
              <w:rPr>
                <w:rFonts w:ascii="Aptos" w:hAnsi="Aptos"/>
                <w:b w:val="0"/>
                <w:sz w:val="15"/>
              </w:rPr>
              <w:t>Backward compatible</w:t>
            </w:r>
          </w:p>
        </w:tc>
        <w:tc>
          <w:tcPr>
            <w:tcW w:type="dxa" w:w="4320"/>
            <w:vAlign w:val="center"/>
          </w:tcPr>
          <w:p>
            <w:pPr>
              <w:spacing w:after="0"/>
            </w:pPr>
            <w:r/>
            <w:r>
              <w:rPr>
                <w:rFonts w:ascii="Aptos" w:hAnsi="Aptos"/>
                <w:b w:val="0"/>
                <w:sz w:val="15"/>
              </w:rPr>
              <w:t>No change required to conforming implementations</w:t>
            </w:r>
          </w:p>
        </w:tc>
        <w:tc>
          <w:tcPr>
            <w:tcW w:type="dxa" w:w="3024"/>
            <w:vAlign w:val="center"/>
          </w:tcPr>
          <w:p>
            <w:pPr>
              <w:spacing w:after="0"/>
            </w:pPr>
            <w:r/>
            <w:r>
              <w:rPr>
                <w:rFonts w:ascii="Aptos" w:hAnsi="Aptos"/>
                <w:b w:val="0"/>
                <w:sz w:val="15"/>
              </w:rPr>
              <w:t>Not applicable to the 45-to-59 correction</w:t>
            </w:r>
          </w:p>
        </w:tc>
      </w:tr>
      <w:tr>
        <w:trPr>
          <w:cantSplit/>
        </w:trPr>
        <w:tc>
          <w:tcPr>
            <w:tcW w:type="dxa" w:w="2016"/>
            <w:vAlign w:val="center"/>
            <w:shd w:fill="F3F6F7"/>
          </w:tcPr>
          <w:p>
            <w:pPr>
              <w:spacing w:after="0"/>
            </w:pPr>
            <w:r/>
            <w:r>
              <w:rPr>
                <w:rFonts w:ascii="Aptos" w:hAnsi="Aptos"/>
                <w:b w:val="0"/>
                <w:sz w:val="15"/>
              </w:rPr>
              <w:t>Conditionally compatible</w:t>
            </w:r>
          </w:p>
        </w:tc>
        <w:tc>
          <w:tcPr>
            <w:tcW w:type="dxa" w:w="4320"/>
            <w:vAlign w:val="center"/>
            <w:shd w:fill="F3F6F7"/>
          </w:tcPr>
          <w:p>
            <w:pPr>
              <w:spacing w:after="0"/>
            </w:pPr>
            <w:r/>
            <w:r>
              <w:rPr>
                <w:rFonts w:ascii="Aptos" w:hAnsi="Aptos"/>
                <w:b w:val="0"/>
                <w:sz w:val="15"/>
              </w:rPr>
              <w:t>Existing implementation remains usable after targeted updates</w:t>
            </w:r>
          </w:p>
        </w:tc>
        <w:tc>
          <w:tcPr>
            <w:tcW w:type="dxa" w:w="3024"/>
            <w:vAlign w:val="center"/>
            <w:shd w:fill="F3F6F7"/>
          </w:tcPr>
          <w:p>
            <w:pPr>
              <w:spacing w:after="0"/>
            </w:pPr>
            <w:r/>
            <w:r>
              <w:rPr>
                <w:rFonts w:ascii="Aptos" w:hAnsi="Aptos"/>
                <w:b w:val="0"/>
                <w:sz w:val="15"/>
              </w:rPr>
              <w:t>May apply to artifacts already based on 59 controls</w:t>
            </w:r>
          </w:p>
        </w:tc>
      </w:tr>
      <w:tr>
        <w:trPr>
          <w:cantSplit/>
        </w:trPr>
        <w:tc>
          <w:tcPr>
            <w:tcW w:type="dxa" w:w="2016"/>
            <w:vAlign w:val="center"/>
          </w:tcPr>
          <w:p>
            <w:pPr>
              <w:spacing w:after="0"/>
            </w:pPr>
            <w:r/>
            <w:r>
              <w:rPr>
                <w:rFonts w:ascii="Aptos" w:hAnsi="Aptos"/>
                <w:b w:val="0"/>
                <w:sz w:val="15"/>
              </w:rPr>
              <w:t>Breaking</w:t>
            </w:r>
          </w:p>
        </w:tc>
        <w:tc>
          <w:tcPr>
            <w:tcW w:type="dxa" w:w="4320"/>
            <w:vAlign w:val="center"/>
          </w:tcPr>
          <w:p>
            <w:pPr>
              <w:spacing w:after="0"/>
            </w:pPr>
            <w:r/>
            <w:r>
              <w:rPr>
                <w:rFonts w:ascii="Aptos" w:hAnsi="Aptos"/>
                <w:b w:val="0"/>
                <w:sz w:val="15"/>
              </w:rPr>
              <w:t>Scope, identifiers, evidence or certification outcomes may change</w:t>
            </w:r>
          </w:p>
        </w:tc>
        <w:tc>
          <w:tcPr>
            <w:tcW w:type="dxa" w:w="3024"/>
            <w:vAlign w:val="center"/>
          </w:tcPr>
          <w:p>
            <w:pPr>
              <w:spacing w:after="0"/>
            </w:pPr>
            <w:r/>
            <w:r>
              <w:rPr>
                <w:rFonts w:ascii="Aptos" w:hAnsi="Aptos"/>
                <w:b w:val="0"/>
                <w:sz w:val="15"/>
              </w:rPr>
              <w:t>Applies to any artifact built on the incorrect 45-control set</w:t>
            </w:r>
          </w:p>
        </w:tc>
      </w:tr>
      <w:tr>
        <w:trPr>
          <w:cantSplit/>
        </w:trPr>
        <w:tc>
          <w:tcPr>
            <w:tcW w:type="dxa" w:w="2016"/>
            <w:vAlign w:val="center"/>
            <w:shd w:fill="F3F6F7"/>
          </w:tcPr>
          <w:p>
            <w:pPr>
              <w:spacing w:after="0"/>
            </w:pPr>
            <w:r/>
            <w:r>
              <w:rPr>
                <w:rFonts w:ascii="Aptos" w:hAnsi="Aptos"/>
                <w:b w:val="0"/>
                <w:sz w:val="15"/>
              </w:rPr>
              <w:t>Editorial</w:t>
            </w:r>
          </w:p>
        </w:tc>
        <w:tc>
          <w:tcPr>
            <w:tcW w:type="dxa" w:w="4320"/>
            <w:vAlign w:val="center"/>
            <w:shd w:fill="F3F6F7"/>
          </w:tcPr>
          <w:p>
            <w:pPr>
              <w:spacing w:after="0"/>
            </w:pPr>
            <w:r/>
            <w:r>
              <w:rPr>
                <w:rFonts w:ascii="Aptos" w:hAnsi="Aptos"/>
                <w:b w:val="0"/>
                <w:sz w:val="15"/>
              </w:rPr>
              <w:t>No semantic change to requirements</w:t>
            </w:r>
          </w:p>
        </w:tc>
        <w:tc>
          <w:tcPr>
            <w:tcW w:type="dxa" w:w="3024"/>
            <w:vAlign w:val="center"/>
            <w:shd w:fill="F3F6F7"/>
          </w:tcPr>
          <w:p>
            <w:pPr>
              <w:spacing w:after="0"/>
            </w:pPr>
            <w:r/>
            <w:r>
              <w:rPr>
                <w:rFonts w:ascii="Aptos" w:hAnsi="Aptos"/>
                <w:b w:val="0"/>
                <w:sz w:val="15"/>
              </w:rPr>
              <w:t>Applies only to formatting, references and non-substantive corrections</w:t>
            </w:r>
          </w:p>
        </w:tc>
      </w:tr>
    </w:tbl>
    <w:p/>
    <w:p>
      <w:pPr>
        <w:pStyle w:val="Heading1"/>
      </w:pPr>
      <w:r>
        <w:t>8. Migration Requirements</w:t>
      </w:r>
    </w:p>
    <w:p>
      <w:pPr>
        <w:pStyle w:val="ListNumber"/>
      </w:pPr>
      <w:r>
        <w:t>Organizations that created a Statement of Applicability, assessment record, control mapping, training artifact, tool configuration, or public claim using a superseded 45-control draft SHALL reconcile that artifact to the authoritative 59-control control register.</w:t>
      </w:r>
    </w:p>
    <w:p>
      <w:pPr>
        <w:pStyle w:val="ListNumber"/>
      </w:pPr>
      <w:r>
        <w:t>Foundational implementations SHALL verify coverage of the canonical 52-control scope.</w:t>
      </w:r>
    </w:p>
    <w:p>
      <w:pPr>
        <w:pStyle w:val="ListNumber"/>
      </w:pPr>
      <w:r>
        <w:t>Operational implementations SHALL assess all 59 controls.</w:t>
      </w:r>
    </w:p>
    <w:p>
      <w:pPr>
        <w:pStyle w:val="ListNumber"/>
      </w:pPr>
      <w:r>
        <w:t>Optimized implementations SHALL assess all 59 controls and continuous-monitoring expectations.</w:t>
      </w:r>
    </w:p>
    <w:p>
      <w:pPr>
        <w:pStyle w:val="ListNumber"/>
      </w:pPr>
      <w:r>
        <w:t>Assessment and certification bodies SHALL update sampling plans, evidence matrices and report templates.</w:t>
      </w:r>
    </w:p>
    <w:p>
      <w:pPr>
        <w:pStyle w:val="ListNumber"/>
      </w:pPr>
      <w:r>
        <w:t>Tool vendors SHALL update schemas, control IDs, APIs, dashboards and validation tests.</w:t>
      </w:r>
    </w:p>
    <w:p>
      <w:pPr>
        <w:pStyle w:val="ListNumber"/>
      </w:pPr>
      <w:r>
        <w:t>Training providers SHALL remove obsolete 45-control references from courseware and examinations.</w:t>
      </w:r>
    </w:p>
    <w:p>
      <w:pPr>
        <w:pStyle w:val="ListNumber"/>
      </w:pPr>
      <w:r>
        <w:t>Crosswalk owners SHALL revalidate every mapping affected by missing controls.</w:t>
      </w:r>
    </w:p>
    <w:p>
      <w:pPr>
        <w:pStyle w:val="ListNumber"/>
      </w:pPr>
      <w:r>
        <w:t>Public claims based on superseded drafts SHALL be corrected or withdrawn. No migration action is required solely because an organization is adopting GAISSF v1.0 for the first time from the authoritative publication set.</w:t>
      </w:r>
    </w:p>
    <w:p>
      <w:pPr>
        <w:pStyle w:val="Heading1"/>
      </w:pPr>
      <w:r>
        <w:t>9. Known Limitations</w:t>
      </w:r>
    </w:p>
    <w:p>
      <w:pPr>
        <w:pStyle w:val="ListBullet"/>
      </w:pPr>
      <w:r>
        <w:t>This release does not itself provide accreditation of certification bodies.</w:t>
      </w:r>
    </w:p>
    <w:p>
      <w:pPr>
        <w:pStyle w:val="ListBullet"/>
      </w:pPr>
      <w:r>
        <w:t>Sector profiles remain additive and may introduce further obligations.</w:t>
      </w:r>
    </w:p>
    <w:p>
      <w:pPr>
        <w:pStyle w:val="ListBullet"/>
      </w:pPr>
      <w:r>
        <w:t>Cross-jurisdictional legal applicability requires context-specific analysis.</w:t>
      </w:r>
    </w:p>
    <w:p>
      <w:pPr>
        <w:pStyle w:val="ListBullet"/>
      </w:pPr>
      <w:r>
        <w:t>No certification or conformance result guarantees security, safety, legality or absence of harm.</w:t>
      </w:r>
    </w:p>
    <w:p>
      <w:pPr>
        <w:pStyle w:val="ListBullet"/>
      </w:pPr>
      <w:r>
        <w:t>Some external standards referenced by GAISSF are subject to copyright and licensed access.</w:t>
      </w:r>
    </w:p>
    <w:p>
      <w:pPr>
        <w:pStyle w:val="Heading1"/>
      </w:pPr>
      <w:r>
        <w:t>10. Notably Absent</w:t>
      </w:r>
    </w:p>
    <w:p>
      <w:pPr>
        <w:pStyle w:val="ListBullet"/>
      </w:pPr>
      <w:r>
        <w:t>No controls were intentionally removed from the authoritative 59-control framework.</w:t>
      </w:r>
    </w:p>
    <w:p>
      <w:pPr>
        <w:pStyle w:val="ListBullet"/>
      </w:pPr>
      <w:r>
        <w:t>No renumbering of the 59 controls was approved.</w:t>
      </w:r>
    </w:p>
    <w:p>
      <w:pPr>
        <w:pStyle w:val="ListBullet"/>
      </w:pPr>
      <w:r>
        <w:t>No reduction of the Operational or Optimized scope was approved.</w:t>
      </w:r>
    </w:p>
    <w:p>
      <w:pPr>
        <w:pStyle w:val="ListBullet"/>
      </w:pPr>
      <w:r>
        <w:t>No claim of equivalence with ISO, IEC, NIST, OWASP, MITRE, CIS or regulation is introduced by this release.</w:t>
      </w:r>
    </w:p>
    <w:p>
      <w:pPr>
        <w:pStyle w:val="ListBullet"/>
      </w:pPr>
      <w:r>
        <w:t>No certification guarantee or regulator endorsement is asserted.</w:t>
      </w:r>
    </w:p>
    <w:p>
      <w:pPr>
        <w:pStyle w:val="ListBullet"/>
      </w:pPr>
      <w:r>
        <w:t>No universal implementation deadline is prescribed.</w:t>
      </w:r>
    </w:p>
    <w:p>
      <w:pPr>
        <w:pStyle w:val="Heading1"/>
      </w:pPr>
      <w:r>
        <w:t>11. Release Governance</w:t>
      </w:r>
    </w:p>
    <w:p>
      <w:pPr>
        <w:pStyle w:val="ListNumber"/>
      </w:pPr>
      <w:r>
        <w:t>Each GAISSF release SHALL have a unique version identifier and publication date.</w:t>
      </w:r>
    </w:p>
    <w:p>
      <w:pPr>
        <w:pStyle w:val="ListNumber"/>
      </w:pPr>
      <w:r>
        <w:t>Release notes SHALL identify material changes, superseded artifacts, compatibility impact and migration action.</w:t>
      </w:r>
    </w:p>
    <w:p>
      <w:pPr>
        <w:pStyle w:val="ListNumber"/>
      </w:pPr>
      <w:r>
        <w:t>Breaking changes SHALL require a major-version increment unless an emergency correction is approved through controlled governance.</w:t>
      </w:r>
    </w:p>
    <w:p>
      <w:pPr>
        <w:pStyle w:val="ListNumber"/>
      </w:pPr>
      <w:r>
        <w:t>Editorial corrections MAY use a patch version where no requirement meaning changes.</w:t>
      </w:r>
    </w:p>
    <w:p>
      <w:pPr>
        <w:pStyle w:val="ListNumber"/>
      </w:pPr>
      <w:r>
        <w:t>A source-reconciliation defect affecting control count, scope or certification SHALL be treated as material.</w:t>
      </w:r>
    </w:p>
    <w:p>
      <w:pPr>
        <w:pStyle w:val="ListNumber"/>
      </w:pPr>
      <w:r>
        <w:t>Release notes SHALL preserve a record of what did not change.</w:t>
      </w:r>
    </w:p>
    <w:p>
      <w:pPr>
        <w:pStyle w:val="Heading1"/>
      </w:pPr>
      <w:r>
        <w:t>12. Verification Checklist</w:t>
      </w:r>
    </w:p>
    <w:p>
      <w:r>
        <w:t>☐ All published documents state 59 total controls.</w:t>
      </w:r>
    </w:p>
    <w:p>
      <w:r>
        <w:t>☐ Foundational scope states 52 controls.</w:t>
      </w:r>
    </w:p>
    <w:p>
      <w:r/>
    </w:p>
    <w:p>
      <w:r>
        <w:t>☐ Operational scope states all 59 controls.</w:t>
      </w:r>
    </w:p>
    <w:p>
      <w:r>
        <w:t>☐ Optimized scope states all 59 controls plus continuous monitoring.</w:t>
      </w:r>
    </w:p>
    <w:p>
      <w:r>
        <w:t>☐ All 45-control drafts are marked superseded.</w:t>
      </w:r>
    </w:p>
    <w:p>
      <w:r>
        <w:t>☐ Control identifiers match NOR-001 and NOR-004.</w:t>
      </w:r>
    </w:p>
    <w:p>
      <w:r>
        <w:t>☐ Glossary terms match NOR-005.</w:t>
      </w:r>
    </w:p>
    <w:p>
      <w:r>
        <w:t>☐ Citations and source identifiers match NOR-006.</w:t>
      </w:r>
    </w:p>
    <w:p>
      <w:r>
        <w:t>☐ Training, assessment, schemas and crosswalks have been impact-assessed.</w:t>
      </w:r>
    </w:p>
    <w:p>
      <w:pPr>
        <w:pStyle w:val="Heading1"/>
      </w:pPr>
      <w:r>
        <w:t>Annex A — Change Classification Template</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448"/>
            <w:vAlign w:val="center"/>
            <w:shd w:fill="17324D"/>
          </w:tcPr>
          <w:p>
            <w:pPr>
              <w:spacing w:after="0"/>
            </w:pPr>
            <w:r/>
            <w:r>
              <w:rPr>
                <w:rFonts w:ascii="Aptos" w:hAnsi="Aptos"/>
                <w:b/>
                <w:color w:val="FFFFFF"/>
                <w:sz w:val="16"/>
              </w:rPr>
              <w:t>Field</w:t>
            </w:r>
          </w:p>
        </w:tc>
        <w:tc>
          <w:tcPr>
            <w:tcW w:type="dxa" w:w="6912"/>
            <w:vAlign w:val="center"/>
            <w:shd w:fill="17324D"/>
          </w:tcPr>
          <w:p>
            <w:pPr>
              <w:spacing w:after="0"/>
            </w:pPr>
            <w:r/>
            <w:r>
              <w:rPr>
                <w:rFonts w:ascii="Aptos" w:hAnsi="Aptos"/>
                <w:b/>
                <w:color w:val="FFFFFF"/>
                <w:sz w:val="16"/>
              </w:rPr>
              <w:t>Required content</w:t>
            </w:r>
          </w:p>
        </w:tc>
      </w:tr>
      <w:tr>
        <w:trPr>
          <w:cantSplit/>
        </w:trPr>
        <w:tc>
          <w:tcPr>
            <w:tcW w:type="dxa" w:w="2448"/>
            <w:vAlign w:val="center"/>
          </w:tcPr>
          <w:p>
            <w:pPr>
              <w:spacing w:after="0"/>
            </w:pPr>
            <w:r/>
            <w:r>
              <w:rPr>
                <w:rFonts w:ascii="Aptos" w:hAnsi="Aptos"/>
                <w:b w:val="0"/>
                <w:sz w:val="15"/>
              </w:rPr>
              <w:t>Change ID</w:t>
            </w:r>
          </w:p>
        </w:tc>
        <w:tc>
          <w:tcPr>
            <w:tcW w:type="dxa" w:w="6912"/>
            <w:vAlign w:val="center"/>
          </w:tcPr>
          <w:p>
            <w:pPr>
              <w:spacing w:after="0"/>
            </w:pPr>
            <w:r/>
            <w:r>
              <w:rPr>
                <w:rFonts w:ascii="Aptos" w:hAnsi="Aptos"/>
                <w:b w:val="0"/>
                <w:sz w:val="15"/>
              </w:rPr>
              <w:t>Unique release-note identifier</w:t>
            </w:r>
          </w:p>
        </w:tc>
      </w:tr>
      <w:tr>
        <w:trPr>
          <w:cantSplit/>
        </w:trPr>
        <w:tc>
          <w:tcPr>
            <w:tcW w:type="dxa" w:w="2448"/>
            <w:vAlign w:val="center"/>
            <w:shd w:fill="F3F6F7"/>
          </w:tcPr>
          <w:p>
            <w:pPr>
              <w:spacing w:after="0"/>
            </w:pPr>
            <w:r/>
            <w:r>
              <w:rPr>
                <w:rFonts w:ascii="Aptos" w:hAnsi="Aptos"/>
                <w:b w:val="0"/>
                <w:sz w:val="15"/>
              </w:rPr>
              <w:t>Artifact</w:t>
            </w:r>
          </w:p>
        </w:tc>
        <w:tc>
          <w:tcPr>
            <w:tcW w:type="dxa" w:w="6912"/>
            <w:vAlign w:val="center"/>
            <w:shd w:fill="F3F6F7"/>
          </w:tcPr>
          <w:p>
            <w:pPr>
              <w:spacing w:after="0"/>
            </w:pPr>
            <w:r/>
            <w:r>
              <w:rPr>
                <w:rFonts w:ascii="Aptos" w:hAnsi="Aptos"/>
                <w:b w:val="0"/>
                <w:sz w:val="15"/>
              </w:rPr>
              <w:t>Affected document, schema, test or tool</w:t>
            </w:r>
          </w:p>
        </w:tc>
      </w:tr>
      <w:tr>
        <w:trPr>
          <w:cantSplit/>
        </w:trPr>
        <w:tc>
          <w:tcPr>
            <w:tcW w:type="dxa" w:w="2448"/>
            <w:vAlign w:val="center"/>
          </w:tcPr>
          <w:p>
            <w:pPr>
              <w:spacing w:after="0"/>
            </w:pPr>
            <w:r/>
            <w:r>
              <w:rPr>
                <w:rFonts w:ascii="Aptos" w:hAnsi="Aptos"/>
                <w:b w:val="0"/>
                <w:sz w:val="15"/>
              </w:rPr>
              <w:t>Change type</w:t>
            </w:r>
          </w:p>
        </w:tc>
        <w:tc>
          <w:tcPr>
            <w:tcW w:type="dxa" w:w="6912"/>
            <w:vAlign w:val="center"/>
          </w:tcPr>
          <w:p>
            <w:pPr>
              <w:spacing w:after="0"/>
            </w:pPr>
            <w:r/>
            <w:r>
              <w:rPr>
                <w:rFonts w:ascii="Aptos" w:hAnsi="Aptos"/>
                <w:b w:val="0"/>
                <w:sz w:val="15"/>
              </w:rPr>
              <w:t>Breaking, compatible, conditional, editorial or deprecation</w:t>
            </w:r>
          </w:p>
        </w:tc>
      </w:tr>
      <w:tr>
        <w:trPr>
          <w:cantSplit/>
        </w:trPr>
        <w:tc>
          <w:tcPr>
            <w:tcW w:type="dxa" w:w="2448"/>
            <w:vAlign w:val="center"/>
            <w:shd w:fill="F3F6F7"/>
          </w:tcPr>
          <w:p>
            <w:pPr>
              <w:spacing w:after="0"/>
            </w:pPr>
            <w:r/>
            <w:r>
              <w:rPr>
                <w:rFonts w:ascii="Aptos" w:hAnsi="Aptos"/>
                <w:b w:val="0"/>
                <w:sz w:val="15"/>
              </w:rPr>
              <w:t>Description</w:t>
            </w:r>
          </w:p>
        </w:tc>
        <w:tc>
          <w:tcPr>
            <w:tcW w:type="dxa" w:w="6912"/>
            <w:vAlign w:val="center"/>
            <w:shd w:fill="F3F6F7"/>
          </w:tcPr>
          <w:p>
            <w:pPr>
              <w:spacing w:after="0"/>
            </w:pPr>
            <w:r/>
            <w:r>
              <w:rPr>
                <w:rFonts w:ascii="Aptos" w:hAnsi="Aptos"/>
                <w:b w:val="0"/>
                <w:sz w:val="15"/>
              </w:rPr>
              <w:t>Concise statement of what changed</w:t>
            </w:r>
          </w:p>
        </w:tc>
      </w:tr>
      <w:tr>
        <w:trPr>
          <w:cantSplit/>
        </w:trPr>
        <w:tc>
          <w:tcPr>
            <w:tcW w:type="dxa" w:w="2448"/>
            <w:vAlign w:val="center"/>
          </w:tcPr>
          <w:p>
            <w:pPr>
              <w:spacing w:after="0"/>
            </w:pPr>
            <w:r/>
            <w:r>
              <w:rPr>
                <w:rFonts w:ascii="Aptos" w:hAnsi="Aptos"/>
                <w:b w:val="0"/>
                <w:sz w:val="15"/>
              </w:rPr>
              <w:t>Reason</w:t>
            </w:r>
          </w:p>
        </w:tc>
        <w:tc>
          <w:tcPr>
            <w:tcW w:type="dxa" w:w="6912"/>
            <w:vAlign w:val="center"/>
          </w:tcPr>
          <w:p>
            <w:pPr>
              <w:spacing w:after="0"/>
            </w:pPr>
            <w:r/>
            <w:r>
              <w:rPr>
                <w:rFonts w:ascii="Aptos" w:hAnsi="Aptos"/>
                <w:b w:val="0"/>
                <w:sz w:val="15"/>
              </w:rPr>
              <w:t>Decision basis</w:t>
            </w:r>
          </w:p>
        </w:tc>
      </w:tr>
      <w:tr>
        <w:trPr>
          <w:cantSplit/>
        </w:trPr>
        <w:tc>
          <w:tcPr>
            <w:tcW w:type="dxa" w:w="2448"/>
            <w:vAlign w:val="center"/>
            <w:shd w:fill="F3F6F7"/>
          </w:tcPr>
          <w:p>
            <w:pPr>
              <w:spacing w:after="0"/>
            </w:pPr>
            <w:r/>
            <w:r>
              <w:rPr>
                <w:rFonts w:ascii="Aptos" w:hAnsi="Aptos"/>
                <w:b w:val="0"/>
                <w:sz w:val="15"/>
              </w:rPr>
              <w:t>Normative impact</w:t>
            </w:r>
          </w:p>
        </w:tc>
        <w:tc>
          <w:tcPr>
            <w:tcW w:type="dxa" w:w="6912"/>
            <w:vAlign w:val="center"/>
            <w:shd w:fill="F3F6F7"/>
          </w:tcPr>
          <w:p>
            <w:pPr>
              <w:spacing w:after="0"/>
            </w:pPr>
            <w:r/>
            <w:r>
              <w:rPr>
                <w:rFonts w:ascii="Aptos" w:hAnsi="Aptos"/>
                <w:b w:val="0"/>
                <w:sz w:val="15"/>
              </w:rPr>
              <w:t>Requirement, scope, evidence, certification or none</w:t>
            </w:r>
          </w:p>
        </w:tc>
      </w:tr>
      <w:tr>
        <w:trPr>
          <w:cantSplit/>
        </w:trPr>
        <w:tc>
          <w:tcPr>
            <w:tcW w:type="dxa" w:w="2448"/>
            <w:vAlign w:val="center"/>
          </w:tcPr>
          <w:p>
            <w:pPr>
              <w:spacing w:after="0"/>
            </w:pPr>
            <w:r/>
            <w:r>
              <w:rPr>
                <w:rFonts w:ascii="Aptos" w:hAnsi="Aptos"/>
                <w:b w:val="0"/>
                <w:sz w:val="15"/>
              </w:rPr>
              <w:t>Migration action</w:t>
            </w:r>
          </w:p>
        </w:tc>
        <w:tc>
          <w:tcPr>
            <w:tcW w:type="dxa" w:w="6912"/>
            <w:vAlign w:val="center"/>
          </w:tcPr>
          <w:p>
            <w:pPr>
              <w:spacing w:after="0"/>
            </w:pPr>
            <w:r/>
            <w:r>
              <w:rPr>
                <w:rFonts w:ascii="Aptos" w:hAnsi="Aptos"/>
                <w:b w:val="0"/>
                <w:sz w:val="15"/>
              </w:rPr>
              <w:t>Required user action</w:t>
            </w:r>
          </w:p>
        </w:tc>
      </w:tr>
      <w:tr>
        <w:trPr>
          <w:cantSplit/>
        </w:trPr>
        <w:tc>
          <w:tcPr>
            <w:tcW w:type="dxa" w:w="2448"/>
            <w:vAlign w:val="center"/>
            <w:shd w:fill="F3F6F7"/>
          </w:tcPr>
          <w:p>
            <w:pPr>
              <w:spacing w:after="0"/>
            </w:pPr>
            <w:r/>
            <w:r>
              <w:rPr>
                <w:rFonts w:ascii="Aptos" w:hAnsi="Aptos"/>
                <w:b w:val="0"/>
                <w:sz w:val="15"/>
              </w:rPr>
              <w:t>Effective date</w:t>
            </w:r>
          </w:p>
        </w:tc>
        <w:tc>
          <w:tcPr>
            <w:tcW w:type="dxa" w:w="6912"/>
            <w:vAlign w:val="center"/>
            <w:shd w:fill="F3F6F7"/>
          </w:tcPr>
          <w:p>
            <w:pPr>
              <w:spacing w:after="0"/>
            </w:pPr>
            <w:r/>
            <w:r>
              <w:rPr>
                <w:rFonts w:ascii="Aptos" w:hAnsi="Aptos"/>
                <w:b w:val="0"/>
                <w:sz w:val="15"/>
              </w:rPr>
              <w:t>Date change takes effect</w:t>
            </w:r>
          </w:p>
        </w:tc>
      </w:tr>
      <w:tr>
        <w:trPr>
          <w:cantSplit/>
        </w:trPr>
        <w:tc>
          <w:tcPr>
            <w:tcW w:type="dxa" w:w="2448"/>
            <w:vAlign w:val="center"/>
          </w:tcPr>
          <w:p>
            <w:pPr>
              <w:spacing w:after="0"/>
            </w:pPr>
            <w:r/>
            <w:r>
              <w:rPr>
                <w:rFonts w:ascii="Aptos" w:hAnsi="Aptos"/>
                <w:b w:val="0"/>
                <w:sz w:val="15"/>
              </w:rPr>
              <w:t>Verification</w:t>
            </w:r>
          </w:p>
        </w:tc>
        <w:tc>
          <w:tcPr>
            <w:tcW w:type="dxa" w:w="6912"/>
            <w:vAlign w:val="center"/>
          </w:tcPr>
          <w:p>
            <w:pPr>
              <w:spacing w:after="0"/>
            </w:pPr>
            <w:r/>
            <w:r>
              <w:rPr>
                <w:rFonts w:ascii="Aptos" w:hAnsi="Aptos"/>
                <w:b w:val="0"/>
                <w:sz w:val="15"/>
              </w:rPr>
              <w:t>Evidence that downstream updates are complete</w:t>
            </w:r>
          </w:p>
        </w:tc>
      </w:tr>
    </w:tbl>
    <w:p/>
    <w:p>
      <w:pPr>
        <w:pStyle w:val="Heading1"/>
      </w:pPr>
      <w:r>
        <w:t>Annex B — Release Record</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cantSplit/>
        </w:trPr>
        <w:tc>
          <w:tcPr>
            <w:tcW w:type="dxa" w:w="1440"/>
            <w:vAlign w:val="center"/>
            <w:shd w:fill="17324D"/>
          </w:tcPr>
          <w:p>
            <w:pPr>
              <w:spacing w:after="0"/>
            </w:pPr>
            <w:r/>
            <w:r>
              <w:rPr>
                <w:rFonts w:ascii="Aptos" w:hAnsi="Aptos"/>
                <w:b/>
                <w:color w:val="FFFFFF"/>
                <w:sz w:val="16"/>
              </w:rPr>
              <w:t>Release</w:t>
            </w:r>
          </w:p>
        </w:tc>
        <w:tc>
          <w:tcPr>
            <w:tcW w:type="dxa" w:w="1584"/>
            <w:vAlign w:val="center"/>
            <w:shd w:fill="17324D"/>
          </w:tcPr>
          <w:p>
            <w:pPr>
              <w:spacing w:after="0"/>
            </w:pPr>
            <w:r/>
            <w:r>
              <w:rPr>
                <w:rFonts w:ascii="Aptos" w:hAnsi="Aptos"/>
                <w:b/>
                <w:color w:val="FFFFFF"/>
                <w:sz w:val="16"/>
              </w:rPr>
              <w:t>Date</w:t>
            </w:r>
          </w:p>
        </w:tc>
        <w:tc>
          <w:tcPr>
            <w:tcW w:type="dxa" w:w="1872"/>
            <w:vAlign w:val="center"/>
            <w:shd w:fill="17324D"/>
          </w:tcPr>
          <w:p>
            <w:pPr>
              <w:spacing w:after="0"/>
            </w:pPr>
            <w:r/>
            <w:r>
              <w:rPr>
                <w:rFonts w:ascii="Aptos" w:hAnsi="Aptos"/>
                <w:b/>
                <w:color w:val="FFFFFF"/>
                <w:sz w:val="16"/>
              </w:rPr>
              <w:t>Type</w:t>
            </w:r>
          </w:p>
        </w:tc>
        <w:tc>
          <w:tcPr>
            <w:tcW w:type="dxa" w:w="4320"/>
            <w:vAlign w:val="center"/>
            <w:shd w:fill="17324D"/>
          </w:tcPr>
          <w:p>
            <w:pPr>
              <w:spacing w:after="0"/>
            </w:pPr>
            <w:r/>
            <w:r>
              <w:rPr>
                <w:rFonts w:ascii="Aptos" w:hAnsi="Aptos"/>
                <w:b/>
                <w:color w:val="FFFFFF"/>
                <w:sz w:val="16"/>
              </w:rPr>
              <w:t>Summary</w:t>
            </w:r>
          </w:p>
        </w:tc>
        <w:tc>
          <w:tcPr>
            <w:tcW w:type="dxa" w:w="1728"/>
            <w:vAlign w:val="center"/>
            <w:shd w:fill="17324D"/>
          </w:tcPr>
          <w:p>
            <w:pPr>
              <w:spacing w:after="0"/>
            </w:pPr>
            <w:r/>
            <w:r>
              <w:rPr>
                <w:rFonts w:ascii="Aptos" w:hAnsi="Aptos"/>
                <w:b/>
                <w:color w:val="FFFFFF"/>
                <w:sz w:val="16"/>
              </w:rPr>
              <w:t>Status</w:t>
            </w:r>
          </w:p>
        </w:tc>
      </w:tr>
      <w:tr>
        <w:trPr>
          <w:cantSplit/>
        </w:trPr>
        <w:tc>
          <w:tcPr>
            <w:tcW w:type="dxa" w:w="1440"/>
            <w:vAlign w:val="center"/>
          </w:tcPr>
          <w:p>
            <w:pPr>
              <w:spacing w:after="0"/>
            </w:pPr>
            <w:r/>
            <w:r>
              <w:rPr>
                <w:rFonts w:ascii="Aptos" w:hAnsi="Aptos"/>
                <w:b w:val="0"/>
                <w:sz w:val="15"/>
              </w:rPr>
              <w:t>GAISSF v1.0</w:t>
            </w:r>
          </w:p>
        </w:tc>
        <w:tc>
          <w:tcPr>
            <w:tcW w:type="dxa" w:w="1584"/>
            <w:vAlign w:val="center"/>
          </w:tcPr>
          <w:p>
            <w:pPr>
              <w:spacing w:after="0"/>
            </w:pPr>
            <w:r>
              <w:t>1 July 2026</w:t>
            </w:r>
            <w:r>
              <w:rPr>
                <w:rFonts w:ascii="Aptos" w:hAnsi="Aptos"/>
                <w:b w:val="0"/>
                <w:sz w:val="15"/>
              </w:rPr>
            </w:r>
          </w:p>
        </w:tc>
        <w:tc>
          <w:tcPr>
            <w:tcW w:type="dxa" w:w="1872"/>
            <w:vAlign w:val="center"/>
          </w:tcPr>
          <w:p>
            <w:pPr>
              <w:spacing w:after="0"/>
            </w:pPr>
            <w:r/>
            <w:r>
              <w:rPr>
                <w:rFonts w:ascii="Aptos" w:hAnsi="Aptos"/>
                <w:b w:val="0"/>
                <w:sz w:val="15"/>
              </w:rPr>
              <w:t>Initial major release</w:t>
            </w:r>
          </w:p>
        </w:tc>
        <w:tc>
          <w:tcPr>
            <w:tcW w:type="dxa" w:w="4320"/>
            <w:vAlign w:val="center"/>
          </w:tcPr>
          <w:p>
            <w:pPr>
              <w:spacing w:after="0"/>
            </w:pPr>
            <w:r/>
            <w:r>
              <w:rPr>
                <w:rFonts w:ascii="Aptos" w:hAnsi="Aptos"/>
                <w:b w:val="0"/>
                <w:sz w:val="15"/>
              </w:rPr>
              <w:t>59-control baseline; 52-control Foundational scope; full normative and supporting document set</w:t>
            </w:r>
          </w:p>
        </w:tc>
        <w:tc>
          <w:tcPr>
            <w:tcW w:type="dxa" w:w="1728"/>
            <w:vAlign w:val="center"/>
          </w:tcPr>
          <w:p>
            <w:r>
              <w:t>Final Publication Edition</w:t>
            </w:r>
          </w:p>
        </w:tc>
      </w:tr>
    </w:tbl>
    <w:p/>
    <w:p>
      <w:pPr>
        <w:pStyle w:val="Heading1"/>
      </w:pPr>
      <w:r>
        <w:t>Controlled Profile Reconciliation Notice</w:t>
      </w:r>
    </w:p>
    <w:p>
      <w:r>
        <w:t>The Foundational profile comprises the 52 canonical controls in D1-D8. The seven D9 controls are additional mandatory controls whenever physical AI or cyber-physical actuation is within the assessed scope.</w:t>
      </w:r>
    </w:p>
    <w:p>
      <w:r>
        <w:t>Any earlier wording that described the Foundational profile as spanning all nine domains, or that treated D9 as universally mandatory or universally excluded, is superseded by this statement. D9 applicability shall be determined and justified for every assessed scope.</w:t>
      </w:r>
    </w:p>
    <w:p>
      <w:pPr>
        <w:pStyle w:val="Heading1"/>
      </w:pPr>
      <w:r>
        <w:t>Release Communication Package</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Audience</w:t>
            </w:r>
          </w:p>
        </w:tc>
        <w:tc>
          <w:tcPr>
            <w:tcW w:type="dxa" w:w="5083"/>
            <w:vAlign w:val="center"/>
            <w:shd w:fill="17324D"/>
          </w:tcPr>
          <w:p>
            <w:pPr>
              <w:spacing w:after="0"/>
            </w:pPr>
            <w:r/>
            <w:r>
              <w:rPr>
                <w:rFonts w:ascii="Aptos" w:hAnsi="Aptos"/>
                <w:b/>
                <w:color w:val="FFFFFF"/>
                <w:sz w:val="15"/>
              </w:rPr>
              <w:t>Required communication</w:t>
            </w:r>
          </w:p>
        </w:tc>
      </w:tr>
      <w:tr>
        <w:trPr>
          <w:cantSplit/>
        </w:trPr>
        <w:tc>
          <w:tcPr>
            <w:tcW w:type="dxa" w:w="5083"/>
            <w:vAlign w:val="center"/>
            <w:shd w:fill="FFFFFF"/>
          </w:tcPr>
          <w:p>
            <w:pPr>
              <w:spacing w:after="0"/>
            </w:pPr>
            <w:r/>
            <w:r>
              <w:rPr>
                <w:rFonts w:ascii="Aptos" w:hAnsi="Aptos"/>
                <w:b w:val="0"/>
                <w:sz w:val="15"/>
              </w:rPr>
              <w:t>Implementers</w:t>
            </w:r>
          </w:p>
        </w:tc>
        <w:tc>
          <w:tcPr>
            <w:tcW w:type="dxa" w:w="5083"/>
            <w:vAlign w:val="center"/>
            <w:shd w:fill="FFFFFF"/>
          </w:tcPr>
          <w:p>
            <w:pPr>
              <w:spacing w:after="0"/>
            </w:pPr>
            <w:r/>
            <w:r>
              <w:rPr>
                <w:rFonts w:ascii="Aptos" w:hAnsi="Aptos"/>
                <w:b w:val="0"/>
                <w:sz w:val="15"/>
              </w:rPr>
              <w:t>Changed requirements, migration actions and effective date.</w:t>
            </w:r>
          </w:p>
        </w:tc>
      </w:tr>
      <w:tr>
        <w:trPr>
          <w:cantSplit/>
        </w:trPr>
        <w:tc>
          <w:tcPr>
            <w:tcW w:type="dxa" w:w="5083"/>
            <w:vAlign w:val="center"/>
            <w:shd w:fill="F3F6F7"/>
          </w:tcPr>
          <w:p>
            <w:pPr>
              <w:spacing w:after="0"/>
            </w:pPr>
            <w:r/>
            <w:r>
              <w:rPr>
                <w:rFonts w:ascii="Aptos" w:hAnsi="Aptos"/>
                <w:b w:val="0"/>
                <w:sz w:val="15"/>
              </w:rPr>
              <w:t>Assessors</w:t>
            </w:r>
          </w:p>
        </w:tc>
        <w:tc>
          <w:tcPr>
            <w:tcW w:type="dxa" w:w="5083"/>
            <w:vAlign w:val="center"/>
            <w:shd w:fill="F3F6F7"/>
          </w:tcPr>
          <w:p>
            <w:pPr>
              <w:spacing w:after="0"/>
            </w:pPr>
            <w:r/>
            <w:r>
              <w:rPr>
                <w:rFonts w:ascii="Aptos" w:hAnsi="Aptos"/>
                <w:b w:val="0"/>
                <w:sz w:val="15"/>
              </w:rPr>
              <w:t>Sampling, evidence and compatibility impact.</w:t>
            </w:r>
          </w:p>
        </w:tc>
      </w:tr>
      <w:tr>
        <w:trPr>
          <w:cantSplit/>
        </w:trPr>
        <w:tc>
          <w:tcPr>
            <w:tcW w:type="dxa" w:w="5083"/>
            <w:vAlign w:val="center"/>
            <w:shd w:fill="FFFFFF"/>
          </w:tcPr>
          <w:p>
            <w:pPr>
              <w:spacing w:after="0"/>
            </w:pPr>
            <w:r/>
            <w:r>
              <w:rPr>
                <w:rFonts w:ascii="Aptos" w:hAnsi="Aptos"/>
                <w:b w:val="0"/>
                <w:sz w:val="15"/>
              </w:rPr>
              <w:t>Tool vendors</w:t>
            </w:r>
          </w:p>
        </w:tc>
        <w:tc>
          <w:tcPr>
            <w:tcW w:type="dxa" w:w="5083"/>
            <w:vAlign w:val="center"/>
            <w:shd w:fill="FFFFFF"/>
          </w:tcPr>
          <w:p>
            <w:pPr>
              <w:spacing w:after="0"/>
            </w:pPr>
            <w:r/>
            <w:r>
              <w:rPr>
                <w:rFonts w:ascii="Aptos" w:hAnsi="Aptos"/>
                <w:b w:val="0"/>
                <w:sz w:val="15"/>
              </w:rPr>
              <w:t>Schema, identifier and validation changes.</w:t>
            </w:r>
          </w:p>
        </w:tc>
      </w:tr>
      <w:tr>
        <w:trPr>
          <w:cantSplit/>
        </w:trPr>
        <w:tc>
          <w:tcPr>
            <w:tcW w:type="dxa" w:w="5083"/>
            <w:vAlign w:val="center"/>
            <w:shd w:fill="F3F6F7"/>
          </w:tcPr>
          <w:p>
            <w:pPr>
              <w:spacing w:after="0"/>
            </w:pPr>
            <w:r/>
            <w:r>
              <w:rPr>
                <w:rFonts w:ascii="Aptos" w:hAnsi="Aptos"/>
                <w:b w:val="0"/>
                <w:sz w:val="15"/>
              </w:rPr>
              <w:t>Certification stakeholders</w:t>
            </w:r>
          </w:p>
        </w:tc>
        <w:tc>
          <w:tcPr>
            <w:tcW w:type="dxa" w:w="5083"/>
            <w:vAlign w:val="center"/>
            <w:shd w:fill="F3F6F7"/>
          </w:tcPr>
          <w:p>
            <w:pPr>
              <w:spacing w:after="0"/>
            </w:pPr>
            <w:r/>
            <w:r>
              <w:rPr>
                <w:rFonts w:ascii="Aptos" w:hAnsi="Aptos"/>
                <w:b w:val="0"/>
                <w:sz w:val="15"/>
              </w:rPr>
              <w:t>Scope, transition and claim implications.</w:t>
            </w:r>
          </w:p>
        </w:tc>
      </w:tr>
      <w:tr>
        <w:trPr>
          <w:cantSplit/>
        </w:trPr>
        <w:tc>
          <w:tcPr>
            <w:tcW w:type="dxa" w:w="5083"/>
            <w:vAlign w:val="center"/>
            <w:shd w:fill="FFFFFF"/>
          </w:tcPr>
          <w:p>
            <w:pPr>
              <w:spacing w:after="0"/>
            </w:pPr>
            <w:r/>
            <w:r>
              <w:rPr>
                <w:rFonts w:ascii="Aptos" w:hAnsi="Aptos"/>
                <w:b w:val="0"/>
                <w:sz w:val="15"/>
              </w:rPr>
              <w:t>Public users</w:t>
            </w:r>
          </w:p>
        </w:tc>
        <w:tc>
          <w:tcPr>
            <w:tcW w:type="dxa" w:w="5083"/>
            <w:vAlign w:val="center"/>
            <w:shd w:fill="FFFFFF"/>
          </w:tcPr>
          <w:p>
            <w:pPr>
              <w:spacing w:after="0"/>
            </w:pPr>
            <w:r/>
            <w:r>
              <w:rPr>
                <w:rFonts w:ascii="Aptos" w:hAnsi="Aptos"/>
                <w:b w:val="0"/>
                <w:sz w:val="15"/>
              </w:rPr>
              <w:t>Plain-language summary and superseded-material notice.</w:t>
            </w:r>
          </w:p>
        </w:tc>
      </w:tr>
    </w:tbl>
    <w:p/>
    <w:p>
      <w:pPr>
        <w:pStyle w:val="Heading1"/>
      </w:pPr>
      <w:r>
        <w:t>Release Acceptance Checklist</w:t>
      </w:r>
    </w:p>
    <w:p>
      <w:pPr>
        <w:pStyle w:val="ListBullet"/>
      </w:pPr>
      <w:r>
        <w:t>All artifacts carry the correct version and status.</w:t>
      </w:r>
    </w:p>
    <w:p>
      <w:pPr>
        <w:pStyle w:val="ListBullet"/>
      </w:pPr>
      <w:r>
        <w:t>Control counts and profile statements are consistent.</w:t>
      </w:r>
    </w:p>
    <w:p>
      <w:pPr>
        <w:pStyle w:val="ListBullet"/>
      </w:pPr>
      <w:r>
        <w:t>Changes have an owner, rationale and compatibility classification.</w:t>
      </w:r>
    </w:p>
    <w:p>
      <w:pPr>
        <w:pStyle w:val="ListBullet"/>
      </w:pPr>
      <w:r>
        <w:t>Superseded files are removed from active publication paths.</w:t>
      </w:r>
    </w:p>
    <w:p>
      <w:pPr>
        <w:pStyle w:val="ListBullet"/>
      </w:pPr>
      <w:r>
        <w:t>Migration and validation instructions are available.</w:t>
      </w:r>
    </w:p>
    <w:p>
      <w:r>
        <w:t>The Foundational profile comprises the 52 canonical controls in D1-D8. The seven D9 controls are additional mandatory controls whenever physical AI or cyber-physical actuation is within the assessed scope.</w:t>
      </w:r>
    </w:p>
    <w:p>
      <w:r>
        <w:br w:type="page"/>
      </w:r>
    </w:p>
    <w:p>
      <w:pPr>
        <w:pStyle w:val="Heading1"/>
      </w:pPr>
      <w:r>
        <w:t>Publication Completeness and Intended Use</w:t>
      </w:r>
    </w:p>
    <w:p>
      <w:r>
        <w:t>This full publication edition of GAISSF-NOR-007 is designed to stand on its own for its stated role: authoritative version communication and release-impact notice. It includes purpose, scope, governance, operating guidance, evidence expectations, limitations, decision criteria and reusable records appropriate to that role.</w:t>
      </w:r>
    </w:p>
    <w:p>
      <w:r>
        <w:t>Completeness does not mean that the document replaces the normative control statements, applicable law, sector-specific engineering, organizational procedures or professional judgement. Cross-referenced GAISSF documents remain part of the controlled document system.</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Completeness dimension</w:t>
            </w:r>
          </w:p>
        </w:tc>
        <w:tc>
          <w:tcPr>
            <w:tcW w:type="dxa" w:w="5083"/>
            <w:vAlign w:val="center"/>
            <w:shd w:fill="17324D"/>
          </w:tcPr>
          <w:p>
            <w:pPr>
              <w:spacing w:after="0"/>
            </w:pPr>
            <w:r/>
            <w:r>
              <w:rPr>
                <w:rFonts w:ascii="Aptos" w:hAnsi="Aptos"/>
                <w:b/>
                <w:color w:val="FFFFFF"/>
                <w:sz w:val="15"/>
              </w:rPr>
              <w:t>Treatment in this edition</w:t>
            </w:r>
          </w:p>
        </w:tc>
      </w:tr>
      <w:tr>
        <w:trPr>
          <w:cantSplit/>
        </w:trPr>
        <w:tc>
          <w:tcPr>
            <w:tcW w:type="dxa" w:w="5083"/>
            <w:vAlign w:val="center"/>
            <w:shd w:fill="FFFFFF"/>
          </w:tcPr>
          <w:p>
            <w:pPr>
              <w:spacing w:after="0"/>
            </w:pPr>
            <w:r/>
            <w:r>
              <w:rPr>
                <w:rFonts w:ascii="Aptos" w:hAnsi="Aptos"/>
                <w:b w:val="0"/>
                <w:sz w:val="15"/>
              </w:rPr>
              <w:t>Normative alignment</w:t>
            </w:r>
          </w:p>
        </w:tc>
        <w:tc>
          <w:tcPr>
            <w:tcW w:type="dxa" w:w="5083"/>
            <w:vAlign w:val="center"/>
            <w:shd w:fill="FFFFFF"/>
          </w:tcPr>
          <w:p>
            <w:pPr>
              <w:spacing w:after="0"/>
            </w:pPr>
            <w:r/>
            <w:r>
              <w:rPr>
                <w:rFonts w:ascii="Aptos" w:hAnsi="Aptos"/>
                <w:b w:val="0"/>
                <w:sz w:val="15"/>
              </w:rPr>
              <w:t>Reconciled to the authoritative 59-control baseline and controlled profile structure.</w:t>
            </w:r>
          </w:p>
        </w:tc>
      </w:tr>
      <w:tr>
        <w:trPr>
          <w:cantSplit/>
        </w:trPr>
        <w:tc>
          <w:tcPr>
            <w:tcW w:type="dxa" w:w="5083"/>
            <w:vAlign w:val="center"/>
            <w:shd w:fill="F3F6F7"/>
          </w:tcPr>
          <w:p>
            <w:pPr>
              <w:spacing w:after="0"/>
            </w:pPr>
            <w:r/>
            <w:r>
              <w:rPr>
                <w:rFonts w:ascii="Aptos" w:hAnsi="Aptos"/>
                <w:b w:val="0"/>
                <w:sz w:val="15"/>
              </w:rPr>
              <w:t>Operational usability</w:t>
            </w:r>
          </w:p>
        </w:tc>
        <w:tc>
          <w:tcPr>
            <w:tcW w:type="dxa" w:w="5083"/>
            <w:vAlign w:val="center"/>
            <w:shd w:fill="F3F6F7"/>
          </w:tcPr>
          <w:p>
            <w:pPr>
              <w:spacing w:after="0"/>
            </w:pPr>
            <w:r/>
            <w:r>
              <w:rPr>
                <w:rFonts w:ascii="Aptos" w:hAnsi="Aptos"/>
                <w:b w:val="0"/>
                <w:sz w:val="15"/>
              </w:rPr>
              <w:t>Includes roles, workflows, gates, evidence, metrics, escalation and examples where relevant.</w:t>
            </w:r>
          </w:p>
        </w:tc>
      </w:tr>
      <w:tr>
        <w:trPr>
          <w:cantSplit/>
        </w:trPr>
        <w:tc>
          <w:tcPr>
            <w:tcW w:type="dxa" w:w="5083"/>
            <w:vAlign w:val="center"/>
            <w:shd w:fill="FFFFFF"/>
          </w:tcPr>
          <w:p>
            <w:pPr>
              <w:spacing w:after="0"/>
            </w:pPr>
            <w:r/>
            <w:r>
              <w:rPr>
                <w:rFonts w:ascii="Aptos" w:hAnsi="Aptos"/>
                <w:b w:val="0"/>
                <w:sz w:val="15"/>
              </w:rPr>
              <w:t>Traceability</w:t>
            </w:r>
          </w:p>
        </w:tc>
        <w:tc>
          <w:tcPr>
            <w:tcW w:type="dxa" w:w="5083"/>
            <w:vAlign w:val="center"/>
            <w:shd w:fill="FFFFFF"/>
          </w:tcPr>
          <w:p>
            <w:pPr>
              <w:spacing w:after="0"/>
            </w:pPr>
            <w:r/>
            <w:r>
              <w:rPr>
                <w:rFonts w:ascii="Aptos" w:hAnsi="Aptos"/>
                <w:b w:val="0"/>
                <w:sz w:val="15"/>
              </w:rPr>
              <w:t>Identifies dependencies and preserves the distinction between requirements, guidance and examples.</w:t>
            </w:r>
          </w:p>
        </w:tc>
      </w:tr>
      <w:tr>
        <w:trPr>
          <w:cantSplit/>
        </w:trPr>
        <w:tc>
          <w:tcPr>
            <w:tcW w:type="dxa" w:w="5083"/>
            <w:vAlign w:val="center"/>
            <w:shd w:fill="F3F6F7"/>
          </w:tcPr>
          <w:p>
            <w:pPr>
              <w:spacing w:after="0"/>
            </w:pPr>
            <w:r/>
            <w:r>
              <w:rPr>
                <w:rFonts w:ascii="Aptos" w:hAnsi="Aptos"/>
                <w:b w:val="0"/>
                <w:sz w:val="15"/>
              </w:rPr>
              <w:t>Limitations</w:t>
            </w:r>
          </w:p>
        </w:tc>
        <w:tc>
          <w:tcPr>
            <w:tcW w:type="dxa" w:w="5083"/>
            <w:vAlign w:val="center"/>
            <w:shd w:fill="F3F6F7"/>
          </w:tcPr>
          <w:p>
            <w:pPr>
              <w:spacing w:after="0"/>
            </w:pPr>
            <w:r/>
            <w:r>
              <w:rPr>
                <w:rFonts w:ascii="Aptos" w:hAnsi="Aptos"/>
                <w:b w:val="0"/>
                <w:sz w:val="15"/>
              </w:rPr>
              <w:t>States what the document does not establish or guarantee.</w:t>
            </w:r>
          </w:p>
        </w:tc>
      </w:tr>
      <w:tr>
        <w:trPr>
          <w:cantSplit/>
        </w:trPr>
        <w:tc>
          <w:tcPr>
            <w:tcW w:type="dxa" w:w="5083"/>
            <w:vAlign w:val="center"/>
            <w:shd w:fill="FFFFFF"/>
          </w:tcPr>
          <w:p>
            <w:pPr>
              <w:spacing w:after="0"/>
            </w:pPr>
            <w:r/>
            <w:r>
              <w:rPr>
                <w:rFonts w:ascii="Aptos" w:hAnsi="Aptos"/>
                <w:b w:val="0"/>
                <w:sz w:val="15"/>
              </w:rPr>
              <w:t>Maintenance</w:t>
            </w:r>
          </w:p>
        </w:tc>
        <w:tc>
          <w:tcPr>
            <w:tcW w:type="dxa" w:w="5083"/>
            <w:vAlign w:val="center"/>
            <w:shd w:fill="FFFFFF"/>
          </w:tcPr>
          <w:p>
            <w:pPr>
              <w:spacing w:after="0"/>
            </w:pPr>
            <w:r/>
            <w:r>
              <w:rPr>
                <w:rFonts w:ascii="Aptos" w:hAnsi="Aptos"/>
                <w:b w:val="0"/>
                <w:sz w:val="15"/>
              </w:rPr>
              <w:t>Includes review triggers, change control and publication status.</w:t>
            </w:r>
          </w:p>
        </w:tc>
      </w:tr>
    </w:tbl>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Normative release communication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GAISSF-NOR-007 | GAISSF® v1.0 Release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4A556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Release Notes</dc:title>
  <dc:subject>GAISSF v1.0 publication document</dc:subject>
  <dc:creator>ODA3 Institute</dc:creator>
  <cp:keywords>GAISSF, AI security, AI safety, ODA3 Institute</cp:keywords>
  <dc:description>Final Publication Edition</dc:description>
  <cp:lastModifiedBy>ODA3 Institute</cp:lastModifiedBy>
  <cp:revision>1</cp:revision>
  <dcterms:created xsi:type="dcterms:W3CDTF">2013-12-23T23:15:00Z</dcterms:created>
  <dcterms:modified xsi:type="dcterms:W3CDTF">2013-12-23T23:15:00Z</dcterms:modified>
  <cp:category/>
</cp:coreProperties>
</file>