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400"/>
        <w:jc w:val="center"/>
      </w:pPr>
      <w:r>
        <w:rPr>
          <w:b/>
          <w:color w:val="17324D"/>
          <w:sz w:val="60"/>
        </w:rPr>
        <w:t>GAISSF® v1.0</w:t>
      </w:r>
    </w:p>
    <w:p>
      <w:pPr>
        <w:jc w:val="center"/>
      </w:pPr>
      <w:r>
        <w:rPr>
          <w:b/>
          <w:color w:val="205B65"/>
          <w:sz w:val="50"/>
        </w:rPr>
        <w:t>Change Log</w:t>
      </w:r>
    </w:p>
    <w:p>
      <w:pPr>
        <w:jc w:val="center"/>
      </w:pPr>
      <w:r>
        <w:rPr>
          <w:color w:val="4C6B7A"/>
          <w:sz w:val="24"/>
        </w:rPr>
        <w:t>Historical Traceability, Version History and Decision Record</w:t>
      </w:r>
    </w:p>
    <w:tbl>
      <w:tblPr>
        <w:tblStyle w:val="TableGrid"/>
        <w:tblW w:type="auto" w:w="0"/>
        <w:jc w:val="center"/>
        <w:tblLook w:firstColumn="1" w:firstRow="1" w:lastColumn="0" w:lastRow="0" w:noHBand="0" w:noVBand="1" w:val="04A0"/>
      </w:tblPr>
      <w:tblGrid>
        <w:gridCol w:w="5083"/>
        <w:gridCol w:w="5083"/>
      </w:tblGrid>
      <w:tr>
        <w:trPr>
          <w:tblHeader w:val="true"/>
          <w:cantSplit/>
        </w:trPr>
        <w:tc>
          <w:tcPr>
            <w:tcW w:type="dxa" w:w="2592"/>
            <w:vAlign w:val="center"/>
            <w:shd w:fill="17324D"/>
          </w:tcPr>
          <w:p>
            <w:pPr>
              <w:spacing w:after="0"/>
            </w:pPr>
            <w:r/>
            <w:r>
              <w:rPr>
                <w:rFonts w:ascii="Aptos" w:hAnsi="Aptos"/>
                <w:b/>
                <w:color w:val="FFFFFF"/>
                <w:sz w:val="16"/>
              </w:rPr>
              <w:t>Field</w:t>
            </w:r>
          </w:p>
        </w:tc>
        <w:tc>
          <w:tcPr>
            <w:tcW w:type="dxa" w:w="7056"/>
            <w:vAlign w:val="center"/>
            <w:shd w:fill="17324D"/>
          </w:tcPr>
          <w:p>
            <w:pPr>
              <w:spacing w:after="0"/>
            </w:pPr>
            <w:r/>
            <w:r>
              <w:rPr>
                <w:rFonts w:ascii="Aptos" w:hAnsi="Aptos"/>
                <w:b/>
                <w:color w:val="FFFFFF"/>
                <w:sz w:val="16"/>
              </w:rPr>
              <w:t>Value</w:t>
            </w:r>
          </w:p>
        </w:tc>
      </w:tr>
      <w:tr>
        <w:trPr>
          <w:cantSplit/>
        </w:trPr>
        <w:tc>
          <w:tcPr>
            <w:tcW w:type="dxa" w:w="2592"/>
            <w:vAlign w:val="center"/>
          </w:tcPr>
          <w:p>
            <w:pPr>
              <w:spacing w:after="0"/>
            </w:pPr>
            <w:r/>
            <w:r>
              <w:rPr>
                <w:rFonts w:ascii="Aptos" w:hAnsi="Aptos"/>
                <w:b w:val="0"/>
                <w:sz w:val="15"/>
              </w:rPr>
              <w:t>Document ID</w:t>
            </w:r>
          </w:p>
        </w:tc>
        <w:tc>
          <w:tcPr>
            <w:tcW w:type="dxa" w:w="7056"/>
            <w:vAlign w:val="center"/>
          </w:tcPr>
          <w:p>
            <w:pPr>
              <w:spacing w:after="0"/>
            </w:pPr>
            <w:r/>
            <w:r>
              <w:rPr>
                <w:rFonts w:ascii="Aptos" w:hAnsi="Aptos"/>
                <w:b w:val="0"/>
                <w:sz w:val="15"/>
              </w:rPr>
              <w:t>GAISSF-NOR-008</w:t>
            </w:r>
          </w:p>
        </w:tc>
      </w:tr>
      <w:tr>
        <w:trPr>
          <w:cantSplit/>
        </w:trPr>
        <w:tc>
          <w:tcPr>
            <w:tcW w:type="dxa" w:w="2592"/>
            <w:vAlign w:val="center"/>
            <w:shd w:fill="F3F6F7"/>
          </w:tcPr>
          <w:p>
            <w:pPr>
              <w:spacing w:after="0"/>
            </w:pPr>
            <w:r/>
            <w:r>
              <w:rPr>
                <w:rFonts w:ascii="Aptos" w:hAnsi="Aptos"/>
                <w:b w:val="0"/>
                <w:sz w:val="15"/>
              </w:rPr>
              <w:t>Version</w:t>
            </w:r>
          </w:p>
        </w:tc>
        <w:tc>
          <w:tcPr>
            <w:tcW w:type="dxa" w:w="7056"/>
            <w:vAlign w:val="center"/>
            <w:shd w:fill="F3F6F7"/>
          </w:tcPr>
          <w:p>
            <w:pPr>
              <w:spacing w:after="0"/>
            </w:pPr>
            <w:r/>
            <w:r>
              <w:rPr>
                <w:rFonts w:ascii="Aptos" w:hAnsi="Aptos"/>
                <w:b w:val="0"/>
                <w:sz w:val="15"/>
              </w:rPr>
              <w:t>1.0</w:t>
            </w:r>
          </w:p>
        </w:tc>
      </w:tr>
      <w:tr>
        <w:trPr>
          <w:cantSplit/>
        </w:trPr>
        <w:tc>
          <w:tcPr>
            <w:tcW w:type="dxa" w:w="2592"/>
            <w:vAlign w:val="center"/>
          </w:tcPr>
          <w:p>
            <w:pPr>
              <w:spacing w:after="0"/>
            </w:pPr>
            <w:r/>
            <w:r>
              <w:rPr>
                <w:rFonts w:ascii="Aptos" w:hAnsi="Aptos"/>
                <w:b w:val="0"/>
                <w:sz w:val="15"/>
              </w:rPr>
              <w:t>Status</w:t>
            </w:r>
          </w:p>
        </w:tc>
        <w:tc>
          <w:tcPr>
            <w:tcW w:type="dxa" w:w="7056"/>
            <w:vAlign w:val="center"/>
          </w:tcPr>
          <w:p>
            <w:r>
              <w:t>Final Publication Edition</w:t>
            </w:r>
          </w:p>
        </w:tc>
      </w:tr>
      <w:tr>
        <w:trPr>
          <w:cantSplit/>
        </w:trPr>
        <w:tc>
          <w:tcPr>
            <w:tcW w:type="dxa" w:w="2592"/>
            <w:vAlign w:val="center"/>
            <w:shd w:fill="F3F6F7"/>
          </w:tcPr>
          <w:p>
            <w:pPr>
              <w:spacing w:after="0"/>
            </w:pPr>
            <w:r/>
            <w:r>
              <w:rPr>
                <w:rFonts w:ascii="Aptos" w:hAnsi="Aptos"/>
                <w:b w:val="0"/>
                <w:sz w:val="15"/>
              </w:rPr>
              <w:t>Classification</w:t>
            </w:r>
          </w:p>
        </w:tc>
        <w:tc>
          <w:tcPr>
            <w:tcW w:type="dxa" w:w="7056"/>
            <w:vAlign w:val="center"/>
            <w:shd w:fill="F3F6F7"/>
          </w:tcPr>
          <w:p>
            <w:pPr>
              <w:spacing w:after="0"/>
            </w:pPr>
            <w:r/>
            <w:r>
              <w:rPr>
                <w:rFonts w:ascii="Aptos" w:hAnsi="Aptos"/>
                <w:b w:val="0"/>
                <w:sz w:val="15"/>
              </w:rPr>
              <w:t>Normative change and decision register</w:t>
            </w:r>
          </w:p>
        </w:tc>
      </w:tr>
      <w:tr>
        <w:trPr>
          <w:cantSplit/>
        </w:trPr>
        <w:tc>
          <w:tcPr>
            <w:tcW w:type="dxa" w:w="2592"/>
            <w:vAlign w:val="center"/>
          </w:tcPr>
          <w:p>
            <w:pPr>
              <w:spacing w:after="0"/>
            </w:pPr>
            <w:r/>
            <w:r>
              <w:rPr>
                <w:rFonts w:ascii="Aptos" w:hAnsi="Aptos"/>
                <w:b w:val="0"/>
                <w:sz w:val="15"/>
              </w:rPr>
              <w:t>Publisher</w:t>
            </w:r>
          </w:p>
        </w:tc>
        <w:tc>
          <w:tcPr>
            <w:tcW w:type="dxa" w:w="7056"/>
            <w:vAlign w:val="center"/>
          </w:tcPr>
          <w:p>
            <w:pPr>
              <w:spacing w:after="0"/>
            </w:pPr>
            <w:r/>
            <w:r>
              <w:rPr>
                <w:rFonts w:ascii="Aptos" w:hAnsi="Aptos"/>
                <w:b w:val="0"/>
                <w:sz w:val="15"/>
              </w:rPr>
              <w:t>ODA3 Institute</w:t>
            </w:r>
          </w:p>
        </w:tc>
      </w:tr>
      <w:tr>
        <w:trPr>
          <w:cantSplit/>
        </w:trPr>
        <w:tc>
          <w:tcPr>
            <w:tcW w:type="dxa" w:w="2592"/>
            <w:vAlign w:val="center"/>
            <w:shd w:fill="F3F6F7"/>
          </w:tcPr>
          <w:p>
            <w:pPr>
              <w:spacing w:after="0"/>
            </w:pPr>
            <w:r/>
            <w:r>
              <w:rPr>
                <w:rFonts w:ascii="Aptos" w:hAnsi="Aptos"/>
                <w:b w:val="0"/>
                <w:sz w:val="15"/>
              </w:rPr>
              <w:t>Legal entity</w:t>
            </w:r>
          </w:p>
        </w:tc>
        <w:tc>
          <w:tcPr>
            <w:tcW w:type="dxa" w:w="7056"/>
            <w:vAlign w:val="center"/>
            <w:shd w:fill="F3F6F7"/>
          </w:tcPr>
          <w:p>
            <w:pPr>
              <w:spacing w:after="0"/>
            </w:pPr>
            <w:r/>
            <w:r>
              <w:rPr>
                <w:rFonts w:ascii="Aptos" w:hAnsi="Aptos"/>
                <w:b w:val="0"/>
                <w:sz w:val="15"/>
              </w:rPr>
              <w:t>ODA3 Pvt Ltd</w:t>
            </w:r>
          </w:p>
        </w:tc>
      </w:tr>
      <w:tr>
        <w:trPr>
          <w:cantSplit/>
        </w:trPr>
        <w:tc>
          <w:tcPr>
            <w:tcW w:type="dxa" w:w="2592"/>
            <w:vAlign w:val="center"/>
          </w:tcPr>
          <w:p>
            <w:pPr>
              <w:spacing w:after="0"/>
            </w:pPr>
            <w:r/>
            <w:r>
              <w:rPr>
                <w:rFonts w:ascii="Aptos" w:hAnsi="Aptos"/>
                <w:b w:val="0"/>
                <w:sz w:val="15"/>
              </w:rPr>
              <w:t>Framework baseline</w:t>
            </w:r>
          </w:p>
        </w:tc>
        <w:tc>
          <w:tcPr>
            <w:tcW w:type="dxa" w:w="7056"/>
            <w:vAlign w:val="center"/>
          </w:tcPr>
          <w:p>
            <w:pPr>
              <w:spacing w:after="0"/>
            </w:pPr>
            <w:r/>
            <w:r>
              <w:rPr>
                <w:rFonts w:ascii="Aptos" w:hAnsi="Aptos"/>
                <w:b w:val="0"/>
                <w:sz w:val="15"/>
              </w:rPr>
              <w:t>GAISSF® v1.0 — 59 controls across nine domains</w:t>
            </w:r>
          </w:p>
        </w:tc>
      </w:tr>
      <w:tr>
        <w:trPr>
          <w:cantSplit/>
        </w:trPr>
        <w:tc>
          <w:tcPr>
            <w:tcW w:type="dxa" w:w="2592"/>
            <w:vAlign w:val="center"/>
            <w:shd w:fill="F3F6F7"/>
          </w:tcPr>
          <w:p>
            <w:pPr>
              <w:spacing w:after="0"/>
            </w:pPr>
            <w:r/>
            <w:r>
              <w:rPr>
                <w:rFonts w:ascii="Aptos" w:hAnsi="Aptos"/>
                <w:b w:val="0"/>
                <w:sz w:val="15"/>
              </w:rPr>
              <w:t>Publication date</w:t>
            </w:r>
          </w:p>
        </w:tc>
        <w:tc>
          <w:tcPr>
            <w:tcW w:type="dxa" w:w="7056"/>
            <w:vAlign w:val="center"/>
            <w:shd w:fill="F3F6F7"/>
          </w:tcPr>
          <w:p>
            <w:pPr>
              <w:spacing w:after="0"/>
            </w:pPr>
            <w:r>
              <w:t>1 July 2026</w:t>
            </w:r>
            <w:r>
              <w:rPr>
                <w:rFonts w:ascii="Aptos" w:hAnsi="Aptos"/>
                <w:b w:val="0"/>
                <w:sz w:val="15"/>
              </w:rPr>
            </w:r>
          </w:p>
        </w:tc>
      </w:tr>
      <w:tr>
        <w:trPr>
          <w:cantSplit/>
        </w:trPr>
        <w:tc>
          <w:tcPr>
            <w:tcW w:type="dxa" w:w="2592"/>
            <w:vAlign w:val="center"/>
          </w:tcPr>
          <w:p>
            <w:pPr>
              <w:spacing w:after="0"/>
            </w:pPr>
            <w:r/>
            <w:r>
              <w:rPr>
                <w:rFonts w:ascii="Aptos" w:hAnsi="Aptos"/>
                <w:b w:val="0"/>
                <w:sz w:val="15"/>
              </w:rPr>
              <w:t>Historical cut-off</w:t>
            </w:r>
          </w:p>
        </w:tc>
        <w:tc>
          <w:tcPr>
            <w:tcW w:type="dxa" w:w="7056"/>
            <w:vAlign w:val="center"/>
          </w:tcPr>
          <w:p>
            <w:pPr>
              <w:spacing w:after="0"/>
            </w:pPr>
            <w:r>
              <w:t>1 July 2026</w:t>
            </w:r>
            <w:r>
              <w:rPr>
                <w:rFonts w:ascii="Aptos" w:hAnsi="Aptos"/>
                <w:b w:val="0"/>
                <w:sz w:val="15"/>
              </w:rPr>
            </w:r>
          </w:p>
        </w:tc>
      </w:tr>
    </w:tbl>
    <w:p/>
    <w:p>
      <w:pPr>
        <w:pStyle w:val="SmallNote"/>
        <w:jc w:val="center"/>
      </w:pPr>
      <w:r>
        <w:t>This register records approved changes, rejected options, corrective actions, supersession, downstream impacts and matters explicitly unchanged. It is not a substitute for the normative requirements in GAISSF-NOR-001.</w:t>
      </w:r>
    </w:p>
    <w:p>
      <w:r>
        <w:br w:type="page"/>
      </w:r>
    </w:p>
    <w:p>
      <w:pPr>
        <w:pStyle w:val="Heading1"/>
      </w:pPr>
      <w:r>
        <w:t>Document Control</w:t>
      </w:r>
    </w:p>
    <w:tbl>
      <w:tblPr>
        <w:tblStyle w:val="TableGrid"/>
        <w:tblW w:type="auto" w:w="0"/>
        <w:jc w:val="center"/>
        <w:tblLook w:firstColumn="1" w:firstRow="1" w:lastColumn="0" w:lastRow="0" w:noHBand="0" w:noVBand="1" w:val="04A0"/>
      </w:tblPr>
      <w:tblGrid>
        <w:gridCol w:w="5083"/>
        <w:gridCol w:w="5083"/>
      </w:tblGrid>
      <w:tr>
        <w:trPr>
          <w:tblHeader w:val="true"/>
          <w:cantSplit/>
        </w:trPr>
        <w:tc>
          <w:tcPr>
            <w:tcW w:type="dxa" w:w="2592"/>
            <w:vAlign w:val="center"/>
            <w:shd w:fill="17324D"/>
          </w:tcPr>
          <w:p>
            <w:pPr>
              <w:spacing w:after="0"/>
            </w:pPr>
            <w:r/>
            <w:r>
              <w:rPr>
                <w:rFonts w:ascii="Aptos" w:hAnsi="Aptos"/>
                <w:b/>
                <w:color w:val="FFFFFF"/>
                <w:sz w:val="16"/>
              </w:rPr>
              <w:t>Attribute</w:t>
            </w:r>
          </w:p>
        </w:tc>
        <w:tc>
          <w:tcPr>
            <w:tcW w:type="dxa" w:w="7056"/>
            <w:vAlign w:val="center"/>
            <w:shd w:fill="17324D"/>
          </w:tcPr>
          <w:p>
            <w:pPr>
              <w:spacing w:after="0"/>
            </w:pPr>
            <w:r/>
            <w:r>
              <w:rPr>
                <w:rFonts w:ascii="Aptos" w:hAnsi="Aptos"/>
                <w:b/>
                <w:color w:val="FFFFFF"/>
                <w:sz w:val="16"/>
              </w:rPr>
              <w:t>Controlled value</w:t>
            </w:r>
          </w:p>
        </w:tc>
      </w:tr>
      <w:tr>
        <w:trPr>
          <w:cantSplit/>
        </w:trPr>
        <w:tc>
          <w:tcPr>
            <w:tcW w:type="dxa" w:w="2592"/>
            <w:vAlign w:val="center"/>
          </w:tcPr>
          <w:p>
            <w:pPr>
              <w:spacing w:after="0"/>
            </w:pPr>
            <w:r/>
            <w:r>
              <w:rPr>
                <w:rFonts w:ascii="Aptos" w:hAnsi="Aptos"/>
                <w:b w:val="0"/>
                <w:sz w:val="15"/>
              </w:rPr>
              <w:t>Title</w:t>
            </w:r>
          </w:p>
        </w:tc>
        <w:tc>
          <w:tcPr>
            <w:tcW w:type="dxa" w:w="7056"/>
            <w:vAlign w:val="center"/>
          </w:tcPr>
          <w:p>
            <w:pPr>
              <w:spacing w:after="0"/>
            </w:pPr>
            <w:r/>
            <w:r>
              <w:rPr>
                <w:rFonts w:ascii="Aptos" w:hAnsi="Aptos"/>
                <w:b w:val="0"/>
                <w:sz w:val="15"/>
              </w:rPr>
              <w:t>GAISSF® v1.0 Change Log</w:t>
            </w:r>
          </w:p>
        </w:tc>
      </w:tr>
      <w:tr>
        <w:trPr>
          <w:cantSplit/>
        </w:trPr>
        <w:tc>
          <w:tcPr>
            <w:tcW w:type="dxa" w:w="2592"/>
            <w:vAlign w:val="center"/>
            <w:shd w:fill="F3F6F7"/>
          </w:tcPr>
          <w:p>
            <w:pPr>
              <w:spacing w:after="0"/>
            </w:pPr>
            <w:r/>
            <w:r>
              <w:rPr>
                <w:rFonts w:ascii="Aptos" w:hAnsi="Aptos"/>
                <w:b w:val="0"/>
                <w:sz w:val="15"/>
              </w:rPr>
              <w:t>Document ID</w:t>
            </w:r>
          </w:p>
        </w:tc>
        <w:tc>
          <w:tcPr>
            <w:tcW w:type="dxa" w:w="7056"/>
            <w:vAlign w:val="center"/>
            <w:shd w:fill="F3F6F7"/>
          </w:tcPr>
          <w:p>
            <w:pPr>
              <w:spacing w:after="0"/>
            </w:pPr>
            <w:r/>
            <w:r>
              <w:rPr>
                <w:rFonts w:ascii="Aptos" w:hAnsi="Aptos"/>
                <w:b w:val="0"/>
                <w:sz w:val="15"/>
              </w:rPr>
              <w:t>GAISSF-NOR-008</w:t>
            </w:r>
          </w:p>
        </w:tc>
      </w:tr>
      <w:tr>
        <w:trPr>
          <w:cantSplit/>
        </w:trPr>
        <w:tc>
          <w:tcPr>
            <w:tcW w:type="dxa" w:w="2592"/>
            <w:vAlign w:val="center"/>
          </w:tcPr>
          <w:p>
            <w:pPr>
              <w:spacing w:after="0"/>
            </w:pPr>
            <w:r/>
            <w:r>
              <w:rPr>
                <w:rFonts w:ascii="Aptos" w:hAnsi="Aptos"/>
                <w:b w:val="0"/>
                <w:sz w:val="15"/>
              </w:rPr>
              <w:t>Purpose</w:t>
            </w:r>
          </w:p>
        </w:tc>
        <w:tc>
          <w:tcPr>
            <w:tcW w:type="dxa" w:w="7056"/>
            <w:vAlign w:val="center"/>
          </w:tcPr>
          <w:p>
            <w:pPr>
              <w:spacing w:after="0"/>
            </w:pPr>
            <w:r/>
            <w:r>
              <w:rPr>
                <w:rFonts w:ascii="Aptos" w:hAnsi="Aptos"/>
                <w:b w:val="0"/>
                <w:sz w:val="15"/>
              </w:rPr>
              <w:t>Historical traceability of versions, decisions, corrections and downstream impacts</w:t>
            </w:r>
          </w:p>
        </w:tc>
      </w:tr>
      <w:tr>
        <w:trPr>
          <w:cantSplit/>
        </w:trPr>
        <w:tc>
          <w:tcPr>
            <w:tcW w:type="dxa" w:w="2592"/>
            <w:vAlign w:val="center"/>
            <w:shd w:fill="F3F6F7"/>
          </w:tcPr>
          <w:p>
            <w:pPr>
              <w:spacing w:after="0"/>
            </w:pPr>
            <w:r/>
            <w:r>
              <w:rPr>
                <w:rFonts w:ascii="Aptos" w:hAnsi="Aptos"/>
                <w:b w:val="0"/>
                <w:sz w:val="15"/>
              </w:rPr>
              <w:t>Normative authority</w:t>
            </w:r>
          </w:p>
        </w:tc>
        <w:tc>
          <w:tcPr>
            <w:tcW w:type="dxa" w:w="7056"/>
            <w:vAlign w:val="center"/>
            <w:shd w:fill="F3F6F7"/>
          </w:tcPr>
          <w:p>
            <w:pPr>
              <w:spacing w:after="0"/>
            </w:pPr>
            <w:r/>
            <w:r>
              <w:rPr>
                <w:rFonts w:ascii="Aptos" w:hAnsi="Aptos"/>
                <w:b w:val="0"/>
                <w:sz w:val="15"/>
              </w:rPr>
              <w:t>Normative for change identifiers, status, decision provenance, supersession and change classification</w:t>
            </w:r>
          </w:p>
        </w:tc>
      </w:tr>
      <w:tr>
        <w:trPr>
          <w:cantSplit/>
        </w:trPr>
        <w:tc>
          <w:tcPr>
            <w:tcW w:type="dxa" w:w="2592"/>
            <w:vAlign w:val="center"/>
          </w:tcPr>
          <w:p>
            <w:pPr>
              <w:spacing w:after="0"/>
            </w:pPr>
            <w:r/>
            <w:r>
              <w:rPr>
                <w:rFonts w:ascii="Aptos" w:hAnsi="Aptos"/>
                <w:b w:val="0"/>
                <w:sz w:val="15"/>
              </w:rPr>
              <w:t>Primary source records</w:t>
            </w:r>
          </w:p>
        </w:tc>
        <w:tc>
          <w:tcPr>
            <w:tcW w:type="dxa" w:w="7056"/>
            <w:vAlign w:val="center"/>
          </w:tcPr>
          <w:p>
            <w:pPr>
              <w:spacing w:after="0"/>
            </w:pPr>
            <w:r/>
            <w:r>
              <w:rPr>
                <w:rFonts w:ascii="Aptos" w:hAnsi="Aptos"/>
                <w:b w:val="0"/>
                <w:sz w:val="15"/>
              </w:rPr>
              <w:t>GAISSF v1.0 source; ODA3-2026-06-MTH-GOV-034; GAISSF-NOR-007</w:t>
            </w:r>
          </w:p>
        </w:tc>
      </w:tr>
      <w:tr>
        <w:trPr>
          <w:cantSplit/>
        </w:trPr>
        <w:tc>
          <w:tcPr>
            <w:tcW w:type="dxa" w:w="2592"/>
            <w:vAlign w:val="center"/>
            <w:shd w:fill="F3F6F7"/>
          </w:tcPr>
          <w:p>
            <w:pPr>
              <w:spacing w:after="0"/>
            </w:pPr>
            <w:r/>
            <w:r>
              <w:rPr>
                <w:rFonts w:ascii="Aptos" w:hAnsi="Aptos"/>
                <w:b w:val="0"/>
                <w:sz w:val="15"/>
              </w:rPr>
              <w:t>Precedence</w:t>
            </w:r>
          </w:p>
        </w:tc>
        <w:tc>
          <w:tcPr>
            <w:tcW w:type="dxa" w:w="7056"/>
            <w:vAlign w:val="center"/>
            <w:shd w:fill="F3F6F7"/>
          </w:tcPr>
          <w:p>
            <w:pPr>
              <w:spacing w:after="0"/>
            </w:pPr>
            <w:r/>
            <w:r>
              <w:rPr>
                <w:rFonts w:ascii="Aptos" w:hAnsi="Aptos"/>
                <w:b w:val="0"/>
                <w:sz w:val="15"/>
              </w:rPr>
              <w:t>GAISSF-NOR-001 governs requirements; approved source decisions govern provenance</w:t>
            </w:r>
          </w:p>
        </w:tc>
      </w:tr>
      <w:tr>
        <w:trPr>
          <w:cantSplit/>
        </w:trPr>
        <w:tc>
          <w:tcPr>
            <w:tcW w:type="dxa" w:w="2592"/>
            <w:vAlign w:val="center"/>
          </w:tcPr>
          <w:p>
            <w:pPr>
              <w:spacing w:after="0"/>
            </w:pPr>
            <w:r/>
            <w:r>
              <w:rPr>
                <w:rFonts w:ascii="Aptos" w:hAnsi="Aptos"/>
                <w:b w:val="0"/>
                <w:sz w:val="15"/>
              </w:rPr>
              <w:t>Retention</w:t>
            </w:r>
          </w:p>
        </w:tc>
        <w:tc>
          <w:tcPr>
            <w:tcW w:type="dxa" w:w="7056"/>
            <w:vAlign w:val="center"/>
          </w:tcPr>
          <w:p>
            <w:pPr>
              <w:spacing w:after="0"/>
            </w:pPr>
            <w:r/>
            <w:r>
              <w:rPr>
                <w:rFonts w:ascii="Aptos" w:hAnsi="Aptos"/>
                <w:b w:val="0"/>
                <w:sz w:val="15"/>
              </w:rPr>
              <w:t>Permanent for the supported life of GAISSF v1.0 and successor releases</w:t>
            </w:r>
          </w:p>
        </w:tc>
      </w:tr>
      <w:tr>
        <w:trPr>
          <w:cantSplit/>
        </w:trPr>
        <w:tc>
          <w:tcPr>
            <w:tcW w:type="dxa" w:w="2592"/>
            <w:vAlign w:val="center"/>
            <w:shd w:fill="F3F6F7"/>
          </w:tcPr>
          <w:p>
            <w:pPr>
              <w:spacing w:after="0"/>
            </w:pPr>
            <w:r/>
            <w:r>
              <w:rPr>
                <w:rFonts w:ascii="Aptos" w:hAnsi="Aptos"/>
                <w:b w:val="0"/>
                <w:sz w:val="15"/>
              </w:rPr>
              <w:t>Distribution</w:t>
            </w:r>
          </w:p>
        </w:tc>
        <w:tc>
          <w:tcPr>
            <w:tcW w:type="dxa" w:w="7056"/>
            <w:vAlign w:val="center"/>
            <w:shd w:fill="F3F6F7"/>
          </w:tcPr>
          <w:p>
            <w:pPr>
              <w:spacing w:after="0"/>
            </w:pPr>
            <w:r/>
            <w:r>
              <w:rPr>
                <w:rFonts w:ascii="Aptos" w:hAnsi="Aptos"/>
                <w:b w:val="0"/>
                <w:sz w:val="15"/>
              </w:rPr>
              <w:t>Public release register, with sensitive evidence retained internally</w:t>
            </w:r>
          </w:p>
        </w:tc>
      </w:tr>
    </w:tbl>
    <w:p/>
    <w:p>
      <w:pPr>
        <w:pStyle w:val="Heading1"/>
      </w:pPr>
      <w:r>
        <w:t>Copyright, Licensing and Reliance Notice</w:t>
      </w:r>
    </w:p>
    <w:p>
      <w:r>
        <w:t>© 2026 ODA3 Pvt Ltd. Published market-facing by ODA3 Institute.</w:t>
      </w:r>
    </w:p>
    <w:p>
      <w:r>
        <w:t>GAISSF® is used as a framework mark. Third-party names and marks are used for identification only.</w:t>
      </w:r>
    </w:p>
    <w:p>
      <w:r>
        <w:t>This document records change history and does not constitute legal, audit, certification or regulatory advice.</w:t>
      </w:r>
    </w:p>
    <w:p>
      <w:r>
        <w:t>Where a change-log entry conflicts with the approved normative source, the approved normative source prevails and the discrepancy shall be corrected.</w:t>
      </w:r>
    </w:p>
    <w:p>
      <w:pPr>
        <w:pStyle w:val="Heading1"/>
      </w:pPr>
      <w:r>
        <w:t>1. Purpose and Scope</w:t>
      </w:r>
    </w:p>
    <w:p>
      <w:r>
        <w:t>This document maintains the controlled historical record for GAISSF v1.0. It records the origin of the release baseline, editorial and technical decisions, changes applied before publication, post-generation defects, corrective actions, superseded artifacts, and downstream reconciliation obligations.</w:t>
      </w:r>
    </w:p>
    <w:p>
      <w:r>
        <w:t>The log shall be updated whenever a change affects requirements, control scope, control identifiers, evidence, certification, terminology, source references, implementation schemas, validation tests, public claims or publication status.</w:t>
      </w:r>
    </w:p>
    <w:p>
      <w:pPr>
        <w:pStyle w:val="Heading1"/>
      </w:pPr>
      <w:r>
        <w:t>2. Change Governance Rules</w:t>
      </w:r>
    </w:p>
    <w:p>
      <w:pPr>
        <w:pStyle w:val="ListNumber"/>
      </w:pPr>
      <w:r>
        <w:t>Every material change SHALL have a unique change identifier, decision owner, decision date, rationale, impact classification and verification status.</w:t>
      </w:r>
    </w:p>
    <w:p>
      <w:pPr>
        <w:pStyle w:val="ListNumber"/>
      </w:pPr>
      <w:r>
        <w:t>Changes SHALL distinguish source corrections from downstream-document corrections.</w:t>
      </w:r>
    </w:p>
    <w:p>
      <w:pPr>
        <w:pStyle w:val="ListNumber"/>
      </w:pPr>
      <w:r>
        <w:t>No control SHALL be added, removed, modified or renumbered without explicit approval and impact analysis.</w:t>
      </w:r>
    </w:p>
    <w:p>
      <w:pPr>
        <w:pStyle w:val="ListNumber"/>
      </w:pPr>
      <w:r>
        <w:t>Rejected options and the reason for rejection SHALL be retained where material to later interpretation.</w:t>
      </w:r>
    </w:p>
    <w:p>
      <w:pPr>
        <w:pStyle w:val="ListNumber"/>
      </w:pPr>
      <w:r>
        <w:t>Each entry SHALL state what did not change.</w:t>
      </w:r>
    </w:p>
    <w:p>
      <w:pPr>
        <w:pStyle w:val="ListNumber"/>
      </w:pPr>
      <w:r>
        <w:t>Superseded artifacts SHALL remain identifiable for provenance but SHALL NOT remain in active publication channels.</w:t>
      </w:r>
    </w:p>
    <w:p>
      <w:pPr>
        <w:pStyle w:val="ListNumber"/>
      </w:pPr>
      <w:r>
        <w:t>Open corrective actions SHALL NOT be described as completed until evidence of downstream reconciliation exists.</w:t>
      </w:r>
    </w:p>
    <w:p>
      <w:pPr>
        <w:pStyle w:val="Heading1"/>
      </w:pPr>
      <w:r>
        <w:t>3. Change Classification</w:t>
      </w:r>
    </w:p>
    <w:tbl>
      <w:tblPr>
        <w:tblStyle w:val="TableGrid"/>
        <w:tblW w:type="auto" w:w="0"/>
        <w:jc w:val="center"/>
        <w:tblLook w:firstColumn="1" w:firstRow="1" w:lastColumn="0" w:lastRow="0" w:noHBand="0" w:noVBand="1" w:val="04A0"/>
      </w:tblPr>
      <w:tblGrid>
        <w:gridCol w:w="3389"/>
        <w:gridCol w:w="3389"/>
        <w:gridCol w:w="3389"/>
      </w:tblGrid>
      <w:tr>
        <w:trPr>
          <w:tblHeader w:val="true"/>
          <w:cantSplit/>
        </w:trPr>
        <w:tc>
          <w:tcPr>
            <w:tcW w:type="dxa" w:w="1872"/>
            <w:vAlign w:val="center"/>
            <w:shd w:fill="17324D"/>
          </w:tcPr>
          <w:p>
            <w:pPr>
              <w:spacing w:after="0"/>
            </w:pPr>
            <w:r/>
            <w:r>
              <w:rPr>
                <w:rFonts w:ascii="Aptos" w:hAnsi="Aptos"/>
                <w:b/>
                <w:color w:val="FFFFFF"/>
                <w:sz w:val="16"/>
              </w:rPr>
              <w:t>Class</w:t>
            </w:r>
          </w:p>
        </w:tc>
        <w:tc>
          <w:tcPr>
            <w:tcW w:type="dxa" w:w="4896"/>
            <w:vAlign w:val="center"/>
            <w:shd w:fill="17324D"/>
          </w:tcPr>
          <w:p>
            <w:pPr>
              <w:spacing w:after="0"/>
            </w:pPr>
            <w:r/>
            <w:r>
              <w:rPr>
                <w:rFonts w:ascii="Aptos" w:hAnsi="Aptos"/>
                <w:b/>
                <w:color w:val="FFFFFF"/>
                <w:sz w:val="16"/>
              </w:rPr>
              <w:t>Definition</w:t>
            </w:r>
          </w:p>
        </w:tc>
        <w:tc>
          <w:tcPr>
            <w:tcW w:type="dxa" w:w="2592"/>
            <w:vAlign w:val="center"/>
            <w:shd w:fill="17324D"/>
          </w:tcPr>
          <w:p>
            <w:pPr>
              <w:spacing w:after="0"/>
            </w:pPr>
            <w:r/>
            <w:r>
              <w:rPr>
                <w:rFonts w:ascii="Aptos" w:hAnsi="Aptos"/>
                <w:b/>
                <w:color w:val="FFFFFF"/>
                <w:sz w:val="16"/>
              </w:rPr>
              <w:t>Typical version effect</w:t>
            </w:r>
          </w:p>
        </w:tc>
      </w:tr>
      <w:tr>
        <w:trPr>
          <w:cantSplit/>
        </w:trPr>
        <w:tc>
          <w:tcPr>
            <w:tcW w:type="dxa" w:w="1872"/>
            <w:vAlign w:val="center"/>
          </w:tcPr>
          <w:p>
            <w:pPr>
              <w:spacing w:after="0"/>
            </w:pPr>
            <w:r/>
            <w:r>
              <w:rPr>
                <w:rFonts w:ascii="Aptos" w:hAnsi="Aptos"/>
                <w:b w:val="0"/>
                <w:sz w:val="15"/>
              </w:rPr>
              <w:t>Normative breaking</w:t>
            </w:r>
          </w:p>
        </w:tc>
        <w:tc>
          <w:tcPr>
            <w:tcW w:type="dxa" w:w="4896"/>
            <w:vAlign w:val="center"/>
          </w:tcPr>
          <w:p>
            <w:pPr>
              <w:spacing w:after="0"/>
            </w:pPr>
            <w:r/>
            <w:r>
              <w:rPr>
                <w:rFonts w:ascii="Aptos" w:hAnsi="Aptos"/>
                <w:b w:val="0"/>
                <w:sz w:val="15"/>
              </w:rPr>
              <w:t>Changes an obligation, scope, control, evidence or certification outcome</w:t>
            </w:r>
          </w:p>
        </w:tc>
        <w:tc>
          <w:tcPr>
            <w:tcW w:type="dxa" w:w="2592"/>
            <w:vAlign w:val="center"/>
          </w:tcPr>
          <w:p>
            <w:pPr>
              <w:spacing w:after="0"/>
            </w:pPr>
            <w:r/>
            <w:r>
              <w:rPr>
                <w:rFonts w:ascii="Aptos" w:hAnsi="Aptos"/>
                <w:b w:val="0"/>
                <w:sz w:val="15"/>
              </w:rPr>
              <w:t>Major release unless emergency correction</w:t>
            </w:r>
          </w:p>
        </w:tc>
      </w:tr>
      <w:tr>
        <w:trPr>
          <w:cantSplit/>
        </w:trPr>
        <w:tc>
          <w:tcPr>
            <w:tcW w:type="dxa" w:w="1872"/>
            <w:vAlign w:val="center"/>
            <w:shd w:fill="F3F6F7"/>
          </w:tcPr>
          <w:p>
            <w:pPr>
              <w:spacing w:after="0"/>
            </w:pPr>
            <w:r/>
            <w:r>
              <w:rPr>
                <w:rFonts w:ascii="Aptos" w:hAnsi="Aptos"/>
                <w:b w:val="0"/>
                <w:sz w:val="15"/>
              </w:rPr>
              <w:t>Normative compatible</w:t>
            </w:r>
          </w:p>
        </w:tc>
        <w:tc>
          <w:tcPr>
            <w:tcW w:type="dxa" w:w="4896"/>
            <w:vAlign w:val="center"/>
            <w:shd w:fill="F3F6F7"/>
          </w:tcPr>
          <w:p>
            <w:pPr>
              <w:spacing w:after="0"/>
            </w:pPr>
            <w:r/>
            <w:r>
              <w:rPr>
                <w:rFonts w:ascii="Aptos" w:hAnsi="Aptos"/>
                <w:b w:val="0"/>
                <w:sz w:val="15"/>
              </w:rPr>
              <w:t>Clarifies or adds controlled detail without invalidating conforming implementations</w:t>
            </w:r>
          </w:p>
        </w:tc>
        <w:tc>
          <w:tcPr>
            <w:tcW w:type="dxa" w:w="2592"/>
            <w:vAlign w:val="center"/>
            <w:shd w:fill="F3F6F7"/>
          </w:tcPr>
          <w:p>
            <w:pPr>
              <w:spacing w:after="0"/>
            </w:pPr>
            <w:r/>
            <w:r>
              <w:rPr>
                <w:rFonts w:ascii="Aptos" w:hAnsi="Aptos"/>
                <w:b w:val="0"/>
                <w:sz w:val="15"/>
              </w:rPr>
              <w:t>Minor or patch after impact review</w:t>
            </w:r>
          </w:p>
        </w:tc>
      </w:tr>
      <w:tr>
        <w:trPr>
          <w:cantSplit/>
        </w:trPr>
        <w:tc>
          <w:tcPr>
            <w:tcW w:type="dxa" w:w="1872"/>
            <w:vAlign w:val="center"/>
          </w:tcPr>
          <w:p>
            <w:pPr>
              <w:spacing w:after="0"/>
            </w:pPr>
            <w:r/>
            <w:r>
              <w:rPr>
                <w:rFonts w:ascii="Aptos" w:hAnsi="Aptos"/>
                <w:b w:val="0"/>
                <w:sz w:val="15"/>
              </w:rPr>
              <w:t>Editorial</w:t>
            </w:r>
          </w:p>
        </w:tc>
        <w:tc>
          <w:tcPr>
            <w:tcW w:type="dxa" w:w="4896"/>
            <w:vAlign w:val="center"/>
          </w:tcPr>
          <w:p>
            <w:pPr>
              <w:spacing w:after="0"/>
            </w:pPr>
            <w:r/>
            <w:r>
              <w:rPr>
                <w:rFonts w:ascii="Aptos" w:hAnsi="Aptos"/>
                <w:b w:val="0"/>
                <w:sz w:val="15"/>
              </w:rPr>
              <w:t>Corrects presentation, references or wording without semantic change</w:t>
            </w:r>
          </w:p>
        </w:tc>
        <w:tc>
          <w:tcPr>
            <w:tcW w:type="dxa" w:w="2592"/>
            <w:vAlign w:val="center"/>
          </w:tcPr>
          <w:p>
            <w:pPr>
              <w:spacing w:after="0"/>
            </w:pPr>
            <w:r/>
            <w:r>
              <w:rPr>
                <w:rFonts w:ascii="Aptos" w:hAnsi="Aptos"/>
                <w:b w:val="0"/>
                <w:sz w:val="15"/>
              </w:rPr>
              <w:t>Patch or pre-publication correction</w:t>
            </w:r>
          </w:p>
        </w:tc>
      </w:tr>
      <w:tr>
        <w:trPr>
          <w:cantSplit/>
        </w:trPr>
        <w:tc>
          <w:tcPr>
            <w:tcW w:type="dxa" w:w="1872"/>
            <w:vAlign w:val="center"/>
            <w:shd w:fill="F3F6F7"/>
          </w:tcPr>
          <w:p>
            <w:pPr>
              <w:spacing w:after="0"/>
            </w:pPr>
            <w:r/>
            <w:r>
              <w:rPr>
                <w:rFonts w:ascii="Aptos" w:hAnsi="Aptos"/>
                <w:b w:val="0"/>
                <w:sz w:val="15"/>
              </w:rPr>
              <w:t>Corrective</w:t>
            </w:r>
          </w:p>
        </w:tc>
        <w:tc>
          <w:tcPr>
            <w:tcW w:type="dxa" w:w="4896"/>
            <w:vAlign w:val="center"/>
            <w:shd w:fill="F3F6F7"/>
          </w:tcPr>
          <w:p>
            <w:pPr>
              <w:spacing w:after="0"/>
            </w:pPr>
            <w:r/>
            <w:r>
              <w:rPr>
                <w:rFonts w:ascii="Aptos" w:hAnsi="Aptos"/>
                <w:b w:val="0"/>
                <w:sz w:val="15"/>
              </w:rPr>
              <w:t>Repairs an error that misrepresented the approved source</w:t>
            </w:r>
          </w:p>
        </w:tc>
        <w:tc>
          <w:tcPr>
            <w:tcW w:type="dxa" w:w="2592"/>
            <w:vAlign w:val="center"/>
            <w:shd w:fill="F3F6F7"/>
          </w:tcPr>
          <w:p>
            <w:pPr>
              <w:spacing w:after="0"/>
            </w:pPr>
            <w:r/>
            <w:r>
              <w:rPr>
                <w:rFonts w:ascii="Aptos" w:hAnsi="Aptos"/>
                <w:b w:val="0"/>
                <w:sz w:val="15"/>
              </w:rPr>
              <w:t>Patch, reissue or supersession</w:t>
            </w:r>
          </w:p>
        </w:tc>
      </w:tr>
      <w:tr>
        <w:trPr>
          <w:cantSplit/>
        </w:trPr>
        <w:tc>
          <w:tcPr>
            <w:tcW w:type="dxa" w:w="1872"/>
            <w:vAlign w:val="center"/>
          </w:tcPr>
          <w:p>
            <w:pPr>
              <w:spacing w:after="0"/>
            </w:pPr>
            <w:r/>
            <w:r>
              <w:rPr>
                <w:rFonts w:ascii="Aptos" w:hAnsi="Aptos"/>
                <w:b w:val="0"/>
                <w:sz w:val="15"/>
              </w:rPr>
              <w:t>Administrative</w:t>
            </w:r>
          </w:p>
        </w:tc>
        <w:tc>
          <w:tcPr>
            <w:tcW w:type="dxa" w:w="4896"/>
            <w:vAlign w:val="center"/>
          </w:tcPr>
          <w:p>
            <w:pPr>
              <w:spacing w:after="0"/>
            </w:pPr>
            <w:r/>
            <w:r>
              <w:rPr>
                <w:rFonts w:ascii="Aptos" w:hAnsi="Aptos"/>
                <w:b w:val="0"/>
                <w:sz w:val="15"/>
              </w:rPr>
              <w:t>Changes ownership, contact, status or publication metadata</w:t>
            </w:r>
          </w:p>
        </w:tc>
        <w:tc>
          <w:tcPr>
            <w:tcW w:type="dxa" w:w="2592"/>
            <w:vAlign w:val="center"/>
          </w:tcPr>
          <w:p>
            <w:pPr>
              <w:spacing w:after="0"/>
            </w:pPr>
            <w:r/>
            <w:r>
              <w:rPr>
                <w:rFonts w:ascii="Aptos" w:hAnsi="Aptos"/>
                <w:b w:val="0"/>
                <w:sz w:val="15"/>
              </w:rPr>
              <w:t>Patch or no framework version change</w:t>
            </w:r>
          </w:p>
        </w:tc>
      </w:tr>
      <w:tr>
        <w:trPr>
          <w:cantSplit/>
        </w:trPr>
        <w:tc>
          <w:tcPr>
            <w:tcW w:type="dxa" w:w="1872"/>
            <w:vAlign w:val="center"/>
            <w:shd w:fill="F3F6F7"/>
          </w:tcPr>
          <w:p>
            <w:pPr>
              <w:spacing w:after="0"/>
            </w:pPr>
            <w:r/>
            <w:r>
              <w:rPr>
                <w:rFonts w:ascii="Aptos" w:hAnsi="Aptos"/>
                <w:b w:val="0"/>
                <w:sz w:val="15"/>
              </w:rPr>
              <w:t>Deprecation</w:t>
            </w:r>
          </w:p>
        </w:tc>
        <w:tc>
          <w:tcPr>
            <w:tcW w:type="dxa" w:w="4896"/>
            <w:vAlign w:val="center"/>
            <w:shd w:fill="F3F6F7"/>
          </w:tcPr>
          <w:p>
            <w:pPr>
              <w:spacing w:after="0"/>
            </w:pPr>
            <w:r/>
            <w:r>
              <w:rPr>
                <w:rFonts w:ascii="Aptos" w:hAnsi="Aptos"/>
                <w:b w:val="0"/>
                <w:sz w:val="15"/>
              </w:rPr>
              <w:t>Announces future removal or replacement</w:t>
            </w:r>
          </w:p>
        </w:tc>
        <w:tc>
          <w:tcPr>
            <w:tcW w:type="dxa" w:w="2592"/>
            <w:vAlign w:val="center"/>
            <w:shd w:fill="F3F6F7"/>
          </w:tcPr>
          <w:p>
            <w:pPr>
              <w:spacing w:after="0"/>
            </w:pPr>
            <w:r/>
            <w:r>
              <w:rPr>
                <w:rFonts w:ascii="Aptos" w:hAnsi="Aptos"/>
                <w:b w:val="0"/>
                <w:sz w:val="15"/>
              </w:rPr>
              <w:t>Minor or major release planning</w:t>
            </w:r>
          </w:p>
        </w:tc>
      </w:tr>
    </w:tbl>
    <w:p/>
    <w:p>
      <w:pPr>
        <w:pStyle w:val="Heading1"/>
      </w:pPr>
      <w:r>
        <w:t>4. Authoritative Baseline Decisions</w:t>
      </w:r>
    </w:p>
    <w:tbl>
      <w:tblPr>
        <w:tblStyle w:val="TableGrid"/>
        <w:tblW w:type="auto" w:w="0"/>
        <w:jc w:val="center"/>
        <w:tblLook w:firstColumn="1" w:firstRow="1" w:lastColumn="0" w:lastRow="0" w:noHBand="0" w:noVBand="1" w:val="04A0"/>
      </w:tblPr>
      <w:tblGrid>
        <w:gridCol w:w="2033"/>
        <w:gridCol w:w="2033"/>
        <w:gridCol w:w="2033"/>
        <w:gridCol w:w="2033"/>
        <w:gridCol w:w="2033"/>
      </w:tblGrid>
      <w:tr>
        <w:trPr>
          <w:tblHeader w:val="true"/>
          <w:cantSplit/>
        </w:trPr>
        <w:tc>
          <w:tcPr>
            <w:tcW w:type="dxa" w:w="1224"/>
            <w:vAlign w:val="center"/>
            <w:shd w:fill="17324D"/>
          </w:tcPr>
          <w:p>
            <w:pPr>
              <w:spacing w:after="0"/>
            </w:pPr>
            <w:r/>
            <w:r>
              <w:rPr>
                <w:rFonts w:ascii="Aptos" w:hAnsi="Aptos"/>
                <w:b/>
                <w:color w:val="FFFFFF"/>
                <w:sz w:val="16"/>
              </w:rPr>
              <w:t>Decision ID</w:t>
            </w:r>
          </w:p>
        </w:tc>
        <w:tc>
          <w:tcPr>
            <w:tcW w:type="dxa" w:w="1512"/>
            <w:vAlign w:val="center"/>
            <w:shd w:fill="17324D"/>
          </w:tcPr>
          <w:p>
            <w:pPr>
              <w:spacing w:after="0"/>
            </w:pPr>
            <w:r/>
            <w:r>
              <w:rPr>
                <w:rFonts w:ascii="Aptos" w:hAnsi="Aptos"/>
                <w:b/>
                <w:color w:val="FFFFFF"/>
                <w:sz w:val="16"/>
              </w:rPr>
              <w:t>Date</w:t>
            </w:r>
          </w:p>
        </w:tc>
        <w:tc>
          <w:tcPr>
            <w:tcW w:type="dxa" w:w="3240"/>
            <w:vAlign w:val="center"/>
            <w:shd w:fill="17324D"/>
          </w:tcPr>
          <w:p>
            <w:pPr>
              <w:spacing w:after="0"/>
            </w:pPr>
            <w:r/>
            <w:r>
              <w:rPr>
                <w:rFonts w:ascii="Aptos" w:hAnsi="Aptos"/>
                <w:b/>
                <w:color w:val="FFFFFF"/>
                <w:sz w:val="16"/>
              </w:rPr>
              <w:t>Decision</w:t>
            </w:r>
          </w:p>
        </w:tc>
        <w:tc>
          <w:tcPr>
            <w:tcW w:type="dxa" w:w="3744"/>
            <w:vAlign w:val="center"/>
            <w:shd w:fill="17324D"/>
          </w:tcPr>
          <w:p>
            <w:pPr>
              <w:spacing w:after="0"/>
            </w:pPr>
            <w:r/>
            <w:r>
              <w:rPr>
                <w:rFonts w:ascii="Aptos" w:hAnsi="Aptos"/>
                <w:b/>
                <w:color w:val="FFFFFF"/>
                <w:sz w:val="16"/>
              </w:rPr>
              <w:t>Rationale</w:t>
            </w:r>
          </w:p>
        </w:tc>
        <w:tc>
          <w:tcPr>
            <w:tcW w:type="dxa" w:w="1656"/>
            <w:vAlign w:val="center"/>
            <w:shd w:fill="17324D"/>
          </w:tcPr>
          <w:p>
            <w:pPr>
              <w:spacing w:after="0"/>
            </w:pPr>
            <w:r/>
            <w:r>
              <w:rPr>
                <w:rFonts w:ascii="Aptos" w:hAnsi="Aptos"/>
                <w:b/>
                <w:color w:val="FFFFFF"/>
                <w:sz w:val="16"/>
              </w:rPr>
              <w:t>Status</w:t>
            </w:r>
          </w:p>
        </w:tc>
      </w:tr>
      <w:tr>
        <w:trPr>
          <w:cantSplit/>
        </w:trPr>
        <w:tc>
          <w:tcPr>
            <w:tcW w:type="dxa" w:w="1224"/>
            <w:vAlign w:val="center"/>
          </w:tcPr>
          <w:p>
            <w:pPr>
              <w:spacing w:after="0"/>
            </w:pPr>
            <w:r/>
            <w:r>
              <w:rPr>
                <w:rFonts w:ascii="Aptos" w:hAnsi="Aptos"/>
                <w:b w:val="0"/>
                <w:sz w:val="15"/>
              </w:rPr>
              <w:t>DEC-001</w:t>
            </w:r>
          </w:p>
        </w:tc>
        <w:tc>
          <w:tcPr>
            <w:tcW w:type="dxa" w:w="1512"/>
            <w:vAlign w:val="center"/>
          </w:tcPr>
          <w:p>
            <w:pPr>
              <w:spacing w:after="0"/>
            </w:pPr>
            <w:r/>
            <w:r>
              <w:rPr>
                <w:rFonts w:ascii="Aptos" w:hAnsi="Aptos"/>
                <w:b w:val="0"/>
                <w:sz w:val="15"/>
              </w:rPr>
              <w:t>01 May 2026</w:t>
            </w:r>
          </w:p>
        </w:tc>
        <w:tc>
          <w:tcPr>
            <w:tcW w:type="dxa" w:w="3240"/>
            <w:vAlign w:val="center"/>
          </w:tcPr>
          <w:p>
            <w:pPr>
              <w:spacing w:after="0"/>
            </w:pPr>
            <w:r>
              <w:t>Confirm canonical D1-D8 Foundational scope and conditional D9 applicability</w:t>
            </w:r>
            <w:r>
              <w:rPr>
                <w:rFonts w:ascii="Aptos" w:hAnsi="Aptos"/>
                <w:b w:val="0"/>
                <w:sz w:val="15"/>
              </w:rPr>
            </w:r>
          </w:p>
        </w:tc>
        <w:tc>
          <w:tcPr>
            <w:tcW w:type="dxa" w:w="3744"/>
            <w:vAlign w:val="center"/>
          </w:tcPr>
          <w:p>
            <w:pPr>
              <w:spacing w:after="0"/>
            </w:pPr>
            <w:r>
              <w:t>Replace unsupported “26-core” claim with the 52 canonical controls in D1-D8; retain a 9-control SMB Quick-Start onboarding pathway and apply D9 when physical AI is in scope</w:t>
            </w:r>
            <w:r>
              <w:rPr>
                <w:rFonts w:ascii="Aptos" w:hAnsi="Aptos"/>
                <w:b w:val="0"/>
                <w:sz w:val="15"/>
              </w:rPr>
            </w:r>
          </w:p>
        </w:tc>
        <w:tc>
          <w:tcPr>
            <w:tcW w:type="dxa" w:w="1656"/>
            <w:vAlign w:val="center"/>
          </w:tcPr>
          <w:p>
            <w:pPr>
              <w:spacing w:after="0"/>
            </w:pPr>
            <w:r/>
            <w:r>
              <w:rPr>
                <w:rFonts w:ascii="Aptos" w:hAnsi="Aptos"/>
                <w:b w:val="0"/>
                <w:sz w:val="15"/>
              </w:rPr>
              <w:t>Approved and applied</w:t>
            </w:r>
          </w:p>
        </w:tc>
      </w:tr>
      <w:tr>
        <w:trPr>
          <w:cantSplit/>
        </w:trPr>
        <w:tc>
          <w:tcPr>
            <w:tcW w:type="dxa" w:w="1224"/>
            <w:vAlign w:val="center"/>
            <w:shd w:fill="F3F6F7"/>
          </w:tcPr>
          <w:p>
            <w:pPr>
              <w:spacing w:after="0"/>
            </w:pPr>
            <w:r/>
            <w:r>
              <w:rPr>
                <w:rFonts w:ascii="Aptos" w:hAnsi="Aptos"/>
                <w:b w:val="0"/>
                <w:sz w:val="15"/>
              </w:rPr>
              <w:t>DEC-002</w:t>
            </w:r>
          </w:p>
        </w:tc>
        <w:tc>
          <w:tcPr>
            <w:tcW w:type="dxa" w:w="1512"/>
            <w:vAlign w:val="center"/>
            <w:shd w:fill="F3F6F7"/>
          </w:tcPr>
          <w:p>
            <w:pPr>
              <w:spacing w:after="0"/>
            </w:pPr>
            <w:r/>
            <w:r>
              <w:rPr>
                <w:rFonts w:ascii="Aptos" w:hAnsi="Aptos"/>
                <w:b w:val="0"/>
                <w:sz w:val="15"/>
              </w:rPr>
              <w:t>01 May 2026</w:t>
            </w:r>
          </w:p>
        </w:tc>
        <w:tc>
          <w:tcPr>
            <w:tcW w:type="dxa" w:w="3240"/>
            <w:vAlign w:val="center"/>
            <w:shd w:fill="F3F6F7"/>
          </w:tcPr>
          <w:p>
            <w:pPr>
              <w:spacing w:after="0"/>
            </w:pPr>
            <w:r/>
            <w:r>
              <w:rPr>
                <w:rFonts w:ascii="Aptos" w:hAnsi="Aptos"/>
                <w:b w:val="0"/>
                <w:sz w:val="15"/>
              </w:rPr>
              <w:t>Treat the edits as pre-publication v1.0 changes</w:t>
            </w:r>
          </w:p>
        </w:tc>
        <w:tc>
          <w:tcPr>
            <w:tcW w:type="dxa" w:w="3744"/>
            <w:vAlign w:val="center"/>
            <w:shd w:fill="F3F6F7"/>
          </w:tcPr>
          <w:p>
            <w:pPr>
              <w:spacing w:after="0"/>
            </w:pPr>
            <w:r/>
            <w:r>
              <w:rPr>
                <w:rFonts w:ascii="Aptos" w:hAnsi="Aptos"/>
                <w:b w:val="0"/>
                <w:sz w:val="15"/>
              </w:rPr>
              <w:t>The framework had not been externally published; no version bump was necessary</w:t>
            </w:r>
          </w:p>
        </w:tc>
        <w:tc>
          <w:tcPr>
            <w:tcW w:type="dxa" w:w="1656"/>
            <w:vAlign w:val="center"/>
            <w:shd w:fill="F3F6F7"/>
          </w:tcPr>
          <w:p>
            <w:pPr>
              <w:spacing w:after="0"/>
            </w:pPr>
            <w:r/>
            <w:r>
              <w:rPr>
                <w:rFonts w:ascii="Aptos" w:hAnsi="Aptos"/>
                <w:b w:val="0"/>
                <w:sz w:val="15"/>
              </w:rPr>
              <w:t>Approved</w:t>
            </w:r>
          </w:p>
        </w:tc>
      </w:tr>
      <w:tr>
        <w:trPr>
          <w:cantSplit/>
        </w:trPr>
        <w:tc>
          <w:tcPr>
            <w:tcW w:type="dxa" w:w="1224"/>
            <w:vAlign w:val="center"/>
          </w:tcPr>
          <w:p>
            <w:pPr>
              <w:spacing w:after="0"/>
            </w:pPr>
            <w:r/>
            <w:r>
              <w:rPr>
                <w:rFonts w:ascii="Aptos" w:hAnsi="Aptos"/>
                <w:b w:val="0"/>
                <w:sz w:val="15"/>
              </w:rPr>
              <w:t>DEC-003</w:t>
            </w:r>
          </w:p>
        </w:tc>
        <w:tc>
          <w:tcPr>
            <w:tcW w:type="dxa" w:w="1512"/>
            <w:vAlign w:val="center"/>
          </w:tcPr>
          <w:p>
            <w:pPr>
              <w:spacing w:after="0"/>
            </w:pPr>
            <w:r/>
            <w:r>
              <w:rPr>
                <w:rFonts w:ascii="Aptos" w:hAnsi="Aptos"/>
                <w:b w:val="0"/>
                <w:sz w:val="15"/>
              </w:rPr>
              <w:t>01 May 2026</w:t>
            </w:r>
          </w:p>
        </w:tc>
        <w:tc>
          <w:tcPr>
            <w:tcW w:type="dxa" w:w="3240"/>
            <w:vAlign w:val="center"/>
          </w:tcPr>
          <w:p>
            <w:pPr>
              <w:spacing w:after="0"/>
            </w:pPr>
            <w:r/>
            <w:r>
              <w:rPr>
                <w:rFonts w:ascii="Aptos" w:hAnsi="Aptos"/>
                <w:b w:val="0"/>
                <w:sz w:val="15"/>
              </w:rPr>
              <w:t>Assign ODA3-2026-06-MTH-GOV-034 to the editorial decision record</w:t>
            </w:r>
          </w:p>
        </w:tc>
        <w:tc>
          <w:tcPr>
            <w:tcW w:type="dxa" w:w="3744"/>
            <w:vAlign w:val="center"/>
          </w:tcPr>
          <w:p>
            <w:pPr>
              <w:spacing w:after="0"/>
            </w:pPr>
            <w:r/>
            <w:r>
              <w:rPr>
                <w:rFonts w:ascii="Aptos" w:hAnsi="Aptos"/>
                <w:b w:val="0"/>
                <w:sz w:val="15"/>
              </w:rPr>
              <w:t>Preserve auditable decision provenance</w:t>
            </w:r>
          </w:p>
        </w:tc>
        <w:tc>
          <w:tcPr>
            <w:tcW w:type="dxa" w:w="1656"/>
            <w:vAlign w:val="center"/>
          </w:tcPr>
          <w:p>
            <w:pPr>
              <w:spacing w:after="0"/>
            </w:pPr>
            <w:r/>
            <w:r>
              <w:rPr>
                <w:rFonts w:ascii="Aptos" w:hAnsi="Aptos"/>
                <w:b w:val="0"/>
                <w:sz w:val="15"/>
              </w:rPr>
              <w:t>Approved</w:t>
            </w:r>
          </w:p>
        </w:tc>
      </w:tr>
      <w:tr>
        <w:trPr>
          <w:cantSplit/>
        </w:trPr>
        <w:tc>
          <w:tcPr>
            <w:tcW w:type="dxa" w:w="1224"/>
            <w:vAlign w:val="center"/>
            <w:shd w:fill="F3F6F7"/>
          </w:tcPr>
          <w:p>
            <w:pPr>
              <w:spacing w:after="0"/>
            </w:pPr>
            <w:r/>
            <w:r>
              <w:rPr>
                <w:rFonts w:ascii="Aptos" w:hAnsi="Aptos"/>
                <w:b w:val="0"/>
                <w:sz w:val="15"/>
              </w:rPr>
              <w:t>DEC-004</w:t>
            </w:r>
          </w:p>
        </w:tc>
        <w:tc>
          <w:tcPr>
            <w:tcW w:type="dxa" w:w="1512"/>
            <w:vAlign w:val="center"/>
            <w:shd w:fill="F3F6F7"/>
          </w:tcPr>
          <w:p>
            <w:pPr>
              <w:spacing w:after="0"/>
            </w:pPr>
            <w:r/>
            <w:r>
              <w:rPr>
                <w:rFonts w:ascii="Aptos" w:hAnsi="Aptos"/>
                <w:b w:val="0"/>
                <w:sz w:val="15"/>
              </w:rPr>
              <w:t>01 May 2026</w:t>
            </w:r>
          </w:p>
        </w:tc>
        <w:tc>
          <w:tcPr>
            <w:tcW w:type="dxa" w:w="3240"/>
            <w:vAlign w:val="center"/>
            <w:shd w:fill="F3F6F7"/>
          </w:tcPr>
          <w:p>
            <w:pPr>
              <w:spacing w:after="0"/>
            </w:pPr>
            <w:r/>
            <w:r>
              <w:rPr>
                <w:rFonts w:ascii="Aptos" w:hAnsi="Aptos"/>
                <w:b w:val="0"/>
                <w:sz w:val="15"/>
              </w:rPr>
              <w:t>Correct Appendix Q description</w:t>
            </w:r>
          </w:p>
        </w:tc>
        <w:tc>
          <w:tcPr>
            <w:tcW w:type="dxa" w:w="3744"/>
            <w:vAlign w:val="center"/>
            <w:shd w:fill="F3F6F7"/>
          </w:tcPr>
          <w:p>
            <w:pPr>
              <w:spacing w:after="0"/>
            </w:pPr>
            <w:r/>
            <w:r>
              <w:rPr>
                <w:rFonts w:ascii="Aptos" w:hAnsi="Aptos"/>
                <w:b w:val="0"/>
                <w:sz w:val="15"/>
              </w:rPr>
              <w:t>Actual content is six written sub-annexes plus a 13-sector matrix, not 14 complete annexes</w:t>
            </w:r>
          </w:p>
        </w:tc>
        <w:tc>
          <w:tcPr>
            <w:tcW w:type="dxa" w:w="1656"/>
            <w:vAlign w:val="center"/>
            <w:shd w:fill="F3F6F7"/>
          </w:tcPr>
          <w:p>
            <w:pPr>
              <w:spacing w:after="0"/>
            </w:pPr>
            <w:r/>
            <w:r>
              <w:rPr>
                <w:rFonts w:ascii="Aptos" w:hAnsi="Aptos"/>
                <w:b w:val="0"/>
                <w:sz w:val="15"/>
              </w:rPr>
              <w:t>Approved and applied</w:t>
            </w:r>
          </w:p>
        </w:tc>
      </w:tr>
      <w:tr>
        <w:trPr>
          <w:cantSplit/>
        </w:trPr>
        <w:tc>
          <w:tcPr>
            <w:tcW w:type="dxa" w:w="1224"/>
            <w:vAlign w:val="center"/>
          </w:tcPr>
          <w:p>
            <w:pPr>
              <w:spacing w:after="0"/>
            </w:pPr>
            <w:r/>
            <w:r>
              <w:rPr>
                <w:rFonts w:ascii="Aptos" w:hAnsi="Aptos"/>
                <w:b w:val="0"/>
                <w:sz w:val="15"/>
              </w:rPr>
              <w:t>DEC-005</w:t>
            </w:r>
          </w:p>
        </w:tc>
        <w:tc>
          <w:tcPr>
            <w:tcW w:type="dxa" w:w="1512"/>
            <w:vAlign w:val="center"/>
          </w:tcPr>
          <w:p>
            <w:pPr>
              <w:spacing w:after="0"/>
            </w:pPr>
            <w:r>
              <w:t>1 July 2026</w:t>
            </w:r>
            <w:r>
              <w:rPr>
                <w:rFonts w:ascii="Aptos" w:hAnsi="Aptos"/>
                <w:b w:val="0"/>
                <w:sz w:val="15"/>
              </w:rPr>
            </w:r>
          </w:p>
        </w:tc>
        <w:tc>
          <w:tcPr>
            <w:tcW w:type="dxa" w:w="3240"/>
            <w:vAlign w:val="center"/>
          </w:tcPr>
          <w:p>
            <w:pPr>
              <w:spacing w:after="0"/>
            </w:pPr>
            <w:r/>
            <w:r>
              <w:rPr>
                <w:rFonts w:ascii="Aptos" w:hAnsi="Aptos"/>
                <w:b w:val="0"/>
                <w:sz w:val="15"/>
              </w:rPr>
              <w:t>Preserve 59 controls unchanged</w:t>
            </w:r>
          </w:p>
        </w:tc>
        <w:tc>
          <w:tcPr>
            <w:tcW w:type="dxa" w:w="3744"/>
            <w:vAlign w:val="center"/>
          </w:tcPr>
          <w:p>
            <w:pPr>
              <w:spacing w:after="0"/>
            </w:pPr>
            <w:r/>
            <w:r>
              <w:rPr>
                <w:rFonts w:ascii="Aptos" w:hAnsi="Aptos"/>
                <w:b w:val="0"/>
                <w:sz w:val="15"/>
              </w:rPr>
              <w:t>The control specifications were not changed by the Foundational-scope reconciliation</w:t>
            </w:r>
          </w:p>
        </w:tc>
        <w:tc>
          <w:tcPr>
            <w:tcW w:type="dxa" w:w="1656"/>
            <w:vAlign w:val="center"/>
          </w:tcPr>
          <w:p>
            <w:pPr>
              <w:spacing w:after="0"/>
            </w:pPr>
            <w:r/>
            <w:r>
              <w:rPr>
                <w:rFonts w:ascii="Aptos" w:hAnsi="Aptos"/>
                <w:b w:val="0"/>
                <w:sz w:val="15"/>
              </w:rPr>
              <w:t>Confirmed</w:t>
            </w:r>
          </w:p>
        </w:tc>
      </w:tr>
    </w:tbl>
    <w:p/>
    <w:p>
      <w:pPr>
        <w:pStyle w:val="Heading1"/>
      </w:pPr>
      <w:r>
        <w:t>5. Foundational Scope Provenance</w:t>
      </w:r>
    </w:p>
    <w:p>
      <w:r>
        <w:t>The authoritative editorial decision record establishes the following v1.0 structure:</w:t>
      </w:r>
    </w:p>
    <w:p>
      <w:pPr>
        <w:pStyle w:val="ListBullet"/>
      </w:pPr>
      <w:r>
        <w:t>59 total testable controls across nine domains.</w:t>
      </w:r>
    </w:p>
    <w:p>
      <w:pPr>
        <w:pStyle w:val="ListBullet"/>
      </w:pPr>
      <w:r>
        <w:t>52 canonical controls in D1-D8 form the Foundational baseline.</w:t>
      </w:r>
    </w:p>
    <w:p>
      <w:pPr>
        <w:pStyle w:val="ListBullet"/>
      </w:pPr>
      <w:r>
        <w:t>The seven D9 controls are additional to the canonical 52-control D1-D8 baseline and become mandatory whenever physical AI or cyber-physical actuation is within scope.</w:t>
      </w:r>
    </w:p>
    <w:p>
      <w:pPr>
        <w:pStyle w:val="ListBullet"/>
      </w:pPr>
      <w:r>
        <w:t>All seven D9 Physical AI Safety controls remain applicable and mandatory where the assessed scope includes physical AI or cyber-physical actuation.</w:t>
      </w:r>
    </w:p>
    <w:p>
      <w:pPr>
        <w:pStyle w:val="ListBullet"/>
      </w:pPr>
      <w:r>
        <w:t>9-control SMB Quick-Start as an onboarding pathway, not the complete Foundational attestation scope.</w:t>
      </w:r>
    </w:p>
    <w:p>
      <w:pPr>
        <w:pStyle w:val="ListBullet"/>
      </w:pPr>
      <w:r>
        <w:t>Operational scope of all 59 controls.</w:t>
      </w:r>
    </w:p>
    <w:p>
      <w:pPr>
        <w:pStyle w:val="ListBullet"/>
      </w:pPr>
      <w:r>
        <w:t>Optimized scope of all 59 controls plus continuous monitoring.</w:t>
      </w:r>
    </w:p>
    <w:p>
      <w:r>
        <w:rPr>
          <w:b/>
        </w:rPr>
        <w:t>Controlled interpretation: the 52-control Foundational profile is the canonical D1-D8 baseline. D9 is additional and conditionally mandatory; its applicability must be assessed and justified for every scope.</w:t>
      </w:r>
      <w:r/>
    </w:p>
    <w:p>
      <w:pPr>
        <w:pStyle w:val="Heading1"/>
      </w:pPr>
      <w:r>
        <w:t>6. Detailed Historical Change Register</w:t>
      </w:r>
    </w:p>
    <w:tbl>
      <w:tblPr>
        <w:tblStyle w:val="TableGrid"/>
        <w:tblW w:type="auto" w:w="0"/>
        <w:jc w:val="center"/>
        <w:tblLook w:firstColumn="1" w:firstRow="1" w:lastColumn="0" w:lastRow="0" w:noHBand="0" w:noVBand="1" w:val="04A0"/>
      </w:tblPr>
      <w:tblGrid>
        <w:gridCol w:w="1452"/>
        <w:gridCol w:w="1452"/>
        <w:gridCol w:w="1452"/>
        <w:gridCol w:w="1452"/>
        <w:gridCol w:w="1452"/>
        <w:gridCol w:w="1452"/>
        <w:gridCol w:w="1452"/>
      </w:tblGrid>
      <w:tr>
        <w:trPr>
          <w:tblHeader w:val="true"/>
          <w:cantSplit/>
        </w:trPr>
        <w:tc>
          <w:tcPr>
            <w:tcW w:type="dxa" w:w="936"/>
            <w:vAlign w:val="center"/>
            <w:shd w:fill="17324D"/>
          </w:tcPr>
          <w:p>
            <w:pPr>
              <w:spacing w:after="0"/>
            </w:pPr>
            <w:r/>
            <w:r>
              <w:rPr>
                <w:rFonts w:ascii="Aptos" w:hAnsi="Aptos"/>
                <w:b/>
                <w:color w:val="FFFFFF"/>
                <w:sz w:val="16"/>
              </w:rPr>
              <w:t>ID</w:t>
            </w:r>
          </w:p>
        </w:tc>
        <w:tc>
          <w:tcPr>
            <w:tcW w:type="dxa" w:w="1152"/>
            <w:vAlign w:val="center"/>
            <w:shd w:fill="17324D"/>
          </w:tcPr>
          <w:p>
            <w:pPr>
              <w:spacing w:after="0"/>
            </w:pPr>
            <w:r/>
            <w:r>
              <w:rPr>
                <w:rFonts w:ascii="Aptos" w:hAnsi="Aptos"/>
                <w:b/>
                <w:color w:val="FFFFFF"/>
                <w:sz w:val="16"/>
              </w:rPr>
              <w:t>Date</w:t>
            </w:r>
          </w:p>
        </w:tc>
        <w:tc>
          <w:tcPr>
            <w:tcW w:type="dxa" w:w="1800"/>
            <w:vAlign w:val="center"/>
            <w:shd w:fill="17324D"/>
          </w:tcPr>
          <w:p>
            <w:pPr>
              <w:spacing w:after="0"/>
            </w:pPr>
            <w:r/>
            <w:r>
              <w:rPr>
                <w:rFonts w:ascii="Aptos" w:hAnsi="Aptos"/>
                <w:b/>
                <w:color w:val="FFFFFF"/>
                <w:sz w:val="16"/>
              </w:rPr>
              <w:t>Artifact/area</w:t>
            </w:r>
          </w:p>
        </w:tc>
        <w:tc>
          <w:tcPr>
            <w:tcW w:type="dxa" w:w="2952"/>
            <w:vAlign w:val="center"/>
            <w:shd w:fill="17324D"/>
          </w:tcPr>
          <w:p>
            <w:pPr>
              <w:spacing w:after="0"/>
            </w:pPr>
            <w:r/>
            <w:r>
              <w:rPr>
                <w:rFonts w:ascii="Aptos" w:hAnsi="Aptos"/>
                <w:b/>
                <w:color w:val="FFFFFF"/>
                <w:sz w:val="16"/>
              </w:rPr>
              <w:t>Change or event</w:t>
            </w:r>
          </w:p>
        </w:tc>
        <w:tc>
          <w:tcPr>
            <w:tcW w:type="dxa" w:w="2376"/>
            <w:vAlign w:val="center"/>
            <w:shd w:fill="17324D"/>
          </w:tcPr>
          <w:p>
            <w:pPr>
              <w:spacing w:after="0"/>
            </w:pPr>
            <w:r/>
            <w:r>
              <w:rPr>
                <w:rFonts w:ascii="Aptos" w:hAnsi="Aptos"/>
                <w:b/>
                <w:color w:val="FFFFFF"/>
                <w:sz w:val="16"/>
              </w:rPr>
              <w:t>Reason</w:t>
            </w:r>
          </w:p>
        </w:tc>
        <w:tc>
          <w:tcPr>
            <w:tcW w:type="dxa" w:w="2376"/>
            <w:vAlign w:val="center"/>
            <w:shd w:fill="17324D"/>
          </w:tcPr>
          <w:p>
            <w:pPr>
              <w:spacing w:after="0"/>
            </w:pPr>
            <w:r/>
            <w:r>
              <w:rPr>
                <w:rFonts w:ascii="Aptos" w:hAnsi="Aptos"/>
                <w:b/>
                <w:color w:val="FFFFFF"/>
                <w:sz w:val="16"/>
              </w:rPr>
              <w:t>Impact</w:t>
            </w:r>
          </w:p>
        </w:tc>
        <w:tc>
          <w:tcPr>
            <w:tcW w:type="dxa" w:w="1152"/>
            <w:vAlign w:val="center"/>
            <w:shd w:fill="17324D"/>
          </w:tcPr>
          <w:p>
            <w:pPr>
              <w:spacing w:after="0"/>
            </w:pPr>
            <w:r/>
            <w:r>
              <w:rPr>
                <w:rFonts w:ascii="Aptos" w:hAnsi="Aptos"/>
                <w:b/>
                <w:color w:val="FFFFFF"/>
                <w:sz w:val="16"/>
              </w:rPr>
              <w:t>Status</w:t>
            </w:r>
          </w:p>
        </w:tc>
      </w:tr>
      <w:tr>
        <w:trPr>
          <w:cantSplit/>
        </w:trPr>
        <w:tc>
          <w:tcPr>
            <w:tcW w:type="dxa" w:w="936"/>
            <w:vAlign w:val="center"/>
          </w:tcPr>
          <w:p>
            <w:pPr>
              <w:spacing w:after="0"/>
            </w:pPr>
            <w:r/>
            <w:r>
              <w:rPr>
                <w:rFonts w:ascii="Aptos" w:hAnsi="Aptos"/>
                <w:b w:val="0"/>
                <w:sz w:val="15"/>
              </w:rPr>
              <w:t>CHG-001</w:t>
            </w:r>
          </w:p>
        </w:tc>
        <w:tc>
          <w:tcPr>
            <w:tcW w:type="dxa" w:w="1152"/>
            <w:vAlign w:val="center"/>
          </w:tcPr>
          <w:p>
            <w:pPr>
              <w:spacing w:after="0"/>
            </w:pPr>
            <w:r/>
            <w:r>
              <w:rPr>
                <w:rFonts w:ascii="Aptos" w:hAnsi="Aptos"/>
                <w:b w:val="0"/>
                <w:sz w:val="15"/>
              </w:rPr>
              <w:t>Pre-publication</w:t>
            </w:r>
          </w:p>
        </w:tc>
        <w:tc>
          <w:tcPr>
            <w:tcW w:type="dxa" w:w="1800"/>
            <w:vAlign w:val="center"/>
          </w:tcPr>
          <w:p>
            <w:pPr>
              <w:spacing w:after="0"/>
            </w:pPr>
            <w:r/>
            <w:r>
              <w:rPr>
                <w:rFonts w:ascii="Aptos" w:hAnsi="Aptos"/>
                <w:b w:val="0"/>
                <w:sz w:val="15"/>
              </w:rPr>
              <w:t>Executive summary</w:t>
            </w:r>
          </w:p>
        </w:tc>
        <w:tc>
          <w:tcPr>
            <w:tcW w:type="dxa" w:w="2952"/>
            <w:vAlign w:val="center"/>
          </w:tcPr>
          <w:p>
            <w:pPr>
              <w:spacing w:after="0"/>
            </w:pPr>
            <w:r/>
            <w:r>
              <w:rPr>
                <w:rFonts w:ascii="Aptos" w:hAnsi="Aptos"/>
                <w:b w:val="0"/>
                <w:sz w:val="15"/>
              </w:rPr>
              <w:t>“26-core control pathway” introduced during drafting</w:t>
            </w:r>
          </w:p>
        </w:tc>
        <w:tc>
          <w:tcPr>
            <w:tcW w:type="dxa" w:w="2376"/>
            <w:vAlign w:val="center"/>
          </w:tcPr>
          <w:p>
            <w:pPr>
              <w:spacing w:after="0"/>
            </w:pPr>
            <w:r/>
            <w:r>
              <w:rPr>
                <w:rFonts w:ascii="Aptos" w:hAnsi="Aptos"/>
                <w:b w:val="0"/>
                <w:sz w:val="15"/>
              </w:rPr>
              <w:t>Created an unsupported numeric claim</w:t>
            </w:r>
          </w:p>
        </w:tc>
        <w:tc>
          <w:tcPr>
            <w:tcW w:type="dxa" w:w="2376"/>
            <w:vAlign w:val="center"/>
          </w:tcPr>
          <w:p>
            <w:pPr>
              <w:spacing w:after="0"/>
            </w:pPr>
            <w:r/>
            <w:r>
              <w:rPr>
                <w:rFonts w:ascii="Aptos" w:hAnsi="Aptos"/>
                <w:b w:val="0"/>
                <w:sz w:val="15"/>
              </w:rPr>
              <w:t>Superseded by DEC-001</w:t>
            </w:r>
          </w:p>
        </w:tc>
        <w:tc>
          <w:tcPr>
            <w:tcW w:type="dxa" w:w="1152"/>
            <w:vAlign w:val="center"/>
          </w:tcPr>
          <w:p>
            <w:pPr>
              <w:spacing w:after="0"/>
            </w:pPr>
            <w:r/>
            <w:r>
              <w:rPr>
                <w:rFonts w:ascii="Aptos" w:hAnsi="Aptos"/>
                <w:b w:val="0"/>
                <w:sz w:val="15"/>
              </w:rPr>
              <w:t>Closed</w:t>
            </w:r>
          </w:p>
        </w:tc>
      </w:tr>
      <w:tr>
        <w:trPr>
          <w:cantSplit/>
        </w:trPr>
        <w:tc>
          <w:tcPr>
            <w:tcW w:type="dxa" w:w="936"/>
            <w:vAlign w:val="center"/>
            <w:shd w:fill="F3F6F7"/>
          </w:tcPr>
          <w:p>
            <w:pPr>
              <w:spacing w:after="0"/>
            </w:pPr>
            <w:r/>
            <w:r>
              <w:rPr>
                <w:rFonts w:ascii="Aptos" w:hAnsi="Aptos"/>
                <w:b w:val="0"/>
                <w:sz w:val="15"/>
              </w:rPr>
              <w:t>CHG-002</w:t>
            </w:r>
          </w:p>
        </w:tc>
        <w:tc>
          <w:tcPr>
            <w:tcW w:type="dxa" w:w="1152"/>
            <w:vAlign w:val="center"/>
            <w:shd w:fill="F3F6F7"/>
          </w:tcPr>
          <w:p>
            <w:pPr>
              <w:spacing w:after="0"/>
            </w:pPr>
            <w:r/>
            <w:r>
              <w:rPr>
                <w:rFonts w:ascii="Aptos" w:hAnsi="Aptos"/>
                <w:b w:val="0"/>
                <w:sz w:val="15"/>
              </w:rPr>
              <w:t>01 May 2026</w:t>
            </w:r>
          </w:p>
        </w:tc>
        <w:tc>
          <w:tcPr>
            <w:tcW w:type="dxa" w:w="1800"/>
            <w:vAlign w:val="center"/>
            <w:shd w:fill="F3F6F7"/>
          </w:tcPr>
          <w:p>
            <w:pPr>
              <w:spacing w:after="0"/>
            </w:pPr>
            <w:r/>
            <w:r>
              <w:rPr>
                <w:rFonts w:ascii="Aptos" w:hAnsi="Aptos"/>
                <w:b w:val="0"/>
                <w:sz w:val="15"/>
              </w:rPr>
              <w:t>Executive briefing</w:t>
            </w:r>
          </w:p>
        </w:tc>
        <w:tc>
          <w:tcPr>
            <w:tcW w:type="dxa" w:w="2952"/>
            <w:vAlign w:val="center"/>
            <w:shd w:fill="F3F6F7"/>
          </w:tcPr>
          <w:p>
            <w:pPr>
              <w:spacing w:after="0"/>
            </w:pPr>
            <w:r/>
            <w:r>
              <w:rPr>
                <w:rFonts w:ascii="Aptos" w:hAnsi="Aptos"/>
                <w:b w:val="0"/>
                <w:sz w:val="15"/>
              </w:rPr>
              <w:t>Split Foundational into 9-control SMB Quick-Start and 52-control Full Attestation pathways</w:t>
            </w:r>
          </w:p>
        </w:tc>
        <w:tc>
          <w:tcPr>
            <w:tcW w:type="dxa" w:w="2376"/>
            <w:vAlign w:val="center"/>
            <w:shd w:fill="F3F6F7"/>
          </w:tcPr>
          <w:p>
            <w:pPr>
              <w:spacing w:after="0"/>
            </w:pPr>
            <w:r/>
            <w:r>
              <w:rPr>
                <w:rFonts w:ascii="Aptos" w:hAnsi="Aptos"/>
                <w:b w:val="0"/>
                <w:sz w:val="15"/>
              </w:rPr>
              <w:t>Align positioning with enumerable source content</w:t>
            </w:r>
          </w:p>
        </w:tc>
        <w:tc>
          <w:tcPr>
            <w:tcW w:type="dxa" w:w="2376"/>
            <w:vAlign w:val="center"/>
            <w:shd w:fill="F3F6F7"/>
          </w:tcPr>
          <w:p>
            <w:pPr>
              <w:spacing w:after="0"/>
            </w:pPr>
            <w:r/>
            <w:r>
              <w:rPr>
                <w:rFonts w:ascii="Aptos" w:hAnsi="Aptos"/>
                <w:b w:val="0"/>
                <w:sz w:val="15"/>
              </w:rPr>
              <w:t>No controls changed</w:t>
            </w:r>
          </w:p>
        </w:tc>
        <w:tc>
          <w:tcPr>
            <w:tcW w:type="dxa" w:w="1152"/>
            <w:vAlign w:val="center"/>
            <w:shd w:fill="F3F6F7"/>
          </w:tcPr>
          <w:p>
            <w:pPr>
              <w:spacing w:after="0"/>
            </w:pPr>
            <w:r/>
            <w:r>
              <w:rPr>
                <w:rFonts w:ascii="Aptos" w:hAnsi="Aptos"/>
                <w:b w:val="0"/>
                <w:sz w:val="15"/>
              </w:rPr>
              <w:t>Closed</w:t>
            </w:r>
          </w:p>
        </w:tc>
      </w:tr>
      <w:tr>
        <w:trPr>
          <w:cantSplit/>
        </w:trPr>
        <w:tc>
          <w:tcPr>
            <w:tcW w:type="dxa" w:w="936"/>
            <w:vAlign w:val="center"/>
          </w:tcPr>
          <w:p>
            <w:pPr>
              <w:spacing w:after="0"/>
            </w:pPr>
            <w:r/>
            <w:r>
              <w:rPr>
                <w:rFonts w:ascii="Aptos" w:hAnsi="Aptos"/>
                <w:b w:val="0"/>
                <w:sz w:val="15"/>
              </w:rPr>
              <w:t>CHG-003</w:t>
            </w:r>
          </w:p>
        </w:tc>
        <w:tc>
          <w:tcPr>
            <w:tcW w:type="dxa" w:w="1152"/>
            <w:vAlign w:val="center"/>
          </w:tcPr>
          <w:p>
            <w:pPr>
              <w:spacing w:after="0"/>
            </w:pPr>
            <w:r/>
            <w:r>
              <w:rPr>
                <w:rFonts w:ascii="Aptos" w:hAnsi="Aptos"/>
                <w:b w:val="0"/>
                <w:sz w:val="15"/>
              </w:rPr>
              <w:t>01 May 2026</w:t>
            </w:r>
          </w:p>
        </w:tc>
        <w:tc>
          <w:tcPr>
            <w:tcW w:type="dxa" w:w="1800"/>
            <w:vAlign w:val="center"/>
          </w:tcPr>
          <w:p>
            <w:pPr>
              <w:spacing w:after="0"/>
            </w:pPr>
            <w:r/>
            <w:r>
              <w:rPr>
                <w:rFonts w:ascii="Aptos" w:hAnsi="Aptos"/>
                <w:b w:val="0"/>
                <w:sz w:val="15"/>
              </w:rPr>
              <w:t>Maturity model</w:t>
            </w:r>
          </w:p>
        </w:tc>
        <w:tc>
          <w:tcPr>
            <w:tcW w:type="dxa" w:w="2952"/>
            <w:vAlign w:val="center"/>
          </w:tcPr>
          <w:p>
            <w:pPr>
              <w:spacing w:after="0"/>
            </w:pPr>
            <w:r/>
            <w:r>
              <w:rPr>
                <w:rFonts w:ascii="Aptos" w:hAnsi="Aptos"/>
                <w:b w:val="0"/>
                <w:sz w:val="15"/>
              </w:rPr>
              <w:t>Added canonical 52-control Foundational-scope clarification</w:t>
            </w:r>
          </w:p>
        </w:tc>
        <w:tc>
          <w:tcPr>
            <w:tcW w:type="dxa" w:w="2376"/>
            <w:vAlign w:val="center"/>
          </w:tcPr>
          <w:p>
            <w:pPr>
              <w:spacing w:after="0"/>
            </w:pPr>
            <w:r/>
            <w:r>
              <w:rPr>
                <w:rFonts w:ascii="Aptos" w:hAnsi="Aptos"/>
                <w:b w:val="0"/>
                <w:sz w:val="15"/>
              </w:rPr>
              <w:t>Close certification-scope ambiguity</w:t>
            </w:r>
          </w:p>
        </w:tc>
        <w:tc>
          <w:tcPr>
            <w:tcW w:type="dxa" w:w="2376"/>
            <w:vAlign w:val="center"/>
          </w:tcPr>
          <w:p>
            <w:pPr>
              <w:spacing w:after="0"/>
            </w:pPr>
            <w:r/>
            <w:r>
              <w:rPr>
                <w:rFonts w:ascii="Aptos" w:hAnsi="Aptos"/>
                <w:b w:val="0"/>
                <w:sz w:val="15"/>
              </w:rPr>
              <w:t>No new requirements authored</w:t>
            </w:r>
          </w:p>
        </w:tc>
        <w:tc>
          <w:tcPr>
            <w:tcW w:type="dxa" w:w="1152"/>
            <w:vAlign w:val="center"/>
          </w:tcPr>
          <w:p>
            <w:pPr>
              <w:spacing w:after="0"/>
            </w:pPr>
            <w:r/>
            <w:r>
              <w:rPr>
                <w:rFonts w:ascii="Aptos" w:hAnsi="Aptos"/>
                <w:b w:val="0"/>
                <w:sz w:val="15"/>
              </w:rPr>
              <w:t>Closed</w:t>
            </w:r>
          </w:p>
        </w:tc>
      </w:tr>
      <w:tr>
        <w:trPr>
          <w:cantSplit/>
        </w:trPr>
        <w:tc>
          <w:tcPr>
            <w:tcW w:type="dxa" w:w="936"/>
            <w:vAlign w:val="center"/>
            <w:shd w:fill="F3F6F7"/>
          </w:tcPr>
          <w:p>
            <w:pPr>
              <w:spacing w:after="0"/>
            </w:pPr>
            <w:r/>
            <w:r>
              <w:rPr>
                <w:rFonts w:ascii="Aptos" w:hAnsi="Aptos"/>
                <w:b w:val="0"/>
                <w:sz w:val="15"/>
              </w:rPr>
              <w:t>CHG-004</w:t>
            </w:r>
          </w:p>
        </w:tc>
        <w:tc>
          <w:tcPr>
            <w:tcW w:type="dxa" w:w="1152"/>
            <w:vAlign w:val="center"/>
            <w:shd w:fill="F3F6F7"/>
          </w:tcPr>
          <w:p>
            <w:pPr>
              <w:spacing w:after="0"/>
            </w:pPr>
            <w:r/>
            <w:r>
              <w:rPr>
                <w:rFonts w:ascii="Aptos" w:hAnsi="Aptos"/>
                <w:b w:val="0"/>
                <w:sz w:val="15"/>
              </w:rPr>
              <w:t>01 May 2026</w:t>
            </w:r>
          </w:p>
        </w:tc>
        <w:tc>
          <w:tcPr>
            <w:tcW w:type="dxa" w:w="1800"/>
            <w:vAlign w:val="center"/>
            <w:shd w:fill="F3F6F7"/>
          </w:tcPr>
          <w:p>
            <w:pPr>
              <w:spacing w:after="0"/>
            </w:pPr>
            <w:r/>
            <w:r>
              <w:rPr>
                <w:rFonts w:ascii="Aptos" w:hAnsi="Aptos"/>
                <w:b w:val="0"/>
                <w:sz w:val="15"/>
              </w:rPr>
              <w:t>Appendix Q descriptions</w:t>
            </w:r>
          </w:p>
        </w:tc>
        <w:tc>
          <w:tcPr>
            <w:tcW w:type="dxa" w:w="2952"/>
            <w:vAlign w:val="center"/>
            <w:shd w:fill="F3F6F7"/>
          </w:tcPr>
          <w:p>
            <w:pPr>
              <w:spacing w:after="0"/>
            </w:pPr>
            <w:r/>
            <w:r>
              <w:rPr>
                <w:rFonts w:ascii="Aptos" w:hAnsi="Aptos"/>
                <w:b w:val="0"/>
                <w:sz w:val="15"/>
              </w:rPr>
              <w:t>Changed “14 sector annexes” to six written sub-annexes plus 13-sector matrix</w:t>
            </w:r>
          </w:p>
        </w:tc>
        <w:tc>
          <w:tcPr>
            <w:tcW w:type="dxa" w:w="2376"/>
            <w:vAlign w:val="center"/>
            <w:shd w:fill="F3F6F7"/>
          </w:tcPr>
          <w:p>
            <w:pPr>
              <w:spacing w:after="0"/>
            </w:pPr>
            <w:r/>
            <w:r>
              <w:rPr>
                <w:rFonts w:ascii="Aptos" w:hAnsi="Aptos"/>
                <w:b w:val="0"/>
                <w:sz w:val="15"/>
              </w:rPr>
              <w:t>Match delivered content</w:t>
            </w:r>
          </w:p>
        </w:tc>
        <w:tc>
          <w:tcPr>
            <w:tcW w:type="dxa" w:w="2376"/>
            <w:vAlign w:val="center"/>
            <w:shd w:fill="F3F6F7"/>
          </w:tcPr>
          <w:p>
            <w:pPr>
              <w:spacing w:after="0"/>
            </w:pPr>
            <w:r/>
            <w:r>
              <w:rPr>
                <w:rFonts w:ascii="Aptos" w:hAnsi="Aptos"/>
                <w:b w:val="0"/>
                <w:sz w:val="15"/>
              </w:rPr>
              <w:t>Sector content unchanged</w:t>
            </w:r>
          </w:p>
        </w:tc>
        <w:tc>
          <w:tcPr>
            <w:tcW w:type="dxa" w:w="1152"/>
            <w:vAlign w:val="center"/>
            <w:shd w:fill="F3F6F7"/>
          </w:tcPr>
          <w:p>
            <w:pPr>
              <w:spacing w:after="0"/>
            </w:pPr>
            <w:r/>
            <w:r>
              <w:rPr>
                <w:rFonts w:ascii="Aptos" w:hAnsi="Aptos"/>
                <w:b w:val="0"/>
                <w:sz w:val="15"/>
              </w:rPr>
              <w:t>Closed</w:t>
            </w:r>
          </w:p>
        </w:tc>
      </w:tr>
      <w:tr>
        <w:trPr>
          <w:cantSplit/>
        </w:trPr>
        <w:tc>
          <w:tcPr>
            <w:tcW w:type="dxa" w:w="936"/>
            <w:vAlign w:val="center"/>
          </w:tcPr>
          <w:p>
            <w:pPr>
              <w:spacing w:after="0"/>
            </w:pPr>
            <w:r/>
            <w:r>
              <w:rPr>
                <w:rFonts w:ascii="Aptos" w:hAnsi="Aptos"/>
                <w:b w:val="0"/>
                <w:sz w:val="15"/>
              </w:rPr>
              <w:t>CHG-005</w:t>
            </w:r>
          </w:p>
        </w:tc>
        <w:tc>
          <w:tcPr>
            <w:tcW w:type="dxa" w:w="1152"/>
            <w:vAlign w:val="center"/>
          </w:tcPr>
          <w:p>
            <w:pPr>
              <w:spacing w:after="0"/>
            </w:pPr>
            <w:r/>
            <w:r>
              <w:rPr>
                <w:rFonts w:ascii="Aptos" w:hAnsi="Aptos"/>
                <w:b w:val="0"/>
                <w:sz w:val="15"/>
              </w:rPr>
              <w:t>01 May 2026</w:t>
            </w:r>
          </w:p>
        </w:tc>
        <w:tc>
          <w:tcPr>
            <w:tcW w:type="dxa" w:w="1800"/>
            <w:vAlign w:val="center"/>
          </w:tcPr>
          <w:p>
            <w:pPr>
              <w:spacing w:after="0"/>
            </w:pPr>
            <w:r/>
            <w:r>
              <w:rPr>
                <w:rFonts w:ascii="Aptos" w:hAnsi="Aptos"/>
                <w:b w:val="0"/>
                <w:sz w:val="15"/>
              </w:rPr>
              <w:t>Document control</w:t>
            </w:r>
          </w:p>
        </w:tc>
        <w:tc>
          <w:tcPr>
            <w:tcW w:type="dxa" w:w="2952"/>
            <w:vAlign w:val="center"/>
          </w:tcPr>
          <w:p>
            <w:pPr>
              <w:spacing w:after="0"/>
            </w:pPr>
            <w:r/>
            <w:r>
              <w:rPr>
                <w:rFonts w:ascii="Aptos" w:hAnsi="Aptos"/>
                <w:b w:val="0"/>
                <w:sz w:val="15"/>
              </w:rPr>
              <w:t>Added editorial review entry</w:t>
            </w:r>
          </w:p>
        </w:tc>
        <w:tc>
          <w:tcPr>
            <w:tcW w:type="dxa" w:w="2376"/>
            <w:vAlign w:val="center"/>
          </w:tcPr>
          <w:p>
            <w:pPr>
              <w:spacing w:after="0"/>
            </w:pPr>
            <w:r/>
            <w:r>
              <w:rPr>
                <w:rFonts w:ascii="Aptos" w:hAnsi="Aptos"/>
                <w:b w:val="0"/>
                <w:sz w:val="15"/>
              </w:rPr>
              <w:t>Record approval provenance</w:t>
            </w:r>
          </w:p>
        </w:tc>
        <w:tc>
          <w:tcPr>
            <w:tcW w:type="dxa" w:w="2376"/>
            <w:vAlign w:val="center"/>
          </w:tcPr>
          <w:p>
            <w:pPr>
              <w:spacing w:after="0"/>
            </w:pPr>
            <w:r/>
            <w:r>
              <w:rPr>
                <w:rFonts w:ascii="Aptos" w:hAnsi="Aptos"/>
                <w:b w:val="0"/>
                <w:sz w:val="15"/>
              </w:rPr>
              <w:t>No normative change</w:t>
            </w:r>
          </w:p>
        </w:tc>
        <w:tc>
          <w:tcPr>
            <w:tcW w:type="dxa" w:w="1152"/>
            <w:vAlign w:val="center"/>
          </w:tcPr>
          <w:p>
            <w:pPr>
              <w:spacing w:after="0"/>
            </w:pPr>
            <w:r/>
            <w:r>
              <w:rPr>
                <w:rFonts w:ascii="Aptos" w:hAnsi="Aptos"/>
                <w:b w:val="0"/>
                <w:sz w:val="15"/>
              </w:rPr>
              <w:t>Closed</w:t>
            </w:r>
          </w:p>
        </w:tc>
      </w:tr>
      <w:tr>
        <w:trPr>
          <w:cantSplit/>
        </w:trPr>
        <w:tc>
          <w:tcPr>
            <w:tcW w:type="dxa" w:w="936"/>
            <w:vAlign w:val="center"/>
            <w:shd w:fill="F3F6F7"/>
          </w:tcPr>
          <w:p>
            <w:pPr>
              <w:spacing w:after="0"/>
            </w:pPr>
            <w:r/>
            <w:r>
              <w:rPr>
                <w:rFonts w:ascii="Aptos" w:hAnsi="Aptos"/>
                <w:b w:val="0"/>
                <w:sz w:val="15"/>
              </w:rPr>
              <w:t>CHG-006</w:t>
            </w:r>
          </w:p>
        </w:tc>
        <w:tc>
          <w:tcPr>
            <w:tcW w:type="dxa" w:w="1152"/>
            <w:vAlign w:val="center"/>
            <w:shd w:fill="F3F6F7"/>
          </w:tcPr>
          <w:p>
            <w:pPr>
              <w:spacing w:after="0"/>
            </w:pPr>
            <w:r/>
            <w:r>
              <w:rPr>
                <w:rFonts w:ascii="Aptos" w:hAnsi="Aptos"/>
                <w:b w:val="0"/>
                <w:sz w:val="15"/>
              </w:rPr>
              <w:t>May-June 2026</w:t>
            </w:r>
          </w:p>
        </w:tc>
        <w:tc>
          <w:tcPr>
            <w:tcW w:type="dxa" w:w="1800"/>
            <w:vAlign w:val="center"/>
            <w:shd w:fill="F3F6F7"/>
          </w:tcPr>
          <w:p>
            <w:pPr>
              <w:spacing w:after="0"/>
            </w:pPr>
            <w:r/>
            <w:r>
              <w:rPr>
                <w:rFonts w:ascii="Aptos" w:hAnsi="Aptos"/>
                <w:b w:val="0"/>
                <w:sz w:val="15"/>
              </w:rPr>
              <w:t>GISS profiles and schema</w:t>
            </w:r>
          </w:p>
        </w:tc>
        <w:tc>
          <w:tcPr>
            <w:tcW w:type="dxa" w:w="2952"/>
            <w:vAlign w:val="center"/>
            <w:shd w:fill="F3F6F7"/>
          </w:tcPr>
          <w:p>
            <w:pPr>
              <w:spacing w:after="0"/>
            </w:pPr>
            <w:r/>
            <w:r>
              <w:rPr>
                <w:rFonts w:ascii="Aptos" w:hAnsi="Aptos"/>
                <w:b w:val="0"/>
                <w:sz w:val="15"/>
              </w:rPr>
              <w:t>Installed 52-control canonical profile, seven exclusions and 9-control Quick-Start pathway</w:t>
            </w:r>
          </w:p>
        </w:tc>
        <w:tc>
          <w:tcPr>
            <w:tcW w:type="dxa" w:w="2376"/>
            <w:vAlign w:val="center"/>
            <w:shd w:fill="F3F6F7"/>
          </w:tcPr>
          <w:p>
            <w:pPr>
              <w:spacing w:after="0"/>
            </w:pPr>
            <w:r/>
            <w:r>
              <w:rPr>
                <w:rFonts w:ascii="Aptos" w:hAnsi="Aptos"/>
                <w:b w:val="0"/>
                <w:sz w:val="15"/>
              </w:rPr>
              <w:t>Machine-readable alignment</w:t>
            </w:r>
          </w:p>
        </w:tc>
        <w:tc>
          <w:tcPr>
            <w:tcW w:type="dxa" w:w="2376"/>
            <w:vAlign w:val="center"/>
            <w:shd w:fill="F3F6F7"/>
          </w:tcPr>
          <w:p>
            <w:pPr>
              <w:spacing w:after="0"/>
            </w:pPr>
            <w:r/>
            <w:r>
              <w:rPr>
                <w:rFonts w:ascii="Aptos" w:hAnsi="Aptos"/>
                <w:b w:val="0"/>
                <w:sz w:val="15"/>
              </w:rPr>
              <w:t>Control IDs preserved</w:t>
            </w:r>
          </w:p>
        </w:tc>
        <w:tc>
          <w:tcPr>
            <w:tcW w:type="dxa" w:w="1152"/>
            <w:vAlign w:val="center"/>
            <w:shd w:fill="F3F6F7"/>
          </w:tcPr>
          <w:p>
            <w:pPr>
              <w:spacing w:after="0"/>
            </w:pPr>
            <w:r/>
            <w:r>
              <w:rPr>
                <w:rFonts w:ascii="Aptos" w:hAnsi="Aptos"/>
                <w:b w:val="0"/>
                <w:sz w:val="15"/>
              </w:rPr>
              <w:t>Closed</w:t>
            </w:r>
          </w:p>
        </w:tc>
      </w:tr>
      <w:tr>
        <w:trPr>
          <w:cantSplit/>
        </w:trPr>
        <w:tc>
          <w:tcPr>
            <w:tcW w:type="dxa" w:w="936"/>
            <w:vAlign w:val="center"/>
          </w:tcPr>
          <w:p>
            <w:pPr>
              <w:spacing w:after="0"/>
            </w:pPr>
            <w:r/>
            <w:r>
              <w:rPr>
                <w:rFonts w:ascii="Aptos" w:hAnsi="Aptos"/>
                <w:b w:val="0"/>
                <w:sz w:val="15"/>
              </w:rPr>
              <w:t>CHG-007</w:t>
            </w:r>
          </w:p>
        </w:tc>
        <w:tc>
          <w:tcPr>
            <w:tcW w:type="dxa" w:w="1152"/>
            <w:vAlign w:val="center"/>
          </w:tcPr>
          <w:p>
            <w:pPr>
              <w:spacing w:after="0"/>
            </w:pPr>
            <w:r>
              <w:t>1 July 2026</w:t>
            </w:r>
            <w:r>
              <w:rPr>
                <w:rFonts w:ascii="Aptos" w:hAnsi="Aptos"/>
                <w:b w:val="0"/>
                <w:sz w:val="15"/>
              </w:rPr>
            </w:r>
          </w:p>
        </w:tc>
        <w:tc>
          <w:tcPr>
            <w:tcW w:type="dxa" w:w="1800"/>
            <w:vAlign w:val="center"/>
          </w:tcPr>
          <w:p>
            <w:pPr>
              <w:spacing w:after="0"/>
            </w:pPr>
            <w:r/>
            <w:r>
              <w:rPr>
                <w:rFonts w:ascii="Aptos" w:hAnsi="Aptos"/>
                <w:b w:val="0"/>
                <w:sz w:val="15"/>
              </w:rPr>
              <w:t>NOR-001 to NOR-004 drafts</w:t>
            </w:r>
          </w:p>
        </w:tc>
        <w:tc>
          <w:tcPr>
            <w:tcW w:type="dxa" w:w="2952"/>
            <w:vAlign w:val="center"/>
          </w:tcPr>
          <w:p>
            <w:pPr>
              <w:spacing w:after="0"/>
            </w:pPr>
            <w:r/>
            <w:r>
              <w:rPr>
                <w:rFonts w:ascii="Aptos" w:hAnsi="Aptos"/>
                <w:b w:val="0"/>
                <w:sz w:val="15"/>
              </w:rPr>
              <w:t>A reconstructed 45-control set was generated</w:t>
            </w:r>
          </w:p>
        </w:tc>
        <w:tc>
          <w:tcPr>
            <w:tcW w:type="dxa" w:w="2376"/>
            <w:vAlign w:val="center"/>
          </w:tcPr>
          <w:p>
            <w:pPr>
              <w:spacing w:after="0"/>
            </w:pPr>
            <w:r/>
            <w:r>
              <w:rPr>
                <w:rFonts w:ascii="Aptos" w:hAnsi="Aptos"/>
                <w:b w:val="0"/>
                <w:sz w:val="15"/>
              </w:rPr>
              <w:t>Downstream authoring defect; not source-approved</w:t>
            </w:r>
          </w:p>
        </w:tc>
        <w:tc>
          <w:tcPr>
            <w:tcW w:type="dxa" w:w="2376"/>
            <w:vAlign w:val="center"/>
          </w:tcPr>
          <w:p>
            <w:pPr>
              <w:spacing w:after="0"/>
            </w:pPr>
            <w:r/>
            <w:r>
              <w:rPr>
                <w:rFonts w:ascii="Aptos" w:hAnsi="Aptos"/>
                <w:b w:val="0"/>
                <w:sz w:val="15"/>
              </w:rPr>
              <w:t>Four documents invalidated</w:t>
            </w:r>
          </w:p>
        </w:tc>
        <w:tc>
          <w:tcPr>
            <w:tcW w:type="dxa" w:w="1152"/>
            <w:vAlign w:val="center"/>
          </w:tcPr>
          <w:p>
            <w:pPr>
              <w:spacing w:after="0"/>
            </w:pPr>
            <w:r/>
            <w:r>
              <w:rPr>
                <w:rFonts w:ascii="Aptos" w:hAnsi="Aptos"/>
                <w:b w:val="0"/>
                <w:sz w:val="15"/>
              </w:rPr>
              <w:t>Superseded</w:t>
            </w:r>
          </w:p>
        </w:tc>
      </w:tr>
      <w:tr>
        <w:trPr>
          <w:cantSplit/>
        </w:trPr>
        <w:tc>
          <w:tcPr>
            <w:tcW w:type="dxa" w:w="936"/>
            <w:vAlign w:val="center"/>
            <w:shd w:fill="F3F6F7"/>
          </w:tcPr>
          <w:p>
            <w:pPr>
              <w:spacing w:after="0"/>
            </w:pPr>
            <w:r/>
            <w:r>
              <w:rPr>
                <w:rFonts w:ascii="Aptos" w:hAnsi="Aptos"/>
                <w:b w:val="0"/>
                <w:sz w:val="15"/>
              </w:rPr>
              <w:t>CHG-008</w:t>
            </w:r>
          </w:p>
        </w:tc>
        <w:tc>
          <w:tcPr>
            <w:tcW w:type="dxa" w:w="1152"/>
            <w:vAlign w:val="center"/>
            <w:shd w:fill="F3F6F7"/>
          </w:tcPr>
          <w:p>
            <w:pPr>
              <w:spacing w:after="0"/>
            </w:pPr>
            <w:r>
              <w:t>1 July 2026</w:t>
            </w:r>
            <w:r>
              <w:rPr>
                <w:rFonts w:ascii="Aptos" w:hAnsi="Aptos"/>
                <w:b w:val="0"/>
                <w:sz w:val="15"/>
              </w:rPr>
            </w:r>
          </w:p>
        </w:tc>
        <w:tc>
          <w:tcPr>
            <w:tcW w:type="dxa" w:w="1800"/>
            <w:vAlign w:val="center"/>
            <w:shd w:fill="F3F6F7"/>
          </w:tcPr>
          <w:p>
            <w:pPr>
              <w:spacing w:after="0"/>
            </w:pPr>
            <w:r/>
            <w:r>
              <w:rPr>
                <w:rFonts w:ascii="Aptos" w:hAnsi="Aptos"/>
                <w:b w:val="0"/>
                <w:sz w:val="15"/>
              </w:rPr>
              <w:t>NOR-001 to NOR-004 corrected editions</w:t>
            </w:r>
          </w:p>
        </w:tc>
        <w:tc>
          <w:tcPr>
            <w:tcW w:type="dxa" w:w="2952"/>
            <w:vAlign w:val="center"/>
            <w:shd w:fill="F3F6F7"/>
          </w:tcPr>
          <w:p>
            <w:pPr>
              <w:spacing w:after="0"/>
            </w:pPr>
            <w:r/>
            <w:r>
              <w:rPr>
                <w:rFonts w:ascii="Aptos" w:hAnsi="Aptos"/>
                <w:b w:val="0"/>
                <w:sz w:val="15"/>
              </w:rPr>
              <w:t>59 controls restored</w:t>
            </w:r>
          </w:p>
        </w:tc>
        <w:tc>
          <w:tcPr>
            <w:tcW w:type="dxa" w:w="2376"/>
            <w:vAlign w:val="center"/>
            <w:shd w:fill="F3F6F7"/>
          </w:tcPr>
          <w:p>
            <w:pPr>
              <w:spacing w:after="0"/>
            </w:pPr>
            <w:r/>
            <w:r>
              <w:rPr>
                <w:rFonts w:ascii="Aptos" w:hAnsi="Aptos"/>
                <w:b w:val="0"/>
                <w:sz w:val="15"/>
              </w:rPr>
              <w:t>Repair omitted-control defect</w:t>
            </w:r>
          </w:p>
        </w:tc>
        <w:tc>
          <w:tcPr>
            <w:tcW w:type="dxa" w:w="2376"/>
            <w:vAlign w:val="center"/>
            <w:shd w:fill="F3F6F7"/>
          </w:tcPr>
          <w:p>
            <w:pPr>
              <w:spacing w:after="0"/>
            </w:pPr>
            <w:r/>
            <w:r>
              <w:rPr>
                <w:rFonts w:ascii="Aptos" w:hAnsi="Aptos"/>
                <w:b w:val="0"/>
                <w:sz w:val="15"/>
              </w:rPr>
              <w:t>Control count corrected</w:t>
            </w:r>
          </w:p>
        </w:tc>
        <w:tc>
          <w:tcPr>
            <w:tcW w:type="dxa" w:w="1152"/>
            <w:vAlign w:val="center"/>
            <w:shd w:fill="F3F6F7"/>
          </w:tcPr>
          <w:p>
            <w:pPr>
              <w:spacing w:after="0"/>
            </w:pPr>
            <w:r/>
            <w:r>
              <w:rPr>
                <w:rFonts w:ascii="Aptos" w:hAnsi="Aptos"/>
                <w:b w:val="0"/>
                <w:sz w:val="15"/>
              </w:rPr>
              <w:t>Partially closed</w:t>
            </w:r>
          </w:p>
        </w:tc>
      </w:tr>
      <w:tr>
        <w:trPr>
          <w:cantSplit/>
        </w:trPr>
        <w:tc>
          <w:tcPr>
            <w:tcW w:type="dxa" w:w="936"/>
            <w:vAlign w:val="center"/>
          </w:tcPr>
          <w:p>
            <w:pPr>
              <w:spacing w:after="0"/>
            </w:pPr>
            <w:r/>
            <w:r>
              <w:rPr>
                <w:rFonts w:ascii="Aptos" w:hAnsi="Aptos"/>
                <w:b w:val="0"/>
                <w:sz w:val="15"/>
              </w:rPr>
              <w:t>CHG-009</w:t>
            </w:r>
          </w:p>
        </w:tc>
        <w:tc>
          <w:tcPr>
            <w:tcW w:type="dxa" w:w="1152"/>
            <w:vAlign w:val="center"/>
          </w:tcPr>
          <w:p>
            <w:pPr>
              <w:spacing w:after="0"/>
            </w:pPr>
            <w:r>
              <w:t>1 July 2026</w:t>
            </w:r>
            <w:r>
              <w:rPr>
                <w:rFonts w:ascii="Aptos" w:hAnsi="Aptos"/>
                <w:b w:val="0"/>
                <w:sz w:val="15"/>
              </w:rPr>
            </w:r>
          </w:p>
        </w:tc>
        <w:tc>
          <w:tcPr>
            <w:tcW w:type="dxa" w:w="1800"/>
            <w:vAlign w:val="center"/>
          </w:tcPr>
          <w:p>
            <w:pPr>
              <w:spacing w:after="0"/>
            </w:pPr>
            <w:r/>
            <w:r>
              <w:rPr>
                <w:rFonts w:ascii="Aptos" w:hAnsi="Aptos"/>
                <w:b w:val="0"/>
                <w:sz w:val="15"/>
              </w:rPr>
              <w:t>NOR-001, NOR-004 and NOR-007 tier wording</w:t>
            </w:r>
          </w:p>
        </w:tc>
        <w:tc>
          <w:tcPr>
            <w:tcW w:type="dxa" w:w="2952"/>
            <w:vAlign w:val="center"/>
          </w:tcPr>
          <w:p>
            <w:pPr>
              <w:spacing w:after="0"/>
            </w:pPr>
            <w:r/>
            <w:r>
              <w:rPr>
                <w:rFonts w:ascii="Aptos" w:hAnsi="Aptos"/>
                <w:b w:val="0"/>
                <w:sz w:val="15"/>
              </w:rPr>
              <w:t>Foundational scope incorrectly described as D1-D8, with all D9 outside scope</w:t>
            </w:r>
          </w:p>
        </w:tc>
        <w:tc>
          <w:tcPr>
            <w:tcW w:type="dxa" w:w="2376"/>
            <w:vAlign w:val="center"/>
          </w:tcPr>
          <w:p>
            <w:pPr>
              <w:spacing w:after="0"/>
            </w:pPr>
            <w:r/>
            <w:r>
              <w:rPr>
                <w:rFonts w:ascii="Aptos" w:hAnsi="Aptos"/>
                <w:b w:val="0"/>
                <w:sz w:val="15"/>
              </w:rPr>
              <w:t>Misinterpretation of editorial record</w:t>
            </w:r>
          </w:p>
        </w:tc>
        <w:tc>
          <w:tcPr>
            <w:tcW w:type="dxa" w:w="2376"/>
            <w:vAlign w:val="center"/>
          </w:tcPr>
          <w:p>
            <w:pPr>
              <w:spacing w:after="0"/>
            </w:pPr>
            <w:r/>
            <w:r>
              <w:rPr>
                <w:rFonts w:ascii="Aptos" w:hAnsi="Aptos"/>
                <w:b w:val="0"/>
                <w:sz w:val="15"/>
              </w:rPr>
              <w:t>Requires corrected reissue and downstream review</w:t>
            </w:r>
          </w:p>
        </w:tc>
        <w:tc>
          <w:tcPr>
            <w:tcW w:type="dxa" w:w="1152"/>
            <w:vAlign w:val="center"/>
          </w:tcPr>
          <w:p>
            <w:r>
              <w:t>Closed - corrected publication editions issued 1 July 2026</w:t>
            </w:r>
          </w:p>
        </w:tc>
      </w:tr>
      <w:tr>
        <w:trPr>
          <w:cantSplit/>
        </w:trPr>
        <w:tc>
          <w:tcPr>
            <w:tcW w:type="dxa" w:w="936"/>
            <w:vAlign w:val="center"/>
            <w:shd w:fill="F3F6F7"/>
          </w:tcPr>
          <w:p>
            <w:pPr>
              <w:spacing w:after="0"/>
            </w:pPr>
            <w:r/>
            <w:r>
              <w:rPr>
                <w:rFonts w:ascii="Aptos" w:hAnsi="Aptos"/>
                <w:b w:val="0"/>
                <w:sz w:val="15"/>
              </w:rPr>
              <w:t>CHG-010</w:t>
            </w:r>
          </w:p>
        </w:tc>
        <w:tc>
          <w:tcPr>
            <w:tcW w:type="dxa" w:w="1152"/>
            <w:vAlign w:val="center"/>
            <w:shd w:fill="F3F6F7"/>
          </w:tcPr>
          <w:p>
            <w:pPr>
              <w:spacing w:after="0"/>
            </w:pPr>
            <w:r>
              <w:t>1 July 2026</w:t>
            </w:r>
            <w:r>
              <w:rPr>
                <w:rFonts w:ascii="Aptos" w:hAnsi="Aptos"/>
                <w:b w:val="0"/>
                <w:sz w:val="15"/>
              </w:rPr>
            </w:r>
          </w:p>
        </w:tc>
        <w:tc>
          <w:tcPr>
            <w:tcW w:type="dxa" w:w="1800"/>
            <w:vAlign w:val="center"/>
            <w:shd w:fill="F3F6F7"/>
          </w:tcPr>
          <w:p>
            <w:pPr>
              <w:spacing w:after="0"/>
            </w:pPr>
            <w:r/>
            <w:r>
              <w:rPr>
                <w:rFonts w:ascii="Aptos" w:hAnsi="Aptos"/>
                <w:b w:val="0"/>
                <w:sz w:val="15"/>
              </w:rPr>
              <w:t>NOR-005 and NOR-006</w:t>
            </w:r>
          </w:p>
        </w:tc>
        <w:tc>
          <w:tcPr>
            <w:tcW w:type="dxa" w:w="2952"/>
            <w:vAlign w:val="center"/>
            <w:shd w:fill="F3F6F7"/>
          </w:tcPr>
          <w:p>
            <w:pPr>
              <w:spacing w:after="0"/>
            </w:pPr>
            <w:r/>
            <w:r>
              <w:rPr>
                <w:rFonts w:ascii="Aptos" w:hAnsi="Aptos"/>
                <w:b w:val="0"/>
                <w:sz w:val="15"/>
              </w:rPr>
              <w:t>Glossary and bibliography created</w:t>
            </w:r>
          </w:p>
        </w:tc>
        <w:tc>
          <w:tcPr>
            <w:tcW w:type="dxa" w:w="2376"/>
            <w:vAlign w:val="center"/>
            <w:shd w:fill="F3F6F7"/>
          </w:tcPr>
          <w:p>
            <w:pPr>
              <w:spacing w:after="0"/>
            </w:pPr>
            <w:r/>
            <w:r>
              <w:rPr>
                <w:rFonts w:ascii="Aptos" w:hAnsi="Aptos"/>
                <w:b w:val="0"/>
                <w:sz w:val="15"/>
              </w:rPr>
              <w:t>Terminology and source transparency</w:t>
            </w:r>
          </w:p>
        </w:tc>
        <w:tc>
          <w:tcPr>
            <w:tcW w:type="dxa" w:w="2376"/>
            <w:vAlign w:val="center"/>
            <w:shd w:fill="F3F6F7"/>
          </w:tcPr>
          <w:p>
            <w:pPr>
              <w:spacing w:after="0"/>
            </w:pPr>
            <w:r/>
            <w:r>
              <w:rPr>
                <w:rFonts w:ascii="Aptos" w:hAnsi="Aptos"/>
                <w:b w:val="0"/>
                <w:sz w:val="15"/>
              </w:rPr>
              <w:t>Must be checked against corrected scope language</w:t>
            </w:r>
          </w:p>
        </w:tc>
        <w:tc>
          <w:tcPr>
            <w:tcW w:type="dxa" w:w="1152"/>
            <w:vAlign w:val="center"/>
            <w:shd w:fill="F3F6F7"/>
          </w:tcPr>
          <w:p>
            <w:pPr>
              <w:spacing w:after="0"/>
            </w:pPr>
            <w:r/>
            <w:r>
              <w:rPr>
                <w:rFonts w:ascii="Aptos" w:hAnsi="Aptos"/>
                <w:b w:val="0"/>
                <w:sz w:val="15"/>
              </w:rPr>
              <w:t>Review required</w:t>
            </w:r>
          </w:p>
        </w:tc>
      </w:tr>
      <w:tr>
        <w:trPr>
          <w:cantSplit/>
        </w:trPr>
        <w:tc>
          <w:tcPr>
            <w:tcW w:type="dxa" w:w="936"/>
            <w:vAlign w:val="center"/>
          </w:tcPr>
          <w:p>
            <w:pPr>
              <w:spacing w:after="0"/>
            </w:pPr>
            <w:r/>
            <w:r>
              <w:rPr>
                <w:rFonts w:ascii="Aptos" w:hAnsi="Aptos"/>
                <w:b w:val="0"/>
                <w:sz w:val="15"/>
              </w:rPr>
              <w:t>CHG-011</w:t>
            </w:r>
          </w:p>
        </w:tc>
        <w:tc>
          <w:tcPr>
            <w:tcW w:type="dxa" w:w="1152"/>
            <w:vAlign w:val="center"/>
          </w:tcPr>
          <w:p>
            <w:pPr>
              <w:spacing w:after="0"/>
            </w:pPr>
            <w:r>
              <w:t>1 July 2026</w:t>
            </w:r>
            <w:r>
              <w:rPr>
                <w:rFonts w:ascii="Aptos" w:hAnsi="Aptos"/>
                <w:b w:val="0"/>
                <w:sz w:val="15"/>
              </w:rPr>
            </w:r>
          </w:p>
        </w:tc>
        <w:tc>
          <w:tcPr>
            <w:tcW w:type="dxa" w:w="1800"/>
            <w:vAlign w:val="center"/>
          </w:tcPr>
          <w:p>
            <w:pPr>
              <w:spacing w:after="0"/>
            </w:pPr>
            <w:r/>
            <w:r>
              <w:rPr>
                <w:rFonts w:ascii="Aptos" w:hAnsi="Aptos"/>
                <w:b w:val="0"/>
                <w:sz w:val="15"/>
              </w:rPr>
              <w:t>NOR-008</w:t>
            </w:r>
          </w:p>
        </w:tc>
        <w:tc>
          <w:tcPr>
            <w:tcW w:type="dxa" w:w="2952"/>
            <w:vAlign w:val="center"/>
          </w:tcPr>
          <w:p>
            <w:pPr>
              <w:spacing w:after="0"/>
            </w:pPr>
            <w:r/>
            <w:r>
              <w:rPr>
                <w:rFonts w:ascii="Aptos" w:hAnsi="Aptos"/>
                <w:b w:val="0"/>
                <w:sz w:val="15"/>
              </w:rPr>
              <w:t>Change log created and scope discrepancy formally recorded</w:t>
            </w:r>
          </w:p>
        </w:tc>
        <w:tc>
          <w:tcPr>
            <w:tcW w:type="dxa" w:w="2376"/>
            <w:vAlign w:val="center"/>
          </w:tcPr>
          <w:p>
            <w:pPr>
              <w:spacing w:after="0"/>
            </w:pPr>
            <w:r/>
            <w:r>
              <w:rPr>
                <w:rFonts w:ascii="Aptos" w:hAnsi="Aptos"/>
                <w:b w:val="0"/>
                <w:sz w:val="15"/>
              </w:rPr>
              <w:t>Prevent further propagation</w:t>
            </w:r>
          </w:p>
        </w:tc>
        <w:tc>
          <w:tcPr>
            <w:tcW w:type="dxa" w:w="2376"/>
            <w:vAlign w:val="center"/>
          </w:tcPr>
          <w:p>
            <w:pPr>
              <w:spacing w:after="0"/>
            </w:pPr>
            <w:r/>
            <w:r>
              <w:rPr>
                <w:rFonts w:ascii="Aptos" w:hAnsi="Aptos"/>
                <w:b w:val="0"/>
                <w:sz w:val="15"/>
              </w:rPr>
              <w:t>No control changes</w:t>
            </w:r>
          </w:p>
        </w:tc>
        <w:tc>
          <w:tcPr>
            <w:tcW w:type="dxa" w:w="1152"/>
            <w:vAlign w:val="center"/>
          </w:tcPr>
          <w:p>
            <w:pPr>
              <w:spacing w:after="0"/>
            </w:pPr>
            <w:r/>
            <w:r>
              <w:rPr>
                <w:rFonts w:ascii="Aptos" w:hAnsi="Aptos"/>
                <w:b w:val="0"/>
                <w:sz w:val="15"/>
              </w:rPr>
              <w:t>Current</w:t>
            </w:r>
          </w:p>
        </w:tc>
      </w:tr>
    </w:tbl>
    <w:p/>
    <w:p>
      <w:pPr>
        <w:pStyle w:val="Heading1"/>
      </w:pPr>
      <w:r>
        <w:t>7. Corrective Action Register</w:t>
      </w:r>
    </w:p>
    <w:tbl>
      <w:tblPr>
        <w:tblStyle w:val="TableGrid"/>
        <w:tblW w:type="auto" w:w="0"/>
        <w:jc w:val="center"/>
        <w:tblLook w:firstColumn="1" w:firstRow="1" w:lastColumn="0" w:lastRow="0" w:noHBand="0" w:noVBand="1" w:val="04A0"/>
      </w:tblPr>
      <w:tblGrid>
        <w:gridCol w:w="1694"/>
        <w:gridCol w:w="1694"/>
        <w:gridCol w:w="1694"/>
        <w:gridCol w:w="1694"/>
        <w:gridCol w:w="1694"/>
        <w:gridCol w:w="1694"/>
      </w:tblGrid>
      <w:tr>
        <w:trPr>
          <w:tblHeader w:val="true"/>
          <w:cantSplit/>
        </w:trPr>
        <w:tc>
          <w:tcPr>
            <w:tcW w:type="dxa" w:w="1080"/>
            <w:vAlign w:val="center"/>
            <w:shd w:fill="17324D"/>
          </w:tcPr>
          <w:p>
            <w:pPr>
              <w:spacing w:after="0"/>
            </w:pPr>
            <w:r/>
            <w:r>
              <w:rPr>
                <w:rFonts w:ascii="Aptos" w:hAnsi="Aptos"/>
                <w:b/>
                <w:color w:val="FFFFFF"/>
                <w:sz w:val="16"/>
              </w:rPr>
              <w:t>Action ID</w:t>
            </w:r>
          </w:p>
        </w:tc>
        <w:tc>
          <w:tcPr>
            <w:tcW w:type="dxa" w:w="3600"/>
            <w:vAlign w:val="center"/>
            <w:shd w:fill="17324D"/>
          </w:tcPr>
          <w:p>
            <w:pPr>
              <w:spacing w:after="0"/>
            </w:pPr>
            <w:r/>
            <w:r>
              <w:rPr>
                <w:rFonts w:ascii="Aptos" w:hAnsi="Aptos"/>
                <w:b/>
                <w:color w:val="FFFFFF"/>
                <w:sz w:val="16"/>
              </w:rPr>
              <w:t>Required action</w:t>
            </w:r>
          </w:p>
        </w:tc>
        <w:tc>
          <w:tcPr>
            <w:tcW w:type="dxa" w:w="2232"/>
            <w:vAlign w:val="center"/>
            <w:shd w:fill="17324D"/>
          </w:tcPr>
          <w:p>
            <w:pPr>
              <w:spacing w:after="0"/>
            </w:pPr>
            <w:r/>
            <w:r>
              <w:rPr>
                <w:rFonts w:ascii="Aptos" w:hAnsi="Aptos"/>
                <w:b/>
                <w:color w:val="FFFFFF"/>
                <w:sz w:val="16"/>
              </w:rPr>
              <w:t>Affected artifacts</w:t>
            </w:r>
          </w:p>
        </w:tc>
        <w:tc>
          <w:tcPr>
            <w:tcW w:type="dxa" w:w="1080"/>
            <w:vAlign w:val="center"/>
            <w:shd w:fill="17324D"/>
          </w:tcPr>
          <w:p>
            <w:pPr>
              <w:spacing w:after="0"/>
            </w:pPr>
            <w:r/>
            <w:r>
              <w:rPr>
                <w:rFonts w:ascii="Aptos" w:hAnsi="Aptos"/>
                <w:b/>
                <w:color w:val="FFFFFF"/>
                <w:sz w:val="16"/>
              </w:rPr>
              <w:t>Priority</w:t>
            </w:r>
          </w:p>
        </w:tc>
        <w:tc>
          <w:tcPr>
            <w:tcW w:type="dxa" w:w="3096"/>
            <w:vAlign w:val="center"/>
            <w:shd w:fill="17324D"/>
          </w:tcPr>
          <w:p>
            <w:pPr>
              <w:spacing w:after="0"/>
            </w:pPr>
            <w:r/>
            <w:r>
              <w:rPr>
                <w:rFonts w:ascii="Aptos" w:hAnsi="Aptos"/>
                <w:b/>
                <w:color w:val="FFFFFF"/>
                <w:sz w:val="16"/>
              </w:rPr>
              <w:t>Acceptance evidence</w:t>
            </w:r>
          </w:p>
        </w:tc>
        <w:tc>
          <w:tcPr>
            <w:tcW w:type="dxa" w:w="1080"/>
            <w:vAlign w:val="center"/>
            <w:shd w:fill="17324D"/>
          </w:tcPr>
          <w:p>
            <w:pPr>
              <w:spacing w:after="0"/>
            </w:pPr>
            <w:r/>
            <w:r>
              <w:rPr>
                <w:rFonts w:ascii="Aptos" w:hAnsi="Aptos"/>
                <w:b/>
                <w:color w:val="FFFFFF"/>
                <w:sz w:val="16"/>
              </w:rPr>
              <w:t>Status</w:t>
            </w:r>
          </w:p>
        </w:tc>
      </w:tr>
      <w:tr>
        <w:trPr>
          <w:cantSplit/>
        </w:trPr>
        <w:tc>
          <w:tcPr>
            <w:tcW w:type="dxa" w:w="1080"/>
            <w:vAlign w:val="center"/>
          </w:tcPr>
          <w:p>
            <w:pPr>
              <w:spacing w:after="0"/>
            </w:pPr>
            <w:r/>
            <w:r>
              <w:rPr>
                <w:rFonts w:ascii="Aptos" w:hAnsi="Aptos"/>
                <w:b w:val="0"/>
                <w:sz w:val="15"/>
              </w:rPr>
              <w:t>CAR-001</w:t>
            </w:r>
          </w:p>
        </w:tc>
        <w:tc>
          <w:tcPr>
            <w:tcW w:type="dxa" w:w="3600"/>
            <w:vAlign w:val="center"/>
          </w:tcPr>
          <w:p>
            <w:pPr>
              <w:spacing w:after="0"/>
            </w:pPr>
            <w:r>
              <w:t>Replace D1-D8/D9-excluded Foundational wording with the approved 52-control D1-D8 baseline with conditional mandatory D9 applicability</w:t>
            </w:r>
            <w:r>
              <w:rPr>
                <w:rFonts w:ascii="Aptos" w:hAnsi="Aptos"/>
                <w:b w:val="0"/>
                <w:sz w:val="15"/>
              </w:rPr>
            </w:r>
          </w:p>
        </w:tc>
        <w:tc>
          <w:tcPr>
            <w:tcW w:type="dxa" w:w="2232"/>
            <w:vAlign w:val="center"/>
          </w:tcPr>
          <w:p>
            <w:pPr>
              <w:spacing w:after="0"/>
            </w:pPr>
            <w:r/>
            <w:r>
              <w:rPr>
                <w:rFonts w:ascii="Aptos" w:hAnsi="Aptos"/>
                <w:b w:val="0"/>
                <w:sz w:val="15"/>
              </w:rPr>
              <w:t>NOR-001, NOR-004, NOR-007</w:t>
            </w:r>
          </w:p>
        </w:tc>
        <w:tc>
          <w:tcPr>
            <w:tcW w:type="dxa" w:w="1080"/>
            <w:vAlign w:val="center"/>
          </w:tcPr>
          <w:p>
            <w:pPr>
              <w:spacing w:after="0"/>
            </w:pPr>
            <w:r/>
            <w:r>
              <w:rPr>
                <w:rFonts w:ascii="Aptos" w:hAnsi="Aptos"/>
                <w:b w:val="0"/>
                <w:sz w:val="15"/>
              </w:rPr>
              <w:t>Critical</w:t>
            </w:r>
          </w:p>
        </w:tc>
        <w:tc>
          <w:tcPr>
            <w:tcW w:type="dxa" w:w="3096"/>
            <w:vAlign w:val="center"/>
          </w:tcPr>
          <w:p>
            <w:pPr>
              <w:spacing w:after="0"/>
            </w:pPr>
            <w:r/>
            <w:r>
              <w:rPr>
                <w:rFonts w:ascii="Aptos" w:hAnsi="Aptos"/>
                <w:b w:val="0"/>
                <w:sz w:val="15"/>
              </w:rPr>
              <w:t>Corrected Word editions; text comparison; control-scope validation</w:t>
            </w:r>
          </w:p>
        </w:tc>
        <w:tc>
          <w:tcPr>
            <w:tcW w:type="dxa" w:w="1080"/>
            <w:vAlign w:val="center"/>
          </w:tcPr>
          <w:p>
            <w:r>
              <w:t>Closed - corrected NOR-001, NOR-004 and NOR-007 publication editions; canonical wording reconciled</w:t>
            </w:r>
          </w:p>
        </w:tc>
      </w:tr>
      <w:tr>
        <w:trPr>
          <w:cantSplit/>
        </w:trPr>
        <w:tc>
          <w:tcPr>
            <w:tcW w:type="dxa" w:w="1080"/>
            <w:vAlign w:val="center"/>
            <w:shd w:fill="F3F6F7"/>
          </w:tcPr>
          <w:p>
            <w:pPr>
              <w:spacing w:after="0"/>
            </w:pPr>
            <w:r/>
            <w:r>
              <w:rPr>
                <w:rFonts w:ascii="Aptos" w:hAnsi="Aptos"/>
                <w:b w:val="0"/>
                <w:sz w:val="15"/>
              </w:rPr>
              <w:t>CAR-002</w:t>
            </w:r>
          </w:p>
        </w:tc>
        <w:tc>
          <w:tcPr>
            <w:tcW w:type="dxa" w:w="3600"/>
            <w:vAlign w:val="center"/>
            <w:shd w:fill="F3F6F7"/>
          </w:tcPr>
          <w:p>
            <w:pPr>
              <w:spacing w:after="0"/>
            </w:pPr>
            <w:r/>
            <w:r>
              <w:rPr>
                <w:rFonts w:ascii="Aptos" w:hAnsi="Aptos"/>
                <w:b w:val="0"/>
                <w:sz w:val="15"/>
              </w:rPr>
              <w:t>Review NOR-002 and NOR-003 for any derived tier or D9 statements</w:t>
            </w:r>
          </w:p>
        </w:tc>
        <w:tc>
          <w:tcPr>
            <w:tcW w:type="dxa" w:w="2232"/>
            <w:vAlign w:val="center"/>
            <w:shd w:fill="F3F6F7"/>
          </w:tcPr>
          <w:p>
            <w:pPr>
              <w:spacing w:after="0"/>
            </w:pPr>
            <w:r/>
            <w:r>
              <w:rPr>
                <w:rFonts w:ascii="Aptos" w:hAnsi="Aptos"/>
                <w:b w:val="0"/>
                <w:sz w:val="15"/>
              </w:rPr>
              <w:t>NOR-002, NOR-003</w:t>
            </w:r>
          </w:p>
        </w:tc>
        <w:tc>
          <w:tcPr>
            <w:tcW w:type="dxa" w:w="1080"/>
            <w:vAlign w:val="center"/>
            <w:shd w:fill="F3F6F7"/>
          </w:tcPr>
          <w:p>
            <w:pPr>
              <w:spacing w:after="0"/>
            </w:pPr>
            <w:r/>
            <w:r>
              <w:rPr>
                <w:rFonts w:ascii="Aptos" w:hAnsi="Aptos"/>
                <w:b w:val="0"/>
                <w:sz w:val="15"/>
              </w:rPr>
              <w:t>High</w:t>
            </w:r>
          </w:p>
        </w:tc>
        <w:tc>
          <w:tcPr>
            <w:tcW w:type="dxa" w:w="3096"/>
            <w:vAlign w:val="center"/>
            <w:shd w:fill="F3F6F7"/>
          </w:tcPr>
          <w:p>
            <w:pPr>
              <w:spacing w:after="0"/>
            </w:pPr>
            <w:r/>
            <w:r>
              <w:rPr>
                <w:rFonts w:ascii="Aptos" w:hAnsi="Aptos"/>
                <w:b w:val="0"/>
                <w:sz w:val="15"/>
              </w:rPr>
              <w:t>Signed review checklist and corrected editions if needed</w:t>
            </w:r>
          </w:p>
        </w:tc>
        <w:tc>
          <w:tcPr>
            <w:tcW w:type="dxa" w:w="1080"/>
            <w:vAlign w:val="center"/>
            <w:shd w:fill="F3F6F7"/>
          </w:tcPr>
          <w:p>
            <w:r>
              <w:t>Closed - NOR-002 and NOR-003 reviewed and corrected</w:t>
            </w:r>
          </w:p>
        </w:tc>
      </w:tr>
      <w:tr>
        <w:trPr>
          <w:cantSplit/>
        </w:trPr>
        <w:tc>
          <w:tcPr>
            <w:tcW w:type="dxa" w:w="1080"/>
            <w:vAlign w:val="center"/>
          </w:tcPr>
          <w:p>
            <w:pPr>
              <w:spacing w:after="0"/>
            </w:pPr>
            <w:r/>
            <w:r>
              <w:rPr>
                <w:rFonts w:ascii="Aptos" w:hAnsi="Aptos"/>
                <w:b w:val="0"/>
                <w:sz w:val="15"/>
              </w:rPr>
              <w:t>CAR-003</w:t>
            </w:r>
          </w:p>
        </w:tc>
        <w:tc>
          <w:tcPr>
            <w:tcW w:type="dxa" w:w="3600"/>
            <w:vAlign w:val="center"/>
          </w:tcPr>
          <w:p>
            <w:pPr>
              <w:spacing w:after="0"/>
            </w:pPr>
            <w:r/>
            <w:r>
              <w:rPr>
                <w:rFonts w:ascii="Aptos" w:hAnsi="Aptos"/>
                <w:b w:val="0"/>
                <w:sz w:val="15"/>
              </w:rPr>
              <w:t>Review glossary definitions and abbreviation notes for tier consistency</w:t>
            </w:r>
          </w:p>
        </w:tc>
        <w:tc>
          <w:tcPr>
            <w:tcW w:type="dxa" w:w="2232"/>
            <w:vAlign w:val="center"/>
          </w:tcPr>
          <w:p>
            <w:pPr>
              <w:spacing w:after="0"/>
            </w:pPr>
            <w:r/>
            <w:r>
              <w:rPr>
                <w:rFonts w:ascii="Aptos" w:hAnsi="Aptos"/>
                <w:b w:val="0"/>
                <w:sz w:val="15"/>
              </w:rPr>
              <w:t>NOR-005</w:t>
            </w:r>
          </w:p>
        </w:tc>
        <w:tc>
          <w:tcPr>
            <w:tcW w:type="dxa" w:w="1080"/>
            <w:vAlign w:val="center"/>
          </w:tcPr>
          <w:p>
            <w:pPr>
              <w:spacing w:after="0"/>
            </w:pPr>
            <w:r/>
            <w:r>
              <w:rPr>
                <w:rFonts w:ascii="Aptos" w:hAnsi="Aptos"/>
                <w:b w:val="0"/>
                <w:sz w:val="15"/>
              </w:rPr>
              <w:t>High</w:t>
            </w:r>
          </w:p>
        </w:tc>
        <w:tc>
          <w:tcPr>
            <w:tcW w:type="dxa" w:w="3096"/>
            <w:vAlign w:val="center"/>
          </w:tcPr>
          <w:p>
            <w:pPr>
              <w:spacing w:after="0"/>
            </w:pPr>
            <w:r/>
            <w:r>
              <w:rPr>
                <w:rFonts w:ascii="Aptos" w:hAnsi="Aptos"/>
                <w:b w:val="0"/>
                <w:sz w:val="15"/>
              </w:rPr>
              <w:t>Terminology cross-check against MTH-GOV-034 and NOR-001</w:t>
            </w:r>
          </w:p>
        </w:tc>
        <w:tc>
          <w:tcPr>
            <w:tcW w:type="dxa" w:w="1080"/>
            <w:vAlign w:val="center"/>
          </w:tcPr>
          <w:p>
            <w:r>
              <w:t>Closed - NOR-005 terminology reconciled; no conflicting assessment-tier taxonomy introduced</w:t>
            </w:r>
          </w:p>
        </w:tc>
      </w:tr>
      <w:tr>
        <w:trPr>
          <w:cantSplit/>
        </w:trPr>
        <w:tc>
          <w:tcPr>
            <w:tcW w:type="dxa" w:w="1080"/>
            <w:vAlign w:val="center"/>
            <w:shd w:fill="F3F6F7"/>
          </w:tcPr>
          <w:p>
            <w:pPr>
              <w:spacing w:after="0"/>
            </w:pPr>
            <w:r/>
            <w:r>
              <w:rPr>
                <w:rFonts w:ascii="Aptos" w:hAnsi="Aptos"/>
                <w:b w:val="0"/>
                <w:sz w:val="15"/>
              </w:rPr>
              <w:t>CAR-004</w:t>
            </w:r>
          </w:p>
        </w:tc>
        <w:tc>
          <w:tcPr>
            <w:tcW w:type="dxa" w:w="3600"/>
            <w:vAlign w:val="center"/>
            <w:shd w:fill="F3F6F7"/>
          </w:tcPr>
          <w:p>
            <w:pPr>
              <w:spacing w:after="0"/>
            </w:pPr>
            <w:r/>
            <w:r>
              <w:rPr>
                <w:rFonts w:ascii="Aptos" w:hAnsi="Aptos"/>
                <w:b w:val="0"/>
                <w:sz w:val="15"/>
              </w:rPr>
              <w:t>Review bibliography annotations that describe domain applicability</w:t>
            </w:r>
          </w:p>
        </w:tc>
        <w:tc>
          <w:tcPr>
            <w:tcW w:type="dxa" w:w="2232"/>
            <w:vAlign w:val="center"/>
            <w:shd w:fill="F3F6F7"/>
          </w:tcPr>
          <w:p>
            <w:pPr>
              <w:spacing w:after="0"/>
            </w:pPr>
            <w:r/>
            <w:r>
              <w:rPr>
                <w:rFonts w:ascii="Aptos" w:hAnsi="Aptos"/>
                <w:b w:val="0"/>
                <w:sz w:val="15"/>
              </w:rPr>
              <w:t>NOR-006</w:t>
            </w:r>
          </w:p>
        </w:tc>
        <w:tc>
          <w:tcPr>
            <w:tcW w:type="dxa" w:w="1080"/>
            <w:vAlign w:val="center"/>
            <w:shd w:fill="F3F6F7"/>
          </w:tcPr>
          <w:p>
            <w:pPr>
              <w:spacing w:after="0"/>
            </w:pPr>
            <w:r/>
            <w:r>
              <w:rPr>
                <w:rFonts w:ascii="Aptos" w:hAnsi="Aptos"/>
                <w:b w:val="0"/>
                <w:sz w:val="15"/>
              </w:rPr>
              <w:t>Medium</w:t>
            </w:r>
          </w:p>
        </w:tc>
        <w:tc>
          <w:tcPr>
            <w:tcW w:type="dxa" w:w="3096"/>
            <w:vAlign w:val="center"/>
            <w:shd w:fill="F3F6F7"/>
          </w:tcPr>
          <w:p>
            <w:pPr>
              <w:spacing w:after="0"/>
            </w:pPr>
            <w:r/>
            <w:r>
              <w:rPr>
                <w:rFonts w:ascii="Aptos" w:hAnsi="Aptos"/>
                <w:b w:val="0"/>
                <w:sz w:val="15"/>
              </w:rPr>
              <w:t>Citation and domain-index review</w:t>
            </w:r>
          </w:p>
        </w:tc>
        <w:tc>
          <w:tcPr>
            <w:tcW w:type="dxa" w:w="1080"/>
            <w:vAlign w:val="center"/>
            <w:shd w:fill="F3F6F7"/>
          </w:tcPr>
          <w:p>
            <w:r>
              <w:t>Closed - NOR-006 annotations reviewed; source-tier distinction and national sources added</w:t>
            </w:r>
          </w:p>
        </w:tc>
      </w:tr>
      <w:tr>
        <w:trPr>
          <w:cantSplit/>
        </w:trPr>
        <w:tc>
          <w:tcPr>
            <w:tcW w:type="dxa" w:w="1080"/>
            <w:vAlign w:val="center"/>
          </w:tcPr>
          <w:p>
            <w:pPr>
              <w:spacing w:after="0"/>
            </w:pPr>
            <w:r/>
            <w:r>
              <w:rPr>
                <w:rFonts w:ascii="Aptos" w:hAnsi="Aptos"/>
                <w:b w:val="0"/>
                <w:sz w:val="15"/>
              </w:rPr>
              <w:t>CAR-005</w:t>
            </w:r>
          </w:p>
        </w:tc>
        <w:tc>
          <w:tcPr>
            <w:tcW w:type="dxa" w:w="3600"/>
            <w:vAlign w:val="center"/>
          </w:tcPr>
          <w:p>
            <w:pPr>
              <w:spacing w:after="0"/>
            </w:pPr>
            <w:r/>
            <w:r>
              <w:rPr>
                <w:rFonts w:ascii="Aptos" w:hAnsi="Aptos"/>
                <w:b w:val="0"/>
                <w:sz w:val="15"/>
              </w:rPr>
              <w:t>Update release notes to disclose the Foundational-scope interpretation correction</w:t>
            </w:r>
          </w:p>
        </w:tc>
        <w:tc>
          <w:tcPr>
            <w:tcW w:type="dxa" w:w="2232"/>
            <w:vAlign w:val="center"/>
          </w:tcPr>
          <w:p>
            <w:pPr>
              <w:spacing w:after="0"/>
            </w:pPr>
            <w:r/>
            <w:r>
              <w:rPr>
                <w:rFonts w:ascii="Aptos" w:hAnsi="Aptos"/>
                <w:b w:val="0"/>
                <w:sz w:val="15"/>
              </w:rPr>
              <w:t>NOR-007</w:t>
            </w:r>
          </w:p>
        </w:tc>
        <w:tc>
          <w:tcPr>
            <w:tcW w:type="dxa" w:w="1080"/>
            <w:vAlign w:val="center"/>
          </w:tcPr>
          <w:p>
            <w:pPr>
              <w:spacing w:after="0"/>
            </w:pPr>
            <w:r/>
            <w:r>
              <w:rPr>
                <w:rFonts w:ascii="Aptos" w:hAnsi="Aptos"/>
                <w:b w:val="0"/>
                <w:sz w:val="15"/>
              </w:rPr>
              <w:t>Critical</w:t>
            </w:r>
          </w:p>
        </w:tc>
        <w:tc>
          <w:tcPr>
            <w:tcW w:type="dxa" w:w="3096"/>
            <w:vAlign w:val="center"/>
          </w:tcPr>
          <w:p>
            <w:pPr>
              <w:spacing w:after="0"/>
            </w:pPr>
            <w:r/>
            <w:r>
              <w:rPr>
                <w:rFonts w:ascii="Aptos" w:hAnsi="Aptos"/>
                <w:b w:val="0"/>
                <w:sz w:val="15"/>
              </w:rPr>
              <w:t>Reissued release notes with explicit migration notice</w:t>
            </w:r>
          </w:p>
        </w:tc>
        <w:tc>
          <w:tcPr>
            <w:tcW w:type="dxa" w:w="1080"/>
            <w:vAlign w:val="center"/>
          </w:tcPr>
          <w:p>
            <w:r>
              <w:t>Closed - NOR-007 reissued with explicit scope and migration clarification</w:t>
            </w:r>
          </w:p>
        </w:tc>
      </w:tr>
      <w:tr>
        <w:trPr>
          <w:cantSplit/>
        </w:trPr>
        <w:tc>
          <w:tcPr>
            <w:tcW w:type="dxa" w:w="1080"/>
            <w:vAlign w:val="center"/>
            <w:shd w:fill="F3F6F7"/>
          </w:tcPr>
          <w:p>
            <w:pPr>
              <w:spacing w:after="0"/>
            </w:pPr>
            <w:r/>
            <w:r>
              <w:rPr>
                <w:rFonts w:ascii="Aptos" w:hAnsi="Aptos"/>
                <w:b w:val="0"/>
                <w:sz w:val="15"/>
              </w:rPr>
              <w:t>CAR-006</w:t>
            </w:r>
          </w:p>
        </w:tc>
        <w:tc>
          <w:tcPr>
            <w:tcW w:type="dxa" w:w="3600"/>
            <w:vAlign w:val="center"/>
            <w:shd w:fill="F3F6F7"/>
          </w:tcPr>
          <w:p>
            <w:pPr>
              <w:spacing w:after="0"/>
            </w:pPr>
            <w:r/>
            <w:r>
              <w:rPr>
                <w:rFonts w:ascii="Aptos" w:hAnsi="Aptos"/>
                <w:b w:val="0"/>
                <w:sz w:val="15"/>
              </w:rPr>
              <w:t>Validate machine-readable profiles, schemas and VTS against the exact 52-control list</w:t>
            </w:r>
          </w:p>
        </w:tc>
        <w:tc>
          <w:tcPr>
            <w:tcW w:type="dxa" w:w="2232"/>
            <w:vAlign w:val="center"/>
            <w:shd w:fill="F3F6F7"/>
          </w:tcPr>
          <w:p>
            <w:pPr>
              <w:spacing w:after="0"/>
            </w:pPr>
            <w:r/>
            <w:r>
              <w:rPr>
                <w:rFonts w:ascii="Aptos" w:hAnsi="Aptos"/>
                <w:b w:val="0"/>
                <w:sz w:val="15"/>
              </w:rPr>
              <w:t>GISS, schemas, VTS</w:t>
            </w:r>
          </w:p>
        </w:tc>
        <w:tc>
          <w:tcPr>
            <w:tcW w:type="dxa" w:w="1080"/>
            <w:vAlign w:val="center"/>
            <w:shd w:fill="F3F6F7"/>
          </w:tcPr>
          <w:p>
            <w:pPr>
              <w:spacing w:after="0"/>
            </w:pPr>
            <w:r/>
            <w:r>
              <w:rPr>
                <w:rFonts w:ascii="Aptos" w:hAnsi="Aptos"/>
                <w:b w:val="0"/>
                <w:sz w:val="15"/>
              </w:rPr>
              <w:t>Critical</w:t>
            </w:r>
          </w:p>
        </w:tc>
        <w:tc>
          <w:tcPr>
            <w:tcW w:type="dxa" w:w="3096"/>
            <w:vAlign w:val="center"/>
            <w:shd w:fill="F3F6F7"/>
          </w:tcPr>
          <w:p>
            <w:pPr>
              <w:spacing w:after="0"/>
            </w:pPr>
            <w:r/>
            <w:r>
              <w:rPr>
                <w:rFonts w:ascii="Aptos" w:hAnsi="Aptos"/>
                <w:b w:val="0"/>
                <w:sz w:val="15"/>
              </w:rPr>
              <w:t>Automated enumeration and 59/52/7 reconciliation report</w:t>
            </w:r>
          </w:p>
        </w:tc>
        <w:tc>
          <w:tcPr>
            <w:tcW w:type="dxa" w:w="1080"/>
            <w:vAlign w:val="center"/>
            <w:shd w:fill="F3F6F7"/>
          </w:tcPr>
          <w:p>
            <w:r>
              <w:t>Transferred - technical-release gate; schemas and VTS require separate automated 59/52/7 validation before their publication</w:t>
            </w:r>
          </w:p>
        </w:tc>
      </w:tr>
      <w:tr>
        <w:trPr>
          <w:cantSplit/>
        </w:trPr>
        <w:tc>
          <w:tcPr>
            <w:tcW w:type="dxa" w:w="1080"/>
            <w:vAlign w:val="center"/>
          </w:tcPr>
          <w:p>
            <w:pPr>
              <w:spacing w:after="0"/>
            </w:pPr>
            <w:r/>
            <w:r>
              <w:rPr>
                <w:rFonts w:ascii="Aptos" w:hAnsi="Aptos"/>
                <w:b w:val="0"/>
                <w:sz w:val="15"/>
              </w:rPr>
              <w:t>CAR-007</w:t>
            </w:r>
          </w:p>
        </w:tc>
        <w:tc>
          <w:tcPr>
            <w:tcW w:type="dxa" w:w="3600"/>
            <w:vAlign w:val="center"/>
          </w:tcPr>
          <w:p>
            <w:pPr>
              <w:spacing w:after="0"/>
            </w:pPr>
            <w:r/>
            <w:r>
              <w:rPr>
                <w:rFonts w:ascii="Aptos" w:hAnsi="Aptos"/>
                <w:b w:val="0"/>
                <w:sz w:val="15"/>
              </w:rPr>
              <w:t>Remove superseded 45-control and incorrect-scope documents from active channels</w:t>
            </w:r>
          </w:p>
        </w:tc>
        <w:tc>
          <w:tcPr>
            <w:tcW w:type="dxa" w:w="2232"/>
            <w:vAlign w:val="center"/>
          </w:tcPr>
          <w:p>
            <w:pPr>
              <w:spacing w:after="0"/>
            </w:pPr>
            <w:r/>
            <w:r>
              <w:rPr>
                <w:rFonts w:ascii="Aptos" w:hAnsi="Aptos"/>
                <w:b w:val="0"/>
                <w:sz w:val="15"/>
              </w:rPr>
              <w:t>Website, GitHub, internal repositories</w:t>
            </w:r>
          </w:p>
        </w:tc>
        <w:tc>
          <w:tcPr>
            <w:tcW w:type="dxa" w:w="1080"/>
            <w:vAlign w:val="center"/>
          </w:tcPr>
          <w:p>
            <w:pPr>
              <w:spacing w:after="0"/>
            </w:pPr>
            <w:r/>
            <w:r>
              <w:rPr>
                <w:rFonts w:ascii="Aptos" w:hAnsi="Aptos"/>
                <w:b w:val="0"/>
                <w:sz w:val="15"/>
              </w:rPr>
              <w:t>Critical</w:t>
            </w:r>
          </w:p>
        </w:tc>
        <w:tc>
          <w:tcPr>
            <w:tcW w:type="dxa" w:w="3096"/>
            <w:vAlign w:val="center"/>
          </w:tcPr>
          <w:p>
            <w:pPr>
              <w:spacing w:after="0"/>
            </w:pPr>
            <w:r/>
            <w:r>
              <w:rPr>
                <w:rFonts w:ascii="Aptos" w:hAnsi="Aptos"/>
                <w:b w:val="0"/>
                <w:sz w:val="15"/>
              </w:rPr>
              <w:t>Publication inventory and link verification</w:t>
            </w:r>
          </w:p>
        </w:tc>
        <w:tc>
          <w:tcPr>
            <w:tcW w:type="dxa" w:w="1080"/>
            <w:vAlign w:val="center"/>
          </w:tcPr>
          <w:p>
            <w:r>
              <w:t>Transferred - publication-operations gate; obsolete active-channel copies must be removed and link-verified before public posting</w:t>
            </w:r>
          </w:p>
        </w:tc>
      </w:tr>
    </w:tbl>
    <w:p/>
    <w:p>
      <w:pPr>
        <w:pStyle w:val="Heading1"/>
      </w:pPr>
      <w:r>
        <w:t>8. Impact Analysis</w:t>
      </w:r>
    </w:p>
    <w:tbl>
      <w:tblPr>
        <w:tblStyle w:val="TableGrid"/>
        <w:tblW w:type="auto" w:w="0"/>
        <w:jc w:val="center"/>
        <w:tblLook w:firstColumn="1" w:firstRow="1" w:lastColumn="0" w:lastRow="0" w:noHBand="0" w:noVBand="1" w:val="04A0"/>
      </w:tblPr>
      <w:tblGrid>
        <w:gridCol w:w="3389"/>
        <w:gridCol w:w="3389"/>
        <w:gridCol w:w="3389"/>
      </w:tblGrid>
      <w:tr>
        <w:trPr>
          <w:tblHeader w:val="true"/>
          <w:cantSplit/>
        </w:trPr>
        <w:tc>
          <w:tcPr>
            <w:tcW w:type="dxa" w:w="2088"/>
            <w:vAlign w:val="center"/>
            <w:shd w:fill="17324D"/>
          </w:tcPr>
          <w:p>
            <w:pPr>
              <w:spacing w:after="0"/>
            </w:pPr>
            <w:r/>
            <w:r>
              <w:rPr>
                <w:rFonts w:ascii="Aptos" w:hAnsi="Aptos"/>
                <w:b/>
                <w:color w:val="FFFFFF"/>
                <w:sz w:val="16"/>
              </w:rPr>
              <w:t>Stakeholder</w:t>
            </w:r>
          </w:p>
        </w:tc>
        <w:tc>
          <w:tcPr>
            <w:tcW w:type="dxa" w:w="4104"/>
            <w:vAlign w:val="center"/>
            <w:shd w:fill="17324D"/>
          </w:tcPr>
          <w:p>
            <w:pPr>
              <w:spacing w:after="0"/>
            </w:pPr>
            <w:r/>
            <w:r>
              <w:rPr>
                <w:rFonts w:ascii="Aptos" w:hAnsi="Aptos"/>
                <w:b/>
                <w:color w:val="FFFFFF"/>
                <w:sz w:val="16"/>
              </w:rPr>
              <w:t>Potential impact</w:t>
            </w:r>
          </w:p>
        </w:tc>
        <w:tc>
          <w:tcPr>
            <w:tcW w:type="dxa" w:w="4104"/>
            <w:vAlign w:val="center"/>
            <w:shd w:fill="17324D"/>
          </w:tcPr>
          <w:p>
            <w:pPr>
              <w:spacing w:after="0"/>
            </w:pPr>
            <w:r/>
            <w:r>
              <w:rPr>
                <w:rFonts w:ascii="Aptos" w:hAnsi="Aptos"/>
                <w:b/>
                <w:color w:val="FFFFFF"/>
                <w:sz w:val="16"/>
              </w:rPr>
              <w:t>Required response</w:t>
            </w:r>
          </w:p>
        </w:tc>
      </w:tr>
      <w:tr>
        <w:trPr>
          <w:cantSplit/>
        </w:trPr>
        <w:tc>
          <w:tcPr>
            <w:tcW w:type="dxa" w:w="2088"/>
            <w:vAlign w:val="center"/>
          </w:tcPr>
          <w:p>
            <w:pPr>
              <w:spacing w:after="0"/>
            </w:pPr>
            <w:r/>
            <w:r>
              <w:rPr>
                <w:rFonts w:ascii="Aptos" w:hAnsi="Aptos"/>
                <w:b w:val="0"/>
                <w:sz w:val="15"/>
              </w:rPr>
              <w:t>Implementing organizations</w:t>
            </w:r>
          </w:p>
        </w:tc>
        <w:tc>
          <w:tcPr>
            <w:tcW w:type="dxa" w:w="4104"/>
            <w:vAlign w:val="center"/>
          </w:tcPr>
          <w:p>
            <w:pPr>
              <w:spacing w:after="0"/>
            </w:pPr>
            <w:r/>
            <w:r>
              <w:rPr>
                <w:rFonts w:ascii="Aptos" w:hAnsi="Aptos"/>
                <w:b w:val="0"/>
                <w:sz w:val="15"/>
              </w:rPr>
              <w:t>Incorrect SoA or omission of applicable D9 controls</w:t>
            </w:r>
          </w:p>
        </w:tc>
        <w:tc>
          <w:tcPr>
            <w:tcW w:type="dxa" w:w="4104"/>
            <w:vAlign w:val="center"/>
          </w:tcPr>
          <w:p>
            <w:pPr>
              <w:spacing w:after="0"/>
            </w:pPr>
            <w:r/>
            <w:r>
              <w:rPr>
                <w:rFonts w:ascii="Aptos" w:hAnsi="Aptos"/>
                <w:b w:val="0"/>
                <w:sz w:val="15"/>
              </w:rPr>
              <w:t>Reconcile SoA against the approved 52-control list and system scope</w:t>
            </w:r>
          </w:p>
        </w:tc>
      </w:tr>
      <w:tr>
        <w:trPr>
          <w:cantSplit/>
        </w:trPr>
        <w:tc>
          <w:tcPr>
            <w:tcW w:type="dxa" w:w="2088"/>
            <w:vAlign w:val="center"/>
            <w:shd w:fill="F3F6F7"/>
          </w:tcPr>
          <w:p>
            <w:pPr>
              <w:spacing w:after="0"/>
            </w:pPr>
            <w:r/>
            <w:r>
              <w:rPr>
                <w:rFonts w:ascii="Aptos" w:hAnsi="Aptos"/>
                <w:b w:val="0"/>
                <w:sz w:val="15"/>
              </w:rPr>
              <w:t>Assessors</w:t>
            </w:r>
          </w:p>
        </w:tc>
        <w:tc>
          <w:tcPr>
            <w:tcW w:type="dxa" w:w="4104"/>
            <w:vAlign w:val="center"/>
            <w:shd w:fill="F3F6F7"/>
          </w:tcPr>
          <w:p>
            <w:pPr>
              <w:spacing w:after="0"/>
            </w:pPr>
            <w:r/>
            <w:r>
              <w:rPr>
                <w:rFonts w:ascii="Aptos" w:hAnsi="Aptos"/>
                <w:b w:val="0"/>
                <w:sz w:val="15"/>
              </w:rPr>
              <w:t>Incorrect sampling universe or certification conclusion</w:t>
            </w:r>
          </w:p>
        </w:tc>
        <w:tc>
          <w:tcPr>
            <w:tcW w:type="dxa" w:w="4104"/>
            <w:vAlign w:val="center"/>
            <w:shd w:fill="F3F6F7"/>
          </w:tcPr>
          <w:p>
            <w:pPr>
              <w:spacing w:after="0"/>
            </w:pPr>
            <w:r/>
            <w:r>
              <w:rPr>
                <w:rFonts w:ascii="Aptos" w:hAnsi="Aptos"/>
                <w:b w:val="0"/>
                <w:sz w:val="15"/>
              </w:rPr>
              <w:t>Use approved control applicability and document any previous reliance</w:t>
            </w:r>
          </w:p>
        </w:tc>
      </w:tr>
      <w:tr>
        <w:trPr>
          <w:cantSplit/>
        </w:trPr>
        <w:tc>
          <w:tcPr>
            <w:tcW w:type="dxa" w:w="2088"/>
            <w:vAlign w:val="center"/>
          </w:tcPr>
          <w:p>
            <w:pPr>
              <w:spacing w:after="0"/>
            </w:pPr>
            <w:r/>
            <w:r>
              <w:rPr>
                <w:rFonts w:ascii="Aptos" w:hAnsi="Aptos"/>
                <w:b w:val="0"/>
                <w:sz w:val="15"/>
              </w:rPr>
              <w:t>Certification scheme owner</w:t>
            </w:r>
          </w:p>
        </w:tc>
        <w:tc>
          <w:tcPr>
            <w:tcW w:type="dxa" w:w="4104"/>
            <w:vAlign w:val="center"/>
          </w:tcPr>
          <w:p>
            <w:pPr>
              <w:spacing w:after="0"/>
            </w:pPr>
            <w:r/>
            <w:r>
              <w:rPr>
                <w:rFonts w:ascii="Aptos" w:hAnsi="Aptos"/>
                <w:b w:val="0"/>
                <w:sz w:val="15"/>
              </w:rPr>
              <w:t>Eligibility and scope statements may be inconsistent</w:t>
            </w:r>
          </w:p>
        </w:tc>
        <w:tc>
          <w:tcPr>
            <w:tcW w:type="dxa" w:w="4104"/>
            <w:vAlign w:val="center"/>
          </w:tcPr>
          <w:p>
            <w:pPr>
              <w:spacing w:after="0"/>
            </w:pPr>
            <w:r/>
            <w:r>
              <w:rPr>
                <w:rFonts w:ascii="Aptos" w:hAnsi="Aptos"/>
                <w:b w:val="0"/>
                <w:sz w:val="15"/>
              </w:rPr>
              <w:t>Reissue controlled scheme materials</w:t>
            </w:r>
          </w:p>
        </w:tc>
      </w:tr>
      <w:tr>
        <w:trPr>
          <w:cantSplit/>
        </w:trPr>
        <w:tc>
          <w:tcPr>
            <w:tcW w:type="dxa" w:w="2088"/>
            <w:vAlign w:val="center"/>
            <w:shd w:fill="F3F6F7"/>
          </w:tcPr>
          <w:p>
            <w:pPr>
              <w:spacing w:after="0"/>
            </w:pPr>
            <w:r/>
            <w:r>
              <w:rPr>
                <w:rFonts w:ascii="Aptos" w:hAnsi="Aptos"/>
                <w:b w:val="0"/>
                <w:sz w:val="15"/>
              </w:rPr>
              <w:t>Tool and schema developers</w:t>
            </w:r>
          </w:p>
        </w:tc>
        <w:tc>
          <w:tcPr>
            <w:tcW w:type="dxa" w:w="4104"/>
            <w:vAlign w:val="center"/>
            <w:shd w:fill="F3F6F7"/>
          </w:tcPr>
          <w:p>
            <w:pPr>
              <w:spacing w:after="0"/>
            </w:pPr>
            <w:r/>
            <w:r>
              <w:rPr>
                <w:rFonts w:ascii="Aptos" w:hAnsi="Aptos"/>
                <w:b w:val="0"/>
                <w:sz w:val="15"/>
              </w:rPr>
              <w:t>Profiles may encode wrong exclusions</w:t>
            </w:r>
          </w:p>
        </w:tc>
        <w:tc>
          <w:tcPr>
            <w:tcW w:type="dxa" w:w="4104"/>
            <w:vAlign w:val="center"/>
            <w:shd w:fill="F3F6F7"/>
          </w:tcPr>
          <w:p>
            <w:pPr>
              <w:spacing w:after="0"/>
            </w:pPr>
            <w:r/>
            <w:r>
              <w:rPr>
                <w:rFonts w:ascii="Aptos" w:hAnsi="Aptos"/>
                <w:b w:val="0"/>
                <w:sz w:val="15"/>
              </w:rPr>
              <w:t>Run automated 59/52/7 control-set comparison</w:t>
            </w:r>
          </w:p>
        </w:tc>
      </w:tr>
      <w:tr>
        <w:trPr>
          <w:cantSplit/>
        </w:trPr>
        <w:tc>
          <w:tcPr>
            <w:tcW w:type="dxa" w:w="2088"/>
            <w:vAlign w:val="center"/>
          </w:tcPr>
          <w:p>
            <w:pPr>
              <w:spacing w:after="0"/>
            </w:pPr>
            <w:r/>
            <w:r>
              <w:rPr>
                <w:rFonts w:ascii="Aptos" w:hAnsi="Aptos"/>
                <w:b w:val="0"/>
                <w:sz w:val="15"/>
              </w:rPr>
              <w:t>Training providers</w:t>
            </w:r>
          </w:p>
        </w:tc>
        <w:tc>
          <w:tcPr>
            <w:tcW w:type="dxa" w:w="4104"/>
            <w:vAlign w:val="center"/>
          </w:tcPr>
          <w:p>
            <w:pPr>
              <w:spacing w:after="0"/>
            </w:pPr>
            <w:r/>
            <w:r>
              <w:rPr>
                <w:rFonts w:ascii="Aptos" w:hAnsi="Aptos"/>
                <w:b w:val="0"/>
                <w:sz w:val="15"/>
              </w:rPr>
              <w:t>Courseware may teach incorrect domain boundary</w:t>
            </w:r>
          </w:p>
        </w:tc>
        <w:tc>
          <w:tcPr>
            <w:tcW w:type="dxa" w:w="4104"/>
            <w:vAlign w:val="center"/>
          </w:tcPr>
          <w:p>
            <w:pPr>
              <w:spacing w:after="0"/>
            </w:pPr>
            <w:r/>
            <w:r>
              <w:rPr>
                <w:rFonts w:ascii="Aptos" w:hAnsi="Aptos"/>
                <w:b w:val="0"/>
                <w:sz w:val="15"/>
              </w:rPr>
              <w:t>Correct materials, exams and instructor notes</w:t>
            </w:r>
          </w:p>
        </w:tc>
      </w:tr>
      <w:tr>
        <w:trPr>
          <w:cantSplit/>
        </w:trPr>
        <w:tc>
          <w:tcPr>
            <w:tcW w:type="dxa" w:w="2088"/>
            <w:vAlign w:val="center"/>
            <w:shd w:fill="F3F6F7"/>
          </w:tcPr>
          <w:p>
            <w:pPr>
              <w:spacing w:after="0"/>
            </w:pPr>
            <w:r/>
            <w:r>
              <w:rPr>
                <w:rFonts w:ascii="Aptos" w:hAnsi="Aptos"/>
                <w:b w:val="0"/>
                <w:sz w:val="15"/>
              </w:rPr>
              <w:t>Regulators and customers</w:t>
            </w:r>
          </w:p>
        </w:tc>
        <w:tc>
          <w:tcPr>
            <w:tcW w:type="dxa" w:w="4104"/>
            <w:vAlign w:val="center"/>
            <w:shd w:fill="F3F6F7"/>
          </w:tcPr>
          <w:p>
            <w:pPr>
              <w:spacing w:after="0"/>
            </w:pPr>
            <w:r/>
            <w:r>
              <w:rPr>
                <w:rFonts w:ascii="Aptos" w:hAnsi="Aptos"/>
                <w:b w:val="0"/>
                <w:sz w:val="15"/>
              </w:rPr>
              <w:t>Public claims may misstate coverage</w:t>
            </w:r>
          </w:p>
        </w:tc>
        <w:tc>
          <w:tcPr>
            <w:tcW w:type="dxa" w:w="4104"/>
            <w:vAlign w:val="center"/>
            <w:shd w:fill="F3F6F7"/>
          </w:tcPr>
          <w:p>
            <w:pPr>
              <w:spacing w:after="0"/>
            </w:pPr>
            <w:r/>
            <w:r>
              <w:rPr>
                <w:rFonts w:ascii="Aptos" w:hAnsi="Aptos"/>
                <w:b w:val="0"/>
                <w:sz w:val="15"/>
              </w:rPr>
              <w:t>Issue corrected statements where material</w:t>
            </w:r>
          </w:p>
        </w:tc>
      </w:tr>
      <w:tr>
        <w:trPr>
          <w:cantSplit/>
        </w:trPr>
        <w:tc>
          <w:tcPr>
            <w:tcW w:type="dxa" w:w="2088"/>
            <w:vAlign w:val="center"/>
          </w:tcPr>
          <w:p>
            <w:pPr>
              <w:spacing w:after="0"/>
            </w:pPr>
            <w:r/>
            <w:r>
              <w:rPr>
                <w:rFonts w:ascii="Aptos" w:hAnsi="Aptos"/>
                <w:b w:val="0"/>
                <w:sz w:val="15"/>
              </w:rPr>
              <w:t>ODA3 Institute</w:t>
            </w:r>
          </w:p>
        </w:tc>
        <w:tc>
          <w:tcPr>
            <w:tcW w:type="dxa" w:w="4104"/>
            <w:vAlign w:val="center"/>
          </w:tcPr>
          <w:p>
            <w:pPr>
              <w:spacing w:after="0"/>
            </w:pPr>
            <w:r/>
            <w:r>
              <w:rPr>
                <w:rFonts w:ascii="Aptos" w:hAnsi="Aptos"/>
                <w:b w:val="0"/>
                <w:sz w:val="15"/>
              </w:rPr>
              <w:t>Publication integrity and provenance risk</w:t>
            </w:r>
          </w:p>
        </w:tc>
        <w:tc>
          <w:tcPr>
            <w:tcW w:type="dxa" w:w="4104"/>
            <w:vAlign w:val="center"/>
          </w:tcPr>
          <w:p>
            <w:pPr>
              <w:spacing w:after="0"/>
            </w:pPr>
            <w:r/>
            <w:r>
              <w:rPr>
                <w:rFonts w:ascii="Aptos" w:hAnsi="Aptos"/>
                <w:b w:val="0"/>
                <w:sz w:val="15"/>
              </w:rPr>
              <w:t>Maintain visible correction history and close CARs</w:t>
            </w:r>
          </w:p>
        </w:tc>
      </w:tr>
    </w:tbl>
    <w:p/>
    <w:p>
      <w:pPr>
        <w:pStyle w:val="Heading1"/>
      </w:pPr>
      <w:r>
        <w:t>9. Supersession Register</w:t>
      </w:r>
    </w:p>
    <w:tbl>
      <w:tblPr>
        <w:tblStyle w:val="TableGrid"/>
        <w:tblW w:type="auto" w:w="0"/>
        <w:jc w:val="center"/>
        <w:tblLook w:firstColumn="1" w:firstRow="1" w:lastColumn="0" w:lastRow="0" w:noHBand="0" w:noVBand="1" w:val="04A0"/>
      </w:tblPr>
      <w:tblGrid>
        <w:gridCol w:w="3389"/>
        <w:gridCol w:w="3389"/>
        <w:gridCol w:w="3389"/>
      </w:tblGrid>
      <w:tr>
        <w:trPr>
          <w:tblHeader w:val="true"/>
          <w:cantSplit/>
        </w:trPr>
        <w:tc>
          <w:tcPr>
            <w:tcW w:type="dxa" w:w="3456"/>
            <w:vAlign w:val="center"/>
            <w:shd w:fill="17324D"/>
          </w:tcPr>
          <w:p>
            <w:pPr>
              <w:spacing w:after="0"/>
            </w:pPr>
            <w:r/>
            <w:r>
              <w:rPr>
                <w:rFonts w:ascii="Aptos" w:hAnsi="Aptos"/>
                <w:b/>
                <w:color w:val="FFFFFF"/>
                <w:sz w:val="16"/>
              </w:rPr>
              <w:t>Artifact class</w:t>
            </w:r>
          </w:p>
        </w:tc>
        <w:tc>
          <w:tcPr>
            <w:tcW w:type="dxa" w:w="4320"/>
            <w:vAlign w:val="center"/>
            <w:shd w:fill="17324D"/>
          </w:tcPr>
          <w:p>
            <w:pPr>
              <w:spacing w:after="0"/>
            </w:pPr>
            <w:r/>
            <w:r>
              <w:rPr>
                <w:rFonts w:ascii="Aptos" w:hAnsi="Aptos"/>
                <w:b/>
                <w:color w:val="FFFFFF"/>
                <w:sz w:val="16"/>
              </w:rPr>
              <w:t>Superseded condition</w:t>
            </w:r>
          </w:p>
        </w:tc>
        <w:tc>
          <w:tcPr>
            <w:tcW w:type="dxa" w:w="2592"/>
            <w:vAlign w:val="center"/>
            <w:shd w:fill="17324D"/>
          </w:tcPr>
          <w:p>
            <w:pPr>
              <w:spacing w:after="0"/>
            </w:pPr>
            <w:r/>
            <w:r>
              <w:rPr>
                <w:rFonts w:ascii="Aptos" w:hAnsi="Aptos"/>
                <w:b/>
                <w:color w:val="FFFFFF"/>
                <w:sz w:val="16"/>
              </w:rPr>
              <w:t>Permitted use</w:t>
            </w:r>
          </w:p>
        </w:tc>
      </w:tr>
      <w:tr>
        <w:trPr>
          <w:cantSplit/>
        </w:trPr>
        <w:tc>
          <w:tcPr>
            <w:tcW w:type="dxa" w:w="3456"/>
            <w:vAlign w:val="center"/>
          </w:tcPr>
          <w:p>
            <w:pPr>
              <w:spacing w:after="0"/>
            </w:pPr>
            <w:r/>
            <w:r>
              <w:rPr>
                <w:rFonts w:ascii="Aptos" w:hAnsi="Aptos"/>
                <w:b w:val="0"/>
                <w:sz w:val="15"/>
              </w:rPr>
              <w:t>Any 45-control GAISSF document</w:t>
            </w:r>
          </w:p>
        </w:tc>
        <w:tc>
          <w:tcPr>
            <w:tcW w:type="dxa" w:w="4320"/>
            <w:vAlign w:val="center"/>
          </w:tcPr>
          <w:p>
            <w:pPr>
              <w:spacing w:after="0"/>
            </w:pPr>
            <w:r/>
            <w:r>
              <w:rPr>
                <w:rFonts w:ascii="Aptos" w:hAnsi="Aptos"/>
                <w:b w:val="0"/>
                <w:sz w:val="15"/>
              </w:rPr>
              <w:t>States or implements fewer than 59 source controls without explicit profile qualification</w:t>
            </w:r>
          </w:p>
        </w:tc>
        <w:tc>
          <w:tcPr>
            <w:tcW w:type="dxa" w:w="2592"/>
            <w:vAlign w:val="center"/>
          </w:tcPr>
          <w:p>
            <w:pPr>
              <w:spacing w:after="0"/>
            </w:pPr>
            <w:r/>
            <w:r>
              <w:rPr>
                <w:rFonts w:ascii="Aptos" w:hAnsi="Aptos"/>
                <w:b w:val="0"/>
                <w:sz w:val="15"/>
              </w:rPr>
              <w:t>Historical evidence only</w:t>
            </w:r>
          </w:p>
        </w:tc>
      </w:tr>
      <w:tr>
        <w:trPr>
          <w:cantSplit/>
        </w:trPr>
        <w:tc>
          <w:tcPr>
            <w:tcW w:type="dxa" w:w="3456"/>
            <w:vAlign w:val="center"/>
            <w:shd w:fill="F3F6F7"/>
          </w:tcPr>
          <w:p>
            <w:pPr>
              <w:spacing w:after="0"/>
            </w:pPr>
            <w:r/>
            <w:r>
              <w:rPr>
                <w:rFonts w:ascii="Aptos" w:hAnsi="Aptos"/>
                <w:b w:val="0"/>
                <w:sz w:val="15"/>
              </w:rPr>
              <w:t>Any document stating Foundational = D1-D8</w:t>
            </w:r>
          </w:p>
        </w:tc>
        <w:tc>
          <w:tcPr>
            <w:tcW w:type="dxa" w:w="4320"/>
            <w:vAlign w:val="center"/>
            <w:shd w:fill="F3F6F7"/>
          </w:tcPr>
          <w:p>
            <w:pPr>
              <w:spacing w:after="0"/>
            </w:pPr>
            <w:r/>
            <w:r>
              <w:rPr>
                <w:rFonts w:ascii="Aptos" w:hAnsi="Aptos"/>
                <w:b w:val="0"/>
                <w:sz w:val="15"/>
              </w:rPr>
              <w:t>Contradicts the approved editorial provenance</w:t>
            </w:r>
          </w:p>
        </w:tc>
        <w:tc>
          <w:tcPr>
            <w:tcW w:type="dxa" w:w="2592"/>
            <w:vAlign w:val="center"/>
            <w:shd w:fill="F3F6F7"/>
          </w:tcPr>
          <w:p>
            <w:pPr>
              <w:spacing w:after="0"/>
            </w:pPr>
            <w:r/>
            <w:r>
              <w:rPr>
                <w:rFonts w:ascii="Aptos" w:hAnsi="Aptos"/>
                <w:b w:val="0"/>
                <w:sz w:val="15"/>
              </w:rPr>
              <w:t>Historical evidence only pending correction</w:t>
            </w:r>
          </w:p>
        </w:tc>
      </w:tr>
      <w:tr>
        <w:trPr>
          <w:cantSplit/>
        </w:trPr>
        <w:tc>
          <w:tcPr>
            <w:tcW w:type="dxa" w:w="3456"/>
            <w:vAlign w:val="center"/>
          </w:tcPr>
          <w:p>
            <w:pPr>
              <w:spacing w:after="0"/>
            </w:pPr>
            <w:r/>
            <w:r>
              <w:rPr>
                <w:rFonts w:ascii="Aptos" w:hAnsi="Aptos"/>
                <w:b w:val="0"/>
                <w:sz w:val="15"/>
              </w:rPr>
              <w:t>Any document stating all D9 controls are outside Foundational</w:t>
            </w:r>
          </w:p>
        </w:tc>
        <w:tc>
          <w:tcPr>
            <w:tcW w:type="dxa" w:w="4320"/>
            <w:vAlign w:val="center"/>
          </w:tcPr>
          <w:p>
            <w:pPr>
              <w:spacing w:after="0"/>
            </w:pPr>
            <w:r/>
            <w:r>
              <w:rPr>
                <w:rFonts w:ascii="Aptos" w:hAnsi="Aptos"/>
                <w:b w:val="0"/>
                <w:sz w:val="15"/>
              </w:rPr>
              <w:t>Contradicts the approved editorial provenance</w:t>
            </w:r>
          </w:p>
        </w:tc>
        <w:tc>
          <w:tcPr>
            <w:tcW w:type="dxa" w:w="2592"/>
            <w:vAlign w:val="center"/>
          </w:tcPr>
          <w:p>
            <w:pPr>
              <w:spacing w:after="0"/>
            </w:pPr>
            <w:r/>
            <w:r>
              <w:rPr>
                <w:rFonts w:ascii="Aptos" w:hAnsi="Aptos"/>
                <w:b w:val="0"/>
                <w:sz w:val="15"/>
              </w:rPr>
              <w:t>Historical evidence only pending correction</w:t>
            </w:r>
          </w:p>
        </w:tc>
      </w:tr>
      <w:tr>
        <w:trPr>
          <w:cantSplit/>
        </w:trPr>
        <w:tc>
          <w:tcPr>
            <w:tcW w:type="dxa" w:w="3456"/>
            <w:vAlign w:val="center"/>
            <w:shd w:fill="F3F6F7"/>
          </w:tcPr>
          <w:p>
            <w:pPr>
              <w:spacing w:after="0"/>
            </w:pPr>
            <w:r/>
            <w:r>
              <w:rPr>
                <w:rFonts w:ascii="Aptos" w:hAnsi="Aptos"/>
                <w:b w:val="0"/>
                <w:sz w:val="15"/>
              </w:rPr>
              <w:t>Any “26-core” Foundational claim</w:t>
            </w:r>
          </w:p>
        </w:tc>
        <w:tc>
          <w:tcPr>
            <w:tcW w:type="dxa" w:w="4320"/>
            <w:vAlign w:val="center"/>
            <w:shd w:fill="F3F6F7"/>
          </w:tcPr>
          <w:p>
            <w:pPr>
              <w:spacing w:after="0"/>
            </w:pPr>
            <w:r/>
            <w:r>
              <w:rPr>
                <w:rFonts w:ascii="Aptos" w:hAnsi="Aptos"/>
                <w:b w:val="0"/>
                <w:sz w:val="15"/>
              </w:rPr>
              <w:t>Unsupported by the v1.0 source</w:t>
            </w:r>
          </w:p>
        </w:tc>
        <w:tc>
          <w:tcPr>
            <w:tcW w:type="dxa" w:w="2592"/>
            <w:vAlign w:val="center"/>
            <w:shd w:fill="F3F6F7"/>
          </w:tcPr>
          <w:p>
            <w:pPr>
              <w:spacing w:after="0"/>
            </w:pPr>
            <w:r/>
            <w:r>
              <w:rPr>
                <w:rFonts w:ascii="Aptos" w:hAnsi="Aptos"/>
                <w:b w:val="0"/>
                <w:sz w:val="15"/>
              </w:rPr>
              <w:t>Historical provenance only</w:t>
            </w:r>
          </w:p>
        </w:tc>
      </w:tr>
      <w:tr>
        <w:trPr>
          <w:cantSplit/>
        </w:trPr>
        <w:tc>
          <w:tcPr>
            <w:tcW w:type="dxa" w:w="3456"/>
            <w:vAlign w:val="center"/>
          </w:tcPr>
          <w:p>
            <w:pPr>
              <w:spacing w:after="0"/>
            </w:pPr>
            <w:r/>
            <w:r>
              <w:rPr>
                <w:rFonts w:ascii="Aptos" w:hAnsi="Aptos"/>
                <w:b w:val="0"/>
                <w:sz w:val="15"/>
              </w:rPr>
              <w:t>Corrected future editions</w:t>
            </w:r>
          </w:p>
        </w:tc>
        <w:tc>
          <w:tcPr>
            <w:tcW w:type="dxa" w:w="4320"/>
            <w:vAlign w:val="center"/>
          </w:tcPr>
          <w:p>
            <w:pPr>
              <w:spacing w:after="0"/>
            </w:pPr>
            <w:r/>
            <w:r>
              <w:rPr>
                <w:rFonts w:ascii="Aptos" w:hAnsi="Aptos"/>
                <w:b w:val="0"/>
                <w:sz w:val="15"/>
              </w:rPr>
              <w:t>Explicitly reconcile to 59 total, 52 Foundational and seven listed exclusions</w:t>
            </w:r>
          </w:p>
        </w:tc>
        <w:tc>
          <w:tcPr>
            <w:tcW w:type="dxa" w:w="2592"/>
            <w:vAlign w:val="center"/>
          </w:tcPr>
          <w:p>
            <w:pPr>
              <w:spacing w:after="0"/>
            </w:pPr>
            <w:r/>
            <w:r>
              <w:rPr>
                <w:rFonts w:ascii="Aptos" w:hAnsi="Aptos"/>
                <w:b w:val="0"/>
                <w:sz w:val="15"/>
              </w:rPr>
              <w:t>Active use after approval</w:t>
            </w:r>
          </w:p>
        </w:tc>
      </w:tr>
    </w:tbl>
    <w:p/>
    <w:p>
      <w:pPr>
        <w:pStyle w:val="Heading1"/>
      </w:pPr>
      <w:r>
        <w:t>10. What Did Not Change</w:t>
      </w:r>
    </w:p>
    <w:p>
      <w:pPr>
        <w:pStyle w:val="ListBullet"/>
      </w:pPr>
      <w:r>
        <w:t>The authoritative framework contains 59 controls.</w:t>
      </w:r>
    </w:p>
    <w:p>
      <w:pPr>
        <w:pStyle w:val="ListBullet"/>
      </w:pPr>
      <w:r>
        <w:t>No control was added, removed, modified or renumbered by the 01 May 2026 editorial decision.</w:t>
      </w:r>
    </w:p>
    <w:p>
      <w:pPr>
        <w:pStyle w:val="ListBullet"/>
      </w:pPr>
      <w:r>
        <w:t>Operational scope remains all 59 controls.</w:t>
      </w:r>
    </w:p>
    <w:p>
      <w:pPr>
        <w:pStyle w:val="ListBullet"/>
      </w:pPr>
      <w:r>
        <w:t>Optimized scope remains all 59 controls plus continuous monitoring.</w:t>
      </w:r>
    </w:p>
    <w:p>
      <w:pPr>
        <w:pStyle w:val="ListBullet"/>
      </w:pPr>
      <w:r>
        <w:t>The nine-control SMB Quick-Start remains an onboarding path rather than a certification-scope substitute.</w:t>
      </w:r>
    </w:p>
    <w:p>
      <w:pPr>
        <w:pStyle w:val="ListBullet"/>
      </w:pPr>
      <w:r>
        <w:t>Trademark, licensing and GEL governance were not changed by the scope reconciliation.</w:t>
      </w:r>
    </w:p>
    <w:p>
      <w:pPr>
        <w:pStyle w:val="ListBullet"/>
      </w:pPr>
      <w:r>
        <w:t>Sector annex content was not expanded by the editorial correction.</w:t>
      </w:r>
    </w:p>
    <w:p>
      <w:pPr>
        <w:pStyle w:val="Heading1"/>
      </w:pPr>
      <w:r>
        <w:t>11. Notably Absent</w:t>
      </w:r>
    </w:p>
    <w:p>
      <w:pPr>
        <w:pStyle w:val="ListBullet"/>
      </w:pPr>
      <w:r>
        <w:t>No evidence that a 45-control framework was ever approved as the GAISSF v1.0 source baseline.</w:t>
      </w:r>
    </w:p>
    <w:p>
      <w:pPr>
        <w:pStyle w:val="ListBullet"/>
      </w:pPr>
      <w:r>
        <w:t>No approved decision permits D9 to be ignored where physical AI or cyber-physical actuation is in scope.</w:t>
      </w:r>
    </w:p>
    <w:p>
      <w:pPr>
        <w:pStyle w:val="ListBullet"/>
      </w:pPr>
      <w:r>
        <w:t>The approved Foundational baseline is the 52 controls in D1-D8.</w:t>
      </w:r>
    </w:p>
    <w:p>
      <w:pPr>
        <w:pStyle w:val="ListBullet"/>
      </w:pPr>
      <w:r>
        <w:t>No claim that correction of documentation defects changes the original 59 control specifications.</w:t>
      </w:r>
    </w:p>
    <w:p>
      <w:pPr>
        <w:pStyle w:val="ListBullet"/>
      </w:pPr>
      <w:r>
        <w:t>No claim that certification guarantees security, safety, legality or absence of harm.</w:t>
      </w:r>
    </w:p>
    <w:p>
      <w:pPr>
        <w:pStyle w:val="ListBullet"/>
      </w:pPr>
      <w:r>
        <w:t>No concealment of rejected options or downstream defects.</w:t>
      </w:r>
    </w:p>
    <w:p>
      <w:pPr>
        <w:pStyle w:val="Heading1"/>
      </w:pPr>
      <w:r>
        <w:t>12. Verification and Closure Requirements</w:t>
      </w:r>
    </w:p>
    <w:p>
      <w:pPr>
        <w:pStyle w:val="ListNumber"/>
      </w:pPr>
      <w:r>
        <w:t>Each open corrective action SHALL have an owner and target closure date in the internal tracker.</w:t>
      </w:r>
    </w:p>
    <w:p>
      <w:pPr>
        <w:pStyle w:val="ListNumber"/>
      </w:pPr>
      <w:r>
        <w:t>Closure SHALL require source-to-output comparison, not only a keyword replacement.</w:t>
      </w:r>
    </w:p>
    <w:p>
      <w:pPr>
        <w:pStyle w:val="ListNumber"/>
      </w:pPr>
      <w:r>
        <w:t>The exact seven Foundational exclusions SHALL be enumerated and validated against the source control records.</w:t>
      </w:r>
    </w:p>
    <w:p>
      <w:pPr>
        <w:pStyle w:val="ListNumber"/>
      </w:pPr>
      <w:r>
        <w:t>All references to 52 controls SHALL be reviewed for semantic accuracy.</w:t>
      </w:r>
    </w:p>
    <w:p>
      <w:pPr>
        <w:pStyle w:val="ListNumber"/>
      </w:pPr>
      <w:r>
        <w:t>Publication channels SHALL be checked for superseded copies and stale links.</w:t>
      </w:r>
    </w:p>
    <w:p>
      <w:pPr>
        <w:pStyle w:val="ListNumber"/>
      </w:pPr>
      <w:r>
        <w:t>A final release-integrity report SHALL confirm 59 total controls, 52 Foundational controls, seven exclusions, and consistent scope statements across all artifacts.</w:t>
      </w:r>
    </w:p>
    <w:p>
      <w:pPr>
        <w:pStyle w:val="Heading1"/>
      </w:pPr>
      <w:r>
        <w:t>Annex A — Change Request Record Template</w:t>
      </w:r>
    </w:p>
    <w:tbl>
      <w:tblPr>
        <w:tblStyle w:val="TableGrid"/>
        <w:tblW w:type="auto" w:w="0"/>
        <w:jc w:val="center"/>
        <w:tblLook w:firstColumn="1" w:firstRow="1" w:lastColumn="0" w:lastRow="0" w:noHBand="0" w:noVBand="1" w:val="04A0"/>
      </w:tblPr>
      <w:tblGrid>
        <w:gridCol w:w="5083"/>
        <w:gridCol w:w="5083"/>
      </w:tblGrid>
      <w:tr>
        <w:trPr>
          <w:tblHeader w:val="true"/>
          <w:cantSplit/>
        </w:trPr>
        <w:tc>
          <w:tcPr>
            <w:tcW w:type="dxa" w:w="2520"/>
            <w:vAlign w:val="center"/>
            <w:shd w:fill="17324D"/>
          </w:tcPr>
          <w:p>
            <w:pPr>
              <w:spacing w:after="0"/>
            </w:pPr>
            <w:r/>
            <w:r>
              <w:rPr>
                <w:rFonts w:ascii="Aptos" w:hAnsi="Aptos"/>
                <w:b/>
                <w:color w:val="FFFFFF"/>
                <w:sz w:val="16"/>
              </w:rPr>
              <w:t>Field</w:t>
            </w:r>
          </w:p>
        </w:tc>
        <w:tc>
          <w:tcPr>
            <w:tcW w:type="dxa" w:w="6840"/>
            <w:vAlign w:val="center"/>
            <w:shd w:fill="17324D"/>
          </w:tcPr>
          <w:p>
            <w:pPr>
              <w:spacing w:after="0"/>
            </w:pPr>
            <w:r/>
            <w:r>
              <w:rPr>
                <w:rFonts w:ascii="Aptos" w:hAnsi="Aptos"/>
                <w:b/>
                <w:color w:val="FFFFFF"/>
                <w:sz w:val="16"/>
              </w:rPr>
              <w:t>Required content</w:t>
            </w:r>
          </w:p>
        </w:tc>
      </w:tr>
      <w:tr>
        <w:trPr>
          <w:cantSplit/>
        </w:trPr>
        <w:tc>
          <w:tcPr>
            <w:tcW w:type="dxa" w:w="2520"/>
            <w:vAlign w:val="center"/>
          </w:tcPr>
          <w:p>
            <w:pPr>
              <w:spacing w:after="0"/>
            </w:pPr>
            <w:r/>
            <w:r>
              <w:rPr>
                <w:rFonts w:ascii="Aptos" w:hAnsi="Aptos"/>
                <w:b w:val="0"/>
                <w:sz w:val="15"/>
              </w:rPr>
              <w:t>Change ID</w:t>
            </w:r>
          </w:p>
        </w:tc>
        <w:tc>
          <w:tcPr>
            <w:tcW w:type="dxa" w:w="6840"/>
            <w:vAlign w:val="center"/>
          </w:tcPr>
          <w:p>
            <w:pPr>
              <w:spacing w:after="0"/>
            </w:pPr>
            <w:r/>
            <w:r>
              <w:rPr>
                <w:rFonts w:ascii="Aptos" w:hAnsi="Aptos"/>
                <w:b w:val="0"/>
                <w:sz w:val="15"/>
              </w:rPr>
              <w:t>Unique identifier</w:t>
            </w:r>
          </w:p>
        </w:tc>
      </w:tr>
      <w:tr>
        <w:trPr>
          <w:cantSplit/>
        </w:trPr>
        <w:tc>
          <w:tcPr>
            <w:tcW w:type="dxa" w:w="2520"/>
            <w:vAlign w:val="center"/>
            <w:shd w:fill="F3F6F7"/>
          </w:tcPr>
          <w:p>
            <w:pPr>
              <w:spacing w:after="0"/>
            </w:pPr>
            <w:r/>
            <w:r>
              <w:rPr>
                <w:rFonts w:ascii="Aptos" w:hAnsi="Aptos"/>
                <w:b w:val="0"/>
                <w:sz w:val="15"/>
              </w:rPr>
              <w:t>Request date</w:t>
            </w:r>
          </w:p>
        </w:tc>
        <w:tc>
          <w:tcPr>
            <w:tcW w:type="dxa" w:w="6840"/>
            <w:vAlign w:val="center"/>
            <w:shd w:fill="F3F6F7"/>
          </w:tcPr>
          <w:p>
            <w:pPr>
              <w:spacing w:after="0"/>
            </w:pPr>
            <w:r/>
            <w:r>
              <w:rPr>
                <w:rFonts w:ascii="Aptos" w:hAnsi="Aptos"/>
                <w:b w:val="0"/>
                <w:sz w:val="15"/>
              </w:rPr>
              <w:t>Date raised</w:t>
            </w:r>
          </w:p>
        </w:tc>
      </w:tr>
      <w:tr>
        <w:trPr>
          <w:cantSplit/>
        </w:trPr>
        <w:tc>
          <w:tcPr>
            <w:tcW w:type="dxa" w:w="2520"/>
            <w:vAlign w:val="center"/>
          </w:tcPr>
          <w:p>
            <w:pPr>
              <w:spacing w:after="0"/>
            </w:pPr>
            <w:r/>
            <w:r>
              <w:rPr>
                <w:rFonts w:ascii="Aptos" w:hAnsi="Aptos"/>
                <w:b w:val="0"/>
                <w:sz w:val="15"/>
              </w:rPr>
              <w:t>Requester</w:t>
            </w:r>
          </w:p>
        </w:tc>
        <w:tc>
          <w:tcPr>
            <w:tcW w:type="dxa" w:w="6840"/>
            <w:vAlign w:val="center"/>
          </w:tcPr>
          <w:p>
            <w:pPr>
              <w:spacing w:after="0"/>
            </w:pPr>
            <w:r/>
            <w:r>
              <w:rPr>
                <w:rFonts w:ascii="Aptos" w:hAnsi="Aptos"/>
                <w:b w:val="0"/>
                <w:sz w:val="15"/>
              </w:rPr>
              <w:t>Role or function</w:t>
            </w:r>
          </w:p>
        </w:tc>
      </w:tr>
      <w:tr>
        <w:trPr>
          <w:cantSplit/>
        </w:trPr>
        <w:tc>
          <w:tcPr>
            <w:tcW w:type="dxa" w:w="2520"/>
            <w:vAlign w:val="center"/>
            <w:shd w:fill="F3F6F7"/>
          </w:tcPr>
          <w:p>
            <w:pPr>
              <w:spacing w:after="0"/>
            </w:pPr>
            <w:r/>
            <w:r>
              <w:rPr>
                <w:rFonts w:ascii="Aptos" w:hAnsi="Aptos"/>
                <w:b w:val="0"/>
                <w:sz w:val="15"/>
              </w:rPr>
              <w:t>Affected artifacts</w:t>
            </w:r>
          </w:p>
        </w:tc>
        <w:tc>
          <w:tcPr>
            <w:tcW w:type="dxa" w:w="6840"/>
            <w:vAlign w:val="center"/>
            <w:shd w:fill="F3F6F7"/>
          </w:tcPr>
          <w:p>
            <w:pPr>
              <w:spacing w:after="0"/>
            </w:pPr>
            <w:r/>
            <w:r>
              <w:rPr>
                <w:rFonts w:ascii="Aptos" w:hAnsi="Aptos"/>
                <w:b w:val="0"/>
                <w:sz w:val="15"/>
              </w:rPr>
              <w:t>Documents, schemas, tests, training or public claims</w:t>
            </w:r>
          </w:p>
        </w:tc>
      </w:tr>
      <w:tr>
        <w:trPr>
          <w:cantSplit/>
        </w:trPr>
        <w:tc>
          <w:tcPr>
            <w:tcW w:type="dxa" w:w="2520"/>
            <w:vAlign w:val="center"/>
          </w:tcPr>
          <w:p>
            <w:pPr>
              <w:spacing w:after="0"/>
            </w:pPr>
            <w:r/>
            <w:r>
              <w:rPr>
                <w:rFonts w:ascii="Aptos" w:hAnsi="Aptos"/>
                <w:b w:val="0"/>
                <w:sz w:val="15"/>
              </w:rPr>
              <w:t>Change description</w:t>
            </w:r>
          </w:p>
        </w:tc>
        <w:tc>
          <w:tcPr>
            <w:tcW w:type="dxa" w:w="6840"/>
            <w:vAlign w:val="center"/>
          </w:tcPr>
          <w:p>
            <w:pPr>
              <w:spacing w:after="0"/>
            </w:pPr>
            <w:r/>
            <w:r>
              <w:rPr>
                <w:rFonts w:ascii="Aptos" w:hAnsi="Aptos"/>
                <w:b w:val="0"/>
                <w:sz w:val="15"/>
              </w:rPr>
              <w:t>Exact current and proposed state</w:t>
            </w:r>
          </w:p>
        </w:tc>
      </w:tr>
      <w:tr>
        <w:trPr>
          <w:cantSplit/>
        </w:trPr>
        <w:tc>
          <w:tcPr>
            <w:tcW w:type="dxa" w:w="2520"/>
            <w:vAlign w:val="center"/>
            <w:shd w:fill="F3F6F7"/>
          </w:tcPr>
          <w:p>
            <w:pPr>
              <w:spacing w:after="0"/>
            </w:pPr>
            <w:r/>
            <w:r>
              <w:rPr>
                <w:rFonts w:ascii="Aptos" w:hAnsi="Aptos"/>
                <w:b w:val="0"/>
                <w:sz w:val="15"/>
              </w:rPr>
              <w:t>Classification</w:t>
            </w:r>
          </w:p>
        </w:tc>
        <w:tc>
          <w:tcPr>
            <w:tcW w:type="dxa" w:w="6840"/>
            <w:vAlign w:val="center"/>
            <w:shd w:fill="F3F6F7"/>
          </w:tcPr>
          <w:p>
            <w:pPr>
              <w:spacing w:after="0"/>
            </w:pPr>
            <w:r/>
            <w:r>
              <w:rPr>
                <w:rFonts w:ascii="Aptos" w:hAnsi="Aptos"/>
                <w:b w:val="0"/>
                <w:sz w:val="15"/>
              </w:rPr>
              <w:t>Breaking, compatible, editorial, corrective, administrative or deprecation</w:t>
            </w:r>
          </w:p>
        </w:tc>
      </w:tr>
      <w:tr>
        <w:trPr>
          <w:cantSplit/>
        </w:trPr>
        <w:tc>
          <w:tcPr>
            <w:tcW w:type="dxa" w:w="2520"/>
            <w:vAlign w:val="center"/>
          </w:tcPr>
          <w:p>
            <w:pPr>
              <w:spacing w:after="0"/>
            </w:pPr>
            <w:r/>
            <w:r>
              <w:rPr>
                <w:rFonts w:ascii="Aptos" w:hAnsi="Aptos"/>
                <w:b w:val="0"/>
                <w:sz w:val="15"/>
              </w:rPr>
              <w:t>Rationale</w:t>
            </w:r>
          </w:p>
        </w:tc>
        <w:tc>
          <w:tcPr>
            <w:tcW w:type="dxa" w:w="6840"/>
            <w:vAlign w:val="center"/>
          </w:tcPr>
          <w:p>
            <w:pPr>
              <w:spacing w:after="0"/>
            </w:pPr>
            <w:r/>
            <w:r>
              <w:rPr>
                <w:rFonts w:ascii="Aptos" w:hAnsi="Aptos"/>
                <w:b w:val="0"/>
                <w:sz w:val="15"/>
              </w:rPr>
              <w:t>Evidence and decision basis</w:t>
            </w:r>
          </w:p>
        </w:tc>
      </w:tr>
      <w:tr>
        <w:trPr>
          <w:cantSplit/>
        </w:trPr>
        <w:tc>
          <w:tcPr>
            <w:tcW w:type="dxa" w:w="2520"/>
            <w:vAlign w:val="center"/>
            <w:shd w:fill="F3F6F7"/>
          </w:tcPr>
          <w:p>
            <w:pPr>
              <w:spacing w:after="0"/>
            </w:pPr>
            <w:r/>
            <w:r>
              <w:rPr>
                <w:rFonts w:ascii="Aptos" w:hAnsi="Aptos"/>
                <w:b w:val="0"/>
                <w:sz w:val="15"/>
              </w:rPr>
              <w:t>Normative impact</w:t>
            </w:r>
          </w:p>
        </w:tc>
        <w:tc>
          <w:tcPr>
            <w:tcW w:type="dxa" w:w="6840"/>
            <w:vAlign w:val="center"/>
            <w:shd w:fill="F3F6F7"/>
          </w:tcPr>
          <w:p>
            <w:pPr>
              <w:spacing w:after="0"/>
            </w:pPr>
            <w:r/>
            <w:r>
              <w:rPr>
                <w:rFonts w:ascii="Aptos" w:hAnsi="Aptos"/>
                <w:b w:val="0"/>
                <w:sz w:val="15"/>
              </w:rPr>
              <w:t>Controls, scope, evidence, assessment or certification</w:t>
            </w:r>
          </w:p>
        </w:tc>
      </w:tr>
      <w:tr>
        <w:trPr>
          <w:cantSplit/>
        </w:trPr>
        <w:tc>
          <w:tcPr>
            <w:tcW w:type="dxa" w:w="2520"/>
            <w:vAlign w:val="center"/>
          </w:tcPr>
          <w:p>
            <w:pPr>
              <w:spacing w:after="0"/>
            </w:pPr>
            <w:r/>
            <w:r>
              <w:rPr>
                <w:rFonts w:ascii="Aptos" w:hAnsi="Aptos"/>
                <w:b w:val="0"/>
                <w:sz w:val="15"/>
              </w:rPr>
              <w:t>Alternatives considered</w:t>
            </w:r>
          </w:p>
        </w:tc>
        <w:tc>
          <w:tcPr>
            <w:tcW w:type="dxa" w:w="6840"/>
            <w:vAlign w:val="center"/>
          </w:tcPr>
          <w:p>
            <w:pPr>
              <w:spacing w:after="0"/>
            </w:pPr>
            <w:r/>
            <w:r>
              <w:rPr>
                <w:rFonts w:ascii="Aptos" w:hAnsi="Aptos"/>
                <w:b w:val="0"/>
                <w:sz w:val="15"/>
              </w:rPr>
              <w:t>Options and rejection reasons</w:t>
            </w:r>
          </w:p>
        </w:tc>
      </w:tr>
      <w:tr>
        <w:trPr>
          <w:cantSplit/>
        </w:trPr>
        <w:tc>
          <w:tcPr>
            <w:tcW w:type="dxa" w:w="2520"/>
            <w:vAlign w:val="center"/>
            <w:shd w:fill="F3F6F7"/>
          </w:tcPr>
          <w:p>
            <w:pPr>
              <w:spacing w:after="0"/>
            </w:pPr>
            <w:r/>
            <w:r>
              <w:rPr>
                <w:rFonts w:ascii="Aptos" w:hAnsi="Aptos"/>
                <w:b w:val="0"/>
                <w:sz w:val="15"/>
              </w:rPr>
              <w:t>Decision</w:t>
            </w:r>
          </w:p>
        </w:tc>
        <w:tc>
          <w:tcPr>
            <w:tcW w:type="dxa" w:w="6840"/>
            <w:vAlign w:val="center"/>
            <w:shd w:fill="F3F6F7"/>
          </w:tcPr>
          <w:p>
            <w:pPr>
              <w:spacing w:after="0"/>
            </w:pPr>
            <w:r/>
            <w:r>
              <w:rPr>
                <w:rFonts w:ascii="Aptos" w:hAnsi="Aptos"/>
                <w:b w:val="0"/>
                <w:sz w:val="15"/>
              </w:rPr>
              <w:t>Approved, rejected, deferred or withdrawn</w:t>
            </w:r>
          </w:p>
        </w:tc>
      </w:tr>
      <w:tr>
        <w:trPr>
          <w:cantSplit/>
        </w:trPr>
        <w:tc>
          <w:tcPr>
            <w:tcW w:type="dxa" w:w="2520"/>
            <w:vAlign w:val="center"/>
          </w:tcPr>
          <w:p>
            <w:pPr>
              <w:spacing w:after="0"/>
            </w:pPr>
            <w:r/>
            <w:r>
              <w:rPr>
                <w:rFonts w:ascii="Aptos" w:hAnsi="Aptos"/>
                <w:b w:val="0"/>
                <w:sz w:val="15"/>
              </w:rPr>
              <w:t>Approver and date</w:t>
            </w:r>
          </w:p>
        </w:tc>
        <w:tc>
          <w:tcPr>
            <w:tcW w:type="dxa" w:w="6840"/>
            <w:vAlign w:val="center"/>
          </w:tcPr>
          <w:p>
            <w:pPr>
              <w:spacing w:after="0"/>
            </w:pPr>
            <w:r/>
            <w:r>
              <w:rPr>
                <w:rFonts w:ascii="Aptos" w:hAnsi="Aptos"/>
                <w:b w:val="0"/>
                <w:sz w:val="15"/>
              </w:rPr>
              <w:t>Controlled approval record</w:t>
            </w:r>
          </w:p>
        </w:tc>
      </w:tr>
      <w:tr>
        <w:trPr>
          <w:cantSplit/>
        </w:trPr>
        <w:tc>
          <w:tcPr>
            <w:tcW w:type="dxa" w:w="2520"/>
            <w:vAlign w:val="center"/>
            <w:shd w:fill="F3F6F7"/>
          </w:tcPr>
          <w:p>
            <w:pPr>
              <w:spacing w:after="0"/>
            </w:pPr>
            <w:r/>
            <w:r>
              <w:rPr>
                <w:rFonts w:ascii="Aptos" w:hAnsi="Aptos"/>
                <w:b w:val="0"/>
                <w:sz w:val="15"/>
              </w:rPr>
              <w:t>Implementation evidence</w:t>
            </w:r>
          </w:p>
        </w:tc>
        <w:tc>
          <w:tcPr>
            <w:tcW w:type="dxa" w:w="6840"/>
            <w:vAlign w:val="center"/>
            <w:shd w:fill="F3F6F7"/>
          </w:tcPr>
          <w:p>
            <w:pPr>
              <w:spacing w:after="0"/>
            </w:pPr>
            <w:r/>
            <w:r>
              <w:rPr>
                <w:rFonts w:ascii="Aptos" w:hAnsi="Aptos"/>
                <w:b w:val="0"/>
                <w:sz w:val="15"/>
              </w:rPr>
              <w:t>Files, diffs, validation logs and publication checks</w:t>
            </w:r>
          </w:p>
        </w:tc>
      </w:tr>
      <w:tr>
        <w:trPr>
          <w:cantSplit/>
        </w:trPr>
        <w:tc>
          <w:tcPr>
            <w:tcW w:type="dxa" w:w="2520"/>
            <w:vAlign w:val="center"/>
          </w:tcPr>
          <w:p>
            <w:pPr>
              <w:spacing w:after="0"/>
            </w:pPr>
            <w:r/>
            <w:r>
              <w:rPr>
                <w:rFonts w:ascii="Aptos" w:hAnsi="Aptos"/>
                <w:b w:val="0"/>
                <w:sz w:val="15"/>
              </w:rPr>
              <w:t>What did not change</w:t>
            </w:r>
          </w:p>
        </w:tc>
        <w:tc>
          <w:tcPr>
            <w:tcW w:type="dxa" w:w="6840"/>
            <w:vAlign w:val="center"/>
          </w:tcPr>
          <w:p>
            <w:pPr>
              <w:spacing w:after="0"/>
            </w:pPr>
            <w:r/>
            <w:r>
              <w:rPr>
                <w:rFonts w:ascii="Aptos" w:hAnsi="Aptos"/>
                <w:b w:val="0"/>
                <w:sz w:val="15"/>
              </w:rPr>
              <w:t>Explicit non-change statement</w:t>
            </w:r>
          </w:p>
        </w:tc>
      </w:tr>
      <w:tr>
        <w:trPr>
          <w:cantSplit/>
        </w:trPr>
        <w:tc>
          <w:tcPr>
            <w:tcW w:type="dxa" w:w="2520"/>
            <w:vAlign w:val="center"/>
            <w:shd w:fill="F3F6F7"/>
          </w:tcPr>
          <w:p>
            <w:pPr>
              <w:spacing w:after="0"/>
            </w:pPr>
            <w:r/>
            <w:r>
              <w:rPr>
                <w:rFonts w:ascii="Aptos" w:hAnsi="Aptos"/>
                <w:b w:val="0"/>
                <w:sz w:val="15"/>
              </w:rPr>
              <w:t>Closure status</w:t>
            </w:r>
          </w:p>
        </w:tc>
        <w:tc>
          <w:tcPr>
            <w:tcW w:type="dxa" w:w="6840"/>
            <w:vAlign w:val="center"/>
            <w:shd w:fill="F3F6F7"/>
          </w:tcPr>
          <w:p>
            <w:pPr>
              <w:spacing w:after="0"/>
            </w:pPr>
            <w:r/>
            <w:r>
              <w:rPr>
                <w:rFonts w:ascii="Aptos" w:hAnsi="Aptos"/>
                <w:b w:val="0"/>
                <w:sz w:val="15"/>
              </w:rPr>
              <w:t>Open, implemented, verified or closed</w:t>
            </w:r>
          </w:p>
        </w:tc>
      </w:tr>
    </w:tbl>
    <w:p/>
    <w:p>
      <w:pPr>
        <w:pStyle w:val="Heading1"/>
      </w:pPr>
      <w:r>
        <w:t>Annex B — Decision Record Summary</w:t>
      </w:r>
    </w:p>
    <w:tbl>
      <w:tblPr>
        <w:tblStyle w:val="TableGrid"/>
        <w:tblW w:type="auto" w:w="0"/>
        <w:jc w:val="center"/>
        <w:tblLook w:firstColumn="1" w:firstRow="1" w:lastColumn="0" w:lastRow="0" w:noHBand="0" w:noVBand="1" w:val="04A0"/>
      </w:tblPr>
      <w:tblGrid>
        <w:gridCol w:w="3389"/>
        <w:gridCol w:w="3389"/>
        <w:gridCol w:w="3389"/>
      </w:tblGrid>
      <w:tr>
        <w:trPr>
          <w:tblHeader w:val="true"/>
          <w:cantSplit/>
        </w:trPr>
        <w:tc>
          <w:tcPr>
            <w:tcW w:type="dxa" w:w="2880"/>
            <w:vAlign w:val="center"/>
            <w:shd w:fill="17324D"/>
          </w:tcPr>
          <w:p>
            <w:pPr>
              <w:spacing w:after="0"/>
            </w:pPr>
            <w:r/>
            <w:r>
              <w:rPr>
                <w:rFonts w:ascii="Aptos" w:hAnsi="Aptos"/>
                <w:b/>
                <w:color w:val="FFFFFF"/>
                <w:sz w:val="16"/>
              </w:rPr>
              <w:t>Decision</w:t>
            </w:r>
          </w:p>
        </w:tc>
        <w:tc>
          <w:tcPr>
            <w:tcW w:type="dxa" w:w="4320"/>
            <w:vAlign w:val="center"/>
            <w:shd w:fill="17324D"/>
          </w:tcPr>
          <w:p>
            <w:pPr>
              <w:spacing w:after="0"/>
            </w:pPr>
            <w:r/>
            <w:r>
              <w:rPr>
                <w:rFonts w:ascii="Aptos" w:hAnsi="Aptos"/>
                <w:b/>
                <w:color w:val="FFFFFF"/>
                <w:sz w:val="16"/>
              </w:rPr>
              <w:t>Resolution</w:t>
            </w:r>
          </w:p>
        </w:tc>
        <w:tc>
          <w:tcPr>
            <w:tcW w:type="dxa" w:w="2880"/>
            <w:vAlign w:val="center"/>
            <w:shd w:fill="17324D"/>
          </w:tcPr>
          <w:p>
            <w:pPr>
              <w:spacing w:after="0"/>
            </w:pPr>
            <w:r/>
            <w:r>
              <w:rPr>
                <w:rFonts w:ascii="Aptos" w:hAnsi="Aptos"/>
                <w:b/>
                <w:color w:val="FFFFFF"/>
                <w:sz w:val="16"/>
              </w:rPr>
              <w:t>Evidence source</w:t>
            </w:r>
          </w:p>
        </w:tc>
      </w:tr>
      <w:tr>
        <w:trPr>
          <w:cantSplit/>
        </w:trPr>
        <w:tc>
          <w:tcPr>
            <w:tcW w:type="dxa" w:w="2880"/>
            <w:vAlign w:val="center"/>
          </w:tcPr>
          <w:p>
            <w:pPr>
              <w:spacing w:after="0"/>
            </w:pPr>
            <w:r/>
            <w:r>
              <w:rPr>
                <w:rFonts w:ascii="Aptos" w:hAnsi="Aptos"/>
                <w:b w:val="0"/>
                <w:sz w:val="15"/>
              </w:rPr>
              <w:t>Foundational reconciliation</w:t>
            </w:r>
          </w:p>
        </w:tc>
        <w:tc>
          <w:tcPr>
            <w:tcW w:type="dxa" w:w="4320"/>
            <w:vAlign w:val="center"/>
          </w:tcPr>
          <w:p>
            <w:pPr>
              <w:spacing w:after="0"/>
            </w:pPr>
            <w:r/>
            <w:r>
              <w:rPr>
                <w:rFonts w:ascii="Aptos" w:hAnsi="Aptos"/>
                <w:b w:val="0"/>
                <w:sz w:val="15"/>
              </w:rPr>
              <w:t>Option B adopted: 52-control Full Attestation plus 9-control SMB Quick-Start</w:t>
            </w:r>
          </w:p>
        </w:tc>
        <w:tc>
          <w:tcPr>
            <w:tcW w:type="dxa" w:w="2880"/>
            <w:vAlign w:val="center"/>
          </w:tcPr>
          <w:p>
            <w:pPr>
              <w:spacing w:after="0"/>
            </w:pPr>
            <w:r/>
            <w:r>
              <w:rPr>
                <w:rFonts w:ascii="Aptos" w:hAnsi="Aptos"/>
                <w:b w:val="0"/>
                <w:sz w:val="15"/>
              </w:rPr>
              <w:t>ODA3-2026-06-MTH-GOV-034</w:t>
            </w:r>
          </w:p>
        </w:tc>
      </w:tr>
      <w:tr>
        <w:trPr>
          <w:cantSplit/>
        </w:trPr>
        <w:tc>
          <w:tcPr>
            <w:tcW w:type="dxa" w:w="2880"/>
            <w:vAlign w:val="center"/>
            <w:shd w:fill="F3F6F7"/>
          </w:tcPr>
          <w:p>
            <w:pPr>
              <w:spacing w:after="0"/>
            </w:pPr>
            <w:r/>
            <w:r>
              <w:rPr>
                <w:rFonts w:ascii="Aptos" w:hAnsi="Aptos"/>
                <w:b w:val="0"/>
                <w:sz w:val="15"/>
              </w:rPr>
              <w:t>Version treatment</w:t>
            </w:r>
          </w:p>
        </w:tc>
        <w:tc>
          <w:tcPr>
            <w:tcW w:type="dxa" w:w="4320"/>
            <w:vAlign w:val="center"/>
            <w:shd w:fill="F3F6F7"/>
          </w:tcPr>
          <w:p>
            <w:pPr>
              <w:spacing w:after="0"/>
            </w:pPr>
            <w:r/>
            <w:r>
              <w:rPr>
                <w:rFonts w:ascii="Aptos" w:hAnsi="Aptos"/>
                <w:b w:val="0"/>
                <w:sz w:val="15"/>
              </w:rPr>
              <w:t>Pre-publication v1.0 edits; no version bump</w:t>
            </w:r>
          </w:p>
        </w:tc>
        <w:tc>
          <w:tcPr>
            <w:tcW w:type="dxa" w:w="2880"/>
            <w:vAlign w:val="center"/>
            <w:shd w:fill="F3F6F7"/>
          </w:tcPr>
          <w:p>
            <w:pPr>
              <w:spacing w:after="0"/>
            </w:pPr>
            <w:r/>
            <w:r>
              <w:rPr>
                <w:rFonts w:ascii="Aptos" w:hAnsi="Aptos"/>
                <w:b w:val="0"/>
                <w:sz w:val="15"/>
              </w:rPr>
              <w:t>ODA3-2026-06-MTH-GOV-034</w:t>
            </w:r>
          </w:p>
        </w:tc>
      </w:tr>
      <w:tr>
        <w:trPr>
          <w:cantSplit/>
        </w:trPr>
        <w:tc>
          <w:tcPr>
            <w:tcW w:type="dxa" w:w="2880"/>
            <w:vAlign w:val="center"/>
          </w:tcPr>
          <w:p>
            <w:pPr>
              <w:spacing w:after="0"/>
            </w:pPr>
            <w:r/>
            <w:r>
              <w:rPr>
                <w:rFonts w:ascii="Aptos" w:hAnsi="Aptos"/>
                <w:b w:val="0"/>
                <w:sz w:val="15"/>
              </w:rPr>
              <w:t>Total control baseline</w:t>
            </w:r>
          </w:p>
        </w:tc>
        <w:tc>
          <w:tcPr>
            <w:tcW w:type="dxa" w:w="4320"/>
            <w:vAlign w:val="center"/>
          </w:tcPr>
          <w:p>
            <w:pPr>
              <w:spacing w:after="0"/>
            </w:pPr>
            <w:r/>
            <w:r>
              <w:rPr>
                <w:rFonts w:ascii="Aptos" w:hAnsi="Aptos"/>
                <w:b w:val="0"/>
                <w:sz w:val="15"/>
              </w:rPr>
              <w:t>59 controls retained unchanged</w:t>
            </w:r>
          </w:p>
        </w:tc>
        <w:tc>
          <w:tcPr>
            <w:tcW w:type="dxa" w:w="2880"/>
            <w:vAlign w:val="center"/>
          </w:tcPr>
          <w:p>
            <w:pPr>
              <w:spacing w:after="0"/>
            </w:pPr>
            <w:r/>
            <w:r>
              <w:rPr>
                <w:rFonts w:ascii="Aptos" w:hAnsi="Aptos"/>
                <w:b w:val="0"/>
                <w:sz w:val="15"/>
              </w:rPr>
              <w:t>GAISSF v1.0 source and editorial verification</w:t>
            </w:r>
          </w:p>
        </w:tc>
      </w:tr>
      <w:tr>
        <w:trPr>
          <w:cantSplit/>
        </w:trPr>
        <w:tc>
          <w:tcPr>
            <w:tcW w:type="dxa" w:w="2880"/>
            <w:vAlign w:val="center"/>
            <w:shd w:fill="F3F6F7"/>
          </w:tcPr>
          <w:p>
            <w:pPr>
              <w:spacing w:after="0"/>
            </w:pPr>
            <w:r/>
            <w:r>
              <w:rPr>
                <w:rFonts w:ascii="Aptos" w:hAnsi="Aptos"/>
                <w:b w:val="0"/>
                <w:sz w:val="15"/>
              </w:rPr>
              <w:t>Foundational distribution</w:t>
            </w:r>
          </w:p>
        </w:tc>
        <w:tc>
          <w:tcPr>
            <w:tcW w:type="dxa" w:w="4320"/>
            <w:vAlign w:val="center"/>
            <w:shd w:fill="F3F6F7"/>
          </w:tcPr>
          <w:p>
            <w:pPr>
              <w:spacing w:after="0"/>
            </w:pPr>
            <w:r>
              <w:t>52 canonical controls in D1-D8; seven additional D9 controls where physical AI or cyber-physical actuation is in scope</w:t>
            </w:r>
            <w:r>
              <w:rPr>
                <w:rFonts w:ascii="Aptos" w:hAnsi="Aptos"/>
                <w:b w:val="0"/>
                <w:sz w:val="15"/>
              </w:rPr>
            </w:r>
          </w:p>
        </w:tc>
        <w:tc>
          <w:tcPr>
            <w:tcW w:type="dxa" w:w="2880"/>
            <w:vAlign w:val="center"/>
            <w:shd w:fill="F3F6F7"/>
          </w:tcPr>
          <w:p>
            <w:pPr>
              <w:spacing w:after="0"/>
            </w:pPr>
            <w:r/>
            <w:r>
              <w:rPr>
                <w:rFonts w:ascii="Aptos" w:hAnsi="Aptos"/>
                <w:b w:val="0"/>
                <w:sz w:val="15"/>
              </w:rPr>
              <w:t>Per-control implementation-by-tier records</w:t>
            </w:r>
          </w:p>
        </w:tc>
      </w:tr>
      <w:tr>
        <w:trPr>
          <w:cantSplit/>
        </w:trPr>
        <w:tc>
          <w:tcPr>
            <w:tcW w:type="dxa" w:w="2880"/>
            <w:vAlign w:val="center"/>
          </w:tcPr>
          <w:p>
            <w:pPr>
              <w:spacing w:after="0"/>
            </w:pPr>
            <w:r/>
            <w:r>
              <w:rPr>
                <w:rFonts w:ascii="Aptos" w:hAnsi="Aptos"/>
                <w:b w:val="0"/>
                <w:sz w:val="15"/>
              </w:rPr>
              <w:t>D9 treatment</w:t>
            </w:r>
          </w:p>
        </w:tc>
        <w:tc>
          <w:tcPr>
            <w:tcW w:type="dxa" w:w="4320"/>
            <w:vAlign w:val="center"/>
          </w:tcPr>
          <w:p>
            <w:pPr>
              <w:spacing w:after="0"/>
            </w:pPr>
            <w:r>
              <w:t>All seven D9 controls are additional mandatory requirements where physical AI or cyber-physical actuation is within the assessed scope</w:t>
            </w:r>
            <w:r>
              <w:rPr>
                <w:rFonts w:ascii="Aptos" w:hAnsi="Aptos"/>
                <w:b w:val="0"/>
                <w:sz w:val="15"/>
              </w:rPr>
            </w:r>
          </w:p>
        </w:tc>
        <w:tc>
          <w:tcPr>
            <w:tcW w:type="dxa" w:w="2880"/>
            <w:vAlign w:val="center"/>
          </w:tcPr>
          <w:p>
            <w:pPr>
              <w:spacing w:after="0"/>
            </w:pPr>
            <w:r/>
            <w:r>
              <w:rPr>
                <w:rFonts w:ascii="Aptos" w:hAnsi="Aptos"/>
                <w:b w:val="0"/>
                <w:sz w:val="15"/>
              </w:rPr>
              <w:t>Editorial decision record</w:t>
            </w:r>
          </w:p>
        </w:tc>
      </w:tr>
      <w:tr>
        <w:trPr>
          <w:cantSplit/>
        </w:trPr>
        <w:tc>
          <w:tcPr>
            <w:tcW w:type="dxa" w:w="2880"/>
            <w:vAlign w:val="center"/>
            <w:shd w:fill="F3F6F7"/>
          </w:tcPr>
          <w:p>
            <w:pPr>
              <w:spacing w:after="0"/>
            </w:pPr>
            <w:r/>
            <w:r>
              <w:rPr>
                <w:rFonts w:ascii="Aptos" w:hAnsi="Aptos"/>
                <w:b w:val="0"/>
                <w:sz w:val="15"/>
              </w:rPr>
              <w:t>Downstream 45-control drafts</w:t>
            </w:r>
          </w:p>
        </w:tc>
        <w:tc>
          <w:tcPr>
            <w:tcW w:type="dxa" w:w="4320"/>
            <w:vAlign w:val="center"/>
            <w:shd w:fill="F3F6F7"/>
          </w:tcPr>
          <w:p>
            <w:pPr>
              <w:spacing w:after="0"/>
            </w:pPr>
            <w:r/>
            <w:r>
              <w:rPr>
                <w:rFonts w:ascii="Aptos" w:hAnsi="Aptos"/>
                <w:b w:val="0"/>
                <w:sz w:val="15"/>
              </w:rPr>
              <w:t>Invalid and superseded</w:t>
            </w:r>
          </w:p>
        </w:tc>
        <w:tc>
          <w:tcPr>
            <w:tcW w:type="dxa" w:w="2880"/>
            <w:vAlign w:val="center"/>
            <w:shd w:fill="F3F6F7"/>
          </w:tcPr>
          <w:p>
            <w:pPr>
              <w:spacing w:after="0"/>
            </w:pPr>
            <w:r>
              <w:t>Corrective review on 1 July 2026</w:t>
            </w:r>
            <w:r>
              <w:rPr>
                <w:rFonts w:ascii="Aptos" w:hAnsi="Aptos"/>
                <w:b w:val="0"/>
                <w:sz w:val="15"/>
              </w:rPr>
            </w:r>
          </w:p>
        </w:tc>
      </w:tr>
      <w:tr>
        <w:trPr>
          <w:cantSplit/>
        </w:trPr>
        <w:tc>
          <w:tcPr>
            <w:tcW w:type="dxa" w:w="2880"/>
            <w:vAlign w:val="center"/>
          </w:tcPr>
          <w:p>
            <w:pPr>
              <w:spacing w:after="0"/>
            </w:pPr>
            <w:r/>
            <w:r>
              <w:rPr>
                <w:rFonts w:ascii="Aptos" w:hAnsi="Aptos"/>
                <w:b w:val="0"/>
                <w:sz w:val="15"/>
              </w:rPr>
              <w:t>D1-D8/D9 split wording</w:t>
            </w:r>
          </w:p>
        </w:tc>
        <w:tc>
          <w:tcPr>
            <w:tcW w:type="dxa" w:w="4320"/>
            <w:vAlign w:val="center"/>
          </w:tcPr>
          <w:p>
            <w:pPr>
              <w:spacing w:after="0"/>
            </w:pPr>
            <w:r/>
            <w:r>
              <w:rPr>
                <w:rFonts w:ascii="Aptos" w:hAnsi="Aptos"/>
                <w:b w:val="0"/>
                <w:sz w:val="15"/>
              </w:rPr>
              <w:t>Incorrect downstream interpretation; corrective action open</w:t>
            </w:r>
          </w:p>
        </w:tc>
        <w:tc>
          <w:tcPr>
            <w:tcW w:type="dxa" w:w="2880"/>
            <w:vAlign w:val="center"/>
          </w:tcPr>
          <w:p>
            <w:pPr>
              <w:spacing w:after="0"/>
            </w:pPr>
            <w:r/>
            <w:r>
              <w:rPr>
                <w:rFonts w:ascii="Aptos" w:hAnsi="Aptos"/>
                <w:b w:val="0"/>
                <w:sz w:val="15"/>
              </w:rPr>
              <w:t>NOR-008 reconciliation review</w:t>
            </w:r>
          </w:p>
        </w:tc>
      </w:tr>
    </w:tbl>
    <w:p/>
    <w:p>
      <w:pPr>
        <w:pStyle w:val="Heading1"/>
      </w:pPr>
      <w:r>
        <w:t>Annex C — Publication History</w:t>
      </w:r>
    </w:p>
    <w:tbl>
      <w:tblPr>
        <w:tblStyle w:val="TableGrid"/>
        <w:tblW w:type="auto" w:w="0"/>
        <w:jc w:val="center"/>
        <w:tblLook w:firstColumn="1" w:firstRow="1" w:lastColumn="0" w:lastRow="0" w:noHBand="0" w:noVBand="1" w:val="04A0"/>
      </w:tblPr>
      <w:tblGrid>
        <w:gridCol w:w="2541"/>
        <w:gridCol w:w="2541"/>
        <w:gridCol w:w="2541"/>
        <w:gridCol w:w="2541"/>
      </w:tblGrid>
      <w:tr>
        <w:trPr>
          <w:tblHeader w:val="true"/>
          <w:cantSplit/>
        </w:trPr>
        <w:tc>
          <w:tcPr>
            <w:tcW w:type="dxa" w:w="1728"/>
            <w:vAlign w:val="center"/>
            <w:shd w:fill="17324D"/>
          </w:tcPr>
          <w:p>
            <w:pPr>
              <w:spacing w:after="0"/>
            </w:pPr>
            <w:r/>
            <w:r>
              <w:rPr>
                <w:rFonts w:ascii="Aptos" w:hAnsi="Aptos"/>
                <w:b/>
                <w:color w:val="FFFFFF"/>
                <w:sz w:val="16"/>
              </w:rPr>
              <w:t>Document version</w:t>
            </w:r>
          </w:p>
        </w:tc>
        <w:tc>
          <w:tcPr>
            <w:tcW w:type="dxa" w:w="1728"/>
            <w:vAlign w:val="center"/>
            <w:shd w:fill="17324D"/>
          </w:tcPr>
          <w:p>
            <w:pPr>
              <w:spacing w:after="0"/>
            </w:pPr>
            <w:r/>
            <w:r>
              <w:rPr>
                <w:rFonts w:ascii="Aptos" w:hAnsi="Aptos"/>
                <w:b/>
                <w:color w:val="FFFFFF"/>
                <w:sz w:val="16"/>
              </w:rPr>
              <w:t>Date</w:t>
            </w:r>
          </w:p>
        </w:tc>
        <w:tc>
          <w:tcPr>
            <w:tcW w:type="dxa" w:w="5760"/>
            <w:vAlign w:val="center"/>
            <w:shd w:fill="17324D"/>
          </w:tcPr>
          <w:p>
            <w:pPr>
              <w:spacing w:after="0"/>
            </w:pPr>
            <w:r/>
            <w:r>
              <w:rPr>
                <w:rFonts w:ascii="Aptos" w:hAnsi="Aptos"/>
                <w:b/>
                <w:color w:val="FFFFFF"/>
                <w:sz w:val="16"/>
              </w:rPr>
              <w:t>Change summary</w:t>
            </w:r>
          </w:p>
        </w:tc>
        <w:tc>
          <w:tcPr>
            <w:tcW w:type="dxa" w:w="1728"/>
            <w:vAlign w:val="center"/>
            <w:shd w:fill="17324D"/>
          </w:tcPr>
          <w:p>
            <w:pPr>
              <w:spacing w:after="0"/>
            </w:pPr>
            <w:r/>
            <w:r>
              <w:rPr>
                <w:rFonts w:ascii="Aptos" w:hAnsi="Aptos"/>
                <w:b/>
                <w:color w:val="FFFFFF"/>
                <w:sz w:val="16"/>
              </w:rPr>
              <w:t>Status</w:t>
            </w:r>
          </w:p>
        </w:tc>
      </w:tr>
      <w:tr>
        <w:trPr>
          <w:cantSplit/>
        </w:trPr>
        <w:tc>
          <w:tcPr>
            <w:tcW w:type="dxa" w:w="1728"/>
            <w:vAlign w:val="center"/>
          </w:tcPr>
          <w:p>
            <w:pPr>
              <w:spacing w:after="0"/>
            </w:pPr>
            <w:r/>
            <w:r>
              <w:rPr>
                <w:rFonts w:ascii="Aptos" w:hAnsi="Aptos"/>
                <w:b w:val="0"/>
                <w:sz w:val="15"/>
              </w:rPr>
              <w:t>1.0</w:t>
            </w:r>
          </w:p>
        </w:tc>
        <w:tc>
          <w:tcPr>
            <w:tcW w:type="dxa" w:w="1728"/>
            <w:vAlign w:val="center"/>
          </w:tcPr>
          <w:p>
            <w:pPr>
              <w:spacing w:after="0"/>
            </w:pPr>
            <w:r>
              <w:t>1 July 2026</w:t>
            </w:r>
            <w:r>
              <w:rPr>
                <w:rFonts w:ascii="Aptos" w:hAnsi="Aptos"/>
                <w:b w:val="0"/>
                <w:sz w:val="15"/>
              </w:rPr>
            </w:r>
          </w:p>
        </w:tc>
        <w:tc>
          <w:tcPr>
            <w:tcW w:type="dxa" w:w="5760"/>
            <w:vAlign w:val="center"/>
          </w:tcPr>
          <w:p>
            <w:pPr>
              <w:spacing w:after="0"/>
            </w:pPr>
            <w:r/>
            <w:r>
              <w:rPr>
                <w:rFonts w:ascii="Aptos" w:hAnsi="Aptos"/>
                <w:b w:val="0"/>
                <w:sz w:val="15"/>
              </w:rPr>
              <w:t>Initial public change log; records pre-publication decisions, 45-control defect, restoration to 59 controls, and open correction of Foundational-scope wording</w:t>
            </w:r>
          </w:p>
        </w:tc>
        <w:tc>
          <w:tcPr>
            <w:tcW w:type="dxa" w:w="1728"/>
            <w:vAlign w:val="center"/>
          </w:tcPr>
          <w:p>
            <w:r>
              <w:t>Final Publication Edition</w:t>
            </w:r>
          </w:p>
        </w:tc>
      </w:tr>
    </w:tbl>
    <w:p/>
    <w:p>
      <w:pPr>
        <w:pStyle w:val="Heading1"/>
      </w:pPr>
      <w:r>
        <w:t>Controlled Profile Reconciliation Notice</w:t>
      </w:r>
    </w:p>
    <w:p>
      <w:r>
        <w:t>The Foundational profile comprises the 52 canonical controls in D1-D8. The seven D9 controls are additional mandatory controls whenever physical AI or cyber-physical actuation is within the assessed scope.</w:t>
      </w:r>
    </w:p>
    <w:p>
      <w:r>
        <w:t>Any earlier wording that described the Foundational profile as spanning all nine domains, or that treated D9 as universally mandatory or universally excluded, is superseded by this statement. D9 applicability shall be determined and justified for every assessed scope.</w:t>
      </w:r>
    </w:p>
    <w:p>
      <w:pPr>
        <w:pStyle w:val="Heading1"/>
      </w:pPr>
      <w:r>
        <w:t>Decision Provenance Requirements</w:t>
      </w:r>
    </w:p>
    <w:tbl>
      <w:tblPr>
        <w:tblStyle w:val="TableGrid"/>
        <w:tblW w:type="auto" w:w="0"/>
        <w:jc w:val="center"/>
        <w:tblLook w:firstColumn="1" w:firstRow="1" w:lastColumn="0" w:lastRow="0" w:noHBand="0" w:noVBand="1" w:val="04A0"/>
      </w:tblPr>
      <w:tblGrid>
        <w:gridCol w:w="5083"/>
        <w:gridCol w:w="5083"/>
      </w:tblGrid>
      <w:tr>
        <w:trPr>
          <w:tblHeader w:val="true"/>
          <w:cantSplit/>
        </w:trPr>
        <w:tc>
          <w:tcPr>
            <w:tcW w:type="dxa" w:w="5083"/>
            <w:vAlign w:val="center"/>
            <w:shd w:fill="17324D"/>
          </w:tcPr>
          <w:p>
            <w:pPr>
              <w:spacing w:after="0"/>
            </w:pPr>
            <w:r/>
            <w:r>
              <w:rPr>
                <w:rFonts w:ascii="Aptos" w:hAnsi="Aptos"/>
                <w:b/>
                <w:color w:val="FFFFFF"/>
                <w:sz w:val="15"/>
              </w:rPr>
              <w:t>Record element</w:t>
            </w:r>
          </w:p>
        </w:tc>
        <w:tc>
          <w:tcPr>
            <w:tcW w:type="dxa" w:w="5083"/>
            <w:vAlign w:val="center"/>
            <w:shd w:fill="17324D"/>
          </w:tcPr>
          <w:p>
            <w:pPr>
              <w:spacing w:after="0"/>
            </w:pPr>
            <w:r/>
            <w:r>
              <w:rPr>
                <w:rFonts w:ascii="Aptos" w:hAnsi="Aptos"/>
                <w:b/>
                <w:color w:val="FFFFFF"/>
                <w:sz w:val="15"/>
              </w:rPr>
              <w:t>Requirement</w:t>
            </w:r>
          </w:p>
        </w:tc>
      </w:tr>
      <w:tr>
        <w:trPr>
          <w:cantSplit/>
        </w:trPr>
        <w:tc>
          <w:tcPr>
            <w:tcW w:type="dxa" w:w="5083"/>
            <w:vAlign w:val="center"/>
            <w:shd w:fill="FFFFFF"/>
          </w:tcPr>
          <w:p>
            <w:pPr>
              <w:spacing w:after="0"/>
            </w:pPr>
            <w:r/>
            <w:r>
              <w:rPr>
                <w:rFonts w:ascii="Aptos" w:hAnsi="Aptos"/>
                <w:b w:val="0"/>
                <w:sz w:val="15"/>
              </w:rPr>
              <w:t>Issue</w:t>
            </w:r>
          </w:p>
        </w:tc>
        <w:tc>
          <w:tcPr>
            <w:tcW w:type="dxa" w:w="5083"/>
            <w:vAlign w:val="center"/>
            <w:shd w:fill="FFFFFF"/>
          </w:tcPr>
          <w:p>
            <w:pPr>
              <w:spacing w:after="0"/>
            </w:pPr>
            <w:r/>
            <w:r>
              <w:rPr>
                <w:rFonts w:ascii="Aptos" w:hAnsi="Aptos"/>
                <w:b w:val="0"/>
                <w:sz w:val="15"/>
              </w:rPr>
              <w:t>Describe the inconsistency, defect or change request.</w:t>
            </w:r>
          </w:p>
        </w:tc>
      </w:tr>
      <w:tr>
        <w:trPr>
          <w:cantSplit/>
        </w:trPr>
        <w:tc>
          <w:tcPr>
            <w:tcW w:type="dxa" w:w="5083"/>
            <w:vAlign w:val="center"/>
            <w:shd w:fill="F3F6F7"/>
          </w:tcPr>
          <w:p>
            <w:pPr>
              <w:spacing w:after="0"/>
            </w:pPr>
            <w:r/>
            <w:r>
              <w:rPr>
                <w:rFonts w:ascii="Aptos" w:hAnsi="Aptos"/>
                <w:b w:val="0"/>
                <w:sz w:val="15"/>
              </w:rPr>
              <w:t>Evidence</w:t>
            </w:r>
          </w:p>
        </w:tc>
        <w:tc>
          <w:tcPr>
            <w:tcW w:type="dxa" w:w="5083"/>
            <w:vAlign w:val="center"/>
            <w:shd w:fill="F3F6F7"/>
          </w:tcPr>
          <w:p>
            <w:pPr>
              <w:spacing w:after="0"/>
            </w:pPr>
            <w:r/>
            <w:r>
              <w:rPr>
                <w:rFonts w:ascii="Aptos" w:hAnsi="Aptos"/>
                <w:b w:val="0"/>
                <w:sz w:val="15"/>
              </w:rPr>
              <w:t>Identify source documents and affected requirements.</w:t>
            </w:r>
          </w:p>
        </w:tc>
      </w:tr>
      <w:tr>
        <w:trPr>
          <w:cantSplit/>
        </w:trPr>
        <w:tc>
          <w:tcPr>
            <w:tcW w:type="dxa" w:w="5083"/>
            <w:vAlign w:val="center"/>
            <w:shd w:fill="FFFFFF"/>
          </w:tcPr>
          <w:p>
            <w:pPr>
              <w:spacing w:after="0"/>
            </w:pPr>
            <w:r/>
            <w:r>
              <w:rPr>
                <w:rFonts w:ascii="Aptos" w:hAnsi="Aptos"/>
                <w:b w:val="0"/>
                <w:sz w:val="15"/>
              </w:rPr>
              <w:t>Options</w:t>
            </w:r>
          </w:p>
        </w:tc>
        <w:tc>
          <w:tcPr>
            <w:tcW w:type="dxa" w:w="5083"/>
            <w:vAlign w:val="center"/>
            <w:shd w:fill="FFFFFF"/>
          </w:tcPr>
          <w:p>
            <w:pPr>
              <w:spacing w:after="0"/>
            </w:pPr>
            <w:r/>
            <w:r>
              <w:rPr>
                <w:rFonts w:ascii="Aptos" w:hAnsi="Aptos"/>
                <w:b w:val="0"/>
                <w:sz w:val="15"/>
              </w:rPr>
              <w:t>Record viable alternatives and consequences.</w:t>
            </w:r>
          </w:p>
        </w:tc>
      </w:tr>
      <w:tr>
        <w:trPr>
          <w:cantSplit/>
        </w:trPr>
        <w:tc>
          <w:tcPr>
            <w:tcW w:type="dxa" w:w="5083"/>
            <w:vAlign w:val="center"/>
            <w:shd w:fill="F3F6F7"/>
          </w:tcPr>
          <w:p>
            <w:pPr>
              <w:spacing w:after="0"/>
            </w:pPr>
            <w:r/>
            <w:r>
              <w:rPr>
                <w:rFonts w:ascii="Aptos" w:hAnsi="Aptos"/>
                <w:b w:val="0"/>
                <w:sz w:val="15"/>
              </w:rPr>
              <w:t>Decision</w:t>
            </w:r>
          </w:p>
        </w:tc>
        <w:tc>
          <w:tcPr>
            <w:tcW w:type="dxa" w:w="5083"/>
            <w:vAlign w:val="center"/>
            <w:shd w:fill="F3F6F7"/>
          </w:tcPr>
          <w:p>
            <w:pPr>
              <w:spacing w:after="0"/>
            </w:pPr>
            <w:r/>
            <w:r>
              <w:rPr>
                <w:rFonts w:ascii="Aptos" w:hAnsi="Aptos"/>
                <w:b w:val="0"/>
                <w:sz w:val="15"/>
              </w:rPr>
              <w:t>State approved treatment and authority.</w:t>
            </w:r>
          </w:p>
        </w:tc>
      </w:tr>
      <w:tr>
        <w:trPr>
          <w:cantSplit/>
        </w:trPr>
        <w:tc>
          <w:tcPr>
            <w:tcW w:type="dxa" w:w="5083"/>
            <w:vAlign w:val="center"/>
            <w:shd w:fill="FFFFFF"/>
          </w:tcPr>
          <w:p>
            <w:pPr>
              <w:spacing w:after="0"/>
            </w:pPr>
            <w:r/>
            <w:r>
              <w:rPr>
                <w:rFonts w:ascii="Aptos" w:hAnsi="Aptos"/>
                <w:b w:val="0"/>
                <w:sz w:val="15"/>
              </w:rPr>
              <w:t>Impact</w:t>
            </w:r>
          </w:p>
        </w:tc>
        <w:tc>
          <w:tcPr>
            <w:tcW w:type="dxa" w:w="5083"/>
            <w:vAlign w:val="center"/>
            <w:shd w:fill="FFFFFF"/>
          </w:tcPr>
          <w:p>
            <w:pPr>
              <w:spacing w:after="0"/>
            </w:pPr>
            <w:r/>
            <w:r>
              <w:rPr>
                <w:rFonts w:ascii="Aptos" w:hAnsi="Aptos"/>
                <w:b w:val="0"/>
                <w:sz w:val="15"/>
              </w:rPr>
              <w:t>Identify affected documents, tools, assessments and claims.</w:t>
            </w:r>
          </w:p>
        </w:tc>
      </w:tr>
      <w:tr>
        <w:trPr>
          <w:cantSplit/>
        </w:trPr>
        <w:tc>
          <w:tcPr>
            <w:tcW w:type="dxa" w:w="5083"/>
            <w:vAlign w:val="center"/>
            <w:shd w:fill="F3F6F7"/>
          </w:tcPr>
          <w:p>
            <w:pPr>
              <w:spacing w:after="0"/>
            </w:pPr>
            <w:r/>
            <w:r>
              <w:rPr>
                <w:rFonts w:ascii="Aptos" w:hAnsi="Aptos"/>
                <w:b w:val="0"/>
                <w:sz w:val="15"/>
              </w:rPr>
              <w:t>Verification</w:t>
            </w:r>
          </w:p>
        </w:tc>
        <w:tc>
          <w:tcPr>
            <w:tcW w:type="dxa" w:w="5083"/>
            <w:vAlign w:val="center"/>
            <w:shd w:fill="F3F6F7"/>
          </w:tcPr>
          <w:p>
            <w:pPr>
              <w:spacing w:after="0"/>
            </w:pPr>
            <w:r/>
            <w:r>
              <w:rPr>
                <w:rFonts w:ascii="Aptos" w:hAnsi="Aptos"/>
                <w:b w:val="0"/>
                <w:sz w:val="15"/>
              </w:rPr>
              <w:t>Record completion and independent check.</w:t>
            </w:r>
          </w:p>
        </w:tc>
      </w:tr>
    </w:tbl>
    <w:p/>
    <w:p>
      <w:pPr>
        <w:pStyle w:val="Heading1"/>
      </w:pPr>
      <w:r>
        <w:t>Historical Integrity Rules</w:t>
      </w:r>
    </w:p>
    <w:p>
      <w:pPr>
        <w:pStyle w:val="ListBullet"/>
      </w:pPr>
      <w:r>
        <w:t>Do not delete material rejected decisions.</w:t>
      </w:r>
    </w:p>
    <w:p>
      <w:pPr>
        <w:pStyle w:val="ListBullet"/>
      </w:pPr>
      <w:r>
        <w:t>Distinguish editorial correction from substantive change.</w:t>
      </w:r>
    </w:p>
    <w:p>
      <w:pPr>
        <w:pStyle w:val="ListBullet"/>
      </w:pPr>
      <w:r>
        <w:t>Preserve superseded identifiers and dates.</w:t>
      </w:r>
    </w:p>
    <w:p>
      <w:pPr>
        <w:pStyle w:val="ListBullet"/>
      </w:pPr>
      <w:r>
        <w:t>Record unresolved issues as open actions rather than implied completion.</w:t>
      </w:r>
    </w:p>
    <w:p>
      <w:r>
        <w:t>The Foundational profile comprises the 52 canonical controls in D1-D8. The seven D9 controls are additional mandatory controls whenever physical AI or cyber-physical actuation is within the assessed scope.</w:t>
      </w:r>
    </w:p>
    <w:p>
      <w:r>
        <w:br w:type="page"/>
      </w:r>
    </w:p>
    <w:p>
      <w:pPr>
        <w:pStyle w:val="Heading1"/>
      </w:pPr>
      <w:r>
        <w:t>Publication Completeness and Intended Use</w:t>
      </w:r>
    </w:p>
    <w:p>
      <w:r>
        <w:t>This full publication edition of GAISSF-NOR-008 is designed to stand on its own for its stated role: historical traceability, decision provenance and corrective-action record. It includes purpose, scope, governance, operating guidance, evidence expectations, limitations, decision criteria and reusable records appropriate to that role.</w:t>
      </w:r>
    </w:p>
    <w:p>
      <w:r>
        <w:t>Completeness does not mean that the document replaces the normative control statements, applicable law, sector-specific engineering, organizational procedures or professional judgement. Cross-referenced GAISSF documents remain part of the controlled document system.</w:t>
      </w:r>
    </w:p>
    <w:tbl>
      <w:tblPr>
        <w:tblStyle w:val="TableGrid"/>
        <w:tblW w:type="auto" w:w="0"/>
        <w:jc w:val="center"/>
        <w:tblLook w:firstColumn="1" w:firstRow="1" w:lastColumn="0" w:lastRow="0" w:noHBand="0" w:noVBand="1" w:val="04A0"/>
      </w:tblPr>
      <w:tblGrid>
        <w:gridCol w:w="5083"/>
        <w:gridCol w:w="5083"/>
      </w:tblGrid>
      <w:tr>
        <w:trPr>
          <w:tblHeader w:val="true"/>
          <w:cantSplit/>
        </w:trPr>
        <w:tc>
          <w:tcPr>
            <w:tcW w:type="dxa" w:w="5083"/>
            <w:vAlign w:val="center"/>
            <w:shd w:fill="17324D"/>
          </w:tcPr>
          <w:p>
            <w:pPr>
              <w:spacing w:after="0"/>
            </w:pPr>
            <w:r/>
            <w:r>
              <w:rPr>
                <w:rFonts w:ascii="Aptos" w:hAnsi="Aptos"/>
                <w:b/>
                <w:color w:val="FFFFFF"/>
                <w:sz w:val="15"/>
              </w:rPr>
              <w:t>Completeness dimension</w:t>
            </w:r>
          </w:p>
        </w:tc>
        <w:tc>
          <w:tcPr>
            <w:tcW w:type="dxa" w:w="5083"/>
            <w:vAlign w:val="center"/>
            <w:shd w:fill="17324D"/>
          </w:tcPr>
          <w:p>
            <w:pPr>
              <w:spacing w:after="0"/>
            </w:pPr>
            <w:r/>
            <w:r>
              <w:rPr>
                <w:rFonts w:ascii="Aptos" w:hAnsi="Aptos"/>
                <w:b/>
                <w:color w:val="FFFFFF"/>
                <w:sz w:val="15"/>
              </w:rPr>
              <w:t>Treatment in this edition</w:t>
            </w:r>
          </w:p>
        </w:tc>
      </w:tr>
      <w:tr>
        <w:trPr>
          <w:cantSplit/>
        </w:trPr>
        <w:tc>
          <w:tcPr>
            <w:tcW w:type="dxa" w:w="5083"/>
            <w:vAlign w:val="center"/>
            <w:shd w:fill="FFFFFF"/>
          </w:tcPr>
          <w:p>
            <w:pPr>
              <w:spacing w:after="0"/>
            </w:pPr>
            <w:r/>
            <w:r>
              <w:rPr>
                <w:rFonts w:ascii="Aptos" w:hAnsi="Aptos"/>
                <w:b w:val="0"/>
                <w:sz w:val="15"/>
              </w:rPr>
              <w:t>Normative alignment</w:t>
            </w:r>
          </w:p>
        </w:tc>
        <w:tc>
          <w:tcPr>
            <w:tcW w:type="dxa" w:w="5083"/>
            <w:vAlign w:val="center"/>
            <w:shd w:fill="FFFFFF"/>
          </w:tcPr>
          <w:p>
            <w:pPr>
              <w:spacing w:after="0"/>
            </w:pPr>
            <w:r/>
            <w:r>
              <w:rPr>
                <w:rFonts w:ascii="Aptos" w:hAnsi="Aptos"/>
                <w:b w:val="0"/>
                <w:sz w:val="15"/>
              </w:rPr>
              <w:t>Reconciled to the authoritative 59-control baseline and controlled profile structure.</w:t>
            </w:r>
          </w:p>
        </w:tc>
      </w:tr>
      <w:tr>
        <w:trPr>
          <w:cantSplit/>
        </w:trPr>
        <w:tc>
          <w:tcPr>
            <w:tcW w:type="dxa" w:w="5083"/>
            <w:vAlign w:val="center"/>
            <w:shd w:fill="F3F6F7"/>
          </w:tcPr>
          <w:p>
            <w:pPr>
              <w:spacing w:after="0"/>
            </w:pPr>
            <w:r/>
            <w:r>
              <w:rPr>
                <w:rFonts w:ascii="Aptos" w:hAnsi="Aptos"/>
                <w:b w:val="0"/>
                <w:sz w:val="15"/>
              </w:rPr>
              <w:t>Operational usability</w:t>
            </w:r>
          </w:p>
        </w:tc>
        <w:tc>
          <w:tcPr>
            <w:tcW w:type="dxa" w:w="5083"/>
            <w:vAlign w:val="center"/>
            <w:shd w:fill="F3F6F7"/>
          </w:tcPr>
          <w:p>
            <w:pPr>
              <w:spacing w:after="0"/>
            </w:pPr>
            <w:r/>
            <w:r>
              <w:rPr>
                <w:rFonts w:ascii="Aptos" w:hAnsi="Aptos"/>
                <w:b w:val="0"/>
                <w:sz w:val="15"/>
              </w:rPr>
              <w:t>Includes roles, workflows, gates, evidence, metrics, escalation and examples where relevant.</w:t>
            </w:r>
          </w:p>
        </w:tc>
      </w:tr>
      <w:tr>
        <w:trPr>
          <w:cantSplit/>
        </w:trPr>
        <w:tc>
          <w:tcPr>
            <w:tcW w:type="dxa" w:w="5083"/>
            <w:vAlign w:val="center"/>
            <w:shd w:fill="FFFFFF"/>
          </w:tcPr>
          <w:p>
            <w:pPr>
              <w:spacing w:after="0"/>
            </w:pPr>
            <w:r/>
            <w:r>
              <w:rPr>
                <w:rFonts w:ascii="Aptos" w:hAnsi="Aptos"/>
                <w:b w:val="0"/>
                <w:sz w:val="15"/>
              </w:rPr>
              <w:t>Traceability</w:t>
            </w:r>
          </w:p>
        </w:tc>
        <w:tc>
          <w:tcPr>
            <w:tcW w:type="dxa" w:w="5083"/>
            <w:vAlign w:val="center"/>
            <w:shd w:fill="FFFFFF"/>
          </w:tcPr>
          <w:p>
            <w:pPr>
              <w:spacing w:after="0"/>
            </w:pPr>
            <w:r/>
            <w:r>
              <w:rPr>
                <w:rFonts w:ascii="Aptos" w:hAnsi="Aptos"/>
                <w:b w:val="0"/>
                <w:sz w:val="15"/>
              </w:rPr>
              <w:t>Identifies dependencies and preserves the distinction between requirements, guidance and examples.</w:t>
            </w:r>
          </w:p>
        </w:tc>
      </w:tr>
      <w:tr>
        <w:trPr>
          <w:cantSplit/>
        </w:trPr>
        <w:tc>
          <w:tcPr>
            <w:tcW w:type="dxa" w:w="5083"/>
            <w:vAlign w:val="center"/>
            <w:shd w:fill="F3F6F7"/>
          </w:tcPr>
          <w:p>
            <w:pPr>
              <w:spacing w:after="0"/>
            </w:pPr>
            <w:r/>
            <w:r>
              <w:rPr>
                <w:rFonts w:ascii="Aptos" w:hAnsi="Aptos"/>
                <w:b w:val="0"/>
                <w:sz w:val="15"/>
              </w:rPr>
              <w:t>Limitations</w:t>
            </w:r>
          </w:p>
        </w:tc>
        <w:tc>
          <w:tcPr>
            <w:tcW w:type="dxa" w:w="5083"/>
            <w:vAlign w:val="center"/>
            <w:shd w:fill="F3F6F7"/>
          </w:tcPr>
          <w:p>
            <w:pPr>
              <w:spacing w:after="0"/>
            </w:pPr>
            <w:r/>
            <w:r>
              <w:rPr>
                <w:rFonts w:ascii="Aptos" w:hAnsi="Aptos"/>
                <w:b w:val="0"/>
                <w:sz w:val="15"/>
              </w:rPr>
              <w:t>States what the document does not establish or guarantee.</w:t>
            </w:r>
          </w:p>
        </w:tc>
      </w:tr>
      <w:tr>
        <w:trPr>
          <w:cantSplit/>
        </w:trPr>
        <w:tc>
          <w:tcPr>
            <w:tcW w:type="dxa" w:w="5083"/>
            <w:vAlign w:val="center"/>
            <w:shd w:fill="FFFFFF"/>
          </w:tcPr>
          <w:p>
            <w:pPr>
              <w:spacing w:after="0"/>
            </w:pPr>
            <w:r/>
            <w:r>
              <w:rPr>
                <w:rFonts w:ascii="Aptos" w:hAnsi="Aptos"/>
                <w:b w:val="0"/>
                <w:sz w:val="15"/>
              </w:rPr>
              <w:t>Maintenance</w:t>
            </w:r>
          </w:p>
        </w:tc>
        <w:tc>
          <w:tcPr>
            <w:tcW w:type="dxa" w:w="5083"/>
            <w:vAlign w:val="center"/>
            <w:shd w:fill="FFFFFF"/>
          </w:tcPr>
          <w:p>
            <w:pPr>
              <w:spacing w:after="0"/>
            </w:pPr>
            <w:r/>
            <w:r>
              <w:rPr>
                <w:rFonts w:ascii="Aptos" w:hAnsi="Aptos"/>
                <w:b w:val="0"/>
                <w:sz w:val="15"/>
              </w:rPr>
              <w:t>Includes review triggers, change control and publication status.</w:t>
            </w:r>
          </w:p>
        </w:tc>
      </w:tr>
    </w:tbl>
    <w:p/>
    <w:p>
      <w:pPr>
        <w:pStyle w:val="Heading2"/>
      </w:pPr>
      <w:r>
        <w:t>v1.0 Publication Closure Statement</w:t>
      </w:r>
    </w:p>
    <w:p>
      <w:r>
        <w:t>The NOR-001 through NOR-008 controlled document set has been reconciled to 59 total controls, the 52-control D1-D8 canonical Foundational baseline, and seven additional D9 controls that become mandatory where physical AI or cyber-physical actuation is within scope.</w:t>
      </w:r>
    </w:p>
    <w:p>
      <w:r>
        <w:t>Document-content corrective actions are closed in this edition. Machine-readable schemas, validation-test assets, repositories, websites, GitHub releases, and other distribution channels remain subject to their own technical and publication-operation release gates. This document does not claim those external gates have been completed.</w:t>
      </w:r>
    </w:p>
    <w:sectPr w:rsidR="00FC693F" w:rsidRPr="0006063C" w:rsidSect="00034616">
      <w:headerReference w:type="default" r:id="rId9"/>
      <w:footerReference w:type="default" r:id="rId10"/>
      <w:pgSz w:w="12240" w:h="15840"/>
      <w:pgMar w:top="936" w:right="1037" w:bottom="936" w:left="103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5"/>
      </w:rPr>
      <w:t xml:space="preserve">Version 1.0 | Normative historical traceability | © 2026 ODA3 Pvt Ltd | Page </w:t>
    </w:r>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color w:val="4C6B7A"/>
        <w:sz w:val="16"/>
      </w:rPr>
      <w:t>GAISSF-NOR-008 | GAISSF® v1.0 Change Log</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52" w:lineRule="auto"/>
    </w:pPr>
    <w:rPr>
      <w:rFonts w:ascii="Aptos" w:hAnsi="Aptos"/>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Display" w:hAnsi="Aptos Display"/>
      <w:b/>
      <w:bCs/>
      <w:color w:val="17324D"/>
      <w:sz w:val="34"/>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Display" w:hAnsi="Aptos Display"/>
      <w:b/>
      <w:bCs/>
      <w:color w:val="205B65"/>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ptos" w:hAnsi="Aptos"/>
      <w:b/>
      <w:bCs/>
      <w:color w:val="17324D"/>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Display" w:hAnsi="Aptos Display"/>
      <w:b/>
      <w:color w:val="17324D"/>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Aptos" w:hAnsi="Aptos"/>
      <w:b w:val="0"/>
      <w:i/>
      <w:iCs/>
      <w:color w:val="4C6B7A"/>
      <w:spacing w:val="15"/>
      <w:sz w:val="26"/>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mallNote">
    <w:name w:val="Small Note"/>
    <w:pPr>
      <w:spacing w:after="60"/>
    </w:pPr>
    <w:rPr>
      <w:rFonts w:ascii="Aptos" w:hAnsi="Aptos"/>
      <w:color w:val="4A5560"/>
      <w:sz w:val="16"/>
    </w:rPr>
  </w:style>
  <w:style w:type="paragraph" w:customStyle="1" w:styleId="DecisionRecord">
    <w:name w:val="Decision Record"/>
    <w:pPr>
      <w:spacing w:after="80"/>
      <w:ind w:left="288" w:hanging="288"/>
    </w:pPr>
    <w:rPr>
      <w:rFonts w:ascii="Aptos" w:hAnsi="Aptos"/>
      <w:sz w:val="17"/>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GAISSF® v1.0 Change Log</dc:title>
  <dc:subject>GAISSF v1.0 publication document</dc:subject>
  <dc:creator>ODA3 Institute</dc:creator>
  <cp:keywords>GAISSF, AI security, AI safety, ODA3 Institute</cp:keywords>
  <dc:description>Final Publication Edition</dc:description>
  <cp:lastModifiedBy>ODA3 Institute</cp:lastModifiedBy>
  <cp:revision>1</cp:revision>
  <dcterms:created xsi:type="dcterms:W3CDTF">2013-12-23T23:15:00Z</dcterms:created>
  <dcterms:modified xsi:type="dcterms:W3CDTF">2013-12-23T23:15:00Z</dcterms:modified>
  <cp:category/>
</cp:coreProperties>
</file>