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GAISSF Government Sector Implementation Guidance</w:t>
      </w:r>
    </w:p>
    <w:p>
      <w:pPr>
        <w:pStyle w:val="Subtitle"/>
      </w:pPr>
      <w:r>
        <w:t>Executive Brief — June 2026 Release</w:t>
      </w:r>
    </w:p>
    <w:p>
      <w:r>
        <w:t>Publication Candidate | ODA3 Institute</w:t>
      </w:r>
    </w:p>
    <w:p>
      <w:pPr>
        <w:pStyle w:val="Heading1"/>
      </w:pPr>
      <w:r>
        <w:t>Purpose</w:t>
      </w:r>
    </w:p>
    <w:p>
      <w:r>
        <w:t>This brief supports senior government leaders deciding whether and how to permit AI use in public functions. It accompanies the detailed informative implementation guide and does not replace GAISSF-NOR-001, applicable law, agency policy, procurement rules, or qualified legal judgement.</w:t>
      </w:r>
    </w:p>
    <w:p>
      <w:pPr>
        <w:pStyle w:val="Heading1"/>
      </w:pPr>
      <w:r>
        <w:t>The central governance question</w:t>
      </w:r>
    </w:p>
    <w:p>
      <w:r>
        <w:t>The decisive risk is not the mere presence of AI. It is the translation of an AI output into public authority, public action, an official record, or a material effect on a person without lawful authority, effective review, traceability, security boundaries, and a workable correction route.</w:t>
      </w:r>
    </w:p>
    <w:p>
      <w:pPr>
        <w:pStyle w:val="Heading1"/>
      </w:pPr>
      <w:r>
        <w:t>Five decisions for senior leadership</w:t>
      </w:r>
    </w:p>
    <w:p>
      <w:pPr>
        <w:pStyle w:val="ListNumber"/>
      </w:pPr>
      <w:r>
        <w:t>Define where AI may advise, recommend, perform constrained operational actions, or materially determine a public outcome.</w:t>
      </w:r>
    </w:p>
    <w:p>
      <w:pPr>
        <w:pStyle w:val="ListNumber"/>
      </w:pPr>
      <w:r>
        <w:t>Assign an accountable public official and legal authority for every material use case; procurement does not transfer public accountability.</w:t>
      </w:r>
    </w:p>
    <w:p>
      <w:pPr>
        <w:pStyle w:val="ListNumber"/>
      </w:pPr>
      <w:r>
        <w:t>Require reconstructable records, notice, reasons, contestability and correction where people may be materially affected.</w:t>
      </w:r>
    </w:p>
    <w:p>
      <w:pPr>
        <w:pStyle w:val="ListNumber"/>
      </w:pPr>
      <w:r>
        <w:t>Set technical boundaries for data, prompts, tools, agents, suppliers and physical actions, including manual fallback and safe shutdown.</w:t>
      </w:r>
    </w:p>
    <w:p>
      <w:pPr>
        <w:pStyle w:val="ListNumber"/>
      </w:pPr>
      <w:r>
        <w:t>Do not close the publication or deployment gate until evidence demonstrates operating effectiveness, not merely policy completion.</w:t>
      </w:r>
    </w:p>
    <w:p>
      <w:pPr>
        <w:pStyle w:val="Heading1"/>
      </w:pPr>
      <w:r>
        <w:t>Decision-authority model</w:t>
      </w:r>
    </w:p>
    <w:tbl>
      <w:tblPr>
        <w:tblStyle w:val="TableGrid"/>
        <w:tblW w:type="auto" w:w="0"/>
        <w:tblLook w:firstColumn="1" w:firstRow="1" w:lastColumn="0" w:lastRow="0" w:noHBand="0" w:noVBand="1" w:val="04A0"/>
      </w:tblPr>
      <w:tblGrid>
        <w:gridCol w:w="3360"/>
        <w:gridCol w:w="3360"/>
        <w:gridCol w:w="3360"/>
      </w:tblGrid>
      <w:tr>
        <w:tc>
          <w:tcPr>
            <w:tcW w:type="dxa" w:w="3360"/>
          </w:tcPr>
          <w:p>
            <w:r>
              <w:t>Level</w:t>
            </w:r>
          </w:p>
        </w:tc>
        <w:tc>
          <w:tcPr>
            <w:tcW w:type="dxa" w:w="3360"/>
          </w:tcPr>
          <w:p>
            <w:r>
              <w:t>AI role</w:t>
            </w:r>
          </w:p>
        </w:tc>
        <w:tc>
          <w:tcPr>
            <w:tcW w:type="dxa" w:w="3360"/>
          </w:tcPr>
          <w:p>
            <w:r>
              <w:t>Leadership expectation</w:t>
            </w:r>
          </w:p>
        </w:tc>
      </w:tr>
      <w:tr>
        <w:tc>
          <w:tcPr>
            <w:tcW w:type="dxa" w:w="3360"/>
          </w:tcPr>
          <w:p>
            <w:r>
              <w:t>1 — Informational</w:t>
            </w:r>
          </w:p>
        </w:tc>
        <w:tc>
          <w:tcPr>
            <w:tcW w:type="dxa" w:w="3360"/>
          </w:tcPr>
          <w:p>
            <w:r>
              <w:t>Drafting, search, summarisation, translation</w:t>
            </w:r>
          </w:p>
        </w:tc>
        <w:tc>
          <w:tcPr>
            <w:tcW w:type="dxa" w:w="3360"/>
          </w:tcPr>
          <w:p>
            <w:r>
              <w:t>No direct material effect; logging, data controls and review remain required.</w:t>
            </w:r>
          </w:p>
        </w:tc>
      </w:tr>
      <w:tr>
        <w:tc>
          <w:tcPr>
            <w:tcW w:type="dxa" w:w="3360"/>
          </w:tcPr>
          <w:p>
            <w:r>
              <w:t>2 — Recommendation</w:t>
            </w:r>
          </w:p>
        </w:tc>
        <w:tc>
          <w:tcPr>
            <w:tcW w:type="dxa" w:w="3360"/>
          </w:tcPr>
          <w:p>
            <w:r>
              <w:t>Ranking, scoring, flagging or prioritisation</w:t>
            </w:r>
          </w:p>
        </w:tc>
        <w:tc>
          <w:tcPr>
            <w:tcW w:type="dxa" w:w="3360"/>
          </w:tcPr>
          <w:p>
            <w:r>
              <w:t>An authorised official independently evaluates evidence and owns the decision.</w:t>
            </w:r>
          </w:p>
        </w:tc>
      </w:tr>
      <w:tr>
        <w:tc>
          <w:tcPr>
            <w:tcW w:type="dxa" w:w="3360"/>
          </w:tcPr>
          <w:p>
            <w:r>
              <w:t>3 — Constrained action</w:t>
            </w:r>
          </w:p>
        </w:tc>
        <w:tc>
          <w:tcPr>
            <w:tcW w:type="dxa" w:w="3360"/>
          </w:tcPr>
          <w:p>
            <w:r>
              <w:t>Pre-approved operational action within limits</w:t>
            </w:r>
          </w:p>
        </w:tc>
        <w:tc>
          <w:tcPr>
            <w:tcW w:type="dxa" w:w="3360"/>
          </w:tcPr>
          <w:p>
            <w:r>
              <w:t>Least privilege, deterministic boundaries, monitoring, intervention and reversal.</w:t>
            </w:r>
          </w:p>
        </w:tc>
      </w:tr>
      <w:tr>
        <w:tc>
          <w:tcPr>
            <w:tcW w:type="dxa" w:w="3360"/>
          </w:tcPr>
          <w:p>
            <w:r>
              <w:t>4 — Material/determinative</w:t>
            </w:r>
          </w:p>
        </w:tc>
        <w:tc>
          <w:tcPr>
            <w:tcW w:type="dxa" w:w="3360"/>
          </w:tcPr>
          <w:p>
            <w:r>
              <w:t>Affects rights, eligibility, liberty, status, enforcement, benefits or access</w:t>
            </w:r>
          </w:p>
        </w:tc>
        <w:tc>
          <w:tcPr>
            <w:tcW w:type="dxa" w:w="3360"/>
          </w:tcPr>
          <w:p>
            <w:r>
              <w:t>Jurisdiction-specific legal validation, heightened evidence, notice, appeal, independent assurance and executive risk acceptance.</w:t>
            </w:r>
          </w:p>
        </w:tc>
      </w:tr>
    </w:tbl>
    <w:p>
      <w:r>
        <w:br w:type="page"/>
      </w:r>
    </w:p>
    <w:p>
      <w:pPr>
        <w:pStyle w:val="Heading1"/>
      </w:pPr>
      <w:r>
        <w:t>What the package now contains</w:t>
      </w:r>
    </w:p>
    <w:p>
      <w:pPr>
        <w:pStyle w:val="ListBullet"/>
      </w:pPr>
      <w:r>
        <w:t>59 control-specific government interpretations aligned one-to-one with the authoritative GAISSF baseline.</w:t>
      </w:r>
    </w:p>
    <w:p>
      <w:pPr>
        <w:pStyle w:val="ListBullet"/>
      </w:pPr>
      <w:r>
        <w:t>31 government AI use cases, including public health, education, and housing/planning administration.</w:t>
      </w:r>
    </w:p>
    <w:p>
      <w:pPr>
        <w:pStyle w:val="ListBullet"/>
      </w:pPr>
      <w:r>
        <w:t>10 risk records, including a distinct regulatory or policy non-compliance risk.</w:t>
      </w:r>
    </w:p>
    <w:p>
      <w:pPr>
        <w:pStyle w:val="ListBullet"/>
      </w:pPr>
      <w:r>
        <w:t>Control-specific implementation, evidence, assessment and failure-mode guidance.</w:t>
      </w:r>
    </w:p>
    <w:p>
      <w:pPr>
        <w:pStyle w:val="ListBullet"/>
      </w:pPr>
      <w:r>
        <w:t>Use-case-specific worked examples rather than repeated generic failure scenarios.</w:t>
      </w:r>
    </w:p>
    <w:p>
      <w:pPr>
        <w:pStyle w:val="ListBullet"/>
      </w:pPr>
      <w:r>
        <w:t>A 30-sheet operational workbook, machine-readable JSON and CSV profiles, and an internal disposition log.</w:t>
      </w:r>
    </w:p>
    <w:p>
      <w:pPr>
        <w:pStyle w:val="Heading1"/>
      </w:pPr>
      <w:r>
        <w:t>Publication-gate status</w:t>
      </w:r>
    </w:p>
    <w:tbl>
      <w:tblPr>
        <w:tblStyle w:val="TableGrid"/>
        <w:tblW w:type="auto" w:w="0"/>
        <w:tblLook w:firstColumn="1" w:firstRow="1" w:lastColumn="0" w:lastRow="0" w:noHBand="0" w:noVBand="1" w:val="04A0"/>
      </w:tblPr>
      <w:tblGrid>
        <w:gridCol w:w="3360"/>
        <w:gridCol w:w="3360"/>
        <w:gridCol w:w="3360"/>
      </w:tblGrid>
      <w:tr>
        <w:tc>
          <w:tcPr>
            <w:tcW w:type="dxa" w:w="3360"/>
          </w:tcPr>
          <w:p>
            <w:r>
              <w:t>Gate</w:t>
            </w:r>
          </w:p>
        </w:tc>
        <w:tc>
          <w:tcPr>
            <w:tcW w:type="dxa" w:w="3360"/>
          </w:tcPr>
          <w:p>
            <w:r>
              <w:t>Status</w:t>
            </w:r>
          </w:p>
        </w:tc>
        <w:tc>
          <w:tcPr>
            <w:tcW w:type="dxa" w:w="3360"/>
          </w:tcPr>
          <w:p>
            <w:r>
              <w:t>Required action</w:t>
            </w:r>
          </w:p>
        </w:tc>
      </w:tr>
      <w:tr>
        <w:tc>
          <w:tcPr>
            <w:tcW w:type="dxa" w:w="3360"/>
          </w:tcPr>
          <w:p>
            <w:r>
              <w:t>Machine-readable parity</w:t>
            </w:r>
          </w:p>
        </w:tc>
        <w:tc>
          <w:tcPr>
            <w:tcW w:type="dxa" w:w="3360"/>
          </w:tcPr>
          <w:p>
            <w:r>
              <w:t>Closed</w:t>
            </w:r>
          </w:p>
        </w:tc>
        <w:tc>
          <w:tcPr>
            <w:tcW w:type="dxa" w:w="3360"/>
          </w:tcPr>
          <w:p>
            <w:r>
              <w:t>JSON parses; CSV contains 59 rows; identifiers match.</w:t>
            </w:r>
          </w:p>
        </w:tc>
      </w:tr>
      <w:tr>
        <w:tc>
          <w:tcPr>
            <w:tcW w:type="dxa" w:w="3360"/>
          </w:tcPr>
          <w:p>
            <w:r>
              <w:t>Semantic control review</w:t>
            </w:r>
          </w:p>
        </w:tc>
        <w:tc>
          <w:tcPr>
            <w:tcW w:type="dxa" w:w="3360"/>
          </w:tcPr>
          <w:p>
            <w:r>
              <w:t>Closed</w:t>
            </w:r>
          </w:p>
        </w:tc>
        <w:tc>
          <w:tcPr>
            <w:tcW w:type="dxa" w:w="3360"/>
          </w:tcPr>
          <w:p>
            <w:r>
              <w:t>All 59 controls received control-specific guidance.</w:t>
            </w:r>
          </w:p>
        </w:tc>
      </w:tr>
      <w:tr>
        <w:tc>
          <w:tcPr>
            <w:tcW w:type="dxa" w:w="3360"/>
          </w:tcPr>
          <w:p>
            <w:r>
              <w:t>Workbook integrity</w:t>
            </w:r>
          </w:p>
        </w:tc>
        <w:tc>
          <w:tcPr>
            <w:tcW w:type="dxa" w:w="3360"/>
          </w:tcPr>
          <w:p>
            <w:r>
              <w:t>Closed for generated package</w:t>
            </w:r>
          </w:p>
        </w:tc>
        <w:tc>
          <w:tcPr>
            <w:tcW w:type="dxa" w:w="3360"/>
          </w:tcPr>
          <w:p>
            <w:r>
              <w:t>Formula-error scan passed; adopter blanks are explicitly labelled.</w:t>
            </w:r>
          </w:p>
        </w:tc>
      </w:tr>
      <w:tr>
        <w:tc>
          <w:tcPr>
            <w:tcW w:type="dxa" w:w="3360"/>
          </w:tcPr>
          <w:p>
            <w:r>
              <w:t>Jurisdiction-specific legal review</w:t>
            </w:r>
          </w:p>
        </w:tc>
        <w:tc>
          <w:tcPr>
            <w:tcW w:type="dxa" w:w="3360"/>
          </w:tcPr>
          <w:p>
            <w:r>
              <w:t>Open</w:t>
            </w:r>
          </w:p>
        </w:tc>
        <w:tc>
          <w:tcPr>
            <w:tcW w:type="dxa" w:w="3360"/>
          </w:tcPr>
          <w:p>
            <w:r>
              <w:t>Qualified counsel must validate applicable public-law and regulatory mappings.</w:t>
            </w:r>
          </w:p>
        </w:tc>
      </w:tr>
      <w:tr>
        <w:tc>
          <w:tcPr>
            <w:tcW w:type="dxa" w:w="3360"/>
          </w:tcPr>
          <w:p>
            <w:r>
              <w:t>Accessibility and affected-person rights review</w:t>
            </w:r>
          </w:p>
        </w:tc>
        <w:tc>
          <w:tcPr>
            <w:tcW w:type="dxa" w:w="3360"/>
          </w:tcPr>
          <w:p>
            <w:r>
              <w:t>Open</w:t>
            </w:r>
          </w:p>
        </w:tc>
        <w:tc>
          <w:tcPr>
            <w:tcW w:type="dxa" w:w="3360"/>
          </w:tcPr>
          <w:p>
            <w:r>
              <w:t>Independent specialist review is required before release.</w:t>
            </w:r>
          </w:p>
        </w:tc>
      </w:tr>
      <w:tr>
        <w:tc>
          <w:tcPr>
            <w:tcW w:type="dxa" w:w="3360"/>
          </w:tcPr>
          <w:p>
            <w:r>
              <w:t>Trademark status</w:t>
            </w:r>
          </w:p>
        </w:tc>
        <w:tc>
          <w:tcPr>
            <w:tcW w:type="dxa" w:w="3360"/>
          </w:tcPr>
          <w:p>
            <w:r>
              <w:t>Open</w:t>
            </w:r>
          </w:p>
        </w:tc>
        <w:tc>
          <w:tcPr>
            <w:tcW w:type="dxa" w:w="3360"/>
          </w:tcPr>
          <w:p>
            <w:r>
              <w:t>Legal confirmation is required; registered-symbol use has been removed from the public candidate.</w:t>
            </w:r>
          </w:p>
        </w:tc>
      </w:tr>
    </w:tbl>
    <w:p>
      <w:pPr>
        <w:pStyle w:val="Heading1"/>
      </w:pPr>
      <w:r>
        <w:t>Notably Absent</w:t>
      </w:r>
    </w:p>
    <w:p>
      <w:pPr>
        <w:pStyle w:val="ListBullet"/>
      </w:pPr>
      <w:r>
        <w:t>No basis is asserted for treating all government AI as high risk.</w:t>
      </w:r>
    </w:p>
    <w:p>
      <w:pPr>
        <w:pStyle w:val="ListBullet"/>
      </w:pPr>
      <w:r>
        <w:t>No basis is asserted for treating a nominal human click as effective oversight.</w:t>
      </w:r>
    </w:p>
    <w:p>
      <w:pPr>
        <w:pStyle w:val="ListBullet"/>
      </w:pPr>
      <w:r>
        <w:t>No supplier certification transfers the public body’s accountability.</w:t>
      </w:r>
    </w:p>
    <w:p>
      <w:pPr>
        <w:pStyle w:val="ListBullet"/>
      </w:pPr>
      <w:r>
        <w:t>No model-accuracy measure alone establishes legality, fairness, security or fitness for public use.</w:t>
      </w:r>
    </w:p>
    <w:p>
      <w:pPr>
        <w:pStyle w:val="ListBullet"/>
      </w:pPr>
      <w:r>
        <w:t>No universal financial exposure, implementation cost, ROI, maturity threshold or acceptance score is asserted.</w:t>
      </w:r>
    </w:p>
    <w:p>
      <w:pPr>
        <w:pStyle w:val="ListBullet"/>
      </w:pPr>
      <w:r>
        <w:t>No unverified ODA3 test repository or public test-harness path is assumed.</w:t>
      </w:r>
    </w:p>
    <w:p>
      <w:pPr>
        <w:pStyle w:val="Heading1"/>
      </w:pPr>
      <w:r>
        <w:t>Methodology Note</w:t>
      </w:r>
    </w:p>
    <w:p>
      <w:r>
        <w:t>The package was checked against the 59-control GAISSF-NOR-001 baseline, reviewed for cross-artifact identifier parity, recursively checked for JSON key/value whitespace, parsed with a strict JSON parser, counted for CSV row parity, scanned for spreadsheet formula errors, and rendered for document layout review. External sources are classified by authority and must be reverified immediately before publication.</w:t>
      </w:r>
    </w:p>
    <w:p>
      <w:pPr>
        <w:pStyle w:val="Heading1"/>
      </w:pPr>
      <w:r>
        <w:t>Leadership conclusion</w:t>
      </w:r>
    </w:p>
    <w:p>
      <w:r>
        <w:t>The package is a strong publication candidate, but it is not yet authorised for public release. The legal, accessibility/rights and trademark gates remain open. Closing those gates requires named specialist reviewers and documented dispositions; they cannot be closed by editorial revision alone.</w:t>
      </w:r>
    </w:p>
    <w:p>
      <w:r>
        <w:t>© 2026 ODA3 Pvt Ltd. Published by ODA3 Institute. This document is informative and is not legal advice.</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