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F5597"/>
          <w:sz w:val="40"/>
        </w:rPr>
        <w:t>GAISSF</w:t>
      </w:r>
    </w:p>
    <w:p>
      <w:pPr>
        <w:pStyle w:val="Title"/>
        <w:jc w:val="center"/>
      </w:pPr>
      <w:r>
        <w:t>Healthcare Sector</w:t>
        <w:br/>
        <w:t>Implementation Guide</w:t>
      </w:r>
    </w:p>
    <w:p>
      <w:pPr>
        <w:jc w:val="center"/>
      </w:pPr>
      <w:r>
        <w:rPr>
          <w:b/>
        </w:rPr>
        <w:t>SEC-037  |  Version 1.0</w:t>
      </w:r>
    </w:p>
    <w:p>
      <w:pPr>
        <w:jc w:val="center"/>
      </w:pPr>
      <w:r>
        <w:rPr>
          <w:b/>
          <w:sz w:val="20"/>
        </w:rPr>
        <w:t>DRAFT FOR TECHNICAL, CLINICAL, LEGAL, PRIVACY AND STANDARDS REVIEW</w:t>
      </w:r>
    </w:p>
    <w:p/>
    <w:p/>
    <w:p/>
    <w:p/>
    <w:p>
      <w:pPr>
        <w:jc w:val="center"/>
      </w:pPr>
      <w:r>
        <w:rPr>
          <w:b/>
        </w:rPr>
        <w:t>ODA3 Institute</w:t>
      </w:r>
    </w:p>
    <w:p>
      <w:pPr>
        <w:jc w:val="center"/>
      </w:pPr>
      <w:r>
        <w:t>Copyright © 2026 ODA3 Pvt Ltd. All rights reserved.</w:t>
      </w:r>
    </w:p>
    <w:p>
      <w:r>
        <w:br w:type="page"/>
      </w:r>
    </w:p>
    <w:p>
      <w:pPr>
        <w:spacing w:after="80"/>
      </w:pPr>
      <w:r/>
      <w:r>
        <w:rPr>
          <w:b/>
        </w:rPr>
        <w:t>Document ID:</w:t>
      </w:r>
      <w:r>
        <w:t xml:space="preserve"> SEC-037   </w:t>
      </w:r>
      <w:r>
        <w:rPr>
          <w:b/>
        </w:rPr>
        <w:t>Version:</w:t>
      </w:r>
      <w:r>
        <w:t xml:space="preserve"> 1.0   </w:t>
      </w:r>
      <w:r>
        <w:rPr>
          <w:b/>
        </w:rPr>
        <w:t>Category:</w:t>
      </w:r>
      <w:r>
        <w:t xml:space="preserve"> Sector Guide   </w:t>
      </w:r>
      <w:r>
        <w:rPr>
          <w:b/>
        </w:rPr>
        <w:t>Priority / Launch Phase:</w:t>
      </w:r>
      <w:r>
        <w:t xml:space="preserve"> High / Phase 2   </w:t>
      </w:r>
      <w:r>
        <w:rPr>
          <w:b/>
        </w:rPr>
        <w:t>Publication status:</w:t>
      </w:r>
      <w:r>
        <w:t xml:space="preserve"> DRAFT FOR TECHNICAL, CLINICAL, LEGAL, PRIVACY AND STANDARDS REVIEW   </w:t>
      </w:r>
      <w:r>
        <w:rPr>
          <w:b/>
        </w:rPr>
        <w:t>Publication date:</w:t>
      </w:r>
      <w:r>
        <w:t xml:space="preserve"> 1 May 2026   </w:t>
      </w:r>
      <w:r>
        <w:rPr>
          <w:b/>
        </w:rPr>
        <w:t>Publisher:</w:t>
      </w:r>
      <w:r>
        <w:t xml:space="preserve"> ODA3 Institute   </w:t>
      </w:r>
      <w:r>
        <w:rPr>
          <w:b/>
        </w:rPr>
        <w:t>Legal entity:</w:t>
      </w:r>
      <w:r>
        <w:t xml:space="preserve"> ODA3 Pvt Ltd (legal notices only)   </w:t>
      </w:r>
      <w:r>
        <w:rPr>
          <w:b/>
        </w:rPr>
        <w:t>Classification:</w:t>
      </w:r>
      <w:r>
        <w:t xml:space="preserve"> Public guidance  </w:t>
      </w:r>
    </w:p>
    <w:p>
      <w:pPr>
        <w:ind w:left="360" w:right="216"/>
      </w:pPr>
      <w:r>
        <w:rPr>
          <w:i/>
          <w:color w:val="595959"/>
        </w:rPr>
        <w:t>**Normative status.** This document is sector-specific implementation guidance. It does not amend, replace, extend, or override the normative requirements of GAISSF. Conformance is determined only against the applicable GAISSF normative publication and approved normative interpretations.</w:t>
      </w:r>
    </w:p>
    <w:p>
      <w:pPr>
        <w:spacing w:after="80"/>
      </w:pPr>
      <w:r/>
      <w:r>
        <w:rPr>
          <w:b/>
        </w:rPr>
        <w:t>Copyright © 2026 ODA3 Pvt Ltd. All rights reserved.</w:t>
      </w:r>
      <w:r>
        <w:t xml:space="preserve">   </w:t>
      </w:r>
      <w:r>
        <w:rPr>
          <w:b/>
        </w:rPr>
        <w:t>Licence:</w:t>
      </w:r>
      <w:r>
        <w:t xml:space="preserve"> GEL v1.0   </w:t>
      </w:r>
      <w:r>
        <w:rPr>
          <w:b/>
        </w:rPr>
        <w:t>Trademark status:</w:t>
      </w:r>
      <w:r>
        <w:t xml:space="preserve"> GAISSF™ is used as the framework identifier. All GAISSF marks shall use the ™ symbol.</w:t>
      </w:r>
    </w:p>
    <w:p>
      <w:pPr>
        <w:pStyle w:val="Heading2"/>
      </w:pPr>
      <w:r>
        <w:t>Disclaimer</w:t>
      </w:r>
    </w:p>
    <w:p>
      <w:pPr>
        <w:spacing w:after="80"/>
      </w:pPr>
      <w:r>
        <w:t>This guide provides general cybersecurity, AI security, governance, assurance, and implementation information. It is not legal advice, medical advice, clinical guidance, a regulatory determination, or a substitute for professional judgement. Applicable duties vary by jurisdiction, organisational role, system classification, intended use, patient population, and deployment context. Regulatory, legal, clinical, privacy, and standards references must be independently verified before publication and use.</w:t>
      </w:r>
    </w:p>
    <w:p>
      <w:pPr>
        <w:pStyle w:val="Heading2"/>
      </w:pPr>
      <w:r>
        <w:t>Document control</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vAlign w:val="center"/>
            <w:shd w:fill="1F4E79"/>
          </w:tcPr>
          <w:p>
            <w:pPr>
              <w:spacing w:after="0"/>
            </w:pPr>
            <w:r>
              <w:rPr>
                <w:b/>
                <w:color w:val="FFFFFF"/>
                <w:sz w:val="15"/>
              </w:rPr>
              <w:t>Field</w:t>
            </w:r>
          </w:p>
        </w:tc>
        <w:tc>
          <w:tcPr>
            <w:tcW w:type="dxa" w:w="5112"/>
            <w:vAlign w:val="center"/>
            <w:shd w:fill="1F4E79"/>
          </w:tcPr>
          <w:p>
            <w:pPr>
              <w:spacing w:after="0"/>
            </w:pPr>
            <w:r>
              <w:rPr>
                <w:b/>
                <w:color w:val="FFFFFF"/>
                <w:sz w:val="15"/>
              </w:rPr>
              <w:t>Value</w:t>
            </w:r>
          </w:p>
        </w:tc>
      </w:tr>
      <w:tr>
        <w:tc>
          <w:tcPr>
            <w:tcW w:type="dxa" w:w="5112"/>
            <w:vAlign w:val="center"/>
          </w:tcPr>
          <w:p>
            <w:pPr>
              <w:spacing w:after="0"/>
            </w:pPr>
            <w:r>
              <w:rPr>
                <w:sz w:val="15"/>
              </w:rPr>
              <w:t>Document owner</w:t>
            </w:r>
          </w:p>
        </w:tc>
        <w:tc>
          <w:tcPr>
            <w:tcW w:type="dxa" w:w="5112"/>
            <w:vAlign w:val="center"/>
          </w:tcPr>
          <w:p>
            <w:pPr>
              <w:spacing w:after="0"/>
            </w:pPr>
            <w:r>
              <w:rPr>
                <w:sz w:val="15"/>
              </w:rPr>
              <w:t>ODA3 Institute</w:t>
            </w:r>
          </w:p>
        </w:tc>
      </w:tr>
      <w:tr>
        <w:tc>
          <w:tcPr>
            <w:tcW w:type="dxa" w:w="5112"/>
            <w:vAlign w:val="center"/>
          </w:tcPr>
          <w:p>
            <w:pPr>
              <w:spacing w:after="0"/>
            </w:pPr>
            <w:r>
              <w:rPr>
                <w:sz w:val="15"/>
              </w:rPr>
              <w:t>Business owner</w:t>
            </w:r>
          </w:p>
        </w:tc>
        <w:tc>
          <w:tcPr>
            <w:tcW w:type="dxa" w:w="5112"/>
            <w:vAlign w:val="center"/>
          </w:tcPr>
          <w:p>
            <w:pPr>
              <w:spacing w:after="0"/>
            </w:pPr>
            <w:r>
              <w:rPr>
                <w:sz w:val="15"/>
              </w:rPr>
              <w:t>ODA3 Institute</w:t>
            </w:r>
          </w:p>
        </w:tc>
      </w:tr>
      <w:tr>
        <w:tc>
          <w:tcPr>
            <w:tcW w:type="dxa" w:w="5112"/>
            <w:vAlign w:val="center"/>
          </w:tcPr>
          <w:p>
            <w:pPr>
              <w:spacing w:after="0"/>
            </w:pPr>
            <w:r>
              <w:rPr>
                <w:sz w:val="15"/>
              </w:rPr>
              <w:t>Technical owner</w:t>
            </w:r>
          </w:p>
        </w:tc>
        <w:tc>
          <w:tcPr>
            <w:tcW w:type="dxa" w:w="5112"/>
            <w:vAlign w:val="center"/>
          </w:tcPr>
          <w:p>
            <w:pPr>
              <w:spacing w:after="0"/>
            </w:pPr>
            <w:r>
              <w:rPr>
                <w:sz w:val="15"/>
              </w:rPr>
              <w:t>[AI SECURITY LEAD TO BE CONFIRMED]</w:t>
            </w:r>
          </w:p>
        </w:tc>
      </w:tr>
      <w:tr>
        <w:tc>
          <w:tcPr>
            <w:tcW w:type="dxa" w:w="5112"/>
            <w:vAlign w:val="center"/>
          </w:tcPr>
          <w:p>
            <w:pPr>
              <w:spacing w:after="0"/>
            </w:pPr>
            <w:r>
              <w:rPr>
                <w:sz w:val="15"/>
              </w:rPr>
              <w:t>Clinical reviewer</w:t>
            </w:r>
          </w:p>
        </w:tc>
        <w:tc>
          <w:tcPr>
            <w:tcW w:type="dxa" w:w="5112"/>
            <w:vAlign w:val="center"/>
          </w:tcPr>
          <w:p>
            <w:pPr>
              <w:spacing w:after="0"/>
            </w:pPr>
            <w:r>
              <w:rPr>
                <w:sz w:val="15"/>
              </w:rPr>
              <w:t>[CLINICAL SAFETY REVIEWER TO BE CONFIRMED]</w:t>
            </w:r>
          </w:p>
        </w:tc>
      </w:tr>
      <w:tr>
        <w:tc>
          <w:tcPr>
            <w:tcW w:type="dxa" w:w="5112"/>
            <w:vAlign w:val="center"/>
          </w:tcPr>
          <w:p>
            <w:pPr>
              <w:spacing w:after="0"/>
            </w:pPr>
            <w:r>
              <w:rPr>
                <w:sz w:val="15"/>
              </w:rPr>
              <w:t>Privacy reviewer</w:t>
            </w:r>
          </w:p>
        </w:tc>
        <w:tc>
          <w:tcPr>
            <w:tcW w:type="dxa" w:w="5112"/>
            <w:vAlign w:val="center"/>
          </w:tcPr>
          <w:p>
            <w:pPr>
              <w:spacing w:after="0"/>
            </w:pPr>
            <w:r>
              <w:rPr>
                <w:sz w:val="15"/>
              </w:rPr>
              <w:t>[PRIVACY REVIEWER TO BE CONFIRMED]</w:t>
            </w:r>
          </w:p>
        </w:tc>
      </w:tr>
      <w:tr>
        <w:tc>
          <w:tcPr>
            <w:tcW w:type="dxa" w:w="5112"/>
            <w:vAlign w:val="center"/>
          </w:tcPr>
          <w:p>
            <w:pPr>
              <w:spacing w:after="0"/>
            </w:pPr>
            <w:r>
              <w:rPr>
                <w:sz w:val="15"/>
              </w:rPr>
              <w:t>Legal reviewer</w:t>
            </w:r>
          </w:p>
        </w:tc>
        <w:tc>
          <w:tcPr>
            <w:tcW w:type="dxa" w:w="5112"/>
            <w:vAlign w:val="center"/>
          </w:tcPr>
          <w:p>
            <w:pPr>
              <w:spacing w:after="0"/>
            </w:pPr>
            <w:r>
              <w:rPr>
                <w:sz w:val="15"/>
              </w:rPr>
              <w:t>[LEGAL REVIEWER TO BE CONFIRMED]</w:t>
            </w:r>
          </w:p>
        </w:tc>
      </w:tr>
      <w:tr>
        <w:tc>
          <w:tcPr>
            <w:tcW w:type="dxa" w:w="5112"/>
            <w:vAlign w:val="center"/>
          </w:tcPr>
          <w:p>
            <w:pPr>
              <w:spacing w:after="0"/>
            </w:pPr>
            <w:r>
              <w:rPr>
                <w:sz w:val="15"/>
              </w:rPr>
              <w:t>Standards editor</w:t>
            </w:r>
          </w:p>
        </w:tc>
        <w:tc>
          <w:tcPr>
            <w:tcW w:type="dxa" w:w="5112"/>
            <w:vAlign w:val="center"/>
          </w:tcPr>
          <w:p>
            <w:pPr>
              <w:spacing w:after="0"/>
            </w:pPr>
            <w:r>
              <w:rPr>
                <w:sz w:val="15"/>
              </w:rPr>
              <w:t>[STANDARDS EDITOR TO BE CONFIRMED]</w:t>
            </w:r>
          </w:p>
        </w:tc>
      </w:tr>
      <w:tr>
        <w:tc>
          <w:tcPr>
            <w:tcW w:type="dxa" w:w="5112"/>
            <w:vAlign w:val="center"/>
          </w:tcPr>
          <w:p>
            <w:pPr>
              <w:spacing w:after="0"/>
            </w:pPr>
            <w:r>
              <w:rPr>
                <w:sz w:val="15"/>
              </w:rPr>
              <w:t>Review cycle</w:t>
            </w:r>
          </w:p>
        </w:tc>
        <w:tc>
          <w:tcPr>
            <w:tcW w:type="dxa" w:w="5112"/>
            <w:vAlign w:val="center"/>
          </w:tcPr>
          <w:p>
            <w:pPr>
              <w:spacing w:after="0"/>
            </w:pPr>
            <w:r>
              <w:rPr>
                <w:sz w:val="15"/>
              </w:rPr>
              <w:t>At least annually and upon a material GAISSF, regulatory, threat, or technology change</w:t>
            </w:r>
          </w:p>
        </w:tc>
      </w:tr>
      <w:tr>
        <w:tc>
          <w:tcPr>
            <w:tcW w:type="dxa" w:w="5112"/>
            <w:vAlign w:val="center"/>
          </w:tcPr>
          <w:p>
            <w:pPr>
              <w:spacing w:after="0"/>
            </w:pPr>
            <w:r>
              <w:rPr>
                <w:sz w:val="15"/>
              </w:rPr>
              <w:t>Supersedes</w:t>
            </w:r>
          </w:p>
        </w:tc>
        <w:tc>
          <w:tcPr>
            <w:tcW w:type="dxa" w:w="5112"/>
            <w:vAlign w:val="center"/>
          </w:tcPr>
          <w:p>
            <w:pPr>
              <w:spacing w:after="0"/>
            </w:pPr>
            <w:r>
              <w:rPr>
                <w:sz w:val="15"/>
              </w:rPr>
              <w:t>New document</w:t>
            </w:r>
          </w:p>
        </w:tc>
      </w:tr>
    </w:tbl>
    <w:p>
      <w:pPr>
        <w:pStyle w:val="Heading2"/>
      </w:pPr>
      <w:r>
        <w:t>Revision history</w:t>
      </w:r>
    </w:p>
    <w:tbl>
      <w:tblPr>
        <w:tblStyle w:val="TableGrid"/>
        <w:tblW w:type="auto" w:w="0"/>
        <w:jc w:val="center"/>
        <w:tblLook w:firstColumn="1" w:firstRow="1" w:lastColumn="0" w:lastRow="0" w:noHBand="0" w:noVBand="1" w:val="04A0"/>
      </w:tblPr>
      <w:tblGrid>
        <w:gridCol w:w="2045"/>
        <w:gridCol w:w="2045"/>
        <w:gridCol w:w="2045"/>
        <w:gridCol w:w="2045"/>
        <w:gridCol w:w="2045"/>
      </w:tblGrid>
      <w:tr>
        <w:trPr>
          <w:tblHeader w:val="true"/>
        </w:trPr>
        <w:tc>
          <w:tcPr>
            <w:tcW w:type="dxa" w:w="2045"/>
            <w:vAlign w:val="center"/>
            <w:shd w:fill="1F4E79"/>
          </w:tcPr>
          <w:p>
            <w:pPr>
              <w:spacing w:after="0"/>
            </w:pPr>
            <w:r>
              <w:rPr>
                <w:b/>
                <w:color w:val="FFFFFF"/>
                <w:sz w:val="15"/>
              </w:rPr>
              <w:t>Version</w:t>
            </w:r>
          </w:p>
        </w:tc>
        <w:tc>
          <w:tcPr>
            <w:tcW w:type="dxa" w:w="2045"/>
            <w:vAlign w:val="center"/>
            <w:shd w:fill="1F4E79"/>
          </w:tcPr>
          <w:p>
            <w:pPr>
              <w:spacing w:after="0"/>
            </w:pPr>
            <w:r>
              <w:rPr>
                <w:b/>
                <w:color w:val="FFFFFF"/>
                <w:sz w:val="15"/>
              </w:rPr>
              <w:t>Date</w:t>
            </w:r>
          </w:p>
        </w:tc>
        <w:tc>
          <w:tcPr>
            <w:tcW w:type="dxa" w:w="2045"/>
            <w:vAlign w:val="center"/>
            <w:shd w:fill="1F4E79"/>
          </w:tcPr>
          <w:p>
            <w:pPr>
              <w:spacing w:after="0"/>
            </w:pPr>
            <w:r>
              <w:rPr>
                <w:b/>
                <w:color w:val="FFFFFF"/>
                <w:sz w:val="15"/>
              </w:rPr>
              <w:t>Status</w:t>
            </w:r>
          </w:p>
        </w:tc>
        <w:tc>
          <w:tcPr>
            <w:tcW w:type="dxa" w:w="2045"/>
            <w:vAlign w:val="center"/>
            <w:shd w:fill="1F4E79"/>
          </w:tcPr>
          <w:p>
            <w:pPr>
              <w:spacing w:after="0"/>
            </w:pPr>
            <w:r>
              <w:rPr>
                <w:b/>
                <w:color w:val="FFFFFF"/>
                <w:sz w:val="15"/>
              </w:rPr>
              <w:t>Summary</w:t>
            </w:r>
          </w:p>
        </w:tc>
        <w:tc>
          <w:tcPr>
            <w:tcW w:type="dxa" w:w="2045"/>
            <w:vAlign w:val="center"/>
            <w:shd w:fill="1F4E79"/>
          </w:tcPr>
          <w:p>
            <w:pPr>
              <w:spacing w:after="0"/>
            </w:pPr>
            <w:r>
              <w:rPr>
                <w:b/>
                <w:color w:val="FFFFFF"/>
                <w:sz w:val="15"/>
              </w:rPr>
              <w:t>Approved by</w:t>
            </w:r>
          </w:p>
        </w:tc>
      </w:tr>
      <w:tr>
        <w:tc>
          <w:tcPr>
            <w:tcW w:type="dxa" w:w="2045"/>
            <w:vAlign w:val="center"/>
          </w:tcPr>
          <w:p>
            <w:pPr>
              <w:spacing w:after="0"/>
            </w:pPr>
            <w:r>
              <w:rPr>
                <w:sz w:val="15"/>
              </w:rPr>
              <w:t>0.1</w:t>
            </w:r>
          </w:p>
        </w:tc>
        <w:tc>
          <w:tcPr>
            <w:tcW w:type="dxa" w:w="2045"/>
            <w:vAlign w:val="center"/>
          </w:tcPr>
          <w:p>
            <w:pPr>
              <w:spacing w:after="0"/>
            </w:pPr>
            <w:r>
              <w:rPr>
                <w:sz w:val="15"/>
              </w:rPr>
              <w:t>2026-05-01</w:t>
            </w:r>
          </w:p>
        </w:tc>
        <w:tc>
          <w:tcPr>
            <w:tcW w:type="dxa" w:w="2045"/>
            <w:vAlign w:val="center"/>
          </w:tcPr>
          <w:p>
            <w:pPr>
              <w:spacing w:after="0"/>
            </w:pPr>
            <w:r>
              <w:rPr>
                <w:sz w:val="15"/>
              </w:rPr>
              <w:t>Working draft</w:t>
            </w:r>
          </w:p>
        </w:tc>
        <w:tc>
          <w:tcPr>
            <w:tcW w:type="dxa" w:w="2045"/>
            <w:vAlign w:val="center"/>
          </w:tcPr>
          <w:p>
            <w:pPr>
              <w:spacing w:after="0"/>
            </w:pPr>
            <w:r>
              <w:rPr>
                <w:sz w:val="15"/>
              </w:rPr>
              <w:t>Initial complete sector-guide package</w:t>
            </w:r>
          </w:p>
        </w:tc>
        <w:tc>
          <w:tcPr>
            <w:tcW w:type="dxa" w:w="2045"/>
            <w:vAlign w:val="center"/>
          </w:tcPr>
          <w:p>
            <w:pPr>
              <w:spacing w:after="0"/>
            </w:pPr>
            <w:r>
              <w:rPr>
                <w:sz w:val="15"/>
              </w:rPr>
              <w:t>Not approved</w:t>
            </w:r>
          </w:p>
        </w:tc>
      </w:tr>
      <w:tr>
        <w:tc>
          <w:tcPr>
            <w:tcW w:type="dxa" w:w="2045"/>
            <w:vAlign w:val="center"/>
          </w:tcPr>
          <w:p>
            <w:pPr>
              <w:spacing w:after="0"/>
            </w:pPr>
            <w:r>
              <w:rPr>
                <w:sz w:val="15"/>
              </w:rPr>
              <w:t>1.0</w:t>
            </w:r>
          </w:p>
        </w:tc>
        <w:tc>
          <w:tcPr>
            <w:tcW w:type="dxa" w:w="2045"/>
            <w:vAlign w:val="center"/>
          </w:tcPr>
          <w:p>
            <w:pPr>
              <w:spacing w:after="0"/>
            </w:pPr>
            <w:r>
              <w:rPr>
                <w:sz w:val="15"/>
              </w:rPr>
              <w:t>2026-05-01</w:t>
            </w:r>
          </w:p>
        </w:tc>
        <w:tc>
          <w:tcPr>
            <w:tcW w:type="dxa" w:w="2045"/>
            <w:vAlign w:val="center"/>
          </w:tcPr>
          <w:p>
            <w:pPr>
              <w:spacing w:after="0"/>
            </w:pPr>
            <w:r>
              <w:rPr>
                <w:sz w:val="15"/>
              </w:rPr>
              <w:t>Publication candidate</w:t>
            </w:r>
          </w:p>
        </w:tc>
        <w:tc>
          <w:tcPr>
            <w:tcW w:type="dxa" w:w="2045"/>
            <w:vAlign w:val="center"/>
          </w:tcPr>
          <w:p>
            <w:pPr>
              <w:spacing w:after="0"/>
            </w:pPr>
            <w:r>
              <w:rPr>
                <w:sz w:val="15"/>
              </w:rPr>
              <w:t>Final reviewed publication</w:t>
            </w:r>
          </w:p>
        </w:tc>
        <w:tc>
          <w:tcPr>
            <w:tcW w:type="dxa" w:w="2045"/>
            <w:vAlign w:val="center"/>
          </w:tcPr>
          <w:p>
            <w:pPr>
              <w:spacing w:after="0"/>
            </w:pPr>
            <w:r>
              <w:rPr>
                <w:sz w:val="15"/>
              </w:rPr>
              <w:t>[TBC]</w:t>
            </w:r>
          </w:p>
        </w:tc>
      </w:tr>
    </w:tbl>
    <w:p>
      <w:pPr>
        <w:pStyle w:val="Heading2"/>
      </w:pPr>
      <w:r>
        <w:t>Approval table</w:t>
      </w:r>
    </w:p>
    <w:tbl>
      <w:tblPr>
        <w:tblStyle w:val="TableGrid"/>
        <w:tblW w:type="auto" w:w="0"/>
        <w:jc w:val="center"/>
        <w:tblLook w:firstColumn="1" w:firstRow="1" w:lastColumn="0" w:lastRow="0" w:noHBand="0" w:noVBand="1" w:val="04A0"/>
      </w:tblPr>
      <w:tblGrid>
        <w:gridCol w:w="2045"/>
        <w:gridCol w:w="2045"/>
        <w:gridCol w:w="2045"/>
        <w:gridCol w:w="2045"/>
        <w:gridCol w:w="2045"/>
      </w:tblGrid>
      <w:tr>
        <w:trPr>
          <w:tblHeader w:val="true"/>
        </w:trPr>
        <w:tc>
          <w:tcPr>
            <w:tcW w:type="dxa" w:w="2045"/>
            <w:vAlign w:val="center"/>
            <w:shd w:fill="1F4E79"/>
          </w:tcPr>
          <w:p>
            <w:pPr>
              <w:spacing w:after="0"/>
            </w:pPr>
            <w:r>
              <w:rPr>
                <w:b/>
                <w:color w:val="FFFFFF"/>
                <w:sz w:val="15"/>
              </w:rPr>
              <w:t>Review</w:t>
            </w:r>
          </w:p>
        </w:tc>
        <w:tc>
          <w:tcPr>
            <w:tcW w:type="dxa" w:w="2045"/>
            <w:vAlign w:val="center"/>
            <w:shd w:fill="1F4E79"/>
          </w:tcPr>
          <w:p>
            <w:pPr>
              <w:spacing w:after="0"/>
            </w:pPr>
            <w:r>
              <w:rPr>
                <w:b/>
                <w:color w:val="FFFFFF"/>
                <w:sz w:val="15"/>
              </w:rPr>
              <w:t>Required approver</w:t>
            </w:r>
          </w:p>
        </w:tc>
        <w:tc>
          <w:tcPr>
            <w:tcW w:type="dxa" w:w="2045"/>
            <w:vAlign w:val="center"/>
            <w:shd w:fill="1F4E79"/>
          </w:tcPr>
          <w:p>
            <w:pPr>
              <w:spacing w:after="0"/>
            </w:pPr>
            <w:r>
              <w:rPr>
                <w:b/>
                <w:color w:val="FFFFFF"/>
                <w:sz w:val="15"/>
              </w:rPr>
              <w:t>Decision</w:t>
            </w:r>
          </w:p>
        </w:tc>
        <w:tc>
          <w:tcPr>
            <w:tcW w:type="dxa" w:w="2045"/>
            <w:vAlign w:val="center"/>
            <w:shd w:fill="1F4E79"/>
          </w:tcPr>
          <w:p>
            <w:pPr>
              <w:spacing w:after="0"/>
            </w:pPr>
            <w:r>
              <w:rPr>
                <w:b/>
                <w:color w:val="FFFFFF"/>
                <w:sz w:val="15"/>
              </w:rPr>
              <w:t>Date</w:t>
            </w:r>
          </w:p>
        </w:tc>
        <w:tc>
          <w:tcPr>
            <w:tcW w:type="dxa" w:w="2045"/>
            <w:vAlign w:val="center"/>
            <w:shd w:fill="1F4E79"/>
          </w:tcPr>
          <w:p>
            <w:pPr>
              <w:spacing w:after="0"/>
            </w:pPr>
            <w:r>
              <w:rPr>
                <w:b/>
                <w:color w:val="FFFFFF"/>
                <w:sz w:val="15"/>
              </w:rPr>
              <w:t>Conditions</w:t>
            </w:r>
          </w:p>
        </w:tc>
      </w:tr>
      <w:tr>
        <w:tc>
          <w:tcPr>
            <w:tcW w:type="dxa" w:w="2045"/>
            <w:vAlign w:val="center"/>
          </w:tcPr>
          <w:p>
            <w:pPr>
              <w:spacing w:after="0"/>
            </w:pPr>
            <w:r>
              <w:rPr>
                <w:sz w:val="15"/>
              </w:rPr>
              <w:t>Standards integrity</w:t>
            </w:r>
          </w:p>
        </w:tc>
        <w:tc>
          <w:tcPr>
            <w:tcW w:type="dxa" w:w="2045"/>
            <w:vAlign w:val="center"/>
          </w:tcPr>
          <w:p>
            <w:pPr>
              <w:spacing w:after="0"/>
            </w:pPr>
            <w:r>
              <w:rPr>
                <w:sz w:val="15"/>
              </w:rPr>
              <w:t>[TBC]</w:t>
            </w:r>
          </w:p>
        </w:tc>
        <w:tc>
          <w:tcPr>
            <w:tcW w:type="dxa" w:w="2045"/>
            <w:vAlign w:val="center"/>
          </w:tcPr>
          <w:p>
            <w:pPr>
              <w:spacing w:after="0"/>
            </w:pPr>
            <w:r>
              <w:rPr>
                <w:sz w:val="15"/>
              </w:rPr>
              <w:t>Pending</w:t>
            </w:r>
          </w:p>
        </w:tc>
        <w:tc>
          <w:tcPr>
            <w:tcW w:type="dxa" w:w="2045"/>
            <w:vAlign w:val="center"/>
          </w:tcPr>
          <w:p>
            <w:pPr>
              <w:spacing w:after="0"/>
            </w:pPr>
            <w:r>
              <w:rPr>
                <w:sz w:val="15"/>
              </w:rPr>
              <w:t>—</w:t>
            </w:r>
          </w:p>
        </w:tc>
        <w:tc>
          <w:tcPr>
            <w:tcW w:type="dxa" w:w="2045"/>
            <w:vAlign w:val="center"/>
          </w:tcPr>
          <w:p>
            <w:pPr>
              <w:spacing w:after="0"/>
            </w:pPr>
            <w:r>
              <w:rPr>
                <w:sz w:val="15"/>
              </w:rPr>
              <w:t>All GAISSF references verified</w:t>
            </w:r>
          </w:p>
        </w:tc>
      </w:tr>
      <w:tr>
        <w:tc>
          <w:tcPr>
            <w:tcW w:type="dxa" w:w="2045"/>
            <w:vAlign w:val="center"/>
          </w:tcPr>
          <w:p>
            <w:pPr>
              <w:spacing w:after="0"/>
            </w:pPr>
            <w:r>
              <w:rPr>
                <w:sz w:val="15"/>
              </w:rPr>
              <w:t>Clinical safety</w:t>
            </w:r>
          </w:p>
        </w:tc>
        <w:tc>
          <w:tcPr>
            <w:tcW w:type="dxa" w:w="2045"/>
            <w:vAlign w:val="center"/>
          </w:tcPr>
          <w:p>
            <w:pPr>
              <w:spacing w:after="0"/>
            </w:pPr>
            <w:r>
              <w:rPr>
                <w:sz w:val="15"/>
              </w:rPr>
              <w:t>[TBC]</w:t>
            </w:r>
          </w:p>
        </w:tc>
        <w:tc>
          <w:tcPr>
            <w:tcW w:type="dxa" w:w="2045"/>
            <w:vAlign w:val="center"/>
          </w:tcPr>
          <w:p>
            <w:pPr>
              <w:spacing w:after="0"/>
            </w:pPr>
            <w:r>
              <w:rPr>
                <w:sz w:val="15"/>
              </w:rPr>
              <w:t>Pending</w:t>
            </w:r>
          </w:p>
        </w:tc>
        <w:tc>
          <w:tcPr>
            <w:tcW w:type="dxa" w:w="2045"/>
            <w:vAlign w:val="center"/>
          </w:tcPr>
          <w:p>
            <w:pPr>
              <w:spacing w:after="0"/>
            </w:pPr>
            <w:r>
              <w:rPr>
                <w:sz w:val="15"/>
              </w:rPr>
              <w:t>—</w:t>
            </w:r>
          </w:p>
        </w:tc>
        <w:tc>
          <w:tcPr>
            <w:tcW w:type="dxa" w:w="2045"/>
            <w:vAlign w:val="center"/>
          </w:tcPr>
          <w:p>
            <w:pPr>
              <w:spacing w:after="0"/>
            </w:pPr>
            <w:r>
              <w:rPr>
                <w:sz w:val="15"/>
              </w:rPr>
              <w:t>Clinical claims and scenarios reviewed</w:t>
            </w:r>
          </w:p>
        </w:tc>
      </w:tr>
      <w:tr>
        <w:tc>
          <w:tcPr>
            <w:tcW w:type="dxa" w:w="2045"/>
            <w:vAlign w:val="center"/>
          </w:tcPr>
          <w:p>
            <w:pPr>
              <w:spacing w:after="0"/>
            </w:pPr>
            <w:r>
              <w:rPr>
                <w:sz w:val="15"/>
              </w:rPr>
              <w:t>Cybersecurity and AI security</w:t>
            </w:r>
          </w:p>
        </w:tc>
        <w:tc>
          <w:tcPr>
            <w:tcW w:type="dxa" w:w="2045"/>
            <w:vAlign w:val="center"/>
          </w:tcPr>
          <w:p>
            <w:pPr>
              <w:spacing w:after="0"/>
            </w:pPr>
            <w:r>
              <w:rPr>
                <w:sz w:val="15"/>
              </w:rPr>
              <w:t>[TBC]</w:t>
            </w:r>
          </w:p>
        </w:tc>
        <w:tc>
          <w:tcPr>
            <w:tcW w:type="dxa" w:w="2045"/>
            <w:vAlign w:val="center"/>
          </w:tcPr>
          <w:p>
            <w:pPr>
              <w:spacing w:after="0"/>
            </w:pPr>
            <w:r>
              <w:rPr>
                <w:sz w:val="15"/>
              </w:rPr>
              <w:t>Pending</w:t>
            </w:r>
          </w:p>
        </w:tc>
        <w:tc>
          <w:tcPr>
            <w:tcW w:type="dxa" w:w="2045"/>
            <w:vAlign w:val="center"/>
          </w:tcPr>
          <w:p>
            <w:pPr>
              <w:spacing w:after="0"/>
            </w:pPr>
            <w:r>
              <w:rPr>
                <w:sz w:val="15"/>
              </w:rPr>
              <w:t>—</w:t>
            </w:r>
          </w:p>
        </w:tc>
        <w:tc>
          <w:tcPr>
            <w:tcW w:type="dxa" w:w="2045"/>
            <w:vAlign w:val="center"/>
          </w:tcPr>
          <w:p>
            <w:pPr>
              <w:spacing w:after="0"/>
            </w:pPr>
            <w:r>
              <w:rPr>
                <w:sz w:val="15"/>
              </w:rPr>
              <w:t>Threat model and controls validated</w:t>
            </w:r>
          </w:p>
        </w:tc>
      </w:tr>
      <w:tr>
        <w:tc>
          <w:tcPr>
            <w:tcW w:type="dxa" w:w="2045"/>
            <w:vAlign w:val="center"/>
          </w:tcPr>
          <w:p>
            <w:pPr>
              <w:spacing w:after="0"/>
            </w:pPr>
            <w:r>
              <w:rPr>
                <w:sz w:val="15"/>
              </w:rPr>
              <w:t>Privacy</w:t>
            </w:r>
          </w:p>
        </w:tc>
        <w:tc>
          <w:tcPr>
            <w:tcW w:type="dxa" w:w="2045"/>
            <w:vAlign w:val="center"/>
          </w:tcPr>
          <w:p>
            <w:pPr>
              <w:spacing w:after="0"/>
            </w:pPr>
            <w:r>
              <w:rPr>
                <w:sz w:val="15"/>
              </w:rPr>
              <w:t>[TBC]</w:t>
            </w:r>
          </w:p>
        </w:tc>
        <w:tc>
          <w:tcPr>
            <w:tcW w:type="dxa" w:w="2045"/>
            <w:vAlign w:val="center"/>
          </w:tcPr>
          <w:p>
            <w:pPr>
              <w:spacing w:after="0"/>
            </w:pPr>
            <w:r>
              <w:rPr>
                <w:sz w:val="15"/>
              </w:rPr>
              <w:t>Pending</w:t>
            </w:r>
          </w:p>
        </w:tc>
        <w:tc>
          <w:tcPr>
            <w:tcW w:type="dxa" w:w="2045"/>
            <w:vAlign w:val="center"/>
          </w:tcPr>
          <w:p>
            <w:pPr>
              <w:spacing w:after="0"/>
            </w:pPr>
            <w:r>
              <w:rPr>
                <w:sz w:val="15"/>
              </w:rPr>
              <w:t>—</w:t>
            </w:r>
          </w:p>
        </w:tc>
        <w:tc>
          <w:tcPr>
            <w:tcW w:type="dxa" w:w="2045"/>
            <w:vAlign w:val="center"/>
          </w:tcPr>
          <w:p>
            <w:pPr>
              <w:spacing w:after="0"/>
            </w:pPr>
            <w:r>
              <w:rPr>
                <w:sz w:val="15"/>
              </w:rPr>
              <w:t>Data-protection interpretations validated</w:t>
            </w:r>
          </w:p>
        </w:tc>
      </w:tr>
      <w:tr>
        <w:tc>
          <w:tcPr>
            <w:tcW w:type="dxa" w:w="2045"/>
            <w:vAlign w:val="center"/>
          </w:tcPr>
          <w:p>
            <w:pPr>
              <w:spacing w:after="0"/>
            </w:pPr>
            <w:r>
              <w:rPr>
                <w:sz w:val="15"/>
              </w:rPr>
              <w:t>Legal and regulatory</w:t>
            </w:r>
          </w:p>
        </w:tc>
        <w:tc>
          <w:tcPr>
            <w:tcW w:type="dxa" w:w="2045"/>
            <w:vAlign w:val="center"/>
          </w:tcPr>
          <w:p>
            <w:pPr>
              <w:spacing w:after="0"/>
            </w:pPr>
            <w:r>
              <w:rPr>
                <w:sz w:val="15"/>
              </w:rPr>
              <w:t>[TBC]</w:t>
            </w:r>
          </w:p>
        </w:tc>
        <w:tc>
          <w:tcPr>
            <w:tcW w:type="dxa" w:w="2045"/>
            <w:vAlign w:val="center"/>
          </w:tcPr>
          <w:p>
            <w:pPr>
              <w:spacing w:after="0"/>
            </w:pPr>
            <w:r>
              <w:rPr>
                <w:sz w:val="15"/>
              </w:rPr>
              <w:t>Pending</w:t>
            </w:r>
          </w:p>
        </w:tc>
        <w:tc>
          <w:tcPr>
            <w:tcW w:type="dxa" w:w="2045"/>
            <w:vAlign w:val="center"/>
          </w:tcPr>
          <w:p>
            <w:pPr>
              <w:spacing w:after="0"/>
            </w:pPr>
            <w:r>
              <w:rPr>
                <w:sz w:val="15"/>
              </w:rPr>
              <w:t>—</w:t>
            </w:r>
          </w:p>
        </w:tc>
        <w:tc>
          <w:tcPr>
            <w:tcW w:type="dxa" w:w="2045"/>
            <w:vAlign w:val="center"/>
          </w:tcPr>
          <w:p>
            <w:pPr>
              <w:spacing w:after="0"/>
            </w:pPr>
            <w:r>
              <w:rPr>
                <w:sz w:val="15"/>
              </w:rPr>
              <w:t>No legal-equivalence claims</w:t>
            </w:r>
          </w:p>
        </w:tc>
      </w:tr>
      <w:tr>
        <w:tc>
          <w:tcPr>
            <w:tcW w:type="dxa" w:w="2045"/>
            <w:vAlign w:val="center"/>
          </w:tcPr>
          <w:p>
            <w:pPr>
              <w:spacing w:after="0"/>
            </w:pPr>
            <w:r>
              <w:rPr>
                <w:sz w:val="15"/>
              </w:rPr>
              <w:t>Publication</w:t>
            </w:r>
          </w:p>
        </w:tc>
        <w:tc>
          <w:tcPr>
            <w:tcW w:type="dxa" w:w="2045"/>
            <w:vAlign w:val="center"/>
          </w:tcPr>
          <w:p>
            <w:pPr>
              <w:spacing w:after="0"/>
            </w:pPr>
            <w:r>
              <w:rPr>
                <w:sz w:val="15"/>
              </w:rPr>
              <w:t>[TBC]</w:t>
            </w:r>
          </w:p>
        </w:tc>
        <w:tc>
          <w:tcPr>
            <w:tcW w:type="dxa" w:w="2045"/>
            <w:vAlign w:val="center"/>
          </w:tcPr>
          <w:p>
            <w:pPr>
              <w:spacing w:after="0"/>
            </w:pPr>
            <w:r>
              <w:rPr>
                <w:sz w:val="15"/>
              </w:rPr>
              <w:t>Pending</w:t>
            </w:r>
          </w:p>
        </w:tc>
        <w:tc>
          <w:tcPr>
            <w:tcW w:type="dxa" w:w="2045"/>
            <w:vAlign w:val="center"/>
          </w:tcPr>
          <w:p>
            <w:pPr>
              <w:spacing w:after="0"/>
            </w:pPr>
            <w:r>
              <w:rPr>
                <w:sz w:val="15"/>
              </w:rPr>
              <w:t>—</w:t>
            </w:r>
          </w:p>
        </w:tc>
        <w:tc>
          <w:tcPr>
            <w:tcW w:type="dxa" w:w="2045"/>
            <w:vAlign w:val="center"/>
          </w:tcPr>
          <w:p>
            <w:pPr>
              <w:spacing w:after="0"/>
            </w:pPr>
            <w:r>
              <w:rPr>
                <w:sz w:val="15"/>
              </w:rPr>
              <w:t>Formatting, licence and marks confirmed</w:t>
            </w:r>
          </w:p>
        </w:tc>
      </w:tr>
    </w:tbl>
    <w:p>
      <w:pPr>
        <w:pStyle w:val="Heading2"/>
      </w:pPr>
      <w:r>
        <w:t>Claim-tier legend</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vAlign w:val="center"/>
            <w:shd w:fill="1F4E79"/>
          </w:tcPr>
          <w:p>
            <w:pPr>
              <w:spacing w:after="0"/>
            </w:pPr>
            <w:r>
              <w:rPr>
                <w:b/>
                <w:color w:val="FFFFFF"/>
                <w:sz w:val="15"/>
              </w:rPr>
              <w:t>Tier</w:t>
            </w:r>
          </w:p>
        </w:tc>
        <w:tc>
          <w:tcPr>
            <w:tcW w:type="dxa" w:w="3408"/>
            <w:vAlign w:val="center"/>
            <w:shd w:fill="1F4E79"/>
          </w:tcPr>
          <w:p>
            <w:pPr>
              <w:spacing w:after="0"/>
            </w:pPr>
            <w:r>
              <w:rPr>
                <w:b/>
                <w:color w:val="FFFFFF"/>
                <w:sz w:val="15"/>
              </w:rPr>
              <w:t>Meaning</w:t>
            </w:r>
          </w:p>
        </w:tc>
        <w:tc>
          <w:tcPr>
            <w:tcW w:type="dxa" w:w="3408"/>
            <w:vAlign w:val="center"/>
            <w:shd w:fill="1F4E79"/>
          </w:tcPr>
          <w:p>
            <w:pPr>
              <w:spacing w:after="0"/>
            </w:pPr>
            <w:r>
              <w:rPr>
                <w:b/>
                <w:color w:val="FFFFFF"/>
                <w:sz w:val="15"/>
              </w:rPr>
              <w:t>Use in this guide</w:t>
            </w:r>
          </w:p>
        </w:tc>
      </w:tr>
      <w:tr>
        <w:tc>
          <w:tcPr>
            <w:tcW w:type="dxa" w:w="3408"/>
            <w:vAlign w:val="center"/>
          </w:tcPr>
          <w:p>
            <w:pPr>
              <w:spacing w:after="0"/>
            </w:pPr>
            <w:r>
              <w:rPr>
                <w:sz w:val="15"/>
              </w:rPr>
              <w:t>Tier 1</w:t>
            </w:r>
          </w:p>
        </w:tc>
        <w:tc>
          <w:tcPr>
            <w:tcW w:type="dxa" w:w="3408"/>
            <w:vAlign w:val="center"/>
          </w:tcPr>
          <w:p>
            <w:pPr>
              <w:spacing w:after="0"/>
            </w:pPr>
            <w:r>
              <w:rPr>
                <w:sz w:val="15"/>
              </w:rPr>
              <w:t>Normative GAISSF requirement</w:t>
            </w:r>
          </w:p>
        </w:tc>
        <w:tc>
          <w:tcPr>
            <w:tcW w:type="dxa" w:w="3408"/>
            <w:vAlign w:val="center"/>
          </w:tcPr>
          <w:p>
            <w:pPr>
              <w:spacing w:after="0"/>
            </w:pPr>
            <w:r>
              <w:rPr>
                <w:sz w:val="15"/>
              </w:rPr>
              <w:t>Used only with a verified GAISSF citation</w:t>
            </w:r>
          </w:p>
        </w:tc>
      </w:tr>
      <w:tr>
        <w:tc>
          <w:tcPr>
            <w:tcW w:type="dxa" w:w="3408"/>
            <w:vAlign w:val="center"/>
          </w:tcPr>
          <w:p>
            <w:pPr>
              <w:spacing w:after="0"/>
            </w:pPr>
            <w:r>
              <w:rPr>
                <w:sz w:val="15"/>
              </w:rPr>
              <w:t>Tier 2</w:t>
            </w:r>
          </w:p>
        </w:tc>
        <w:tc>
          <w:tcPr>
            <w:tcW w:type="dxa" w:w="3408"/>
            <w:vAlign w:val="center"/>
          </w:tcPr>
          <w:p>
            <w:pPr>
              <w:spacing w:after="0"/>
            </w:pPr>
            <w:r>
              <w:rPr>
                <w:sz w:val="15"/>
              </w:rPr>
              <w:t>Verified external obligation</w:t>
            </w:r>
          </w:p>
        </w:tc>
        <w:tc>
          <w:tcPr>
            <w:tcW w:type="dxa" w:w="3408"/>
            <w:vAlign w:val="center"/>
          </w:tcPr>
          <w:p>
            <w:pPr>
              <w:spacing w:after="0"/>
            </w:pPr>
            <w:r>
              <w:rPr>
                <w:sz w:val="15"/>
              </w:rPr>
              <w:t>Used only after authoritative legal or regulatory verification</w:t>
            </w:r>
          </w:p>
        </w:tc>
      </w:tr>
      <w:tr>
        <w:tc>
          <w:tcPr>
            <w:tcW w:type="dxa" w:w="3408"/>
            <w:vAlign w:val="center"/>
          </w:tcPr>
          <w:p>
            <w:pPr>
              <w:spacing w:after="0"/>
            </w:pPr>
            <w:r>
              <w:rPr>
                <w:sz w:val="15"/>
              </w:rPr>
              <w:t>Tier 3</w:t>
            </w:r>
          </w:p>
        </w:tc>
        <w:tc>
          <w:tcPr>
            <w:tcW w:type="dxa" w:w="3408"/>
            <w:vAlign w:val="center"/>
          </w:tcPr>
          <w:p>
            <w:pPr>
              <w:spacing w:after="0"/>
            </w:pPr>
            <w:r>
              <w:rPr>
                <w:sz w:val="15"/>
              </w:rPr>
              <w:t>Sector interpretation</w:t>
            </w:r>
          </w:p>
        </w:tc>
        <w:tc>
          <w:tcPr>
            <w:tcW w:type="dxa" w:w="3408"/>
            <w:vAlign w:val="center"/>
          </w:tcPr>
          <w:p>
            <w:pPr>
              <w:spacing w:after="0"/>
            </w:pPr>
            <w:r>
              <w:rPr>
                <w:sz w:val="15"/>
              </w:rPr>
              <w:t>Reasoned healthcare application of GAISSF</w:t>
            </w:r>
          </w:p>
        </w:tc>
      </w:tr>
      <w:tr>
        <w:tc>
          <w:tcPr>
            <w:tcW w:type="dxa" w:w="3408"/>
            <w:vAlign w:val="center"/>
          </w:tcPr>
          <w:p>
            <w:pPr>
              <w:spacing w:after="0"/>
            </w:pPr>
            <w:r>
              <w:rPr>
                <w:sz w:val="15"/>
              </w:rPr>
              <w:t>Tier 4</w:t>
            </w:r>
          </w:p>
        </w:tc>
        <w:tc>
          <w:tcPr>
            <w:tcW w:type="dxa" w:w="3408"/>
            <w:vAlign w:val="center"/>
          </w:tcPr>
          <w:p>
            <w:pPr>
              <w:spacing w:after="0"/>
            </w:pPr>
            <w:r>
              <w:rPr>
                <w:sz w:val="15"/>
              </w:rPr>
              <w:t>Recommended practice</w:t>
            </w:r>
          </w:p>
        </w:tc>
        <w:tc>
          <w:tcPr>
            <w:tcW w:type="dxa" w:w="3408"/>
            <w:vAlign w:val="center"/>
          </w:tcPr>
          <w:p>
            <w:pPr>
              <w:spacing w:after="0"/>
            </w:pPr>
            <w:r>
              <w:rPr>
                <w:sz w:val="15"/>
              </w:rPr>
              <w:t>Non-binding practitioner guidance</w:t>
            </w:r>
          </w:p>
        </w:tc>
      </w:tr>
      <w:tr>
        <w:tc>
          <w:tcPr>
            <w:tcW w:type="dxa" w:w="3408"/>
            <w:vAlign w:val="center"/>
          </w:tcPr>
          <w:p>
            <w:pPr>
              <w:spacing w:after="0"/>
            </w:pPr>
            <w:r>
              <w:rPr>
                <w:sz w:val="15"/>
              </w:rPr>
              <w:t>Tier 5</w:t>
            </w:r>
          </w:p>
        </w:tc>
        <w:tc>
          <w:tcPr>
            <w:tcW w:type="dxa" w:w="3408"/>
            <w:vAlign w:val="center"/>
          </w:tcPr>
          <w:p>
            <w:pPr>
              <w:spacing w:after="0"/>
            </w:pPr>
            <w:r>
              <w:rPr>
                <w:sz w:val="15"/>
              </w:rPr>
              <w:t>Illustrative example</w:t>
            </w:r>
          </w:p>
        </w:tc>
        <w:tc>
          <w:tcPr>
            <w:tcW w:type="dxa" w:w="3408"/>
            <w:vAlign w:val="center"/>
          </w:tcPr>
          <w:p>
            <w:pPr>
              <w:spacing w:after="0"/>
            </w:pPr>
            <w:r>
              <w:rPr>
                <w:sz w:val="15"/>
              </w:rPr>
              <w:t>Fictional or hypothetical material</w:t>
            </w:r>
          </w:p>
        </w:tc>
      </w:tr>
    </w:tbl>
    <w:p>
      <w:pPr>
        <w:pStyle w:val="Heading1"/>
      </w:pPr>
      <w:r>
        <w:t>1. Executive Summary</w:t>
      </w:r>
    </w:p>
    <w:p>
      <w:pPr>
        <w:spacing w:after="80"/>
      </w:pPr>
      <w:r>
        <w:t>Healthcare AI systems operate inside clinical, administrative, research, public-health, medical-device, and patient-facing workflows. Their security properties can affect confidentiality, integrity, availability, clinical judgement, continuity of care, and—in some contexts—patient safety. The relevant risk is not “AI risk” in the abstract. It is the combination of a defined use, a particular patient or operational context, technical dependencies, human decision pathways, and the consequences of failure or manipulation.</w:t>
      </w:r>
    </w:p>
    <w:p>
      <w:pPr>
        <w:spacing w:after="80"/>
      </w:pPr>
      <w:r>
        <w:t>This guide translates GAISSF into healthcare implementation language. It helps organisations connect AI security governance with clinical safety, privacy, quality management, cybersecurity, enterprise risk, procurement, medical-device governance, and incident management. It does not create a healthcare edition of GAISSF and does not establish independent certification criteria.</w:t>
      </w:r>
    </w:p>
    <w:p>
      <w:pPr>
        <w:spacing w:after="80"/>
      </w:pPr>
      <w:r>
        <w:t>Leadership should require five things before material healthcare AI use: a documented intended use and prohibited-use boundary; accountable ownership spanning clinical, security, privacy, and operational functions; proportionate validation and adversarial testing; monitored deployment with effective human escalation and fallback; and evidence that the controls operate in practice. High-impact systems require stronger independence, traceability, resilience, supplier evidence, and post-deployment surveillance than low-impact administrative tools.</w:t>
      </w:r>
    </w:p>
    <w:p>
      <w:pPr>
        <w:spacing w:after="80"/>
      </w:pPr>
      <w:r>
        <w:t>Principal risk domains include data poisoning and quality degradation, manipulation at inference time, prompt and retrieval attacks, health-data leakage, unsafe integration, model or configuration tampering, excessive automation, drift, uneven performance, supplier opacity, availability failure, and inability to reconstruct historical decisions. Notably absent from this guide is any claim that every healthcare AI system is high risk, that GAISSF certification proves clinical effectiveness, or that listed threats have occurred in a particular organisation.</w:t>
      </w:r>
    </w:p>
    <w:p>
      <w:pPr>
        <w:pStyle w:val="Heading1"/>
      </w:pPr>
      <w:r>
        <w:t>2. Introduction</w:t>
      </w:r>
    </w:p>
    <w:p>
      <w:pPr>
        <w:spacing w:after="80"/>
      </w:pPr>
      <w:r>
        <w:t>The purpose of SEC-037 is to provide practical healthcare-sector interpretation of GAISSF. The guide is intended for healthcare CISOs, security architects, clinical safety officers, privacy and compliance leaders, medical-device security teams, AI governance functions, developers, procurement teams, assessors, auditors, and accountable executives.</w:t>
      </w:r>
    </w:p>
    <w:p>
      <w:pPr>
        <w:spacing w:after="80"/>
      </w:pPr>
      <w:r>
        <w:t>Implementers should read this guide together with the current GAISSF normative standard, approved interpretations, assessment rules, and applicable legal and regulatory obligations. Assessors may use the guide to understand plausible healthcare evidence and context, but shall not treat a recommendation in this guide as a mandatory criterion unless that criterion is supported by verified GAISSF normative text.</w:t>
      </w:r>
    </w:p>
    <w:p>
      <w:pPr>
        <w:spacing w:after="80"/>
      </w:pPr>
      <w:r>
        <w:t>The guide is deliberately jurisdiction-neutral. It identifies categories of obligation and recognised external standards without making legal determinations. Exact titles, editions, statuses, and regulatory applicability remain publication and deployment checks.</w:t>
      </w:r>
    </w:p>
    <w:p>
      <w:pPr>
        <w:pStyle w:val="Heading1"/>
      </w:pPr>
      <w:r>
        <w:t>3. Scope</w:t>
      </w:r>
    </w:p>
    <w:p>
      <w:pPr>
        <w:spacing w:after="80"/>
      </w:pPr>
      <w:r>
        <w:t>This guide applies to hospitals, health systems, clinics, laboratories, pharmacies, telehealth services, payers, public-health bodies, clinical research organisations, pharmaceutical and biotechnology organisations, medical-device manufacturers, health-technology vendors, health information exchanges, digital-health platforms, and relevant support providers.</w:t>
      </w:r>
    </w:p>
    <w:p>
      <w:pPr>
        <w:spacing w:after="80"/>
      </w:pPr>
      <w:r>
        <w:t>It covers internally developed, procured, embedded, externally hosted, generative, predictive, autonomous, semi-autonomous, medical-device, research, administrative, cybersecurity, infrastructure, and foundation-model-based AI systems. Scope is determined by actual use and dependency, not by product labelling.</w:t>
      </w:r>
    </w:p>
    <w:p>
      <w:pPr>
        <w:spacing w:after="80"/>
      </w:pPr>
      <w:r>
        <w:t>Excluded are clinical practice recommendations, therapeutic protocols, legal conclusions, product approvals, and claims of regulatory conformity. A system may be technically in scope while a particular legal classification remains unresolved.</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vAlign w:val="center"/>
            <w:shd w:fill="1F4E79"/>
          </w:tcPr>
          <w:p>
            <w:pPr>
              <w:spacing w:after="0"/>
            </w:pPr>
            <w:r>
              <w:rPr>
                <w:b/>
                <w:color w:val="FFFFFF"/>
                <w:sz w:val="15"/>
              </w:rPr>
              <w:t>Scope question</w:t>
            </w:r>
          </w:p>
        </w:tc>
        <w:tc>
          <w:tcPr>
            <w:tcW w:type="dxa" w:w="3408"/>
            <w:vAlign w:val="center"/>
            <w:shd w:fill="1F4E79"/>
          </w:tcPr>
          <w:p>
            <w:pPr>
              <w:spacing w:after="0"/>
            </w:pPr>
            <w:r>
              <w:rPr>
                <w:b/>
                <w:color w:val="FFFFFF"/>
                <w:sz w:val="15"/>
              </w:rPr>
              <w:t>Include when</w:t>
            </w:r>
          </w:p>
        </w:tc>
        <w:tc>
          <w:tcPr>
            <w:tcW w:type="dxa" w:w="3408"/>
            <w:vAlign w:val="center"/>
            <w:shd w:fill="1F4E79"/>
          </w:tcPr>
          <w:p>
            <w:pPr>
              <w:spacing w:after="0"/>
            </w:pPr>
            <w:r>
              <w:rPr>
                <w:b/>
                <w:color w:val="FFFFFF"/>
                <w:sz w:val="15"/>
              </w:rPr>
              <w:t>Boundary evidence</w:t>
            </w:r>
          </w:p>
        </w:tc>
      </w:tr>
      <w:tr>
        <w:tc>
          <w:tcPr>
            <w:tcW w:type="dxa" w:w="3408"/>
            <w:vAlign w:val="center"/>
          </w:tcPr>
          <w:p>
            <w:pPr>
              <w:spacing w:after="0"/>
            </w:pPr>
            <w:r>
              <w:rPr>
                <w:sz w:val="15"/>
              </w:rPr>
              <w:t>Does the system influence care?</w:t>
            </w:r>
          </w:p>
        </w:tc>
        <w:tc>
          <w:tcPr>
            <w:tcW w:type="dxa" w:w="3408"/>
            <w:vAlign w:val="center"/>
          </w:tcPr>
          <w:p>
            <w:pPr>
              <w:spacing w:after="0"/>
            </w:pPr>
            <w:r>
              <w:rPr>
                <w:sz w:val="15"/>
              </w:rPr>
              <w:t>It informs, prioritises, automates, delays, or constrains care</w:t>
            </w:r>
          </w:p>
        </w:tc>
        <w:tc>
          <w:tcPr>
            <w:tcW w:type="dxa" w:w="3408"/>
            <w:vAlign w:val="center"/>
          </w:tcPr>
          <w:p>
            <w:pPr>
              <w:spacing w:after="0"/>
            </w:pPr>
            <w:r>
              <w:rPr>
                <w:sz w:val="15"/>
              </w:rPr>
              <w:t>Workflow map, intended-use statement</w:t>
            </w:r>
          </w:p>
        </w:tc>
      </w:tr>
      <w:tr>
        <w:tc>
          <w:tcPr>
            <w:tcW w:type="dxa" w:w="3408"/>
            <w:vAlign w:val="center"/>
          </w:tcPr>
          <w:p>
            <w:pPr>
              <w:spacing w:after="0"/>
            </w:pPr>
            <w:r>
              <w:rPr>
                <w:sz w:val="15"/>
              </w:rPr>
              <w:t>Does it process health data?</w:t>
            </w:r>
          </w:p>
        </w:tc>
        <w:tc>
          <w:tcPr>
            <w:tcW w:type="dxa" w:w="3408"/>
            <w:vAlign w:val="center"/>
          </w:tcPr>
          <w:p>
            <w:pPr>
              <w:spacing w:after="0"/>
            </w:pPr>
            <w:r>
              <w:rPr>
                <w:sz w:val="15"/>
              </w:rPr>
              <w:t>It receives, derives, retrieves, logs, or exposes sensitive health information</w:t>
            </w:r>
          </w:p>
        </w:tc>
        <w:tc>
          <w:tcPr>
            <w:tcW w:type="dxa" w:w="3408"/>
            <w:vAlign w:val="center"/>
          </w:tcPr>
          <w:p>
            <w:pPr>
              <w:spacing w:after="0"/>
            </w:pPr>
            <w:r>
              <w:rPr>
                <w:sz w:val="15"/>
              </w:rPr>
              <w:t>Data-flow diagram, vendor data terms</w:t>
            </w:r>
          </w:p>
        </w:tc>
      </w:tr>
      <w:tr>
        <w:tc>
          <w:tcPr>
            <w:tcW w:type="dxa" w:w="3408"/>
            <w:vAlign w:val="center"/>
          </w:tcPr>
          <w:p>
            <w:pPr>
              <w:spacing w:after="0"/>
            </w:pPr>
            <w:r>
              <w:rPr>
                <w:sz w:val="15"/>
              </w:rPr>
              <w:t>Is AI embedded or indirect?</w:t>
            </w:r>
          </w:p>
        </w:tc>
        <w:tc>
          <w:tcPr>
            <w:tcW w:type="dxa" w:w="3408"/>
            <w:vAlign w:val="center"/>
          </w:tcPr>
          <w:p>
            <w:pPr>
              <w:spacing w:after="0"/>
            </w:pPr>
            <w:r>
              <w:rPr>
                <w:sz w:val="15"/>
              </w:rPr>
              <w:t>AI functionality is supplied through a device, API, SaaS feature, or subcontractor</w:t>
            </w:r>
          </w:p>
        </w:tc>
        <w:tc>
          <w:tcPr>
            <w:tcW w:type="dxa" w:w="3408"/>
            <w:vAlign w:val="center"/>
          </w:tcPr>
          <w:p>
            <w:pPr>
              <w:spacing w:after="0"/>
            </w:pPr>
            <w:r>
              <w:rPr>
                <w:sz w:val="15"/>
              </w:rPr>
              <w:t>Architecture and supplier inventory</w:t>
            </w:r>
          </w:p>
        </w:tc>
      </w:tr>
      <w:tr>
        <w:tc>
          <w:tcPr>
            <w:tcW w:type="dxa" w:w="3408"/>
            <w:vAlign w:val="center"/>
          </w:tcPr>
          <w:p>
            <w:pPr>
              <w:spacing w:after="0"/>
            </w:pPr>
            <w:r>
              <w:rPr>
                <w:sz w:val="15"/>
              </w:rPr>
              <w:t>Is it only experimental?</w:t>
            </w:r>
          </w:p>
        </w:tc>
        <w:tc>
          <w:tcPr>
            <w:tcW w:type="dxa" w:w="3408"/>
            <w:vAlign w:val="center"/>
          </w:tcPr>
          <w:p>
            <w:pPr>
              <w:spacing w:after="0"/>
            </w:pPr>
            <w:r>
              <w:rPr>
                <w:sz w:val="15"/>
              </w:rPr>
              <w:t>Include where real data, real users, or production-adjacent infrastructure create risk</w:t>
            </w:r>
          </w:p>
        </w:tc>
        <w:tc>
          <w:tcPr>
            <w:tcW w:type="dxa" w:w="3408"/>
            <w:vAlign w:val="center"/>
          </w:tcPr>
          <w:p>
            <w:pPr>
              <w:spacing w:after="0"/>
            </w:pPr>
            <w:r>
              <w:rPr>
                <w:sz w:val="15"/>
              </w:rPr>
              <w:t>Research protocol, environment controls</w:t>
            </w:r>
          </w:p>
        </w:tc>
      </w:tr>
    </w:tbl>
    <w:p>
      <w:pPr>
        <w:pStyle w:val="Heading1"/>
      </w:pPr>
      <w:r>
        <w:t>4. Conformance and Normative Relationship</w:t>
      </w:r>
    </w:p>
    <w:p>
      <w:pPr>
        <w:spacing w:after="80"/>
      </w:pPr>
      <w:r>
        <w:t>Conformance is assessed against GAISSF, not against SEC-037. Where this guide conflicts with the verified normative standard, the normative standard prevails. Where applicable law imposes a stricter or different obligation, the organisation must address that obligation independently.</w:t>
      </w:r>
    </w:p>
    <w:p>
      <w:pPr>
        <w:spacing w:after="80"/>
      </w:pPr>
      <w:r/>
      <w:r>
        <w:rPr>
          <w:b/>
        </w:rPr>
        <w:t>Interpretation hierarchy:</w:t>
      </w:r>
      <w:r>
        <w:t xml:space="preserve"> (1) applicable law and binding regulatory requirements; (2) verified GAISSF normative requirements; (3) approved GAISSF interpretations; (4) this sector guide; and (5) organisation-specific procedures. The hierarchy does not imply that GAISSF overrides law.</w:t>
      </w:r>
    </w:p>
    <w:p>
      <w:pPr>
        <w:spacing w:after="80"/>
      </w:pPr>
      <w:r>
        <w:t>Recommended practices may be adapted based on system impact, organisational scale, technical feasibility, and risk acceptance. Adaptation must not be used to disregard an applicable normative requirement. Compensating controls should be documented with rationale, ownership, evidence, limitations, and residual risk.</w:t>
      </w:r>
    </w:p>
    <w:p>
      <w:pPr>
        <w:spacing w:after="80"/>
      </w:pPr>
      <w:r>
        <w:t>Notably absent: this section does not determine the applicable law, certify a system, or authorise an assessor to create new mandatory evidence requirements.</w:t>
      </w:r>
    </w:p>
    <w:p>
      <w:pPr>
        <w:pStyle w:val="Heading1"/>
      </w:pPr>
      <w:r>
        <w:t>5. Healthcare Operating Context</w:t>
      </w:r>
    </w:p>
    <w:p>
      <w:pPr>
        <w:spacing w:after="80"/>
      </w:pPr>
      <w:r>
        <w:t>Healthcare environments combine time-critical decisions, safety-sensitive workflows, sensitive data, legacy assets, medical devices, high availability needs, and multi-party accountability. A technically small AI failure may therefore have disproportionate operational consequences when it changes patient prioritisation, suppresses an alert, corrupts a record, or removes a service on which staff have become dependent.</w:t>
      </w:r>
    </w:p>
    <w:p>
      <w:pPr>
        <w:spacing w:after="80"/>
      </w:pPr>
      <w:r>
        <w:t>Risk is also shaped by heterogeneous populations, differences in local clinical practice, limited downtime windows, complex procurement chains, and transition from research into operational use. Security controls must fit clinical workflow: controls that create unsafe delay, encourage workarounds, or block emergency access can introduce their own hazards.</w:t>
      </w:r>
    </w:p>
    <w:p>
      <w:pPr>
        <w:spacing w:after="80"/>
      </w:pPr>
      <w:r>
        <w:t>Healthcare organisations should analyse the full pathway from technical event to operational and clinical consequence. They should not assume that privacy, security, safety, quality, ethics, and compliance are interchangeable disciplines; each asks different questions and requires different evidence.</w:t>
      </w:r>
    </w:p>
    <w:p>
      <w:pPr>
        <w:pStyle w:val="Heading1"/>
      </w:pPr>
      <w:r>
        <w:t>6. Healthcare AI System Taxonomy</w:t>
      </w:r>
    </w:p>
    <w:p>
      <w:pPr>
        <w:spacing w:after="80"/>
      </w:pPr>
      <w:r>
        <w:t>The following taxonomy supports inventory, ownership, validation planning, and risk classification. A system may occupy more than one category.</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2556"/>
            <w:vAlign w:val="center"/>
            <w:shd w:fill="1F4E79"/>
          </w:tcPr>
          <w:p>
            <w:pPr>
              <w:spacing w:after="0"/>
            </w:pPr>
            <w:r>
              <w:rPr>
                <w:b/>
                <w:color w:val="FFFFFF"/>
                <w:sz w:val="15"/>
              </w:rPr>
              <w:t>Category</w:t>
            </w:r>
          </w:p>
        </w:tc>
        <w:tc>
          <w:tcPr>
            <w:tcW w:type="dxa" w:w="2556"/>
            <w:vAlign w:val="center"/>
            <w:shd w:fill="1F4E79"/>
          </w:tcPr>
          <w:p>
            <w:pPr>
              <w:spacing w:after="0"/>
            </w:pPr>
            <w:r>
              <w:rPr>
                <w:b/>
                <w:color w:val="FFFFFF"/>
                <w:sz w:val="15"/>
              </w:rPr>
              <w:t>Typical users and uses</w:t>
            </w:r>
          </w:p>
        </w:tc>
        <w:tc>
          <w:tcPr>
            <w:tcW w:type="dxa" w:w="2556"/>
            <w:vAlign w:val="center"/>
            <w:shd w:fill="1F4E79"/>
          </w:tcPr>
          <w:p>
            <w:pPr>
              <w:spacing w:after="0"/>
            </w:pPr>
            <w:r>
              <w:rPr>
                <w:b/>
                <w:color w:val="FFFFFF"/>
                <w:sz w:val="15"/>
              </w:rPr>
              <w:t>Principal failure modes</w:t>
            </w:r>
          </w:p>
        </w:tc>
        <w:tc>
          <w:tcPr>
            <w:tcW w:type="dxa" w:w="2556"/>
            <w:vAlign w:val="center"/>
            <w:shd w:fill="1F4E79"/>
          </w:tcPr>
          <w:p>
            <w:pPr>
              <w:spacing w:after="0"/>
            </w:pPr>
            <w:r>
              <w:rPr>
                <w:b/>
                <w:color w:val="FFFFFF"/>
                <w:sz w:val="15"/>
              </w:rPr>
              <w:t>Oversight and evidence emphasis</w:t>
            </w:r>
          </w:p>
        </w:tc>
      </w:tr>
      <w:tr>
        <w:tc>
          <w:tcPr>
            <w:tcW w:type="dxa" w:w="2556"/>
            <w:vAlign w:val="center"/>
          </w:tcPr>
          <w:p>
            <w:pPr>
              <w:spacing w:after="0"/>
            </w:pPr>
            <w:r>
              <w:rPr>
                <w:sz w:val="15"/>
              </w:rPr>
              <w:t>Clinical diagnostic AI</w:t>
            </w:r>
          </w:p>
        </w:tc>
        <w:tc>
          <w:tcPr>
            <w:tcW w:type="dxa" w:w="2556"/>
            <w:vAlign w:val="center"/>
          </w:tcPr>
          <w:p>
            <w:pPr>
              <w:spacing w:after="0"/>
            </w:pPr>
            <w:r>
              <w:rPr>
                <w:sz w:val="15"/>
              </w:rPr>
              <w:t>Radiology, pathology, dermatology, laboratory interpretation</w:t>
            </w:r>
          </w:p>
        </w:tc>
        <w:tc>
          <w:tcPr>
            <w:tcW w:type="dxa" w:w="2556"/>
            <w:vAlign w:val="center"/>
          </w:tcPr>
          <w:p>
            <w:pPr>
              <w:spacing w:after="0"/>
            </w:pPr>
            <w:r>
              <w:rPr>
                <w:sz w:val="15"/>
              </w:rPr>
              <w:t>Missed detection, false finding, image manipulation, distribution shift</w:t>
            </w:r>
          </w:p>
        </w:tc>
        <w:tc>
          <w:tcPr>
            <w:tcW w:type="dxa" w:w="2556"/>
            <w:vAlign w:val="center"/>
          </w:tcPr>
          <w:p>
            <w:pPr>
              <w:spacing w:after="0"/>
            </w:pPr>
            <w:r>
              <w:rPr>
                <w:sz w:val="15"/>
              </w:rPr>
              <w:t>Clinical validation, subgroup analysis, image provenance, override review</w:t>
            </w:r>
          </w:p>
        </w:tc>
      </w:tr>
      <w:tr>
        <w:tc>
          <w:tcPr>
            <w:tcW w:type="dxa" w:w="2556"/>
            <w:vAlign w:val="center"/>
          </w:tcPr>
          <w:p>
            <w:pPr>
              <w:spacing w:after="0"/>
            </w:pPr>
            <w:r>
              <w:rPr>
                <w:sz w:val="15"/>
              </w:rPr>
              <w:t>Clinical decision support</w:t>
            </w:r>
          </w:p>
        </w:tc>
        <w:tc>
          <w:tcPr>
            <w:tcW w:type="dxa" w:w="2556"/>
            <w:vAlign w:val="center"/>
          </w:tcPr>
          <w:p>
            <w:pPr>
              <w:spacing w:after="0"/>
            </w:pPr>
            <w:r>
              <w:rPr>
                <w:sz w:val="15"/>
              </w:rPr>
              <w:t>Treatment, deterioration, medication, risk scoring</w:t>
            </w:r>
          </w:p>
        </w:tc>
        <w:tc>
          <w:tcPr>
            <w:tcW w:type="dxa" w:w="2556"/>
            <w:vAlign w:val="center"/>
          </w:tcPr>
          <w:p>
            <w:pPr>
              <w:spacing w:after="0"/>
            </w:pPr>
            <w:r>
              <w:rPr>
                <w:sz w:val="15"/>
              </w:rPr>
              <w:t>Incorrect recommendation, automation bias, stale knowledge</w:t>
            </w:r>
          </w:p>
        </w:tc>
        <w:tc>
          <w:tcPr>
            <w:tcW w:type="dxa" w:w="2556"/>
            <w:vAlign w:val="center"/>
          </w:tcPr>
          <w:p>
            <w:pPr>
              <w:spacing w:after="0"/>
            </w:pPr>
            <w:r>
              <w:rPr>
                <w:sz w:val="15"/>
              </w:rPr>
              <w:t>Intended-use control, clinician review, performance surveillance</w:t>
            </w:r>
          </w:p>
        </w:tc>
      </w:tr>
      <w:tr>
        <w:tc>
          <w:tcPr>
            <w:tcW w:type="dxa" w:w="2556"/>
            <w:vAlign w:val="center"/>
          </w:tcPr>
          <w:p>
            <w:pPr>
              <w:spacing w:after="0"/>
            </w:pPr>
            <w:r>
              <w:rPr>
                <w:sz w:val="15"/>
              </w:rPr>
              <w:t>Patient monitoring</w:t>
            </w:r>
          </w:p>
        </w:tc>
        <w:tc>
          <w:tcPr>
            <w:tcW w:type="dxa" w:w="2556"/>
            <w:vAlign w:val="center"/>
          </w:tcPr>
          <w:p>
            <w:pPr>
              <w:spacing w:after="0"/>
            </w:pPr>
            <w:r>
              <w:rPr>
                <w:sz w:val="15"/>
              </w:rPr>
              <w:t>Remote monitoring, ICU alerts, wearable analytics</w:t>
            </w:r>
          </w:p>
        </w:tc>
        <w:tc>
          <w:tcPr>
            <w:tcW w:type="dxa" w:w="2556"/>
            <w:vAlign w:val="center"/>
          </w:tcPr>
          <w:p>
            <w:pPr>
              <w:spacing w:after="0"/>
            </w:pPr>
            <w:r>
              <w:rPr>
                <w:sz w:val="15"/>
              </w:rPr>
              <w:t>Missed alert, alert flooding, identity mismatch, connectivity failure</w:t>
            </w:r>
          </w:p>
        </w:tc>
        <w:tc>
          <w:tcPr>
            <w:tcW w:type="dxa" w:w="2556"/>
            <w:vAlign w:val="center"/>
          </w:tcPr>
          <w:p>
            <w:pPr>
              <w:spacing w:after="0"/>
            </w:pPr>
            <w:r>
              <w:rPr>
                <w:sz w:val="15"/>
              </w:rPr>
              <w:t>Availability, alarm governance, patient matching, fallback</w:t>
            </w:r>
          </w:p>
        </w:tc>
      </w:tr>
      <w:tr>
        <w:tc>
          <w:tcPr>
            <w:tcW w:type="dxa" w:w="2556"/>
            <w:vAlign w:val="center"/>
          </w:tcPr>
          <w:p>
            <w:pPr>
              <w:spacing w:after="0"/>
            </w:pPr>
            <w:r>
              <w:rPr>
                <w:sz w:val="15"/>
              </w:rPr>
              <w:t>Medical-device AI</w:t>
            </w:r>
          </w:p>
        </w:tc>
        <w:tc>
          <w:tcPr>
            <w:tcW w:type="dxa" w:w="2556"/>
            <w:vAlign w:val="center"/>
          </w:tcPr>
          <w:p>
            <w:pPr>
              <w:spacing w:after="0"/>
            </w:pPr>
            <w:r>
              <w:rPr>
                <w:sz w:val="15"/>
              </w:rPr>
              <w:t>Embedded intelligence, SaMD, robotics</w:t>
            </w:r>
          </w:p>
        </w:tc>
        <w:tc>
          <w:tcPr>
            <w:tcW w:type="dxa" w:w="2556"/>
            <w:vAlign w:val="center"/>
          </w:tcPr>
          <w:p>
            <w:pPr>
              <w:spacing w:after="0"/>
            </w:pPr>
            <w:r>
              <w:rPr>
                <w:sz w:val="15"/>
              </w:rPr>
              <w:t>Unsafe actuation, update failure, cyber-physical manipulation</w:t>
            </w:r>
          </w:p>
        </w:tc>
        <w:tc>
          <w:tcPr>
            <w:tcW w:type="dxa" w:w="2556"/>
            <w:vAlign w:val="center"/>
          </w:tcPr>
          <w:p>
            <w:pPr>
              <w:spacing w:after="0"/>
            </w:pPr>
            <w:r>
              <w:rPr>
                <w:sz w:val="15"/>
              </w:rPr>
              <w:t>Device safety process, secure update, manufacturer coordination</w:t>
            </w:r>
          </w:p>
        </w:tc>
      </w:tr>
      <w:tr>
        <w:tc>
          <w:tcPr>
            <w:tcW w:type="dxa" w:w="2556"/>
            <w:vAlign w:val="center"/>
          </w:tcPr>
          <w:p>
            <w:pPr>
              <w:spacing w:after="0"/>
            </w:pPr>
            <w:r>
              <w:rPr>
                <w:sz w:val="15"/>
              </w:rPr>
              <w:t>Administrative AI</w:t>
            </w:r>
          </w:p>
        </w:tc>
        <w:tc>
          <w:tcPr>
            <w:tcW w:type="dxa" w:w="2556"/>
            <w:vAlign w:val="center"/>
          </w:tcPr>
          <w:p>
            <w:pPr>
              <w:spacing w:after="0"/>
            </w:pPr>
            <w:r>
              <w:rPr>
                <w:sz w:val="15"/>
              </w:rPr>
              <w:t>Scheduling, coding, billing, workforce planning</w:t>
            </w:r>
          </w:p>
        </w:tc>
        <w:tc>
          <w:tcPr>
            <w:tcW w:type="dxa" w:w="2556"/>
            <w:vAlign w:val="center"/>
          </w:tcPr>
          <w:p>
            <w:pPr>
              <w:spacing w:after="0"/>
            </w:pPr>
            <w:r>
              <w:rPr>
                <w:sz w:val="15"/>
              </w:rPr>
              <w:t>Discrimination, denial or delay, integrity errors, fraud</w:t>
            </w:r>
          </w:p>
        </w:tc>
        <w:tc>
          <w:tcPr>
            <w:tcW w:type="dxa" w:w="2556"/>
            <w:vAlign w:val="center"/>
          </w:tcPr>
          <w:p>
            <w:pPr>
              <w:spacing w:after="0"/>
            </w:pPr>
            <w:r>
              <w:rPr>
                <w:sz w:val="15"/>
              </w:rPr>
              <w:t>Data quality, appeal, auditability, role separation</w:t>
            </w:r>
          </w:p>
        </w:tc>
      </w:tr>
      <w:tr>
        <w:tc>
          <w:tcPr>
            <w:tcW w:type="dxa" w:w="2556"/>
            <w:vAlign w:val="center"/>
          </w:tcPr>
          <w:p>
            <w:pPr>
              <w:spacing w:after="0"/>
            </w:pPr>
            <w:r>
              <w:rPr>
                <w:sz w:val="15"/>
              </w:rPr>
              <w:t>Patient-facing generative AI</w:t>
            </w:r>
          </w:p>
        </w:tc>
        <w:tc>
          <w:tcPr>
            <w:tcW w:type="dxa" w:w="2556"/>
            <w:vAlign w:val="center"/>
          </w:tcPr>
          <w:p>
            <w:pPr>
              <w:spacing w:after="0"/>
            </w:pPr>
            <w:r>
              <w:rPr>
                <w:sz w:val="15"/>
              </w:rPr>
              <w:t>Navigation, education, symptom guidance</w:t>
            </w:r>
          </w:p>
        </w:tc>
        <w:tc>
          <w:tcPr>
            <w:tcW w:type="dxa" w:w="2556"/>
            <w:vAlign w:val="center"/>
          </w:tcPr>
          <w:p>
            <w:pPr>
              <w:spacing w:after="0"/>
            </w:pPr>
            <w:r>
              <w:rPr>
                <w:sz w:val="15"/>
              </w:rPr>
              <w:t>Hallucination, unsafe advice, impersonation, privacy leakage</w:t>
            </w:r>
          </w:p>
        </w:tc>
        <w:tc>
          <w:tcPr>
            <w:tcW w:type="dxa" w:w="2556"/>
            <w:vAlign w:val="center"/>
          </w:tcPr>
          <w:p>
            <w:pPr>
              <w:spacing w:after="0"/>
            </w:pPr>
            <w:r>
              <w:rPr>
                <w:sz w:val="15"/>
              </w:rPr>
              <w:t>Clear boundaries, escalation, source grounding, content review</w:t>
            </w:r>
          </w:p>
        </w:tc>
      </w:tr>
      <w:tr>
        <w:tc>
          <w:tcPr>
            <w:tcW w:type="dxa" w:w="2556"/>
            <w:vAlign w:val="center"/>
          </w:tcPr>
          <w:p>
            <w:pPr>
              <w:spacing w:after="0"/>
            </w:pPr>
            <w:r>
              <w:rPr>
                <w:sz w:val="15"/>
              </w:rPr>
              <w:t>Clinical documentation AI</w:t>
            </w:r>
          </w:p>
        </w:tc>
        <w:tc>
          <w:tcPr>
            <w:tcW w:type="dxa" w:w="2556"/>
            <w:vAlign w:val="center"/>
          </w:tcPr>
          <w:p>
            <w:pPr>
              <w:spacing w:after="0"/>
            </w:pPr>
            <w:r>
              <w:rPr>
                <w:sz w:val="15"/>
              </w:rPr>
              <w:t>Ambient notes, transcription, summarisation</w:t>
            </w:r>
          </w:p>
        </w:tc>
        <w:tc>
          <w:tcPr>
            <w:tcW w:type="dxa" w:w="2556"/>
            <w:vAlign w:val="center"/>
          </w:tcPr>
          <w:p>
            <w:pPr>
              <w:spacing w:after="0"/>
            </w:pPr>
            <w:r>
              <w:rPr>
                <w:sz w:val="15"/>
              </w:rPr>
              <w:t>Fabricated or omitted facts, patient mismatch, hidden edits</w:t>
            </w:r>
          </w:p>
        </w:tc>
        <w:tc>
          <w:tcPr>
            <w:tcW w:type="dxa" w:w="2556"/>
            <w:vAlign w:val="center"/>
          </w:tcPr>
          <w:p>
            <w:pPr>
              <w:spacing w:after="0"/>
            </w:pPr>
            <w:r>
              <w:rPr>
                <w:sz w:val="15"/>
              </w:rPr>
              <w:t>Clinician attestation, provenance, change history, sampling</w:t>
            </w:r>
          </w:p>
        </w:tc>
      </w:tr>
      <w:tr>
        <w:tc>
          <w:tcPr>
            <w:tcW w:type="dxa" w:w="2556"/>
            <w:vAlign w:val="center"/>
          </w:tcPr>
          <w:p>
            <w:pPr>
              <w:spacing w:after="0"/>
            </w:pPr>
            <w:r>
              <w:rPr>
                <w:sz w:val="15"/>
              </w:rPr>
              <w:t>Research and life-sciences AI</w:t>
            </w:r>
          </w:p>
        </w:tc>
        <w:tc>
          <w:tcPr>
            <w:tcW w:type="dxa" w:w="2556"/>
            <w:vAlign w:val="center"/>
          </w:tcPr>
          <w:p>
            <w:pPr>
              <w:spacing w:after="0"/>
            </w:pPr>
            <w:r>
              <w:rPr>
                <w:sz w:val="15"/>
              </w:rPr>
              <w:t>Discovery, trials, genomics, synthetic data</w:t>
            </w:r>
          </w:p>
        </w:tc>
        <w:tc>
          <w:tcPr>
            <w:tcW w:type="dxa" w:w="2556"/>
            <w:vAlign w:val="center"/>
          </w:tcPr>
          <w:p>
            <w:pPr>
              <w:spacing w:after="0"/>
            </w:pPr>
            <w:r>
              <w:rPr>
                <w:sz w:val="15"/>
              </w:rPr>
              <w:t>Biased selection, leakage, invalid inference, dual use</w:t>
            </w:r>
          </w:p>
        </w:tc>
        <w:tc>
          <w:tcPr>
            <w:tcW w:type="dxa" w:w="2556"/>
            <w:vAlign w:val="center"/>
          </w:tcPr>
          <w:p>
            <w:pPr>
              <w:spacing w:after="0"/>
            </w:pPr>
            <w:r>
              <w:rPr>
                <w:sz w:val="15"/>
              </w:rPr>
              <w:t>Protocol governance, reproducibility, data rights, separation from care</w:t>
            </w:r>
          </w:p>
        </w:tc>
      </w:tr>
      <w:tr>
        <w:tc>
          <w:tcPr>
            <w:tcW w:type="dxa" w:w="2556"/>
            <w:vAlign w:val="center"/>
          </w:tcPr>
          <w:p>
            <w:pPr>
              <w:spacing w:after="0"/>
            </w:pPr>
            <w:r>
              <w:rPr>
                <w:sz w:val="15"/>
              </w:rPr>
              <w:t>Cybersecurity and infrastructure AI</w:t>
            </w:r>
          </w:p>
        </w:tc>
        <w:tc>
          <w:tcPr>
            <w:tcW w:type="dxa" w:w="2556"/>
            <w:vAlign w:val="center"/>
          </w:tcPr>
          <w:p>
            <w:pPr>
              <w:spacing w:after="0"/>
            </w:pPr>
            <w:r>
              <w:rPr>
                <w:sz w:val="15"/>
              </w:rPr>
              <w:t>Detection, access analytics, automation</w:t>
            </w:r>
          </w:p>
        </w:tc>
        <w:tc>
          <w:tcPr>
            <w:tcW w:type="dxa" w:w="2556"/>
            <w:vAlign w:val="center"/>
          </w:tcPr>
          <w:p>
            <w:pPr>
              <w:spacing w:after="0"/>
            </w:pPr>
            <w:r>
              <w:rPr>
                <w:sz w:val="15"/>
              </w:rPr>
              <w:t>False positives, unsafe automated response, blind spots</w:t>
            </w:r>
          </w:p>
        </w:tc>
        <w:tc>
          <w:tcPr>
            <w:tcW w:type="dxa" w:w="2556"/>
            <w:vAlign w:val="center"/>
          </w:tcPr>
          <w:p>
            <w:pPr>
              <w:spacing w:after="0"/>
            </w:pPr>
            <w:r>
              <w:rPr>
                <w:sz w:val="15"/>
              </w:rPr>
              <w:t>Human approval, containment safeguards, model monitoring</w:t>
            </w:r>
          </w:p>
        </w:tc>
      </w:tr>
    </w:tbl>
    <w:p>
      <w:pPr>
        <w:spacing w:after="80"/>
      </w:pPr>
      <w:r>
        <w:t>For each inventoried system, record intended and prohibited use, users, patient population, data, integrations, autonomy, human review, deployment location, supplier chain, validation status, monitoring owner, and retirement plan.</w:t>
      </w:r>
    </w:p>
    <w:p>
      <w:pPr>
        <w:pStyle w:val="Heading1"/>
      </w:pPr>
      <w:r>
        <w:t>7. Healthcare AI Risk Classification</w:t>
      </w:r>
    </w:p>
    <w:p>
      <w:pPr>
        <w:spacing w:after="80"/>
      </w:pPr>
      <w:r>
        <w:t>Risk classification should be based on consequence pathways and dependency, not on model type alone. The method below is Tier 4 recommended practice unless incorporated into GAISSF through a verified normative reference.</w:t>
      </w:r>
    </w:p>
    <w:p>
      <w:pPr>
        <w:spacing w:after="80"/>
      </w:pPr>
      <w:r>
        <w:t>Score and document: severity and reversibility of possible harm; immediacy; clinical autonomy; effectiveness of human review; scale; data sensitivity; cyber-physical effect; availability dependency; adaptability; external exposure; propagation; vulnerable populations; supplier reliance; and detectability of silent failure.</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vAlign w:val="center"/>
            <w:shd w:fill="1F4E79"/>
          </w:tcPr>
          <w:p>
            <w:pPr>
              <w:spacing w:after="0"/>
            </w:pPr>
            <w:r>
              <w:rPr>
                <w:b/>
                <w:color w:val="FFFFFF"/>
                <w:sz w:val="15"/>
              </w:rPr>
              <w:t>Illustrative tier</w:t>
            </w:r>
          </w:p>
        </w:tc>
        <w:tc>
          <w:tcPr>
            <w:tcW w:type="dxa" w:w="3408"/>
            <w:vAlign w:val="center"/>
            <w:shd w:fill="1F4E79"/>
          </w:tcPr>
          <w:p>
            <w:pPr>
              <w:spacing w:after="0"/>
            </w:pPr>
            <w:r>
              <w:rPr>
                <w:b/>
                <w:color w:val="FFFFFF"/>
                <w:sz w:val="15"/>
              </w:rPr>
              <w:t>Typical characteristics</w:t>
            </w:r>
          </w:p>
        </w:tc>
        <w:tc>
          <w:tcPr>
            <w:tcW w:type="dxa" w:w="3408"/>
            <w:vAlign w:val="center"/>
            <w:shd w:fill="1F4E79"/>
          </w:tcPr>
          <w:p>
            <w:pPr>
              <w:spacing w:after="0"/>
            </w:pPr>
            <w:r>
              <w:rPr>
                <w:b/>
                <w:color w:val="FFFFFF"/>
                <w:sz w:val="15"/>
              </w:rPr>
              <w:t>Minimum governance response</w:t>
            </w:r>
          </w:p>
        </w:tc>
      </w:tr>
      <w:tr>
        <w:tc>
          <w:tcPr>
            <w:tcW w:type="dxa" w:w="3408"/>
            <w:vAlign w:val="center"/>
          </w:tcPr>
          <w:p>
            <w:pPr>
              <w:spacing w:after="0"/>
            </w:pPr>
            <w:r>
              <w:rPr>
                <w:sz w:val="15"/>
              </w:rPr>
              <w:t>Minimal operational impact</w:t>
            </w:r>
          </w:p>
        </w:tc>
        <w:tc>
          <w:tcPr>
            <w:tcW w:type="dxa" w:w="3408"/>
            <w:vAlign w:val="center"/>
          </w:tcPr>
          <w:p>
            <w:pPr>
              <w:spacing w:after="0"/>
            </w:pPr>
            <w:r>
              <w:rPr>
                <w:sz w:val="15"/>
              </w:rPr>
              <w:t>No patient data or care influence; easy reversal</w:t>
            </w:r>
          </w:p>
        </w:tc>
        <w:tc>
          <w:tcPr>
            <w:tcW w:type="dxa" w:w="3408"/>
            <w:vAlign w:val="center"/>
          </w:tcPr>
          <w:p>
            <w:pPr>
              <w:spacing w:after="0"/>
            </w:pPr>
            <w:r>
              <w:rPr>
                <w:sz w:val="15"/>
              </w:rPr>
              <w:t>Named owner, inventory, access control, basic testing</w:t>
            </w:r>
          </w:p>
        </w:tc>
      </w:tr>
      <w:tr>
        <w:tc>
          <w:tcPr>
            <w:tcW w:type="dxa" w:w="3408"/>
            <w:vAlign w:val="center"/>
          </w:tcPr>
          <w:p>
            <w:pPr>
              <w:spacing w:after="0"/>
            </w:pPr>
            <w:r>
              <w:rPr>
                <w:sz w:val="15"/>
              </w:rPr>
              <w:t>Material administrative impact</w:t>
            </w:r>
          </w:p>
        </w:tc>
        <w:tc>
          <w:tcPr>
            <w:tcW w:type="dxa" w:w="3408"/>
            <w:vAlign w:val="center"/>
          </w:tcPr>
          <w:p>
            <w:pPr>
              <w:spacing w:after="0"/>
            </w:pPr>
            <w:r>
              <w:rPr>
                <w:sz w:val="15"/>
              </w:rPr>
              <w:t>Affects scheduling, payment, workforce, or access</w:t>
            </w:r>
          </w:p>
        </w:tc>
        <w:tc>
          <w:tcPr>
            <w:tcW w:type="dxa" w:w="3408"/>
            <w:vAlign w:val="center"/>
          </w:tcPr>
          <w:p>
            <w:pPr>
              <w:spacing w:after="0"/>
            </w:pPr>
            <w:r>
              <w:rPr>
                <w:sz w:val="15"/>
              </w:rPr>
              <w:t>Business impact analysis, appeal/correction, monitoring</w:t>
            </w:r>
          </w:p>
        </w:tc>
      </w:tr>
      <w:tr>
        <w:tc>
          <w:tcPr>
            <w:tcW w:type="dxa" w:w="3408"/>
            <w:vAlign w:val="center"/>
          </w:tcPr>
          <w:p>
            <w:pPr>
              <w:spacing w:after="0"/>
            </w:pPr>
            <w:r>
              <w:rPr>
                <w:sz w:val="15"/>
              </w:rPr>
              <w:t>Significant care-delivery impact</w:t>
            </w:r>
          </w:p>
        </w:tc>
        <w:tc>
          <w:tcPr>
            <w:tcW w:type="dxa" w:w="3408"/>
            <w:vAlign w:val="center"/>
          </w:tcPr>
          <w:p>
            <w:pPr>
              <w:spacing w:after="0"/>
            </w:pPr>
            <w:r>
              <w:rPr>
                <w:sz w:val="15"/>
              </w:rPr>
              <w:t>Influences workflow or prioritisation; clinician dependency</w:t>
            </w:r>
          </w:p>
        </w:tc>
        <w:tc>
          <w:tcPr>
            <w:tcW w:type="dxa" w:w="3408"/>
            <w:vAlign w:val="center"/>
          </w:tcPr>
          <w:p>
            <w:pPr>
              <w:spacing w:after="0"/>
            </w:pPr>
            <w:r>
              <w:rPr>
                <w:sz w:val="15"/>
              </w:rPr>
              <w:t>Clinical owner, validation, fallback, incident integration</w:t>
            </w:r>
          </w:p>
        </w:tc>
      </w:tr>
      <w:tr>
        <w:tc>
          <w:tcPr>
            <w:tcW w:type="dxa" w:w="3408"/>
            <w:vAlign w:val="center"/>
          </w:tcPr>
          <w:p>
            <w:pPr>
              <w:spacing w:after="0"/>
            </w:pPr>
            <w:r>
              <w:rPr>
                <w:sz w:val="15"/>
              </w:rPr>
              <w:t>High patient-safety significance</w:t>
            </w:r>
          </w:p>
        </w:tc>
        <w:tc>
          <w:tcPr>
            <w:tcW w:type="dxa" w:w="3408"/>
            <w:vAlign w:val="center"/>
          </w:tcPr>
          <w:p>
            <w:pPr>
              <w:spacing w:after="0"/>
            </w:pPr>
            <w:r>
              <w:rPr>
                <w:sz w:val="15"/>
              </w:rPr>
              <w:t>Material potential for delayed, incorrect, or omitted care</w:t>
            </w:r>
          </w:p>
        </w:tc>
        <w:tc>
          <w:tcPr>
            <w:tcW w:type="dxa" w:w="3408"/>
            <w:vAlign w:val="center"/>
          </w:tcPr>
          <w:p>
            <w:pPr>
              <w:spacing w:after="0"/>
            </w:pPr>
            <w:r>
              <w:rPr>
                <w:sz w:val="15"/>
              </w:rPr>
              <w:t>Independent assurance, safety-security analysis, rigorous surveillance</w:t>
            </w:r>
          </w:p>
        </w:tc>
      </w:tr>
      <w:tr>
        <w:tc>
          <w:tcPr>
            <w:tcW w:type="dxa" w:w="3408"/>
            <w:vAlign w:val="center"/>
          </w:tcPr>
          <w:p>
            <w:pPr>
              <w:spacing w:after="0"/>
            </w:pPr>
            <w:r>
              <w:rPr>
                <w:sz w:val="15"/>
              </w:rPr>
              <w:t>Critical dependency</w:t>
            </w:r>
          </w:p>
        </w:tc>
        <w:tc>
          <w:tcPr>
            <w:tcW w:type="dxa" w:w="3408"/>
            <w:vAlign w:val="center"/>
          </w:tcPr>
          <w:p>
            <w:pPr>
              <w:spacing w:after="0"/>
            </w:pPr>
            <w:r>
              <w:rPr>
                <w:sz w:val="15"/>
              </w:rPr>
              <w:t>Life-sustaining or time-critical dependency; limited fallback</w:t>
            </w:r>
          </w:p>
        </w:tc>
        <w:tc>
          <w:tcPr>
            <w:tcW w:type="dxa" w:w="3408"/>
            <w:vAlign w:val="center"/>
          </w:tcPr>
          <w:p>
            <w:pPr>
              <w:spacing w:after="0"/>
            </w:pPr>
            <w:r>
              <w:rPr>
                <w:sz w:val="15"/>
              </w:rPr>
              <w:t>Executive acceptance, resilience testing, emergency procedures, continuous monitoring</w:t>
            </w:r>
          </w:p>
        </w:tc>
      </w:tr>
    </w:tbl>
    <w:p>
      <w:pPr>
        <w:spacing w:after="80"/>
      </w:pPr>
      <w:r/>
      <w:r>
        <w:rPr>
          <w:b/>
        </w:rPr>
        <w:t>Decision sequence:</w:t>
      </w:r>
      <w:r>
        <w:t xml:space="preserve"> identify actual use; map affected decisions; identify failure and attack pathways; assess harm and reversibility; test human-review effectiveness; evaluate dependency and fallback; assign provisional tier; obtain multidisciplinary approval; revisit after material change.</w:t>
      </w:r>
    </w:p>
    <w:p>
      <w:pPr>
        <w:spacing w:after="80"/>
      </w:pPr>
      <w:r>
        <w:t>Notably absent: no universal numerical threshold is established, and tier assignment does not determine legal classification.</w:t>
      </w:r>
    </w:p>
    <w:p>
      <w:pPr>
        <w:pStyle w:val="Heading1"/>
      </w:pPr>
      <w:r>
        <w:t>8. Healthcare Threat and Failure Model</w:t>
      </w:r>
    </w:p>
    <w:p>
      <w:pPr>
        <w:spacing w:after="80"/>
      </w:pPr>
      <w:r>
        <w:t>The threat model covers malicious action, accidental error, design limitation, environmental change, and organisational misuse. Each threat must be tied to an asset, precondition, consequence, control, evidence, and residual risk.</w:t>
      </w:r>
    </w:p>
    <w:tbl>
      <w:tblPr>
        <w:tblStyle w:val="TableGrid"/>
        <w:tblW w:type="auto" w:w="0"/>
        <w:jc w:val="center"/>
        <w:tblLook w:firstColumn="1" w:firstRow="1" w:lastColumn="0" w:lastRow="0" w:noHBand="0" w:noVBand="1" w:val="04A0"/>
      </w:tblPr>
      <w:tblGrid>
        <w:gridCol w:w="2045"/>
        <w:gridCol w:w="2045"/>
        <w:gridCol w:w="2045"/>
        <w:gridCol w:w="2045"/>
        <w:gridCol w:w="2045"/>
      </w:tblGrid>
      <w:tr>
        <w:trPr>
          <w:tblHeader w:val="true"/>
        </w:trPr>
        <w:tc>
          <w:tcPr>
            <w:tcW w:type="dxa" w:w="2045"/>
            <w:vAlign w:val="center"/>
            <w:shd w:fill="1F4E79"/>
          </w:tcPr>
          <w:p>
            <w:pPr>
              <w:spacing w:after="0"/>
            </w:pPr>
            <w:r>
              <w:rPr>
                <w:b/>
                <w:color w:val="FFFFFF"/>
                <w:sz w:val="15"/>
              </w:rPr>
              <w:t>Threat or failure</w:t>
            </w:r>
          </w:p>
        </w:tc>
        <w:tc>
          <w:tcPr>
            <w:tcW w:type="dxa" w:w="2045"/>
            <w:vAlign w:val="center"/>
            <w:shd w:fill="1F4E79"/>
          </w:tcPr>
          <w:p>
            <w:pPr>
              <w:spacing w:after="0"/>
            </w:pPr>
            <w:r>
              <w:rPr>
                <w:b/>
                <w:color w:val="FFFFFF"/>
                <w:sz w:val="15"/>
              </w:rPr>
              <w:t>Assets / preconditions</w:t>
            </w:r>
          </w:p>
        </w:tc>
        <w:tc>
          <w:tcPr>
            <w:tcW w:type="dxa" w:w="2045"/>
            <w:vAlign w:val="center"/>
            <w:shd w:fill="1F4E79"/>
          </w:tcPr>
          <w:p>
            <w:pPr>
              <w:spacing w:after="0"/>
            </w:pPr>
            <w:r>
              <w:rPr>
                <w:b/>
                <w:color w:val="FFFFFF"/>
                <w:sz w:val="15"/>
              </w:rPr>
              <w:t>Plausible consequence</w:t>
            </w:r>
          </w:p>
        </w:tc>
        <w:tc>
          <w:tcPr>
            <w:tcW w:type="dxa" w:w="2045"/>
            <w:vAlign w:val="center"/>
            <w:shd w:fill="1F4E79"/>
          </w:tcPr>
          <w:p>
            <w:pPr>
              <w:spacing w:after="0"/>
            </w:pPr>
            <w:r>
              <w:rPr>
                <w:b/>
                <w:color w:val="FFFFFF"/>
                <w:sz w:val="15"/>
              </w:rPr>
              <w:t>Prevent / detect / respond</w:t>
            </w:r>
          </w:p>
        </w:tc>
        <w:tc>
          <w:tcPr>
            <w:tcW w:type="dxa" w:w="2045"/>
            <w:vAlign w:val="center"/>
            <w:shd w:fill="1F4E79"/>
          </w:tcPr>
          <w:p>
            <w:pPr>
              <w:spacing w:after="0"/>
            </w:pPr>
            <w:r>
              <w:rPr>
                <w:b/>
                <w:color w:val="FFFFFF"/>
                <w:sz w:val="15"/>
              </w:rPr>
              <w:t>Illustrative evidence</w:t>
            </w:r>
          </w:p>
        </w:tc>
      </w:tr>
      <w:tr>
        <w:tc>
          <w:tcPr>
            <w:tcW w:type="dxa" w:w="2045"/>
            <w:vAlign w:val="center"/>
          </w:tcPr>
          <w:p>
            <w:pPr>
              <w:spacing w:after="0"/>
            </w:pPr>
            <w:r>
              <w:rPr>
                <w:sz w:val="15"/>
              </w:rPr>
              <w:t>Training-data poisoning</w:t>
            </w:r>
          </w:p>
        </w:tc>
        <w:tc>
          <w:tcPr>
            <w:tcW w:type="dxa" w:w="2045"/>
            <w:vAlign w:val="center"/>
          </w:tcPr>
          <w:p>
            <w:pPr>
              <w:spacing w:after="0"/>
            </w:pPr>
            <w:r>
              <w:rPr>
                <w:sz w:val="15"/>
              </w:rPr>
              <w:t>Weak provenance or uncontrolled contribution</w:t>
            </w:r>
          </w:p>
        </w:tc>
        <w:tc>
          <w:tcPr>
            <w:tcW w:type="dxa" w:w="2045"/>
            <w:vAlign w:val="center"/>
          </w:tcPr>
          <w:p>
            <w:pPr>
              <w:spacing w:after="0"/>
            </w:pPr>
            <w:r>
              <w:rPr>
                <w:sz w:val="15"/>
              </w:rPr>
              <w:t>Biased or attacker-influenced behaviour</w:t>
            </w:r>
          </w:p>
        </w:tc>
        <w:tc>
          <w:tcPr>
            <w:tcW w:type="dxa" w:w="2045"/>
            <w:vAlign w:val="center"/>
          </w:tcPr>
          <w:p>
            <w:pPr>
              <w:spacing w:after="0"/>
            </w:pPr>
            <w:r>
              <w:rPr>
                <w:sz w:val="15"/>
              </w:rPr>
              <w:t>Curated sources; anomaly checks; dataset versioning; retraining rollback</w:t>
            </w:r>
          </w:p>
        </w:tc>
        <w:tc>
          <w:tcPr>
            <w:tcW w:type="dxa" w:w="2045"/>
            <w:vAlign w:val="center"/>
          </w:tcPr>
          <w:p>
            <w:pPr>
              <w:spacing w:after="0"/>
            </w:pPr>
            <w:r>
              <w:rPr>
                <w:sz w:val="15"/>
              </w:rPr>
              <w:t>Data lineage, acceptance tests</w:t>
            </w:r>
          </w:p>
        </w:tc>
      </w:tr>
      <w:tr>
        <w:tc>
          <w:tcPr>
            <w:tcW w:type="dxa" w:w="2045"/>
            <w:vAlign w:val="center"/>
          </w:tcPr>
          <w:p>
            <w:pPr>
              <w:spacing w:after="0"/>
            </w:pPr>
            <w:r>
              <w:rPr>
                <w:sz w:val="15"/>
              </w:rPr>
              <w:t>Inference manipulation / adversarial input</w:t>
            </w:r>
          </w:p>
        </w:tc>
        <w:tc>
          <w:tcPr>
            <w:tcW w:type="dxa" w:w="2045"/>
            <w:vAlign w:val="center"/>
          </w:tcPr>
          <w:p>
            <w:pPr>
              <w:spacing w:after="0"/>
            </w:pPr>
            <w:r>
              <w:rPr>
                <w:sz w:val="15"/>
              </w:rPr>
              <w:t>Exposed input channel</w:t>
            </w:r>
          </w:p>
        </w:tc>
        <w:tc>
          <w:tcPr>
            <w:tcW w:type="dxa" w:w="2045"/>
            <w:vAlign w:val="center"/>
          </w:tcPr>
          <w:p>
            <w:pPr>
              <w:spacing w:after="0"/>
            </w:pPr>
            <w:r>
              <w:rPr>
                <w:sz w:val="15"/>
              </w:rPr>
              <w:t>Incorrect classification or prioritisation</w:t>
            </w:r>
          </w:p>
        </w:tc>
        <w:tc>
          <w:tcPr>
            <w:tcW w:type="dxa" w:w="2045"/>
            <w:vAlign w:val="center"/>
          </w:tcPr>
          <w:p>
            <w:pPr>
              <w:spacing w:after="0"/>
            </w:pPr>
            <w:r>
              <w:rPr>
                <w:sz w:val="15"/>
              </w:rPr>
              <w:t>Input validation; robustness tests; rate controls; human review</w:t>
            </w:r>
          </w:p>
        </w:tc>
        <w:tc>
          <w:tcPr>
            <w:tcW w:type="dxa" w:w="2045"/>
            <w:vAlign w:val="center"/>
          </w:tcPr>
          <w:p>
            <w:pPr>
              <w:spacing w:after="0"/>
            </w:pPr>
            <w:r>
              <w:rPr>
                <w:sz w:val="15"/>
              </w:rPr>
              <w:t>Adversarial test report</w:t>
            </w:r>
          </w:p>
        </w:tc>
      </w:tr>
      <w:tr>
        <w:tc>
          <w:tcPr>
            <w:tcW w:type="dxa" w:w="2045"/>
            <w:vAlign w:val="center"/>
          </w:tcPr>
          <w:p>
            <w:pPr>
              <w:spacing w:after="0"/>
            </w:pPr>
            <w:r>
              <w:rPr>
                <w:sz w:val="15"/>
              </w:rPr>
              <w:t>Prompt or indirect prompt injection</w:t>
            </w:r>
          </w:p>
        </w:tc>
        <w:tc>
          <w:tcPr>
            <w:tcW w:type="dxa" w:w="2045"/>
            <w:vAlign w:val="center"/>
          </w:tcPr>
          <w:p>
            <w:pPr>
              <w:spacing w:after="0"/>
            </w:pPr>
            <w:r>
              <w:rPr>
                <w:sz w:val="15"/>
              </w:rPr>
              <w:t>LLM with external content or tools</w:t>
            </w:r>
          </w:p>
        </w:tc>
        <w:tc>
          <w:tcPr>
            <w:tcW w:type="dxa" w:w="2045"/>
            <w:vAlign w:val="center"/>
          </w:tcPr>
          <w:p>
            <w:pPr>
              <w:spacing w:after="0"/>
            </w:pPr>
            <w:r>
              <w:rPr>
                <w:sz w:val="15"/>
              </w:rPr>
              <w:t>Instruction override, leakage, unsafe action</w:t>
            </w:r>
          </w:p>
        </w:tc>
        <w:tc>
          <w:tcPr>
            <w:tcW w:type="dxa" w:w="2045"/>
            <w:vAlign w:val="center"/>
          </w:tcPr>
          <w:p>
            <w:pPr>
              <w:spacing w:after="0"/>
            </w:pPr>
            <w:r>
              <w:rPr>
                <w:sz w:val="15"/>
              </w:rPr>
              <w:t>Content isolation; tool allowlists; privilege separation; output checks</w:t>
            </w:r>
          </w:p>
        </w:tc>
        <w:tc>
          <w:tcPr>
            <w:tcW w:type="dxa" w:w="2045"/>
            <w:vAlign w:val="center"/>
          </w:tcPr>
          <w:p>
            <w:pPr>
              <w:spacing w:after="0"/>
            </w:pPr>
            <w:r>
              <w:rPr>
                <w:sz w:val="15"/>
              </w:rPr>
              <w:t>Attack test cases, tool policy</w:t>
            </w:r>
          </w:p>
        </w:tc>
      </w:tr>
      <w:tr>
        <w:tc>
          <w:tcPr>
            <w:tcW w:type="dxa" w:w="2045"/>
            <w:vAlign w:val="center"/>
          </w:tcPr>
          <w:p>
            <w:pPr>
              <w:spacing w:after="0"/>
            </w:pPr>
            <w:r>
              <w:rPr>
                <w:sz w:val="15"/>
              </w:rPr>
              <w:t>Model extraction or membership inference</w:t>
            </w:r>
          </w:p>
        </w:tc>
        <w:tc>
          <w:tcPr>
            <w:tcW w:type="dxa" w:w="2045"/>
            <w:vAlign w:val="center"/>
          </w:tcPr>
          <w:p>
            <w:pPr>
              <w:spacing w:after="0"/>
            </w:pPr>
            <w:r>
              <w:rPr>
                <w:sz w:val="15"/>
              </w:rPr>
              <w:t>Query access and weak controls</w:t>
            </w:r>
          </w:p>
        </w:tc>
        <w:tc>
          <w:tcPr>
            <w:tcW w:type="dxa" w:w="2045"/>
            <w:vAlign w:val="center"/>
          </w:tcPr>
          <w:p>
            <w:pPr>
              <w:spacing w:after="0"/>
            </w:pPr>
            <w:r>
              <w:rPr>
                <w:sz w:val="15"/>
              </w:rPr>
              <w:t>IP loss or disclosure of training participation</w:t>
            </w:r>
          </w:p>
        </w:tc>
        <w:tc>
          <w:tcPr>
            <w:tcW w:type="dxa" w:w="2045"/>
            <w:vAlign w:val="center"/>
          </w:tcPr>
          <w:p>
            <w:pPr>
              <w:spacing w:after="0"/>
            </w:pPr>
            <w:r>
              <w:rPr>
                <w:sz w:val="15"/>
              </w:rPr>
              <w:t>Access limits; monitoring; privacy testing</w:t>
            </w:r>
          </w:p>
        </w:tc>
        <w:tc>
          <w:tcPr>
            <w:tcW w:type="dxa" w:w="2045"/>
            <w:vAlign w:val="center"/>
          </w:tcPr>
          <w:p>
            <w:pPr>
              <w:spacing w:after="0"/>
            </w:pPr>
            <w:r>
              <w:rPr>
                <w:sz w:val="15"/>
              </w:rPr>
              <w:t>Query logs, privacy assessment</w:t>
            </w:r>
          </w:p>
        </w:tc>
      </w:tr>
      <w:tr>
        <w:tc>
          <w:tcPr>
            <w:tcW w:type="dxa" w:w="2045"/>
            <w:vAlign w:val="center"/>
          </w:tcPr>
          <w:p>
            <w:pPr>
              <w:spacing w:after="0"/>
            </w:pPr>
            <w:r>
              <w:rPr>
                <w:sz w:val="15"/>
              </w:rPr>
              <w:t>Health-data leakage</w:t>
            </w:r>
          </w:p>
        </w:tc>
        <w:tc>
          <w:tcPr>
            <w:tcW w:type="dxa" w:w="2045"/>
            <w:vAlign w:val="center"/>
          </w:tcPr>
          <w:p>
            <w:pPr>
              <w:spacing w:after="0"/>
            </w:pPr>
            <w:r>
              <w:rPr>
                <w:sz w:val="15"/>
              </w:rPr>
              <w:t>Sensitive prompts, logs, caches, telemetry</w:t>
            </w:r>
          </w:p>
        </w:tc>
        <w:tc>
          <w:tcPr>
            <w:tcW w:type="dxa" w:w="2045"/>
            <w:vAlign w:val="center"/>
          </w:tcPr>
          <w:p>
            <w:pPr>
              <w:spacing w:after="0"/>
            </w:pPr>
            <w:r>
              <w:rPr>
                <w:sz w:val="15"/>
              </w:rPr>
              <w:t>Confidentiality breach</w:t>
            </w:r>
          </w:p>
        </w:tc>
        <w:tc>
          <w:tcPr>
            <w:tcW w:type="dxa" w:w="2045"/>
            <w:vAlign w:val="center"/>
          </w:tcPr>
          <w:p>
            <w:pPr>
              <w:spacing w:after="0"/>
            </w:pPr>
            <w:r>
              <w:rPr>
                <w:sz w:val="15"/>
              </w:rPr>
              <w:t>Data minimisation; redaction; retention controls; DLP</w:t>
            </w:r>
          </w:p>
        </w:tc>
        <w:tc>
          <w:tcPr>
            <w:tcW w:type="dxa" w:w="2045"/>
            <w:vAlign w:val="center"/>
          </w:tcPr>
          <w:p>
            <w:pPr>
              <w:spacing w:after="0"/>
            </w:pPr>
            <w:r>
              <w:rPr>
                <w:sz w:val="15"/>
              </w:rPr>
              <w:t>Data-flow and retention evidence</w:t>
            </w:r>
          </w:p>
        </w:tc>
      </w:tr>
      <w:tr>
        <w:tc>
          <w:tcPr>
            <w:tcW w:type="dxa" w:w="2045"/>
            <w:vAlign w:val="center"/>
          </w:tcPr>
          <w:p>
            <w:pPr>
              <w:spacing w:after="0"/>
            </w:pPr>
            <w:r>
              <w:rPr>
                <w:sz w:val="15"/>
              </w:rPr>
              <w:t>Model/configuration tampering</w:t>
            </w:r>
          </w:p>
        </w:tc>
        <w:tc>
          <w:tcPr>
            <w:tcW w:type="dxa" w:w="2045"/>
            <w:vAlign w:val="center"/>
          </w:tcPr>
          <w:p>
            <w:pPr>
              <w:spacing w:after="0"/>
            </w:pPr>
            <w:r>
              <w:rPr>
                <w:sz w:val="15"/>
              </w:rPr>
              <w:t>Weak release or admin controls</w:t>
            </w:r>
          </w:p>
        </w:tc>
        <w:tc>
          <w:tcPr>
            <w:tcW w:type="dxa" w:w="2045"/>
            <w:vAlign w:val="center"/>
          </w:tcPr>
          <w:p>
            <w:pPr>
              <w:spacing w:after="0"/>
            </w:pPr>
            <w:r>
              <w:rPr>
                <w:sz w:val="15"/>
              </w:rPr>
              <w:t>Unapproved behaviour</w:t>
            </w:r>
          </w:p>
        </w:tc>
        <w:tc>
          <w:tcPr>
            <w:tcW w:type="dxa" w:w="2045"/>
            <w:vAlign w:val="center"/>
          </w:tcPr>
          <w:p>
            <w:pPr>
              <w:spacing w:after="0"/>
            </w:pPr>
            <w:r>
              <w:rPr>
                <w:sz w:val="15"/>
              </w:rPr>
              <w:t>Signing, approvals, privileged access, integrity monitoring</w:t>
            </w:r>
          </w:p>
        </w:tc>
        <w:tc>
          <w:tcPr>
            <w:tcW w:type="dxa" w:w="2045"/>
            <w:vAlign w:val="center"/>
          </w:tcPr>
          <w:p>
            <w:pPr>
              <w:spacing w:after="0"/>
            </w:pPr>
            <w:r>
              <w:rPr>
                <w:sz w:val="15"/>
              </w:rPr>
              <w:t>Release manifest, access review</w:t>
            </w:r>
          </w:p>
        </w:tc>
      </w:tr>
      <w:tr>
        <w:tc>
          <w:tcPr>
            <w:tcW w:type="dxa" w:w="2045"/>
            <w:vAlign w:val="center"/>
          </w:tcPr>
          <w:p>
            <w:pPr>
              <w:spacing w:after="0"/>
            </w:pPr>
            <w:r>
              <w:rPr>
                <w:sz w:val="15"/>
              </w:rPr>
              <w:t>Supply-chain compromise</w:t>
            </w:r>
          </w:p>
        </w:tc>
        <w:tc>
          <w:tcPr>
            <w:tcW w:type="dxa" w:w="2045"/>
            <w:vAlign w:val="center"/>
          </w:tcPr>
          <w:p>
            <w:pPr>
              <w:spacing w:after="0"/>
            </w:pPr>
            <w:r>
              <w:rPr>
                <w:sz w:val="15"/>
              </w:rPr>
              <w:t>Third-party model, package, API, update</w:t>
            </w:r>
          </w:p>
        </w:tc>
        <w:tc>
          <w:tcPr>
            <w:tcW w:type="dxa" w:w="2045"/>
            <w:vAlign w:val="center"/>
          </w:tcPr>
          <w:p>
            <w:pPr>
              <w:spacing w:after="0"/>
            </w:pPr>
            <w:r>
              <w:rPr>
                <w:sz w:val="15"/>
              </w:rPr>
              <w:t>Backdoor, outage, hidden behaviour change</w:t>
            </w:r>
          </w:p>
        </w:tc>
        <w:tc>
          <w:tcPr>
            <w:tcW w:type="dxa" w:w="2045"/>
            <w:vAlign w:val="center"/>
          </w:tcPr>
          <w:p>
            <w:pPr>
              <w:spacing w:after="0"/>
            </w:pPr>
            <w:r>
              <w:rPr>
                <w:sz w:val="15"/>
              </w:rPr>
              <w:t>Supplier due diligence; SBOM where relevant; update validation</w:t>
            </w:r>
          </w:p>
        </w:tc>
        <w:tc>
          <w:tcPr>
            <w:tcW w:type="dxa" w:w="2045"/>
            <w:vAlign w:val="center"/>
          </w:tcPr>
          <w:p>
            <w:pPr>
              <w:spacing w:after="0"/>
            </w:pPr>
            <w:r>
              <w:rPr>
                <w:sz w:val="15"/>
              </w:rPr>
              <w:t>Supplier file, dependency register</w:t>
            </w:r>
          </w:p>
        </w:tc>
      </w:tr>
      <w:tr>
        <w:tc>
          <w:tcPr>
            <w:tcW w:type="dxa" w:w="2045"/>
            <w:vAlign w:val="center"/>
          </w:tcPr>
          <w:p>
            <w:pPr>
              <w:spacing w:after="0"/>
            </w:pPr>
            <w:r>
              <w:rPr>
                <w:sz w:val="15"/>
              </w:rPr>
              <w:t>Hallucination or unsupported content</w:t>
            </w:r>
          </w:p>
        </w:tc>
        <w:tc>
          <w:tcPr>
            <w:tcW w:type="dxa" w:w="2045"/>
            <w:vAlign w:val="center"/>
          </w:tcPr>
          <w:p>
            <w:pPr>
              <w:spacing w:after="0"/>
            </w:pPr>
            <w:r>
              <w:rPr>
                <w:sz w:val="15"/>
              </w:rPr>
              <w:t>Generative use without grounding</w:t>
            </w:r>
          </w:p>
        </w:tc>
        <w:tc>
          <w:tcPr>
            <w:tcW w:type="dxa" w:w="2045"/>
            <w:vAlign w:val="center"/>
          </w:tcPr>
          <w:p>
            <w:pPr>
              <w:spacing w:after="0"/>
            </w:pPr>
            <w:r>
              <w:rPr>
                <w:sz w:val="15"/>
              </w:rPr>
              <w:t>False clinical or patient information</w:t>
            </w:r>
          </w:p>
        </w:tc>
        <w:tc>
          <w:tcPr>
            <w:tcW w:type="dxa" w:w="2045"/>
            <w:vAlign w:val="center"/>
          </w:tcPr>
          <w:p>
            <w:pPr>
              <w:spacing w:after="0"/>
            </w:pPr>
            <w:r>
              <w:rPr>
                <w:sz w:val="15"/>
              </w:rPr>
              <w:t>Retrieval controls; citations; mandatory review; use restrictions</w:t>
            </w:r>
          </w:p>
        </w:tc>
        <w:tc>
          <w:tcPr>
            <w:tcW w:type="dxa" w:w="2045"/>
            <w:vAlign w:val="center"/>
          </w:tcPr>
          <w:p>
            <w:pPr>
              <w:spacing w:after="0"/>
            </w:pPr>
            <w:r>
              <w:rPr>
                <w:sz w:val="15"/>
              </w:rPr>
              <w:t>Evaluation corpus, review records</w:t>
            </w:r>
          </w:p>
        </w:tc>
      </w:tr>
      <w:tr>
        <w:tc>
          <w:tcPr>
            <w:tcW w:type="dxa" w:w="2045"/>
            <w:vAlign w:val="center"/>
          </w:tcPr>
          <w:p>
            <w:pPr>
              <w:spacing w:after="0"/>
            </w:pPr>
            <w:r>
              <w:rPr>
                <w:sz w:val="15"/>
              </w:rPr>
              <w:t>Automation bias / alert fatigue</w:t>
            </w:r>
          </w:p>
        </w:tc>
        <w:tc>
          <w:tcPr>
            <w:tcW w:type="dxa" w:w="2045"/>
            <w:vAlign w:val="center"/>
          </w:tcPr>
          <w:p>
            <w:pPr>
              <w:spacing w:after="0"/>
            </w:pPr>
            <w:r>
              <w:rPr>
                <w:sz w:val="15"/>
              </w:rPr>
              <w:t>High trust or excessive alerts</w:t>
            </w:r>
          </w:p>
        </w:tc>
        <w:tc>
          <w:tcPr>
            <w:tcW w:type="dxa" w:w="2045"/>
            <w:vAlign w:val="center"/>
          </w:tcPr>
          <w:p>
            <w:pPr>
              <w:spacing w:after="0"/>
            </w:pPr>
            <w:r>
              <w:rPr>
                <w:sz w:val="15"/>
              </w:rPr>
              <w:t>Missed contradiction or ignored genuine alert</w:t>
            </w:r>
          </w:p>
        </w:tc>
        <w:tc>
          <w:tcPr>
            <w:tcW w:type="dxa" w:w="2045"/>
            <w:vAlign w:val="center"/>
          </w:tcPr>
          <w:p>
            <w:pPr>
              <w:spacing w:after="0"/>
            </w:pPr>
            <w:r>
              <w:rPr>
                <w:sz w:val="15"/>
              </w:rPr>
              <w:t>Training; interface design; override analysis; threshold review</w:t>
            </w:r>
          </w:p>
        </w:tc>
        <w:tc>
          <w:tcPr>
            <w:tcW w:type="dxa" w:w="2045"/>
            <w:vAlign w:val="center"/>
          </w:tcPr>
          <w:p>
            <w:pPr>
              <w:spacing w:after="0"/>
            </w:pPr>
            <w:r>
              <w:rPr>
                <w:sz w:val="15"/>
              </w:rPr>
              <w:t>Usability tests, override trends</w:t>
            </w:r>
          </w:p>
        </w:tc>
      </w:tr>
      <w:tr>
        <w:tc>
          <w:tcPr>
            <w:tcW w:type="dxa" w:w="2045"/>
            <w:vAlign w:val="center"/>
          </w:tcPr>
          <w:p>
            <w:pPr>
              <w:spacing w:after="0"/>
            </w:pPr>
            <w:r>
              <w:rPr>
                <w:sz w:val="15"/>
              </w:rPr>
              <w:t>Patient matching failure</w:t>
            </w:r>
          </w:p>
        </w:tc>
        <w:tc>
          <w:tcPr>
            <w:tcW w:type="dxa" w:w="2045"/>
            <w:vAlign w:val="center"/>
          </w:tcPr>
          <w:p>
            <w:pPr>
              <w:spacing w:after="0"/>
            </w:pPr>
            <w:r>
              <w:rPr>
                <w:sz w:val="15"/>
              </w:rPr>
              <w:t>Weak identity linkage</w:t>
            </w:r>
          </w:p>
        </w:tc>
        <w:tc>
          <w:tcPr>
            <w:tcW w:type="dxa" w:w="2045"/>
            <w:vAlign w:val="center"/>
          </w:tcPr>
          <w:p>
            <w:pPr>
              <w:spacing w:after="0"/>
            </w:pPr>
            <w:r>
              <w:rPr>
                <w:sz w:val="15"/>
              </w:rPr>
              <w:t>Wrong-patient recommendation or documentation</w:t>
            </w:r>
          </w:p>
        </w:tc>
        <w:tc>
          <w:tcPr>
            <w:tcW w:type="dxa" w:w="2045"/>
            <w:vAlign w:val="center"/>
          </w:tcPr>
          <w:p>
            <w:pPr>
              <w:spacing w:after="0"/>
            </w:pPr>
            <w:r>
              <w:rPr>
                <w:sz w:val="15"/>
              </w:rPr>
              <w:t>Strong identifiers; reconciliation; exception handling</w:t>
            </w:r>
          </w:p>
        </w:tc>
        <w:tc>
          <w:tcPr>
            <w:tcW w:type="dxa" w:w="2045"/>
            <w:vAlign w:val="center"/>
          </w:tcPr>
          <w:p>
            <w:pPr>
              <w:spacing w:after="0"/>
            </w:pPr>
            <w:r>
              <w:rPr>
                <w:sz w:val="15"/>
              </w:rPr>
              <w:t>Matching test, incident log</w:t>
            </w:r>
          </w:p>
        </w:tc>
      </w:tr>
      <w:tr>
        <w:tc>
          <w:tcPr>
            <w:tcW w:type="dxa" w:w="2045"/>
            <w:vAlign w:val="center"/>
          </w:tcPr>
          <w:p>
            <w:pPr>
              <w:spacing w:after="0"/>
            </w:pPr>
            <w:r>
              <w:rPr>
                <w:sz w:val="15"/>
              </w:rPr>
              <w:t>Availability failure</w:t>
            </w:r>
          </w:p>
        </w:tc>
        <w:tc>
          <w:tcPr>
            <w:tcW w:type="dxa" w:w="2045"/>
            <w:vAlign w:val="center"/>
          </w:tcPr>
          <w:p>
            <w:pPr>
              <w:spacing w:after="0"/>
            </w:pPr>
            <w:r>
              <w:rPr>
                <w:sz w:val="15"/>
              </w:rPr>
              <w:t>Cloud, network, device, or ransomware dependency</w:t>
            </w:r>
          </w:p>
        </w:tc>
        <w:tc>
          <w:tcPr>
            <w:tcW w:type="dxa" w:w="2045"/>
            <w:vAlign w:val="center"/>
          </w:tcPr>
          <w:p>
            <w:pPr>
              <w:spacing w:after="0"/>
            </w:pPr>
            <w:r>
              <w:rPr>
                <w:sz w:val="15"/>
              </w:rPr>
              <w:t>Delayed care or loss of workflow</w:t>
            </w:r>
          </w:p>
        </w:tc>
        <w:tc>
          <w:tcPr>
            <w:tcW w:type="dxa" w:w="2045"/>
            <w:vAlign w:val="center"/>
          </w:tcPr>
          <w:p>
            <w:pPr>
              <w:spacing w:after="0"/>
            </w:pPr>
            <w:r>
              <w:rPr>
                <w:sz w:val="15"/>
              </w:rPr>
              <w:t>Redundancy; manual fallback; recovery tests</w:t>
            </w:r>
          </w:p>
        </w:tc>
        <w:tc>
          <w:tcPr>
            <w:tcW w:type="dxa" w:w="2045"/>
            <w:vAlign w:val="center"/>
          </w:tcPr>
          <w:p>
            <w:pPr>
              <w:spacing w:after="0"/>
            </w:pPr>
            <w:r>
              <w:rPr>
                <w:sz w:val="15"/>
              </w:rPr>
              <w:t>BCP test, recovery records</w:t>
            </w:r>
          </w:p>
        </w:tc>
      </w:tr>
      <w:tr>
        <w:tc>
          <w:tcPr>
            <w:tcW w:type="dxa" w:w="2045"/>
            <w:vAlign w:val="center"/>
          </w:tcPr>
          <w:p>
            <w:pPr>
              <w:spacing w:after="0"/>
            </w:pPr>
            <w:r>
              <w:rPr>
                <w:sz w:val="15"/>
              </w:rPr>
              <w:t>Drift or uneven performance</w:t>
            </w:r>
          </w:p>
        </w:tc>
        <w:tc>
          <w:tcPr>
            <w:tcW w:type="dxa" w:w="2045"/>
            <w:vAlign w:val="center"/>
          </w:tcPr>
          <w:p>
            <w:pPr>
              <w:spacing w:after="0"/>
            </w:pPr>
            <w:r>
              <w:rPr>
                <w:sz w:val="15"/>
              </w:rPr>
              <w:t>Population or workflow change</w:t>
            </w:r>
          </w:p>
        </w:tc>
        <w:tc>
          <w:tcPr>
            <w:tcW w:type="dxa" w:w="2045"/>
            <w:vAlign w:val="center"/>
          </w:tcPr>
          <w:p>
            <w:pPr>
              <w:spacing w:after="0"/>
            </w:pPr>
            <w:r>
              <w:rPr>
                <w:sz w:val="15"/>
              </w:rPr>
              <w:t>Silent degradation for groups or sites</w:t>
            </w:r>
          </w:p>
        </w:tc>
        <w:tc>
          <w:tcPr>
            <w:tcW w:type="dxa" w:w="2045"/>
            <w:vAlign w:val="center"/>
          </w:tcPr>
          <w:p>
            <w:pPr>
              <w:spacing w:after="0"/>
            </w:pPr>
            <w:r>
              <w:rPr>
                <w:sz w:val="15"/>
              </w:rPr>
              <w:t>Monitoring; subgroup analysis; revalidation triggers</w:t>
            </w:r>
          </w:p>
        </w:tc>
        <w:tc>
          <w:tcPr>
            <w:tcW w:type="dxa" w:w="2045"/>
            <w:vAlign w:val="center"/>
          </w:tcPr>
          <w:p>
            <w:pPr>
              <w:spacing w:after="0"/>
            </w:pPr>
            <w:r>
              <w:rPr>
                <w:sz w:val="15"/>
              </w:rPr>
              <w:t>Drift dashboard, review minutes</w:t>
            </w:r>
          </w:p>
        </w:tc>
      </w:tr>
      <w:tr>
        <w:tc>
          <w:tcPr>
            <w:tcW w:type="dxa" w:w="2045"/>
            <w:vAlign w:val="center"/>
          </w:tcPr>
          <w:p>
            <w:pPr>
              <w:spacing w:after="0"/>
            </w:pPr>
            <w:r>
              <w:rPr>
                <w:sz w:val="15"/>
              </w:rPr>
              <w:t>Shadow AI / unapproved public tools</w:t>
            </w:r>
          </w:p>
        </w:tc>
        <w:tc>
          <w:tcPr>
            <w:tcW w:type="dxa" w:w="2045"/>
            <w:vAlign w:val="center"/>
          </w:tcPr>
          <w:p>
            <w:pPr>
              <w:spacing w:after="0"/>
            </w:pPr>
            <w:r>
              <w:rPr>
                <w:sz w:val="15"/>
              </w:rPr>
              <w:t>Easy user access and unmet workflow need</w:t>
            </w:r>
          </w:p>
        </w:tc>
        <w:tc>
          <w:tcPr>
            <w:tcW w:type="dxa" w:w="2045"/>
            <w:vAlign w:val="center"/>
          </w:tcPr>
          <w:p>
            <w:pPr>
              <w:spacing w:after="0"/>
            </w:pPr>
            <w:r>
              <w:rPr>
                <w:sz w:val="15"/>
              </w:rPr>
              <w:t>Data disclosure, unreviewed advice</w:t>
            </w:r>
          </w:p>
        </w:tc>
        <w:tc>
          <w:tcPr>
            <w:tcW w:type="dxa" w:w="2045"/>
            <w:vAlign w:val="center"/>
          </w:tcPr>
          <w:p>
            <w:pPr>
              <w:spacing w:after="0"/>
            </w:pPr>
            <w:r>
              <w:rPr>
                <w:sz w:val="15"/>
              </w:rPr>
              <w:t>Acceptable use; approved alternatives; discovery; training</w:t>
            </w:r>
          </w:p>
        </w:tc>
        <w:tc>
          <w:tcPr>
            <w:tcW w:type="dxa" w:w="2045"/>
            <w:vAlign w:val="center"/>
          </w:tcPr>
          <w:p>
            <w:pPr>
              <w:spacing w:after="0"/>
            </w:pPr>
            <w:r>
              <w:rPr>
                <w:sz w:val="15"/>
              </w:rPr>
              <w:t>CASB/DLP alerts, attestation</w:t>
            </w:r>
          </w:p>
        </w:tc>
      </w:tr>
    </w:tbl>
    <w:p>
      <w:pPr>
        <w:spacing w:after="80"/>
      </w:pPr>
      <w:r>
        <w:t>The organisation should explicitly record what was not tested, what populations were outside the validation set, and what incidents were not observed. Listing a scenario does not establish occurrence.</w:t>
      </w:r>
    </w:p>
    <w:p>
      <w:pPr>
        <w:pStyle w:val="Heading1"/>
      </w:pPr>
      <w:r>
        <w:t>9. Healthcare Assets and Trust Boundaries</w:t>
      </w:r>
    </w:p>
    <w:p>
      <w:pPr>
        <w:spacing w:after="80"/>
      </w:pPr>
      <w:r>
        <w:t>Protected assets include patient records, images, laboratory and genomic data, prescriptions, device telemetry, clinician notes, prompts, system instructions, retrieval corpora, model weights, datasets, evaluation results, configurations, audit trails, identity and consent data, provenance, safety cases, submissions, incident records, and supplier documentation.</w:t>
      </w:r>
    </w:p>
    <w:p>
      <w:pPr>
        <w:spacing w:after="80"/>
      </w:pPr>
      <w:r>
        <w:t>Trust boundaries commonly exist between patients, clinicians, administrators, researchers, developers, devices, cloud providers, AI vendors, data processors, model providers, laboratories, payers, regulators, emergency services, and downstream care organisations.</w:t>
      </w:r>
    </w:p>
    <w:p>
      <w:pPr>
        <w:spacing w:after="80"/>
      </w:pPr>
      <w:r/>
      <w:r>
        <w:rPr>
          <w:b/>
        </w:rPr>
        <w:t>Reference architecture specification:</w:t>
      </w:r>
      <w:r>
        <w:t xml:space="preserve"> depict user channels; identity provider; clinical application; orchestration layer; model endpoint; retrieval store; tool/API layer; EHR or clinical systems; logging and monitoring; supplier services; and security controls. Mark data classes, authentication boundaries, administrative paths, model-update path, external content path, and manual fallback. Each arrow should identify protocol, data, owner, trust level, logging, and failure response.</w:t>
      </w:r>
    </w:p>
    <w:p>
      <w:pPr>
        <w:pStyle w:val="Heading1"/>
      </w:pPr>
      <w:r>
        <w:t>10. Healthcare Governance Model</w:t>
      </w:r>
    </w:p>
    <w:p>
      <w:pPr>
        <w:spacing w:after="80"/>
      </w:pPr>
      <w:r>
        <w:t>AI security governance should be integrated into existing clinical, cybersecurity, privacy, quality, device, procurement, enterprise-risk, and incident structures. A committee without system ownership is insufficient; each system needs an accountable executive, operational owner, technical owner, data owner, and risk owners.</w:t>
      </w:r>
    </w:p>
    <w:tbl>
      <w:tblPr>
        <w:tblStyle w:val="TableGrid"/>
        <w:tblW w:type="auto" w:w="0"/>
        <w:jc w:val="center"/>
        <w:tblLook w:firstColumn="1" w:firstRow="1" w:lastColumn="0" w:lastRow="0" w:noHBand="0" w:noVBand="1" w:val="04A0"/>
      </w:tblPr>
      <w:tblGrid>
        <w:gridCol w:w="1278"/>
        <w:gridCol w:w="1278"/>
        <w:gridCol w:w="1278"/>
        <w:gridCol w:w="1278"/>
        <w:gridCol w:w="1278"/>
        <w:gridCol w:w="1278"/>
        <w:gridCol w:w="1278"/>
        <w:gridCol w:w="1278"/>
      </w:tblGrid>
      <w:tr>
        <w:trPr>
          <w:tblHeader w:val="true"/>
        </w:trPr>
        <w:tc>
          <w:tcPr>
            <w:tcW w:type="dxa" w:w="1278"/>
            <w:vAlign w:val="center"/>
            <w:shd w:fill="1F4E79"/>
          </w:tcPr>
          <w:p>
            <w:pPr>
              <w:spacing w:after="0"/>
            </w:pPr>
            <w:r>
              <w:rPr>
                <w:b/>
                <w:color w:val="FFFFFF"/>
                <w:sz w:val="15"/>
              </w:rPr>
              <w:t>Activity</w:t>
            </w:r>
          </w:p>
        </w:tc>
        <w:tc>
          <w:tcPr>
            <w:tcW w:type="dxa" w:w="1278"/>
            <w:vAlign w:val="center"/>
            <w:shd w:fill="1F4E79"/>
          </w:tcPr>
          <w:p>
            <w:pPr>
              <w:spacing w:after="0"/>
            </w:pPr>
            <w:r>
              <w:rPr>
                <w:b/>
                <w:color w:val="FFFFFF"/>
                <w:sz w:val="15"/>
              </w:rPr>
              <w:t>Board / executive</w:t>
            </w:r>
          </w:p>
        </w:tc>
        <w:tc>
          <w:tcPr>
            <w:tcW w:type="dxa" w:w="1278"/>
            <w:vAlign w:val="center"/>
            <w:shd w:fill="1F4E79"/>
          </w:tcPr>
          <w:p>
            <w:pPr>
              <w:spacing w:after="0"/>
            </w:pPr>
            <w:r>
              <w:rPr>
                <w:b/>
                <w:color w:val="FFFFFF"/>
                <w:sz w:val="15"/>
              </w:rPr>
              <w:t>Clinical owner</w:t>
            </w:r>
          </w:p>
        </w:tc>
        <w:tc>
          <w:tcPr>
            <w:tcW w:type="dxa" w:w="1278"/>
            <w:vAlign w:val="center"/>
            <w:shd w:fill="1F4E79"/>
          </w:tcPr>
          <w:p>
            <w:pPr>
              <w:spacing w:after="0"/>
            </w:pPr>
            <w:r>
              <w:rPr>
                <w:b/>
                <w:color w:val="FFFFFF"/>
                <w:sz w:val="15"/>
              </w:rPr>
              <w:t>CISO / security</w:t>
            </w:r>
          </w:p>
        </w:tc>
        <w:tc>
          <w:tcPr>
            <w:tcW w:type="dxa" w:w="1278"/>
            <w:vAlign w:val="center"/>
            <w:shd w:fill="1F4E79"/>
          </w:tcPr>
          <w:p>
            <w:pPr>
              <w:spacing w:after="0"/>
            </w:pPr>
            <w:r>
              <w:rPr>
                <w:b/>
                <w:color w:val="FFFFFF"/>
                <w:sz w:val="15"/>
              </w:rPr>
              <w:t>Privacy</w:t>
            </w:r>
          </w:p>
        </w:tc>
        <w:tc>
          <w:tcPr>
            <w:tcW w:type="dxa" w:w="1278"/>
            <w:vAlign w:val="center"/>
            <w:shd w:fill="1F4E79"/>
          </w:tcPr>
          <w:p>
            <w:pPr>
              <w:spacing w:after="0"/>
            </w:pPr>
            <w:r>
              <w:rPr>
                <w:b/>
                <w:color w:val="FFFFFF"/>
                <w:sz w:val="15"/>
              </w:rPr>
              <w:t>AI governance</w:t>
            </w:r>
          </w:p>
        </w:tc>
        <w:tc>
          <w:tcPr>
            <w:tcW w:type="dxa" w:w="1278"/>
            <w:vAlign w:val="center"/>
            <w:shd w:fill="1F4E79"/>
          </w:tcPr>
          <w:p>
            <w:pPr>
              <w:spacing w:after="0"/>
            </w:pPr>
            <w:r>
              <w:rPr>
                <w:b/>
                <w:color w:val="FFFFFF"/>
                <w:sz w:val="15"/>
              </w:rPr>
              <w:t>Supplier / procurement</w:t>
            </w:r>
          </w:p>
        </w:tc>
        <w:tc>
          <w:tcPr>
            <w:tcW w:type="dxa" w:w="1278"/>
            <w:vAlign w:val="center"/>
            <w:shd w:fill="1F4E79"/>
          </w:tcPr>
          <w:p>
            <w:pPr>
              <w:spacing w:after="0"/>
            </w:pPr>
            <w:r>
              <w:rPr>
                <w:b/>
                <w:color w:val="FFFFFF"/>
                <w:sz w:val="15"/>
              </w:rPr>
              <w:t>Independent assurance</w:t>
            </w:r>
          </w:p>
        </w:tc>
      </w:tr>
      <w:tr>
        <w:tc>
          <w:tcPr>
            <w:tcW w:type="dxa" w:w="1278"/>
            <w:vAlign w:val="center"/>
          </w:tcPr>
          <w:p>
            <w:pPr>
              <w:spacing w:after="0"/>
            </w:pPr>
            <w:r>
              <w:rPr>
                <w:sz w:val="15"/>
              </w:rPr>
              <w:t>Approve risk appetite</w:t>
            </w:r>
          </w:p>
        </w:tc>
        <w:tc>
          <w:tcPr>
            <w:tcW w:type="dxa" w:w="1278"/>
            <w:vAlign w:val="center"/>
          </w:tcPr>
          <w:p>
            <w:pPr>
              <w:spacing w:after="0"/>
            </w:pPr>
            <w:r>
              <w:rPr>
                <w:sz w:val="15"/>
              </w:rPr>
              <w:t>A</w:t>
            </w:r>
          </w:p>
        </w:tc>
        <w:tc>
          <w:tcPr>
            <w:tcW w:type="dxa" w:w="1278"/>
            <w:vAlign w:val="center"/>
          </w:tcPr>
          <w:p>
            <w:pPr>
              <w:spacing w:after="0"/>
            </w:pPr>
            <w:r>
              <w:rPr>
                <w:sz w:val="15"/>
              </w:rPr>
              <w:t>C</w:t>
            </w:r>
          </w:p>
        </w:tc>
        <w:tc>
          <w:tcPr>
            <w:tcW w:type="dxa" w:w="1278"/>
            <w:vAlign w:val="center"/>
          </w:tcPr>
          <w:p>
            <w:pPr>
              <w:spacing w:after="0"/>
            </w:pPr>
            <w:r>
              <w:rPr>
                <w:sz w:val="15"/>
              </w:rPr>
              <w:t>C</w:t>
            </w:r>
          </w:p>
        </w:tc>
        <w:tc>
          <w:tcPr>
            <w:tcW w:type="dxa" w:w="1278"/>
            <w:vAlign w:val="center"/>
          </w:tcPr>
          <w:p>
            <w:pPr>
              <w:spacing w:after="0"/>
            </w:pPr>
            <w:r>
              <w:rPr>
                <w:sz w:val="15"/>
              </w:rPr>
              <w:t>C</w:t>
            </w:r>
          </w:p>
        </w:tc>
        <w:tc>
          <w:tcPr>
            <w:tcW w:type="dxa" w:w="1278"/>
            <w:vAlign w:val="center"/>
          </w:tcPr>
          <w:p>
            <w:pPr>
              <w:spacing w:after="0"/>
            </w:pPr>
            <w:r>
              <w:rPr>
                <w:sz w:val="15"/>
              </w:rPr>
              <w:t>R</w:t>
            </w:r>
          </w:p>
        </w:tc>
        <w:tc>
          <w:tcPr>
            <w:tcW w:type="dxa" w:w="1278"/>
            <w:vAlign w:val="center"/>
          </w:tcPr>
          <w:p>
            <w:pPr>
              <w:spacing w:after="0"/>
            </w:pPr>
            <w:r>
              <w:rPr>
                <w:sz w:val="15"/>
              </w:rPr>
              <w:t>I</w:t>
            </w:r>
          </w:p>
        </w:tc>
        <w:tc>
          <w:tcPr>
            <w:tcW w:type="dxa" w:w="1278"/>
            <w:vAlign w:val="center"/>
          </w:tcPr>
          <w:p>
            <w:pPr>
              <w:spacing w:after="0"/>
            </w:pPr>
            <w:r>
              <w:rPr>
                <w:sz w:val="15"/>
              </w:rPr>
              <w:t>I</w:t>
            </w:r>
          </w:p>
        </w:tc>
      </w:tr>
      <w:tr>
        <w:tc>
          <w:tcPr>
            <w:tcW w:type="dxa" w:w="1278"/>
            <w:vAlign w:val="center"/>
          </w:tcPr>
          <w:p>
            <w:pPr>
              <w:spacing w:after="0"/>
            </w:pPr>
            <w:r>
              <w:rPr>
                <w:sz w:val="15"/>
              </w:rPr>
              <w:t>Approve intended use</w:t>
            </w:r>
          </w:p>
        </w:tc>
        <w:tc>
          <w:tcPr>
            <w:tcW w:type="dxa" w:w="1278"/>
            <w:vAlign w:val="center"/>
          </w:tcPr>
          <w:p>
            <w:pPr>
              <w:spacing w:after="0"/>
            </w:pPr>
            <w:r>
              <w:rPr>
                <w:sz w:val="15"/>
              </w:rPr>
              <w:t>I</w:t>
            </w:r>
          </w:p>
        </w:tc>
        <w:tc>
          <w:tcPr>
            <w:tcW w:type="dxa" w:w="1278"/>
            <w:vAlign w:val="center"/>
          </w:tcPr>
          <w:p>
            <w:pPr>
              <w:spacing w:after="0"/>
            </w:pPr>
            <w:r>
              <w:rPr>
                <w:sz w:val="15"/>
              </w:rPr>
              <w:t>A/R</w:t>
            </w:r>
          </w:p>
        </w:tc>
        <w:tc>
          <w:tcPr>
            <w:tcW w:type="dxa" w:w="1278"/>
            <w:vAlign w:val="center"/>
          </w:tcPr>
          <w:p>
            <w:pPr>
              <w:spacing w:after="0"/>
            </w:pPr>
            <w:r>
              <w:rPr>
                <w:sz w:val="15"/>
              </w:rPr>
              <w:t>C</w:t>
            </w:r>
          </w:p>
        </w:tc>
        <w:tc>
          <w:tcPr>
            <w:tcW w:type="dxa" w:w="1278"/>
            <w:vAlign w:val="center"/>
          </w:tcPr>
          <w:p>
            <w:pPr>
              <w:spacing w:after="0"/>
            </w:pPr>
            <w:r>
              <w:rPr>
                <w:sz w:val="15"/>
              </w:rPr>
              <w:t>C</w:t>
            </w:r>
          </w:p>
        </w:tc>
        <w:tc>
          <w:tcPr>
            <w:tcW w:type="dxa" w:w="1278"/>
            <w:vAlign w:val="center"/>
          </w:tcPr>
          <w:p>
            <w:pPr>
              <w:spacing w:after="0"/>
            </w:pPr>
            <w:r>
              <w:rPr>
                <w:sz w:val="15"/>
              </w:rPr>
              <w:t>R</w:t>
            </w:r>
          </w:p>
        </w:tc>
        <w:tc>
          <w:tcPr>
            <w:tcW w:type="dxa" w:w="1278"/>
            <w:vAlign w:val="center"/>
          </w:tcPr>
          <w:p>
            <w:pPr>
              <w:spacing w:after="0"/>
            </w:pPr>
            <w:r>
              <w:rPr>
                <w:sz w:val="15"/>
              </w:rPr>
              <w:t>C</w:t>
            </w:r>
          </w:p>
        </w:tc>
        <w:tc>
          <w:tcPr>
            <w:tcW w:type="dxa" w:w="1278"/>
            <w:vAlign w:val="center"/>
          </w:tcPr>
          <w:p>
            <w:pPr>
              <w:spacing w:after="0"/>
            </w:pPr>
            <w:r>
              <w:rPr>
                <w:sz w:val="15"/>
              </w:rPr>
              <w:t>I</w:t>
            </w:r>
          </w:p>
        </w:tc>
      </w:tr>
      <w:tr>
        <w:tc>
          <w:tcPr>
            <w:tcW w:type="dxa" w:w="1278"/>
            <w:vAlign w:val="center"/>
          </w:tcPr>
          <w:p>
            <w:pPr>
              <w:spacing w:after="0"/>
            </w:pPr>
            <w:r>
              <w:rPr>
                <w:sz w:val="15"/>
              </w:rPr>
              <w:t>Security architecture</w:t>
            </w:r>
          </w:p>
        </w:tc>
        <w:tc>
          <w:tcPr>
            <w:tcW w:type="dxa" w:w="1278"/>
            <w:vAlign w:val="center"/>
          </w:tcPr>
          <w:p>
            <w:pPr>
              <w:spacing w:after="0"/>
            </w:pPr>
            <w:r>
              <w:rPr>
                <w:sz w:val="15"/>
              </w:rPr>
              <w:t>I</w:t>
            </w:r>
          </w:p>
        </w:tc>
        <w:tc>
          <w:tcPr>
            <w:tcW w:type="dxa" w:w="1278"/>
            <w:vAlign w:val="center"/>
          </w:tcPr>
          <w:p>
            <w:pPr>
              <w:spacing w:after="0"/>
            </w:pPr>
            <w:r>
              <w:rPr>
                <w:sz w:val="15"/>
              </w:rPr>
              <w:t>C</w:t>
            </w:r>
          </w:p>
        </w:tc>
        <w:tc>
          <w:tcPr>
            <w:tcW w:type="dxa" w:w="1278"/>
            <w:vAlign w:val="center"/>
          </w:tcPr>
          <w:p>
            <w:pPr>
              <w:spacing w:after="0"/>
            </w:pPr>
            <w:r>
              <w:rPr>
                <w:sz w:val="15"/>
              </w:rPr>
              <w:t>A/R</w:t>
            </w:r>
          </w:p>
        </w:tc>
        <w:tc>
          <w:tcPr>
            <w:tcW w:type="dxa" w:w="1278"/>
            <w:vAlign w:val="center"/>
          </w:tcPr>
          <w:p>
            <w:pPr>
              <w:spacing w:after="0"/>
            </w:pPr>
            <w:r>
              <w:rPr>
                <w:sz w:val="15"/>
              </w:rPr>
              <w:t>C</w:t>
            </w:r>
          </w:p>
        </w:tc>
        <w:tc>
          <w:tcPr>
            <w:tcW w:type="dxa" w:w="1278"/>
            <w:vAlign w:val="center"/>
          </w:tcPr>
          <w:p>
            <w:pPr>
              <w:spacing w:after="0"/>
            </w:pPr>
            <w:r>
              <w:rPr>
                <w:sz w:val="15"/>
              </w:rPr>
              <w:t>C</w:t>
            </w:r>
          </w:p>
        </w:tc>
        <w:tc>
          <w:tcPr>
            <w:tcW w:type="dxa" w:w="1278"/>
            <w:vAlign w:val="center"/>
          </w:tcPr>
          <w:p>
            <w:pPr>
              <w:spacing w:after="0"/>
            </w:pPr>
            <w:r>
              <w:rPr>
                <w:sz w:val="15"/>
              </w:rPr>
              <w:t>C</w:t>
            </w:r>
          </w:p>
        </w:tc>
        <w:tc>
          <w:tcPr>
            <w:tcW w:type="dxa" w:w="1278"/>
            <w:vAlign w:val="center"/>
          </w:tcPr>
          <w:p>
            <w:pPr>
              <w:spacing w:after="0"/>
            </w:pPr>
            <w:r>
              <w:rPr>
                <w:sz w:val="15"/>
              </w:rPr>
              <w:t>I</w:t>
            </w:r>
          </w:p>
        </w:tc>
      </w:tr>
      <w:tr>
        <w:tc>
          <w:tcPr>
            <w:tcW w:type="dxa" w:w="1278"/>
            <w:vAlign w:val="center"/>
          </w:tcPr>
          <w:p>
            <w:pPr>
              <w:spacing w:after="0"/>
            </w:pPr>
            <w:r>
              <w:rPr>
                <w:sz w:val="15"/>
              </w:rPr>
              <w:t>Clinical validation</w:t>
            </w:r>
          </w:p>
        </w:tc>
        <w:tc>
          <w:tcPr>
            <w:tcW w:type="dxa" w:w="1278"/>
            <w:vAlign w:val="center"/>
          </w:tcPr>
          <w:p>
            <w:pPr>
              <w:spacing w:after="0"/>
            </w:pPr>
            <w:r>
              <w:rPr>
                <w:sz w:val="15"/>
              </w:rPr>
              <w:t>I</w:t>
            </w:r>
          </w:p>
        </w:tc>
        <w:tc>
          <w:tcPr>
            <w:tcW w:type="dxa" w:w="1278"/>
            <w:vAlign w:val="center"/>
          </w:tcPr>
          <w:p>
            <w:pPr>
              <w:spacing w:after="0"/>
            </w:pPr>
            <w:r>
              <w:rPr>
                <w:sz w:val="15"/>
              </w:rPr>
              <w:t>A/R</w:t>
            </w:r>
          </w:p>
        </w:tc>
        <w:tc>
          <w:tcPr>
            <w:tcW w:type="dxa" w:w="1278"/>
            <w:vAlign w:val="center"/>
          </w:tcPr>
          <w:p>
            <w:pPr>
              <w:spacing w:after="0"/>
            </w:pPr>
            <w:r>
              <w:rPr>
                <w:sz w:val="15"/>
              </w:rPr>
              <w:t>C</w:t>
            </w:r>
          </w:p>
        </w:tc>
        <w:tc>
          <w:tcPr>
            <w:tcW w:type="dxa" w:w="1278"/>
            <w:vAlign w:val="center"/>
          </w:tcPr>
          <w:p>
            <w:pPr>
              <w:spacing w:after="0"/>
            </w:pPr>
            <w:r>
              <w:rPr>
                <w:sz w:val="15"/>
              </w:rPr>
              <w:t>I</w:t>
            </w:r>
          </w:p>
        </w:tc>
        <w:tc>
          <w:tcPr>
            <w:tcW w:type="dxa" w:w="1278"/>
            <w:vAlign w:val="center"/>
          </w:tcPr>
          <w:p>
            <w:pPr>
              <w:spacing w:after="0"/>
            </w:pPr>
            <w:r>
              <w:rPr>
                <w:sz w:val="15"/>
              </w:rPr>
              <w:t>C</w:t>
            </w:r>
          </w:p>
        </w:tc>
        <w:tc>
          <w:tcPr>
            <w:tcW w:type="dxa" w:w="1278"/>
            <w:vAlign w:val="center"/>
          </w:tcPr>
          <w:p>
            <w:pPr>
              <w:spacing w:after="0"/>
            </w:pPr>
            <w:r>
              <w:rPr>
                <w:sz w:val="15"/>
              </w:rPr>
              <w:t>C</w:t>
            </w:r>
          </w:p>
        </w:tc>
        <w:tc>
          <w:tcPr>
            <w:tcW w:type="dxa" w:w="1278"/>
            <w:vAlign w:val="center"/>
          </w:tcPr>
          <w:p>
            <w:pPr>
              <w:spacing w:after="0"/>
            </w:pPr>
            <w:r>
              <w:rPr>
                <w:sz w:val="15"/>
              </w:rPr>
              <w:t>C</w:t>
            </w:r>
          </w:p>
        </w:tc>
      </w:tr>
      <w:tr>
        <w:tc>
          <w:tcPr>
            <w:tcW w:type="dxa" w:w="1278"/>
            <w:vAlign w:val="center"/>
          </w:tcPr>
          <w:p>
            <w:pPr>
              <w:spacing w:after="0"/>
            </w:pPr>
            <w:r>
              <w:rPr>
                <w:sz w:val="15"/>
              </w:rPr>
              <w:t>Supplier acceptance</w:t>
            </w:r>
          </w:p>
        </w:tc>
        <w:tc>
          <w:tcPr>
            <w:tcW w:type="dxa" w:w="1278"/>
            <w:vAlign w:val="center"/>
          </w:tcPr>
          <w:p>
            <w:pPr>
              <w:spacing w:after="0"/>
            </w:pPr>
            <w:r>
              <w:rPr>
                <w:sz w:val="15"/>
              </w:rPr>
              <w:t>I</w:t>
            </w:r>
          </w:p>
        </w:tc>
        <w:tc>
          <w:tcPr>
            <w:tcW w:type="dxa" w:w="1278"/>
            <w:vAlign w:val="center"/>
          </w:tcPr>
          <w:p>
            <w:pPr>
              <w:spacing w:after="0"/>
            </w:pPr>
            <w:r>
              <w:rPr>
                <w:sz w:val="15"/>
              </w:rPr>
              <w:t>C</w:t>
            </w:r>
          </w:p>
        </w:tc>
        <w:tc>
          <w:tcPr>
            <w:tcW w:type="dxa" w:w="1278"/>
            <w:vAlign w:val="center"/>
          </w:tcPr>
          <w:p>
            <w:pPr>
              <w:spacing w:after="0"/>
            </w:pPr>
            <w:r>
              <w:rPr>
                <w:sz w:val="15"/>
              </w:rPr>
              <w:t>C</w:t>
            </w:r>
          </w:p>
        </w:tc>
        <w:tc>
          <w:tcPr>
            <w:tcW w:type="dxa" w:w="1278"/>
            <w:vAlign w:val="center"/>
          </w:tcPr>
          <w:p>
            <w:pPr>
              <w:spacing w:after="0"/>
            </w:pPr>
            <w:r>
              <w:rPr>
                <w:sz w:val="15"/>
              </w:rPr>
              <w:t>C</w:t>
            </w:r>
          </w:p>
        </w:tc>
        <w:tc>
          <w:tcPr>
            <w:tcW w:type="dxa" w:w="1278"/>
            <w:vAlign w:val="center"/>
          </w:tcPr>
          <w:p>
            <w:pPr>
              <w:spacing w:after="0"/>
            </w:pPr>
            <w:r>
              <w:rPr>
                <w:sz w:val="15"/>
              </w:rPr>
              <w:t>C</w:t>
            </w:r>
          </w:p>
        </w:tc>
        <w:tc>
          <w:tcPr>
            <w:tcW w:type="dxa" w:w="1278"/>
            <w:vAlign w:val="center"/>
          </w:tcPr>
          <w:p>
            <w:pPr>
              <w:spacing w:after="0"/>
            </w:pPr>
            <w:r>
              <w:rPr>
                <w:sz w:val="15"/>
              </w:rPr>
              <w:t>A/R</w:t>
            </w:r>
          </w:p>
        </w:tc>
        <w:tc>
          <w:tcPr>
            <w:tcW w:type="dxa" w:w="1278"/>
            <w:vAlign w:val="center"/>
          </w:tcPr>
          <w:p>
            <w:pPr>
              <w:spacing w:after="0"/>
            </w:pPr>
            <w:r>
              <w:rPr>
                <w:sz w:val="15"/>
              </w:rPr>
              <w:t>C</w:t>
            </w:r>
          </w:p>
        </w:tc>
      </w:tr>
      <w:tr>
        <w:tc>
          <w:tcPr>
            <w:tcW w:type="dxa" w:w="1278"/>
            <w:vAlign w:val="center"/>
          </w:tcPr>
          <w:p>
            <w:pPr>
              <w:spacing w:after="0"/>
            </w:pPr>
            <w:r>
              <w:rPr>
                <w:sz w:val="15"/>
              </w:rPr>
              <w:t>Deployment authorisation</w:t>
            </w:r>
          </w:p>
        </w:tc>
        <w:tc>
          <w:tcPr>
            <w:tcW w:type="dxa" w:w="1278"/>
            <w:vAlign w:val="center"/>
          </w:tcPr>
          <w:p>
            <w:pPr>
              <w:spacing w:after="0"/>
            </w:pPr>
            <w:r>
              <w:rPr>
                <w:sz w:val="15"/>
              </w:rPr>
              <w:t>A</w:t>
            </w:r>
          </w:p>
        </w:tc>
        <w:tc>
          <w:tcPr>
            <w:tcW w:type="dxa" w:w="1278"/>
            <w:vAlign w:val="center"/>
          </w:tcPr>
          <w:p>
            <w:pPr>
              <w:spacing w:after="0"/>
            </w:pPr>
            <w:r>
              <w:rPr>
                <w:sz w:val="15"/>
              </w:rPr>
              <w:t>R</w:t>
            </w:r>
          </w:p>
        </w:tc>
        <w:tc>
          <w:tcPr>
            <w:tcW w:type="dxa" w:w="1278"/>
            <w:vAlign w:val="center"/>
          </w:tcPr>
          <w:p>
            <w:pPr>
              <w:spacing w:after="0"/>
            </w:pPr>
            <w:r>
              <w:rPr>
                <w:sz w:val="15"/>
              </w:rPr>
              <w:t>R</w:t>
            </w:r>
          </w:p>
        </w:tc>
        <w:tc>
          <w:tcPr>
            <w:tcW w:type="dxa" w:w="1278"/>
            <w:vAlign w:val="center"/>
          </w:tcPr>
          <w:p>
            <w:pPr>
              <w:spacing w:after="0"/>
            </w:pPr>
            <w:r>
              <w:rPr>
                <w:sz w:val="15"/>
              </w:rPr>
              <w:t>R</w:t>
            </w:r>
          </w:p>
        </w:tc>
        <w:tc>
          <w:tcPr>
            <w:tcW w:type="dxa" w:w="1278"/>
            <w:vAlign w:val="center"/>
          </w:tcPr>
          <w:p>
            <w:pPr>
              <w:spacing w:after="0"/>
            </w:pPr>
            <w:r>
              <w:rPr>
                <w:sz w:val="15"/>
              </w:rPr>
              <w:t>R</w:t>
            </w:r>
          </w:p>
        </w:tc>
        <w:tc>
          <w:tcPr>
            <w:tcW w:type="dxa" w:w="1278"/>
            <w:vAlign w:val="center"/>
          </w:tcPr>
          <w:p>
            <w:pPr>
              <w:spacing w:after="0"/>
            </w:pPr>
            <w:r>
              <w:rPr>
                <w:sz w:val="15"/>
              </w:rPr>
              <w:t>C</w:t>
            </w:r>
          </w:p>
        </w:tc>
        <w:tc>
          <w:tcPr>
            <w:tcW w:type="dxa" w:w="1278"/>
            <w:vAlign w:val="center"/>
          </w:tcPr>
          <w:p>
            <w:pPr>
              <w:spacing w:after="0"/>
            </w:pPr>
            <w:r>
              <w:rPr>
                <w:sz w:val="15"/>
              </w:rPr>
              <w:t>C</w:t>
            </w:r>
          </w:p>
        </w:tc>
      </w:tr>
      <w:tr>
        <w:tc>
          <w:tcPr>
            <w:tcW w:type="dxa" w:w="1278"/>
            <w:vAlign w:val="center"/>
          </w:tcPr>
          <w:p>
            <w:pPr>
              <w:spacing w:after="0"/>
            </w:pPr>
            <w:r>
              <w:rPr>
                <w:sz w:val="15"/>
              </w:rPr>
              <w:t>Monitoring and incident triage</w:t>
            </w:r>
          </w:p>
        </w:tc>
        <w:tc>
          <w:tcPr>
            <w:tcW w:type="dxa" w:w="1278"/>
            <w:vAlign w:val="center"/>
          </w:tcPr>
          <w:p>
            <w:pPr>
              <w:spacing w:after="0"/>
            </w:pPr>
            <w:r>
              <w:rPr>
                <w:sz w:val="15"/>
              </w:rPr>
              <w:t>I</w:t>
            </w:r>
          </w:p>
        </w:tc>
        <w:tc>
          <w:tcPr>
            <w:tcW w:type="dxa" w:w="1278"/>
            <w:vAlign w:val="center"/>
          </w:tcPr>
          <w:p>
            <w:pPr>
              <w:spacing w:after="0"/>
            </w:pPr>
            <w:r>
              <w:rPr>
                <w:sz w:val="15"/>
              </w:rPr>
              <w:t>R</w:t>
            </w:r>
          </w:p>
        </w:tc>
        <w:tc>
          <w:tcPr>
            <w:tcW w:type="dxa" w:w="1278"/>
            <w:vAlign w:val="center"/>
          </w:tcPr>
          <w:p>
            <w:pPr>
              <w:spacing w:after="0"/>
            </w:pPr>
            <w:r>
              <w:rPr>
                <w:sz w:val="15"/>
              </w:rPr>
              <w:t>A/R</w:t>
            </w:r>
          </w:p>
        </w:tc>
        <w:tc>
          <w:tcPr>
            <w:tcW w:type="dxa" w:w="1278"/>
            <w:vAlign w:val="center"/>
          </w:tcPr>
          <w:p>
            <w:pPr>
              <w:spacing w:after="0"/>
            </w:pPr>
            <w:r>
              <w:rPr>
                <w:sz w:val="15"/>
              </w:rPr>
              <w:t>R</w:t>
            </w:r>
          </w:p>
        </w:tc>
        <w:tc>
          <w:tcPr>
            <w:tcW w:type="dxa" w:w="1278"/>
            <w:vAlign w:val="center"/>
          </w:tcPr>
          <w:p>
            <w:pPr>
              <w:spacing w:after="0"/>
            </w:pPr>
            <w:r>
              <w:rPr>
                <w:sz w:val="15"/>
              </w:rPr>
              <w:t>R</w:t>
            </w:r>
          </w:p>
        </w:tc>
        <w:tc>
          <w:tcPr>
            <w:tcW w:type="dxa" w:w="1278"/>
            <w:vAlign w:val="center"/>
          </w:tcPr>
          <w:p>
            <w:pPr>
              <w:spacing w:after="0"/>
            </w:pPr>
            <w:r>
              <w:rPr>
                <w:sz w:val="15"/>
              </w:rPr>
              <w:t>C</w:t>
            </w:r>
          </w:p>
        </w:tc>
        <w:tc>
          <w:tcPr>
            <w:tcW w:type="dxa" w:w="1278"/>
            <w:vAlign w:val="center"/>
          </w:tcPr>
          <w:p>
            <w:pPr>
              <w:spacing w:after="0"/>
            </w:pPr>
            <w:r>
              <w:rPr>
                <w:sz w:val="15"/>
              </w:rPr>
              <w:t>I</w:t>
            </w:r>
          </w:p>
        </w:tc>
      </w:tr>
      <w:tr>
        <w:tc>
          <w:tcPr>
            <w:tcW w:type="dxa" w:w="1278"/>
            <w:vAlign w:val="center"/>
          </w:tcPr>
          <w:p>
            <w:pPr>
              <w:spacing w:after="0"/>
            </w:pPr>
            <w:r>
              <w:rPr>
                <w:sz w:val="15"/>
              </w:rPr>
              <w:t>Independent assessment</w:t>
            </w:r>
          </w:p>
        </w:tc>
        <w:tc>
          <w:tcPr>
            <w:tcW w:type="dxa" w:w="1278"/>
            <w:vAlign w:val="center"/>
          </w:tcPr>
          <w:p>
            <w:pPr>
              <w:spacing w:after="0"/>
            </w:pPr>
            <w:r>
              <w:rPr>
                <w:sz w:val="15"/>
              </w:rPr>
              <w:t>I</w:t>
            </w:r>
          </w:p>
        </w:tc>
        <w:tc>
          <w:tcPr>
            <w:tcW w:type="dxa" w:w="1278"/>
            <w:vAlign w:val="center"/>
          </w:tcPr>
          <w:p>
            <w:pPr>
              <w:spacing w:after="0"/>
            </w:pPr>
            <w:r>
              <w:rPr>
                <w:sz w:val="15"/>
              </w:rPr>
              <w:t>C</w:t>
            </w:r>
          </w:p>
        </w:tc>
        <w:tc>
          <w:tcPr>
            <w:tcW w:type="dxa" w:w="1278"/>
            <w:vAlign w:val="center"/>
          </w:tcPr>
          <w:p>
            <w:pPr>
              <w:spacing w:after="0"/>
            </w:pPr>
            <w:r>
              <w:rPr>
                <w:sz w:val="15"/>
              </w:rPr>
              <w:t>C</w:t>
            </w:r>
          </w:p>
        </w:tc>
        <w:tc>
          <w:tcPr>
            <w:tcW w:type="dxa" w:w="1278"/>
            <w:vAlign w:val="center"/>
          </w:tcPr>
          <w:p>
            <w:pPr>
              <w:spacing w:after="0"/>
            </w:pPr>
            <w:r>
              <w:rPr>
                <w:sz w:val="15"/>
              </w:rPr>
              <w:t>C</w:t>
            </w:r>
          </w:p>
        </w:tc>
        <w:tc>
          <w:tcPr>
            <w:tcW w:type="dxa" w:w="1278"/>
            <w:vAlign w:val="center"/>
          </w:tcPr>
          <w:p>
            <w:pPr>
              <w:spacing w:after="0"/>
            </w:pPr>
            <w:r>
              <w:rPr>
                <w:sz w:val="15"/>
              </w:rPr>
              <w:t>C</w:t>
            </w:r>
          </w:p>
        </w:tc>
        <w:tc>
          <w:tcPr>
            <w:tcW w:type="dxa" w:w="1278"/>
            <w:vAlign w:val="center"/>
          </w:tcPr>
          <w:p>
            <w:pPr>
              <w:spacing w:after="0"/>
            </w:pPr>
            <w:r>
              <w:rPr>
                <w:sz w:val="15"/>
              </w:rPr>
              <w:t>I</w:t>
            </w:r>
          </w:p>
        </w:tc>
        <w:tc>
          <w:tcPr>
            <w:tcW w:type="dxa" w:w="1278"/>
            <w:vAlign w:val="center"/>
          </w:tcPr>
          <w:p>
            <w:pPr>
              <w:spacing w:after="0"/>
            </w:pPr>
            <w:r>
              <w:rPr>
                <w:sz w:val="15"/>
              </w:rPr>
              <w:t>A/R</w:t>
            </w:r>
          </w:p>
        </w:tc>
      </w:tr>
    </w:tbl>
    <w:p>
      <w:pPr>
        <w:spacing w:after="80"/>
      </w:pPr>
      <w:r>
        <w:t>Role names vary. The required outcome is clear authority, segregation of duties, competent review, escalation, and documented acceptance of residual risk.</w:t>
      </w:r>
    </w:p>
    <w:p>
      <w:pPr>
        <w:pStyle w:val="Heading1"/>
      </w:pPr>
      <w:r>
        <w:t>11. Healthcare Lifecycle Implementation Guidance</w:t>
      </w:r>
    </w:p>
    <w:p>
      <w:pPr>
        <w:spacing w:after="80"/>
      </w:pPr>
      <w:r>
        <w:t>The lifecycle controls below are Tier 3 interpretations and Tier 4 recommended practices unless tied to a verified GAISSF reference.</w:t>
      </w:r>
    </w:p>
    <w:p>
      <w:pPr>
        <w:pStyle w:val="Heading3"/>
      </w:pPr>
      <w:r>
        <w:t>11.1 Use-case initiation</w:t>
      </w:r>
    </w:p>
    <w:p>
      <w:pPr>
        <w:spacing w:after="80"/>
      </w:pPr>
      <w:r>
        <w:t>Define the problem, intended and prohibited use, patient population, setting, benefit and risk hypotheses, stakeholders, data, legal and regulatory screening, provisional risk tier, and go/no-go criteria. Reject use cases whose benefit cannot be articulated or whose risks cannot be controlled or observed.</w:t>
      </w:r>
    </w:p>
    <w:p>
      <w:pPr>
        <w:spacing w:after="80"/>
      </w:pPr>
      <w:r/>
      <w:r>
        <w:rPr>
          <w:b/>
        </w:rPr>
        <w:t>Illustrative evidence:</w:t>
      </w:r>
      <w:r>
        <w:t xml:space="preserve"> approved lifecycle record, named owners, risk decision, test results, change log, monitoring record, or retirement certificate as applicable. </w:t>
      </w:r>
      <w:r>
        <w:rPr>
          <w:b/>
        </w:rPr>
        <w:t>Notably absent:</w:t>
      </w:r>
      <w:r>
        <w:t xml:space="preserve"> completion of a document alone does not prove effective operation.</w:t>
      </w:r>
    </w:p>
    <w:p>
      <w:pPr>
        <w:pStyle w:val="Heading3"/>
      </w:pPr>
      <w:r>
        <w:t>11.2 Design and architecture</w:t>
      </w:r>
    </w:p>
    <w:p>
      <w:pPr>
        <w:spacing w:after="80"/>
      </w:pPr>
      <w:r>
        <w:t>Apply secure-, privacy-, and safety-by-design; least privilege; environment separation; data minimisation; strong identity; logging; model isolation; resilience; fail-safe behaviour; workflow fit; effective human oversight; provenance; and rollback.</w:t>
      </w:r>
    </w:p>
    <w:p>
      <w:pPr>
        <w:spacing w:after="80"/>
      </w:pPr>
      <w:r/>
      <w:r>
        <w:rPr>
          <w:b/>
        </w:rPr>
        <w:t>Illustrative evidence:</w:t>
      </w:r>
      <w:r>
        <w:t xml:space="preserve"> approved lifecycle record, named owners, risk decision, test results, change log, monitoring record, or retirement certificate as applicable. </w:t>
      </w:r>
      <w:r>
        <w:rPr>
          <w:b/>
        </w:rPr>
        <w:t>Notably absent:</w:t>
      </w:r>
      <w:r>
        <w:t xml:space="preserve"> completion of a document alone does not prove effective operation.</w:t>
      </w:r>
    </w:p>
    <w:p>
      <w:pPr>
        <w:pStyle w:val="Heading3"/>
      </w:pPr>
      <w:r>
        <w:t>11.3 Data acquisition and preparation</w:t>
      </w:r>
    </w:p>
    <w:p>
      <w:pPr>
        <w:spacing w:after="80"/>
      </w:pPr>
      <w:r>
        <w:t>Document authority, provenance, representativeness, quality, patient matching, de-identification limits, labelling, poisoning controls, access, retention, deletion, secondary use, transfers, and vulnerable-population implications.</w:t>
      </w:r>
    </w:p>
    <w:p>
      <w:pPr>
        <w:spacing w:after="80"/>
      </w:pPr>
      <w:r/>
      <w:r>
        <w:rPr>
          <w:b/>
        </w:rPr>
        <w:t>Illustrative evidence:</w:t>
      </w:r>
      <w:r>
        <w:t xml:space="preserve"> approved lifecycle record, named owners, risk decision, test results, change log, monitoring record, or retirement certificate as applicable. </w:t>
      </w:r>
      <w:r>
        <w:rPr>
          <w:b/>
        </w:rPr>
        <w:t>Notably absent:</w:t>
      </w:r>
      <w:r>
        <w:t xml:space="preserve"> completion of a document alone does not prove effective operation.</w:t>
      </w:r>
    </w:p>
    <w:p>
      <w:pPr>
        <w:pStyle w:val="Heading3"/>
      </w:pPr>
      <w:r>
        <w:t>11.4 Development and configuration</w:t>
      </w:r>
    </w:p>
    <w:p>
      <w:pPr>
        <w:spacing w:after="80"/>
      </w:pPr>
      <w:r>
        <w:t>Use secure development, controlled model selection, reproducible builds, dependency and secrets management, prompt/system-instruction control, code review, segregated testing, documentation, and change approval.</w:t>
      </w:r>
    </w:p>
    <w:p>
      <w:pPr>
        <w:spacing w:after="80"/>
      </w:pPr>
      <w:r/>
      <w:r>
        <w:rPr>
          <w:b/>
        </w:rPr>
        <w:t>Illustrative evidence:</w:t>
      </w:r>
      <w:r>
        <w:t xml:space="preserve"> approved lifecycle record, named owners, risk decision, test results, change log, monitoring record, or retirement certificate as applicable. </w:t>
      </w:r>
      <w:r>
        <w:rPr>
          <w:b/>
        </w:rPr>
        <w:t>Notably absent:</w:t>
      </w:r>
      <w:r>
        <w:t xml:space="preserve"> completion of a document alone does not prove effective operation.</w:t>
      </w:r>
    </w:p>
    <w:p>
      <w:pPr>
        <w:pStyle w:val="Heading3"/>
      </w:pPr>
      <w:r>
        <w:t>11.5 Verification and validation</w:t>
      </w:r>
    </w:p>
    <w:p>
      <w:pPr>
        <w:spacing w:after="80"/>
      </w:pPr>
      <w:r>
        <w:t>Separate technical performance, clinical validity, clinical utility, security assurance, privacy, operational safety, and regulatory approval. Test robustness, false outcomes, subgroups, adversarial behaviour, leakage, failover, usability, and acceptance criteria.</w:t>
      </w:r>
    </w:p>
    <w:p>
      <w:pPr>
        <w:spacing w:after="80"/>
      </w:pPr>
      <w:r/>
      <w:r>
        <w:rPr>
          <w:b/>
        </w:rPr>
        <w:t>Illustrative evidence:</w:t>
      </w:r>
      <w:r>
        <w:t xml:space="preserve"> approved lifecycle record, named owners, risk decision, test results, change log, monitoring record, or retirement certificate as applicable. </w:t>
      </w:r>
      <w:r>
        <w:rPr>
          <w:b/>
        </w:rPr>
        <w:t>Notably absent:</w:t>
      </w:r>
      <w:r>
        <w:t xml:space="preserve"> completion of a document alone does not prove effective operation.</w:t>
      </w:r>
    </w:p>
    <w:p>
      <w:pPr>
        <w:pStyle w:val="Heading3"/>
      </w:pPr>
      <w:r>
        <w:t>11.6 Deployment</w:t>
      </w:r>
    </w:p>
    <w:p>
      <w:pPr>
        <w:spacing w:after="80"/>
      </w:pPr>
      <w:r>
        <w:t>Require deployment authorisation, baseline configuration, access controls, training, escalation, phased rollout where appropriate, monitoring readiness, rollback, continuity procedures, and multidisciplinary sign-off.</w:t>
      </w:r>
    </w:p>
    <w:p>
      <w:pPr>
        <w:spacing w:after="80"/>
      </w:pPr>
      <w:r/>
      <w:r>
        <w:rPr>
          <w:b/>
        </w:rPr>
        <w:t>Illustrative evidence:</w:t>
      </w:r>
      <w:r>
        <w:t xml:space="preserve"> approved lifecycle record, named owners, risk decision, test results, change log, monitoring record, or retirement certificate as applicable. </w:t>
      </w:r>
      <w:r>
        <w:rPr>
          <w:b/>
        </w:rPr>
        <w:t>Notably absent:</w:t>
      </w:r>
      <w:r>
        <w:t xml:space="preserve"> completion of a document alone does not prove effective operation.</w:t>
      </w:r>
    </w:p>
    <w:p>
      <w:pPr>
        <w:pStyle w:val="Heading3"/>
      </w:pPr>
      <w:r>
        <w:t>11.7 Operation and monitoring</w:t>
      </w:r>
    </w:p>
    <w:p>
      <w:pPr>
        <w:spacing w:after="80"/>
      </w:pPr>
      <w:r>
        <w:t>Monitor performance, drift, security, anomalous outputs, feedback, safety events, supplier status, prompt attacks, leakage, access, subgroups, unapproved use, and workflow changes. Define thresholds and owners locally.</w:t>
      </w:r>
    </w:p>
    <w:p>
      <w:pPr>
        <w:spacing w:after="80"/>
      </w:pPr>
      <w:r/>
      <w:r>
        <w:rPr>
          <w:b/>
        </w:rPr>
        <w:t>Illustrative evidence:</w:t>
      </w:r>
      <w:r>
        <w:t xml:space="preserve"> approved lifecycle record, named owners, risk decision, test results, change log, monitoring record, or retirement certificate as applicable. </w:t>
      </w:r>
      <w:r>
        <w:rPr>
          <w:b/>
        </w:rPr>
        <w:t>Notably absent:</w:t>
      </w:r>
      <w:r>
        <w:t xml:space="preserve"> completion of a document alone does not prove effective operation.</w:t>
      </w:r>
    </w:p>
    <w:p>
      <w:pPr>
        <w:pStyle w:val="Heading3"/>
      </w:pPr>
      <w:r>
        <w:t>11.8 Change and update management</w:t>
      </w:r>
    </w:p>
    <w:p>
      <w:pPr>
        <w:spacing w:after="80"/>
      </w:pPr>
      <w:r>
        <w:t>Classify the significance of model, prompt, knowledge-base, data-source, vendor, and infrastructure changes. Set revalidation triggers, emergency-change controls, rollback, release notes, and user communication.</w:t>
      </w:r>
    </w:p>
    <w:p>
      <w:pPr>
        <w:spacing w:after="80"/>
      </w:pPr>
      <w:r/>
      <w:r>
        <w:rPr>
          <w:b/>
        </w:rPr>
        <w:t>Illustrative evidence:</w:t>
      </w:r>
      <w:r>
        <w:t xml:space="preserve"> approved lifecycle record, named owners, risk decision, test results, change log, monitoring record, or retirement certificate as applicable. </w:t>
      </w:r>
      <w:r>
        <w:rPr>
          <w:b/>
        </w:rPr>
        <w:t>Notably absent:</w:t>
      </w:r>
      <w:r>
        <w:t xml:space="preserve"> completion of a document alone does not prove effective operation.</w:t>
      </w:r>
    </w:p>
    <w:p>
      <w:pPr>
        <w:pStyle w:val="Heading3"/>
      </w:pPr>
      <w:r>
        <w:t>11.9 Incident response and recovery</w:t>
      </w:r>
    </w:p>
    <w:p>
      <w:pPr>
        <w:spacing w:after="80"/>
      </w:pPr>
      <w:r>
        <w:t>Integrate clinical, cybersecurity, privacy, supplier, and regulatory escalation. Support suspension, isolation, manual fallback, evidence preservation, notification decisions, root-cause analysis, corrective action, and revalidation.</w:t>
      </w:r>
    </w:p>
    <w:p>
      <w:pPr>
        <w:spacing w:after="80"/>
      </w:pPr>
      <w:r/>
      <w:r>
        <w:rPr>
          <w:b/>
        </w:rPr>
        <w:t>Illustrative evidence:</w:t>
      </w:r>
      <w:r>
        <w:t xml:space="preserve"> approved lifecycle record, named owners, risk decision, test results, change log, monitoring record, or retirement certificate as applicable. </w:t>
      </w:r>
      <w:r>
        <w:rPr>
          <w:b/>
        </w:rPr>
        <w:t>Notably absent:</w:t>
      </w:r>
      <w:r>
        <w:t xml:space="preserve"> completion of a document alone does not prove effective operation.</w:t>
      </w:r>
    </w:p>
    <w:p>
      <w:pPr>
        <w:pStyle w:val="Heading3"/>
      </w:pPr>
      <w:r>
        <w:t>11.10 Retirement and decommissioning</w:t>
      </w:r>
    </w:p>
    <w:p>
      <w:pPr>
        <w:spacing w:after="80"/>
      </w:pPr>
      <w:r>
        <w:t>Approve retirement; preserve required records; remove interfaces and credentials; manage dependencies; protect continuity of care; obtain supplier exit support; verify destruction or archival; and close ownership.</w:t>
      </w:r>
    </w:p>
    <w:p>
      <w:pPr>
        <w:spacing w:after="80"/>
      </w:pPr>
      <w:r/>
      <w:r>
        <w:rPr>
          <w:b/>
        </w:rPr>
        <w:t>Illustrative evidence:</w:t>
      </w:r>
      <w:r>
        <w:t xml:space="preserve"> approved lifecycle record, named owners, risk decision, test results, change log, monitoring record, or retirement certificate as applicable. </w:t>
      </w:r>
      <w:r>
        <w:rPr>
          <w:b/>
        </w:rPr>
        <w:t>Notably absent:</w:t>
      </w:r>
      <w:r>
        <w:t xml:space="preserve"> completion of a document alone does not prove effective operation.</w:t>
      </w:r>
    </w:p>
    <w:p>
      <w:pPr>
        <w:pStyle w:val="Heading1"/>
      </w:pPr>
      <w:r>
        <w:t>12. Interpretation of GAISSF Domains for Healthcare</w:t>
      </w:r>
    </w:p>
    <w:p>
      <w:pPr>
        <w:spacing w:after="80"/>
      </w:pPr>
      <w:r>
        <w:t>The matrix below must be reconciled to the final GAISSF taxonomy before publication. Placeholder references are intentional.</w:t>
      </w:r>
    </w:p>
    <w:tbl>
      <w:tblPr>
        <w:tblStyle w:val="TableGrid"/>
        <w:tblW w:type="auto" w:w="0"/>
        <w:jc w:val="center"/>
        <w:tblLook w:firstColumn="1" w:firstRow="1" w:lastColumn="0" w:lastRow="0" w:noHBand="0" w:noVBand="1" w:val="04A0"/>
      </w:tblPr>
      <w:tblGrid>
        <w:gridCol w:w="2045"/>
        <w:gridCol w:w="2045"/>
        <w:gridCol w:w="2045"/>
        <w:gridCol w:w="2045"/>
        <w:gridCol w:w="2045"/>
      </w:tblGrid>
      <w:tr>
        <w:trPr>
          <w:tblHeader w:val="true"/>
        </w:trPr>
        <w:tc>
          <w:tcPr>
            <w:tcW w:type="dxa" w:w="2045"/>
            <w:vAlign w:val="center"/>
            <w:shd w:fill="1F4E79"/>
          </w:tcPr>
          <w:p>
            <w:pPr>
              <w:spacing w:after="0"/>
            </w:pPr>
            <w:r>
              <w:rPr>
                <w:b/>
                <w:color w:val="FFFFFF"/>
                <w:sz w:val="15"/>
              </w:rPr>
              <w:t>GAISSF domain / reference</w:t>
            </w:r>
          </w:p>
        </w:tc>
        <w:tc>
          <w:tcPr>
            <w:tcW w:type="dxa" w:w="2045"/>
            <w:vAlign w:val="center"/>
            <w:shd w:fill="1F4E79"/>
          </w:tcPr>
          <w:p>
            <w:pPr>
              <w:spacing w:after="0"/>
            </w:pPr>
            <w:r>
              <w:rPr>
                <w:b/>
                <w:color w:val="FFFFFF"/>
                <w:sz w:val="15"/>
              </w:rPr>
              <w:t>Healthcare interpretation</w:t>
            </w:r>
          </w:p>
        </w:tc>
        <w:tc>
          <w:tcPr>
            <w:tcW w:type="dxa" w:w="2045"/>
            <w:vAlign w:val="center"/>
            <w:shd w:fill="1F4E79"/>
          </w:tcPr>
          <w:p>
            <w:pPr>
              <w:spacing w:after="0"/>
            </w:pPr>
            <w:r>
              <w:rPr>
                <w:b/>
                <w:color w:val="FFFFFF"/>
                <w:sz w:val="15"/>
              </w:rPr>
              <w:t>Recommended practices</w:t>
            </w:r>
          </w:p>
        </w:tc>
        <w:tc>
          <w:tcPr>
            <w:tcW w:type="dxa" w:w="2045"/>
            <w:vAlign w:val="center"/>
            <w:shd w:fill="1F4E79"/>
          </w:tcPr>
          <w:p>
            <w:pPr>
              <w:spacing w:after="0"/>
            </w:pPr>
            <w:r>
              <w:rPr>
                <w:b/>
                <w:color w:val="FFFFFF"/>
                <w:sz w:val="15"/>
              </w:rPr>
              <w:t>Illustrative evidence</w:t>
            </w:r>
          </w:p>
        </w:tc>
        <w:tc>
          <w:tcPr>
            <w:tcW w:type="dxa" w:w="2045"/>
            <w:vAlign w:val="center"/>
            <w:shd w:fill="1F4E79"/>
          </w:tcPr>
          <w:p>
            <w:pPr>
              <w:spacing w:after="0"/>
            </w:pPr>
            <w:r>
              <w:rPr>
                <w:b/>
                <w:color w:val="FFFFFF"/>
                <w:sz w:val="15"/>
              </w:rPr>
              <w:t>Common error / notably absent</w:t>
            </w:r>
          </w:p>
        </w:tc>
      </w:tr>
      <w:tr>
        <w:tc>
          <w:tcPr>
            <w:tcW w:type="dxa" w:w="2045"/>
            <w:vAlign w:val="center"/>
          </w:tcPr>
          <w:p>
            <w:pPr>
              <w:spacing w:after="0"/>
            </w:pPr>
            <w:r>
              <w:rPr>
                <w:sz w:val="15"/>
              </w:rPr>
              <w:t>Governance [REFERENCE TO BE CONFIRMED]</w:t>
            </w:r>
          </w:p>
        </w:tc>
        <w:tc>
          <w:tcPr>
            <w:tcW w:type="dxa" w:w="2045"/>
            <w:vAlign w:val="center"/>
          </w:tcPr>
          <w:p>
            <w:pPr>
              <w:spacing w:after="0"/>
            </w:pPr>
            <w:r>
              <w:rPr>
                <w:sz w:val="15"/>
              </w:rPr>
              <w:t>Link AI accountability to clinical and enterprise governance</w:t>
            </w:r>
          </w:p>
        </w:tc>
        <w:tc>
          <w:tcPr>
            <w:tcW w:type="dxa" w:w="2045"/>
            <w:vAlign w:val="center"/>
          </w:tcPr>
          <w:p>
            <w:pPr>
              <w:spacing w:after="0"/>
            </w:pPr>
            <w:r>
              <w:rPr>
                <w:sz w:val="15"/>
              </w:rPr>
              <w:t>Named accountable owners; multidisciplinary approval; risk acceptance</w:t>
            </w:r>
          </w:p>
        </w:tc>
        <w:tc>
          <w:tcPr>
            <w:tcW w:type="dxa" w:w="2045"/>
            <w:vAlign w:val="center"/>
          </w:tcPr>
          <w:p>
            <w:pPr>
              <w:spacing w:after="0"/>
            </w:pPr>
            <w:r>
              <w:rPr>
                <w:sz w:val="15"/>
              </w:rPr>
              <w:t>Charters, RACI, minutes, approvals</w:t>
            </w:r>
          </w:p>
        </w:tc>
        <w:tc>
          <w:tcPr>
            <w:tcW w:type="dxa" w:w="2045"/>
            <w:vAlign w:val="center"/>
          </w:tcPr>
          <w:p>
            <w:pPr>
              <w:spacing w:after="0"/>
            </w:pPr>
            <w:r>
              <w:rPr>
                <w:sz w:val="15"/>
              </w:rPr>
              <w:t>Committee exists but no system owner</w:t>
            </w:r>
          </w:p>
        </w:tc>
      </w:tr>
      <w:tr>
        <w:tc>
          <w:tcPr>
            <w:tcW w:type="dxa" w:w="2045"/>
            <w:vAlign w:val="center"/>
          </w:tcPr>
          <w:p>
            <w:pPr>
              <w:spacing w:after="0"/>
            </w:pPr>
            <w:r>
              <w:rPr>
                <w:sz w:val="15"/>
              </w:rPr>
              <w:t>Risk management [REFERENCE TO BE CONFIRMED]</w:t>
            </w:r>
          </w:p>
        </w:tc>
        <w:tc>
          <w:tcPr>
            <w:tcW w:type="dxa" w:w="2045"/>
            <w:vAlign w:val="center"/>
          </w:tcPr>
          <w:p>
            <w:pPr>
              <w:spacing w:after="0"/>
            </w:pPr>
            <w:r>
              <w:rPr>
                <w:sz w:val="15"/>
              </w:rPr>
              <w:t>Analyse technical-to-clinical consequence pathways</w:t>
            </w:r>
          </w:p>
        </w:tc>
        <w:tc>
          <w:tcPr>
            <w:tcW w:type="dxa" w:w="2045"/>
            <w:vAlign w:val="center"/>
          </w:tcPr>
          <w:p>
            <w:pPr>
              <w:spacing w:after="0"/>
            </w:pPr>
            <w:r>
              <w:rPr>
                <w:sz w:val="15"/>
              </w:rPr>
              <w:t>System-specific scenarios; residual-risk ownership</w:t>
            </w:r>
          </w:p>
        </w:tc>
        <w:tc>
          <w:tcPr>
            <w:tcW w:type="dxa" w:w="2045"/>
            <w:vAlign w:val="center"/>
          </w:tcPr>
          <w:p>
            <w:pPr>
              <w:spacing w:after="0"/>
            </w:pPr>
            <w:r>
              <w:rPr>
                <w:sz w:val="15"/>
              </w:rPr>
              <w:t>Risk register, safety-security analysis</w:t>
            </w:r>
          </w:p>
        </w:tc>
        <w:tc>
          <w:tcPr>
            <w:tcW w:type="dxa" w:w="2045"/>
            <w:vAlign w:val="center"/>
          </w:tcPr>
          <w:p>
            <w:pPr>
              <w:spacing w:after="0"/>
            </w:pPr>
            <w:r>
              <w:rPr>
                <w:sz w:val="15"/>
              </w:rPr>
              <w:t>Generic AI risk list without workflow context</w:t>
            </w:r>
          </w:p>
        </w:tc>
      </w:tr>
      <w:tr>
        <w:tc>
          <w:tcPr>
            <w:tcW w:type="dxa" w:w="2045"/>
            <w:vAlign w:val="center"/>
          </w:tcPr>
          <w:p>
            <w:pPr>
              <w:spacing w:after="0"/>
            </w:pPr>
            <w:r>
              <w:rPr>
                <w:sz w:val="15"/>
              </w:rPr>
              <w:t>Inventory [REFERENCE TO BE CONFIRMED]</w:t>
            </w:r>
          </w:p>
        </w:tc>
        <w:tc>
          <w:tcPr>
            <w:tcW w:type="dxa" w:w="2045"/>
            <w:vAlign w:val="center"/>
          </w:tcPr>
          <w:p>
            <w:pPr>
              <w:spacing w:after="0"/>
            </w:pPr>
            <w:r>
              <w:rPr>
                <w:sz w:val="15"/>
              </w:rPr>
              <w:t>Include embedded, supplier, research, and shadow AI</w:t>
            </w:r>
          </w:p>
        </w:tc>
        <w:tc>
          <w:tcPr>
            <w:tcW w:type="dxa" w:w="2045"/>
            <w:vAlign w:val="center"/>
          </w:tcPr>
          <w:p>
            <w:pPr>
              <w:spacing w:after="0"/>
            </w:pPr>
            <w:r>
              <w:rPr>
                <w:sz w:val="15"/>
              </w:rPr>
              <w:t>Discovery, ownership, lifecycle state, dependencies</w:t>
            </w:r>
          </w:p>
        </w:tc>
        <w:tc>
          <w:tcPr>
            <w:tcW w:type="dxa" w:w="2045"/>
            <w:vAlign w:val="center"/>
          </w:tcPr>
          <w:p>
            <w:pPr>
              <w:spacing w:after="0"/>
            </w:pPr>
            <w:r>
              <w:rPr>
                <w:sz w:val="15"/>
              </w:rPr>
              <w:t>AI inventory, architecture register</w:t>
            </w:r>
          </w:p>
        </w:tc>
        <w:tc>
          <w:tcPr>
            <w:tcW w:type="dxa" w:w="2045"/>
            <w:vAlign w:val="center"/>
          </w:tcPr>
          <w:p>
            <w:pPr>
              <w:spacing w:after="0"/>
            </w:pPr>
            <w:r>
              <w:rPr>
                <w:sz w:val="15"/>
              </w:rPr>
              <w:t>Only internally developed models listed</w:t>
            </w:r>
          </w:p>
        </w:tc>
      </w:tr>
      <w:tr>
        <w:tc>
          <w:tcPr>
            <w:tcW w:type="dxa" w:w="2045"/>
            <w:vAlign w:val="center"/>
          </w:tcPr>
          <w:p>
            <w:pPr>
              <w:spacing w:after="0"/>
            </w:pPr>
            <w:r>
              <w:rPr>
                <w:sz w:val="15"/>
              </w:rPr>
              <w:t>Data security and privacy [REFERENCE TO BE CONFIRMED]</w:t>
            </w:r>
          </w:p>
        </w:tc>
        <w:tc>
          <w:tcPr>
            <w:tcW w:type="dxa" w:w="2045"/>
            <w:vAlign w:val="center"/>
          </w:tcPr>
          <w:p>
            <w:pPr>
              <w:spacing w:after="0"/>
            </w:pPr>
            <w:r>
              <w:rPr>
                <w:sz w:val="15"/>
              </w:rPr>
              <w:t>Protect health data across prompts, logs, retrieval and training</w:t>
            </w:r>
          </w:p>
        </w:tc>
        <w:tc>
          <w:tcPr>
            <w:tcW w:type="dxa" w:w="2045"/>
            <w:vAlign w:val="center"/>
          </w:tcPr>
          <w:p>
            <w:pPr>
              <w:spacing w:after="0"/>
            </w:pPr>
            <w:r>
              <w:rPr>
                <w:sz w:val="15"/>
              </w:rPr>
              <w:t>Minimise data; control retention; test leakage</w:t>
            </w:r>
          </w:p>
        </w:tc>
        <w:tc>
          <w:tcPr>
            <w:tcW w:type="dxa" w:w="2045"/>
            <w:vAlign w:val="center"/>
          </w:tcPr>
          <w:p>
            <w:pPr>
              <w:spacing w:after="0"/>
            </w:pPr>
            <w:r>
              <w:rPr>
                <w:sz w:val="15"/>
              </w:rPr>
              <w:t>Data flows, privacy assessment, logs</w:t>
            </w:r>
          </w:p>
        </w:tc>
        <w:tc>
          <w:tcPr>
            <w:tcW w:type="dxa" w:w="2045"/>
            <w:vAlign w:val="center"/>
          </w:tcPr>
          <w:p>
            <w:pPr>
              <w:spacing w:after="0"/>
            </w:pPr>
            <w:r>
              <w:rPr>
                <w:sz w:val="15"/>
              </w:rPr>
              <w:t>Contract claim accepted without technical verification</w:t>
            </w:r>
          </w:p>
        </w:tc>
      </w:tr>
      <w:tr>
        <w:tc>
          <w:tcPr>
            <w:tcW w:type="dxa" w:w="2045"/>
            <w:vAlign w:val="center"/>
          </w:tcPr>
          <w:p>
            <w:pPr>
              <w:spacing w:after="0"/>
            </w:pPr>
            <w:r>
              <w:rPr>
                <w:sz w:val="15"/>
              </w:rPr>
              <w:t>Identity and access [REFERENCE TO BE CONFIRMED]</w:t>
            </w:r>
          </w:p>
        </w:tc>
        <w:tc>
          <w:tcPr>
            <w:tcW w:type="dxa" w:w="2045"/>
            <w:vAlign w:val="center"/>
          </w:tcPr>
          <w:p>
            <w:pPr>
              <w:spacing w:after="0"/>
            </w:pPr>
            <w:r>
              <w:rPr>
                <w:sz w:val="15"/>
              </w:rPr>
              <w:t>Address clinicians, patients, devices, services, emergency access</w:t>
            </w:r>
          </w:p>
        </w:tc>
        <w:tc>
          <w:tcPr>
            <w:tcW w:type="dxa" w:w="2045"/>
            <w:vAlign w:val="center"/>
          </w:tcPr>
          <w:p>
            <w:pPr>
              <w:spacing w:after="0"/>
            </w:pPr>
            <w:r>
              <w:rPr>
                <w:sz w:val="15"/>
              </w:rPr>
              <w:t>Strong identity, least privilege, break-glass governance</w:t>
            </w:r>
          </w:p>
        </w:tc>
        <w:tc>
          <w:tcPr>
            <w:tcW w:type="dxa" w:w="2045"/>
            <w:vAlign w:val="center"/>
          </w:tcPr>
          <w:p>
            <w:pPr>
              <w:spacing w:after="0"/>
            </w:pPr>
            <w:r>
              <w:rPr>
                <w:sz w:val="15"/>
              </w:rPr>
              <w:t>Access matrix, recertification, emergency logs</w:t>
            </w:r>
          </w:p>
        </w:tc>
        <w:tc>
          <w:tcPr>
            <w:tcW w:type="dxa" w:w="2045"/>
            <w:vAlign w:val="center"/>
          </w:tcPr>
          <w:p>
            <w:pPr>
              <w:spacing w:after="0"/>
            </w:pPr>
            <w:r>
              <w:rPr>
                <w:sz w:val="15"/>
              </w:rPr>
              <w:t>Shared accounts or unreviewed service credentials</w:t>
            </w:r>
          </w:p>
        </w:tc>
      </w:tr>
      <w:tr>
        <w:tc>
          <w:tcPr>
            <w:tcW w:type="dxa" w:w="2045"/>
            <w:vAlign w:val="center"/>
          </w:tcPr>
          <w:p>
            <w:pPr>
              <w:spacing w:after="0"/>
            </w:pPr>
            <w:r>
              <w:rPr>
                <w:sz w:val="15"/>
              </w:rPr>
              <w:t>Secure development and model security [REFERENCE TO BE CONFIRMED]</w:t>
            </w:r>
          </w:p>
        </w:tc>
        <w:tc>
          <w:tcPr>
            <w:tcW w:type="dxa" w:w="2045"/>
            <w:vAlign w:val="center"/>
          </w:tcPr>
          <w:p>
            <w:pPr>
              <w:spacing w:after="0"/>
            </w:pPr>
            <w:r>
              <w:rPr>
                <w:sz w:val="15"/>
              </w:rPr>
              <w:t>Control code, model, prompts, data and release artefacts</w:t>
            </w:r>
          </w:p>
        </w:tc>
        <w:tc>
          <w:tcPr>
            <w:tcW w:type="dxa" w:w="2045"/>
            <w:vAlign w:val="center"/>
          </w:tcPr>
          <w:p>
            <w:pPr>
              <w:spacing w:after="0"/>
            </w:pPr>
            <w:r>
              <w:rPr>
                <w:sz w:val="15"/>
              </w:rPr>
              <w:t>Reproducibility, integrity, adversarial testing</w:t>
            </w:r>
          </w:p>
        </w:tc>
        <w:tc>
          <w:tcPr>
            <w:tcW w:type="dxa" w:w="2045"/>
            <w:vAlign w:val="center"/>
          </w:tcPr>
          <w:p>
            <w:pPr>
              <w:spacing w:after="0"/>
            </w:pPr>
            <w:r>
              <w:rPr>
                <w:sz w:val="15"/>
              </w:rPr>
              <w:t>Build manifest, test reports, signatures</w:t>
            </w:r>
          </w:p>
        </w:tc>
        <w:tc>
          <w:tcPr>
            <w:tcW w:type="dxa" w:w="2045"/>
            <w:vAlign w:val="center"/>
          </w:tcPr>
          <w:p>
            <w:pPr>
              <w:spacing w:after="0"/>
            </w:pPr>
            <w:r>
              <w:rPr>
                <w:sz w:val="15"/>
              </w:rPr>
              <w:t>Only conventional application testing performed</w:t>
            </w:r>
          </w:p>
        </w:tc>
      </w:tr>
      <w:tr>
        <w:tc>
          <w:tcPr>
            <w:tcW w:type="dxa" w:w="2045"/>
            <w:vAlign w:val="center"/>
          </w:tcPr>
          <w:p>
            <w:pPr>
              <w:spacing w:after="0"/>
            </w:pPr>
            <w:r>
              <w:rPr>
                <w:sz w:val="15"/>
              </w:rPr>
              <w:t>Supply chain [REFERENCE TO BE CONFIRMED]</w:t>
            </w:r>
          </w:p>
        </w:tc>
        <w:tc>
          <w:tcPr>
            <w:tcW w:type="dxa" w:w="2045"/>
            <w:vAlign w:val="center"/>
          </w:tcPr>
          <w:p>
            <w:pPr>
              <w:spacing w:after="0"/>
            </w:pPr>
            <w:r>
              <w:rPr>
                <w:sz w:val="15"/>
              </w:rPr>
              <w:t>Treat model, cloud, device and data suppliers as a chain</w:t>
            </w:r>
          </w:p>
        </w:tc>
        <w:tc>
          <w:tcPr>
            <w:tcW w:type="dxa" w:w="2045"/>
            <w:vAlign w:val="center"/>
          </w:tcPr>
          <w:p>
            <w:pPr>
              <w:spacing w:after="0"/>
            </w:pPr>
            <w:r>
              <w:rPr>
                <w:sz w:val="15"/>
              </w:rPr>
              <w:t>Due diligence, change notice, incident terms, exit</w:t>
            </w:r>
          </w:p>
        </w:tc>
        <w:tc>
          <w:tcPr>
            <w:tcW w:type="dxa" w:w="2045"/>
            <w:vAlign w:val="center"/>
          </w:tcPr>
          <w:p>
            <w:pPr>
              <w:spacing w:after="0"/>
            </w:pPr>
            <w:r>
              <w:rPr>
                <w:sz w:val="15"/>
              </w:rPr>
              <w:t>Supplier assessment, contracts, dependency map</w:t>
            </w:r>
          </w:p>
        </w:tc>
        <w:tc>
          <w:tcPr>
            <w:tcW w:type="dxa" w:w="2045"/>
            <w:vAlign w:val="center"/>
          </w:tcPr>
          <w:p>
            <w:pPr>
              <w:spacing w:after="0"/>
            </w:pPr>
            <w:r>
              <w:rPr>
                <w:sz w:val="15"/>
              </w:rPr>
              <w:t>Vendor questionnaire without corroboration</w:t>
            </w:r>
          </w:p>
        </w:tc>
      </w:tr>
      <w:tr>
        <w:tc>
          <w:tcPr>
            <w:tcW w:type="dxa" w:w="2045"/>
            <w:vAlign w:val="center"/>
          </w:tcPr>
          <w:p>
            <w:pPr>
              <w:spacing w:after="0"/>
            </w:pPr>
            <w:r>
              <w:rPr>
                <w:sz w:val="15"/>
              </w:rPr>
              <w:t>Validation and assurance [REFERENCE TO BE CONFIRMED]</w:t>
            </w:r>
          </w:p>
        </w:tc>
        <w:tc>
          <w:tcPr>
            <w:tcW w:type="dxa" w:w="2045"/>
            <w:vAlign w:val="center"/>
          </w:tcPr>
          <w:p>
            <w:pPr>
              <w:spacing w:after="0"/>
            </w:pPr>
            <w:r>
              <w:rPr>
                <w:sz w:val="15"/>
              </w:rPr>
              <w:t>Separate security, clinical, technical, privacy and operational claims</w:t>
            </w:r>
          </w:p>
        </w:tc>
        <w:tc>
          <w:tcPr>
            <w:tcW w:type="dxa" w:w="2045"/>
            <w:vAlign w:val="center"/>
          </w:tcPr>
          <w:p>
            <w:pPr>
              <w:spacing w:after="0"/>
            </w:pPr>
            <w:r>
              <w:rPr>
                <w:sz w:val="15"/>
              </w:rPr>
              <w:t>Independent review proportional to impact</w:t>
            </w:r>
          </w:p>
        </w:tc>
        <w:tc>
          <w:tcPr>
            <w:tcW w:type="dxa" w:w="2045"/>
            <w:vAlign w:val="center"/>
          </w:tcPr>
          <w:p>
            <w:pPr>
              <w:spacing w:after="0"/>
            </w:pPr>
            <w:r>
              <w:rPr>
                <w:sz w:val="15"/>
              </w:rPr>
              <w:t>Validation plans and reports</w:t>
            </w:r>
          </w:p>
        </w:tc>
        <w:tc>
          <w:tcPr>
            <w:tcW w:type="dxa" w:w="2045"/>
            <w:vAlign w:val="center"/>
          </w:tcPr>
          <w:p>
            <w:pPr>
              <w:spacing w:after="0"/>
            </w:pPr>
            <w:r>
              <w:rPr>
                <w:sz w:val="15"/>
              </w:rPr>
              <w:t>Regulatory status treated as complete security evidence</w:t>
            </w:r>
          </w:p>
        </w:tc>
      </w:tr>
      <w:tr>
        <w:tc>
          <w:tcPr>
            <w:tcW w:type="dxa" w:w="2045"/>
            <w:vAlign w:val="center"/>
          </w:tcPr>
          <w:p>
            <w:pPr>
              <w:spacing w:after="0"/>
            </w:pPr>
            <w:r>
              <w:rPr>
                <w:sz w:val="15"/>
              </w:rPr>
              <w:t>Monitoring [REFERENCE TO BE CONFIRMED]</w:t>
            </w:r>
          </w:p>
        </w:tc>
        <w:tc>
          <w:tcPr>
            <w:tcW w:type="dxa" w:w="2045"/>
            <w:vAlign w:val="center"/>
          </w:tcPr>
          <w:p>
            <w:pPr>
              <w:spacing w:after="0"/>
            </w:pPr>
            <w:r>
              <w:rPr>
                <w:sz w:val="15"/>
              </w:rPr>
              <w:t>Observe drift, attacks, outputs, overrides, safety and availability</w:t>
            </w:r>
          </w:p>
        </w:tc>
        <w:tc>
          <w:tcPr>
            <w:tcW w:type="dxa" w:w="2045"/>
            <w:vAlign w:val="center"/>
          </w:tcPr>
          <w:p>
            <w:pPr>
              <w:spacing w:after="0"/>
            </w:pPr>
            <w:r>
              <w:rPr>
                <w:sz w:val="15"/>
              </w:rPr>
              <w:t>Defined metrics, thresholds, ownership, revalidation</w:t>
            </w:r>
          </w:p>
        </w:tc>
        <w:tc>
          <w:tcPr>
            <w:tcW w:type="dxa" w:w="2045"/>
            <w:vAlign w:val="center"/>
          </w:tcPr>
          <w:p>
            <w:pPr>
              <w:spacing w:after="0"/>
            </w:pPr>
            <w:r>
              <w:rPr>
                <w:sz w:val="15"/>
              </w:rPr>
              <w:t>Dashboards, review minutes, alerts</w:t>
            </w:r>
          </w:p>
        </w:tc>
        <w:tc>
          <w:tcPr>
            <w:tcW w:type="dxa" w:w="2045"/>
            <w:vAlign w:val="center"/>
          </w:tcPr>
          <w:p>
            <w:pPr>
              <w:spacing w:after="0"/>
            </w:pPr>
            <w:r>
              <w:rPr>
                <w:sz w:val="15"/>
              </w:rPr>
              <w:t>Monitoring limited to uptime</w:t>
            </w:r>
          </w:p>
        </w:tc>
      </w:tr>
      <w:tr>
        <w:tc>
          <w:tcPr>
            <w:tcW w:type="dxa" w:w="2045"/>
            <w:vAlign w:val="center"/>
          </w:tcPr>
          <w:p>
            <w:pPr>
              <w:spacing w:after="0"/>
            </w:pPr>
            <w:r>
              <w:rPr>
                <w:sz w:val="15"/>
              </w:rPr>
              <w:t>Incident response and resilience [REFERENCE TO BE CONFIRMED]</w:t>
            </w:r>
          </w:p>
        </w:tc>
        <w:tc>
          <w:tcPr>
            <w:tcW w:type="dxa" w:w="2045"/>
            <w:vAlign w:val="center"/>
          </w:tcPr>
          <w:p>
            <w:pPr>
              <w:spacing w:after="0"/>
            </w:pPr>
            <w:r>
              <w:rPr>
                <w:sz w:val="15"/>
              </w:rPr>
              <w:t>Coordinate patient safety and cyber response</w:t>
            </w:r>
          </w:p>
        </w:tc>
        <w:tc>
          <w:tcPr>
            <w:tcW w:type="dxa" w:w="2045"/>
            <w:vAlign w:val="center"/>
          </w:tcPr>
          <w:p>
            <w:pPr>
              <w:spacing w:after="0"/>
            </w:pPr>
            <w:r>
              <w:rPr>
                <w:sz w:val="15"/>
              </w:rPr>
              <w:t>Integrated triage, fallback, recovery testing</w:t>
            </w:r>
          </w:p>
        </w:tc>
        <w:tc>
          <w:tcPr>
            <w:tcW w:type="dxa" w:w="2045"/>
            <w:vAlign w:val="center"/>
          </w:tcPr>
          <w:p>
            <w:pPr>
              <w:spacing w:after="0"/>
            </w:pPr>
            <w:r>
              <w:rPr>
                <w:sz w:val="15"/>
              </w:rPr>
              <w:t>Playbooks, exercises, incident files</w:t>
            </w:r>
          </w:p>
        </w:tc>
        <w:tc>
          <w:tcPr>
            <w:tcW w:type="dxa" w:w="2045"/>
            <w:vAlign w:val="center"/>
          </w:tcPr>
          <w:p>
            <w:pPr>
              <w:spacing w:after="0"/>
            </w:pPr>
            <w:r>
              <w:rPr>
                <w:sz w:val="15"/>
              </w:rPr>
              <w:t>Security team handles incident without clinical escalation</w:t>
            </w:r>
          </w:p>
        </w:tc>
      </w:tr>
      <w:tr>
        <w:tc>
          <w:tcPr>
            <w:tcW w:type="dxa" w:w="2045"/>
            <w:vAlign w:val="center"/>
          </w:tcPr>
          <w:p>
            <w:pPr>
              <w:spacing w:after="0"/>
            </w:pPr>
            <w:r>
              <w:rPr>
                <w:sz w:val="15"/>
              </w:rPr>
              <w:t>Documentation and traceability [REFERENCE TO BE CONFIRMED]</w:t>
            </w:r>
          </w:p>
        </w:tc>
        <w:tc>
          <w:tcPr>
            <w:tcW w:type="dxa" w:w="2045"/>
            <w:vAlign w:val="center"/>
          </w:tcPr>
          <w:p>
            <w:pPr>
              <w:spacing w:after="0"/>
            </w:pPr>
            <w:r>
              <w:rPr>
                <w:sz w:val="15"/>
              </w:rPr>
              <w:t>Reconstruct system, version, data, decision, and change context</w:t>
            </w:r>
          </w:p>
        </w:tc>
        <w:tc>
          <w:tcPr>
            <w:tcW w:type="dxa" w:w="2045"/>
            <w:vAlign w:val="center"/>
          </w:tcPr>
          <w:p>
            <w:pPr>
              <w:spacing w:after="0"/>
            </w:pPr>
            <w:r>
              <w:rPr>
                <w:sz w:val="15"/>
              </w:rPr>
              <w:t>Provenance, version records, retention</w:t>
            </w:r>
          </w:p>
        </w:tc>
        <w:tc>
          <w:tcPr>
            <w:tcW w:type="dxa" w:w="2045"/>
            <w:vAlign w:val="center"/>
          </w:tcPr>
          <w:p>
            <w:pPr>
              <w:spacing w:after="0"/>
            </w:pPr>
            <w:r>
              <w:rPr>
                <w:sz w:val="15"/>
              </w:rPr>
              <w:t>System card, audit trail, release history</w:t>
            </w:r>
          </w:p>
        </w:tc>
        <w:tc>
          <w:tcPr>
            <w:tcW w:type="dxa" w:w="2045"/>
            <w:vAlign w:val="center"/>
          </w:tcPr>
          <w:p>
            <w:pPr>
              <w:spacing w:after="0"/>
            </w:pPr>
            <w:r>
              <w:rPr>
                <w:sz w:val="15"/>
              </w:rPr>
              <w:t>Current state documented but historical state unrecoverable</w:t>
            </w:r>
          </w:p>
        </w:tc>
      </w:tr>
      <w:tr>
        <w:tc>
          <w:tcPr>
            <w:tcW w:type="dxa" w:w="2045"/>
            <w:vAlign w:val="center"/>
          </w:tcPr>
          <w:p>
            <w:pPr>
              <w:spacing w:after="0"/>
            </w:pPr>
            <w:r>
              <w:rPr>
                <w:sz w:val="15"/>
              </w:rPr>
              <w:t>Human oversight [REFERENCE TO BE CONFIRMED]</w:t>
            </w:r>
          </w:p>
        </w:tc>
        <w:tc>
          <w:tcPr>
            <w:tcW w:type="dxa" w:w="2045"/>
            <w:vAlign w:val="center"/>
          </w:tcPr>
          <w:p>
            <w:pPr>
              <w:spacing w:after="0"/>
            </w:pPr>
            <w:r>
              <w:rPr>
                <w:sz w:val="15"/>
              </w:rPr>
              <w:t>Make review effective in real workflow</w:t>
            </w:r>
          </w:p>
        </w:tc>
        <w:tc>
          <w:tcPr>
            <w:tcW w:type="dxa" w:w="2045"/>
            <w:vAlign w:val="center"/>
          </w:tcPr>
          <w:p>
            <w:pPr>
              <w:spacing w:after="0"/>
            </w:pPr>
            <w:r>
              <w:rPr>
                <w:sz w:val="15"/>
              </w:rPr>
              <w:t>Authority, time, competence, interface, escalation</w:t>
            </w:r>
          </w:p>
        </w:tc>
        <w:tc>
          <w:tcPr>
            <w:tcW w:type="dxa" w:w="2045"/>
            <w:vAlign w:val="center"/>
          </w:tcPr>
          <w:p>
            <w:pPr>
              <w:spacing w:after="0"/>
            </w:pPr>
            <w:r>
              <w:rPr>
                <w:sz w:val="15"/>
              </w:rPr>
              <w:t>Usability tests, training, override analysis</w:t>
            </w:r>
          </w:p>
        </w:tc>
        <w:tc>
          <w:tcPr>
            <w:tcW w:type="dxa" w:w="2045"/>
            <w:vAlign w:val="center"/>
          </w:tcPr>
          <w:p>
            <w:pPr>
              <w:spacing w:after="0"/>
            </w:pPr>
            <w:r>
              <w:rPr>
                <w:sz w:val="15"/>
              </w:rPr>
              <w:t>“Human in the loop” asserted but not tested</w:t>
            </w:r>
          </w:p>
        </w:tc>
      </w:tr>
      <w:tr>
        <w:tc>
          <w:tcPr>
            <w:tcW w:type="dxa" w:w="2045"/>
            <w:vAlign w:val="center"/>
          </w:tcPr>
          <w:p>
            <w:pPr>
              <w:spacing w:after="0"/>
            </w:pPr>
            <w:r>
              <w:rPr>
                <w:sz w:val="15"/>
              </w:rPr>
              <w:t>Competence and improvement [REFERENCE TO BE CONFIRMED]</w:t>
            </w:r>
          </w:p>
        </w:tc>
        <w:tc>
          <w:tcPr>
            <w:tcW w:type="dxa" w:w="2045"/>
            <w:vAlign w:val="center"/>
          </w:tcPr>
          <w:p>
            <w:pPr>
              <w:spacing w:after="0"/>
            </w:pPr>
            <w:r>
              <w:rPr>
                <w:sz w:val="15"/>
              </w:rPr>
              <w:t>Train role-specific users and learn from operation</w:t>
            </w:r>
          </w:p>
        </w:tc>
        <w:tc>
          <w:tcPr>
            <w:tcW w:type="dxa" w:w="2045"/>
            <w:vAlign w:val="center"/>
          </w:tcPr>
          <w:p>
            <w:pPr>
              <w:spacing w:after="0"/>
            </w:pPr>
            <w:r>
              <w:rPr>
                <w:sz w:val="15"/>
              </w:rPr>
              <w:t>Competency criteria, lessons learned, periodic review</w:t>
            </w:r>
          </w:p>
        </w:tc>
        <w:tc>
          <w:tcPr>
            <w:tcW w:type="dxa" w:w="2045"/>
            <w:vAlign w:val="center"/>
          </w:tcPr>
          <w:p>
            <w:pPr>
              <w:spacing w:after="0"/>
            </w:pPr>
            <w:r>
              <w:rPr>
                <w:sz w:val="15"/>
              </w:rPr>
              <w:t>Training and improvement records</w:t>
            </w:r>
          </w:p>
        </w:tc>
        <w:tc>
          <w:tcPr>
            <w:tcW w:type="dxa" w:w="2045"/>
            <w:vAlign w:val="center"/>
          </w:tcPr>
          <w:p>
            <w:pPr>
              <w:spacing w:after="0"/>
            </w:pPr>
            <w:r>
              <w:rPr>
                <w:sz w:val="15"/>
              </w:rPr>
              <w:t>Awareness training substituted for role competence</w:t>
            </w:r>
          </w:p>
        </w:tc>
      </w:tr>
    </w:tbl>
    <w:p>
      <w:pPr>
        <w:pStyle w:val="Heading1"/>
      </w:pPr>
      <w:r>
        <w:t>13. Patient Safety and Clinical Risk Integration</w:t>
      </w:r>
    </w:p>
    <w:p>
      <w:pPr>
        <w:spacing w:after="80"/>
      </w:pPr>
      <w:r>
        <w:t>A security event becomes a patient-safety issue when it changes the availability, integrity, timing, presentation, or interpretation of information or system behaviour used in care. Organisations should connect threat models to clinical hazard analysis rather than maintaining disconnected security and safety registers.</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vAlign w:val="center"/>
            <w:shd w:fill="1F4E79"/>
          </w:tcPr>
          <w:p>
            <w:pPr>
              <w:spacing w:after="0"/>
            </w:pPr>
            <w:r>
              <w:rPr>
                <w:b/>
                <w:color w:val="FFFFFF"/>
                <w:sz w:val="15"/>
              </w:rPr>
              <w:t>Element</w:t>
            </w:r>
          </w:p>
        </w:tc>
        <w:tc>
          <w:tcPr>
            <w:tcW w:type="dxa" w:w="5112"/>
            <w:vAlign w:val="center"/>
            <w:shd w:fill="1F4E79"/>
          </w:tcPr>
          <w:p>
            <w:pPr>
              <w:spacing w:after="0"/>
            </w:pPr>
            <w:r>
              <w:rPr>
                <w:b/>
                <w:color w:val="FFFFFF"/>
                <w:sz w:val="15"/>
              </w:rPr>
              <w:t>Required analysis</w:t>
            </w:r>
          </w:p>
        </w:tc>
      </w:tr>
      <w:tr>
        <w:tc>
          <w:tcPr>
            <w:tcW w:type="dxa" w:w="5112"/>
            <w:vAlign w:val="center"/>
          </w:tcPr>
          <w:p>
            <w:pPr>
              <w:spacing w:after="0"/>
            </w:pPr>
            <w:r>
              <w:rPr>
                <w:sz w:val="15"/>
              </w:rPr>
              <w:t>Threat or failure</w:t>
            </w:r>
          </w:p>
        </w:tc>
        <w:tc>
          <w:tcPr>
            <w:tcW w:type="dxa" w:w="5112"/>
            <w:vAlign w:val="center"/>
          </w:tcPr>
          <w:p>
            <w:pPr>
              <w:spacing w:after="0"/>
            </w:pPr>
            <w:r>
              <w:rPr>
                <w:sz w:val="15"/>
              </w:rPr>
              <w:t>What malicious, accidental, or environmental event occurs?</w:t>
            </w:r>
          </w:p>
        </w:tc>
      </w:tr>
      <w:tr>
        <w:tc>
          <w:tcPr>
            <w:tcW w:type="dxa" w:w="5112"/>
            <w:vAlign w:val="center"/>
          </w:tcPr>
          <w:p>
            <w:pPr>
              <w:spacing w:after="0"/>
            </w:pPr>
            <w:r>
              <w:rPr>
                <w:sz w:val="15"/>
              </w:rPr>
              <w:t>System function</w:t>
            </w:r>
          </w:p>
        </w:tc>
        <w:tc>
          <w:tcPr>
            <w:tcW w:type="dxa" w:w="5112"/>
            <w:vAlign w:val="center"/>
          </w:tcPr>
          <w:p>
            <w:pPr>
              <w:spacing w:after="0"/>
            </w:pPr>
            <w:r>
              <w:rPr>
                <w:sz w:val="15"/>
              </w:rPr>
              <w:t>Which input, model, interface, tool, alert, or integration changes?</w:t>
            </w:r>
          </w:p>
        </w:tc>
      </w:tr>
      <w:tr>
        <w:tc>
          <w:tcPr>
            <w:tcW w:type="dxa" w:w="5112"/>
            <w:vAlign w:val="center"/>
          </w:tcPr>
          <w:p>
            <w:pPr>
              <w:spacing w:after="0"/>
            </w:pPr>
            <w:r>
              <w:rPr>
                <w:sz w:val="15"/>
              </w:rPr>
              <w:t>Workflow consequence</w:t>
            </w:r>
          </w:p>
        </w:tc>
        <w:tc>
          <w:tcPr>
            <w:tcW w:type="dxa" w:w="5112"/>
            <w:vAlign w:val="center"/>
          </w:tcPr>
          <w:p>
            <w:pPr>
              <w:spacing w:after="0"/>
            </w:pPr>
            <w:r>
              <w:rPr>
                <w:sz w:val="15"/>
              </w:rPr>
              <w:t>How does staff or patient action change?</w:t>
            </w:r>
          </w:p>
        </w:tc>
      </w:tr>
      <w:tr>
        <w:tc>
          <w:tcPr>
            <w:tcW w:type="dxa" w:w="5112"/>
            <w:vAlign w:val="center"/>
          </w:tcPr>
          <w:p>
            <w:pPr>
              <w:spacing w:after="0"/>
            </w:pPr>
            <w:r>
              <w:rPr>
                <w:sz w:val="15"/>
              </w:rPr>
              <w:t>Potential harm</w:t>
            </w:r>
          </w:p>
        </w:tc>
        <w:tc>
          <w:tcPr>
            <w:tcW w:type="dxa" w:w="5112"/>
            <w:vAlign w:val="center"/>
          </w:tcPr>
          <w:p>
            <w:pPr>
              <w:spacing w:after="0"/>
            </w:pPr>
            <w:r>
              <w:rPr>
                <w:sz w:val="15"/>
              </w:rPr>
              <w:t>What delay, omission, incorrect action, or exposure could result?</w:t>
            </w:r>
          </w:p>
        </w:tc>
      </w:tr>
      <w:tr>
        <w:tc>
          <w:tcPr>
            <w:tcW w:type="dxa" w:w="5112"/>
            <w:vAlign w:val="center"/>
          </w:tcPr>
          <w:p>
            <w:pPr>
              <w:spacing w:after="0"/>
            </w:pPr>
            <w:r>
              <w:rPr>
                <w:sz w:val="15"/>
              </w:rPr>
              <w:t>Existing controls</w:t>
            </w:r>
          </w:p>
        </w:tc>
        <w:tc>
          <w:tcPr>
            <w:tcW w:type="dxa" w:w="5112"/>
            <w:vAlign w:val="center"/>
          </w:tcPr>
          <w:p>
            <w:pPr>
              <w:spacing w:after="0"/>
            </w:pPr>
            <w:r>
              <w:rPr>
                <w:sz w:val="15"/>
              </w:rPr>
              <w:t>Which clinical and technical controls already exist?</w:t>
            </w:r>
          </w:p>
        </w:tc>
      </w:tr>
      <w:tr>
        <w:tc>
          <w:tcPr>
            <w:tcW w:type="dxa" w:w="5112"/>
            <w:vAlign w:val="center"/>
          </w:tcPr>
          <w:p>
            <w:pPr>
              <w:spacing w:after="0"/>
            </w:pPr>
            <w:r>
              <w:rPr>
                <w:sz w:val="15"/>
              </w:rPr>
              <w:t>Detection / response</w:t>
            </w:r>
          </w:p>
        </w:tc>
        <w:tc>
          <w:tcPr>
            <w:tcW w:type="dxa" w:w="5112"/>
            <w:vAlign w:val="center"/>
          </w:tcPr>
          <w:p>
            <w:pPr>
              <w:spacing w:after="0"/>
            </w:pPr>
            <w:r>
              <w:rPr>
                <w:sz w:val="15"/>
              </w:rPr>
              <w:t>How is the event identified, escalated, contained, and recovered?</w:t>
            </w:r>
          </w:p>
        </w:tc>
      </w:tr>
      <w:tr>
        <w:tc>
          <w:tcPr>
            <w:tcW w:type="dxa" w:w="5112"/>
            <w:vAlign w:val="center"/>
          </w:tcPr>
          <w:p>
            <w:pPr>
              <w:spacing w:after="0"/>
            </w:pPr>
            <w:r>
              <w:rPr>
                <w:sz w:val="15"/>
              </w:rPr>
              <w:t>Residual risk / owner</w:t>
            </w:r>
          </w:p>
        </w:tc>
        <w:tc>
          <w:tcPr>
            <w:tcW w:type="dxa" w:w="5112"/>
            <w:vAlign w:val="center"/>
          </w:tcPr>
          <w:p>
            <w:pPr>
              <w:spacing w:after="0"/>
            </w:pPr>
            <w:r>
              <w:rPr>
                <w:sz w:val="15"/>
              </w:rPr>
              <w:t>What remains and who accepts it?</w:t>
            </w:r>
          </w:p>
        </w:tc>
      </w:tr>
    </w:tbl>
    <w:p>
      <w:pPr>
        <w:spacing w:after="80"/>
      </w:pPr>
      <w:r/>
      <w:r>
        <w:rPr>
          <w:b/>
        </w:rPr>
        <w:t>Illustrative worked example:</w:t>
      </w:r>
      <w:r>
        <w:t xml:space="preserve"> An emergency triage model receives degraded data after an interface change. Risk scores are systematically lower for a subset of records. Technical monitoring detects a shift in missing-value frequency; clinical monitoring detects reduced escalation rates. Controls suspend model recommendations, restore manual triage, preserve affected records, review potentially impacted patients, and require revalidation before return. This example does not establish a universal implementation requirement. Notably absent: no claim is made that this event occurred or that the stated controls guarantee prevention of harm.</w:t>
      </w:r>
    </w:p>
    <w:p>
      <w:pPr>
        <w:pStyle w:val="Heading1"/>
      </w:pPr>
      <w:r>
        <w:t>14. Human Oversight and Clinical Accountability</w:t>
      </w:r>
    </w:p>
    <w:p>
      <w:pPr>
        <w:spacing w:after="80"/>
      </w:pPr>
      <w:r>
        <w:t>Human oversight is effective only when the reviewer has authority, competence, sufficient information, adequate time, usable presentation, and a practical means to disagree, override, escalate, and document the decision. Merely placing a person after an automated output is not a control if workload, interface design, organisational pressure, or hidden automation makes independent judgement unrealistic.</w:t>
      </w:r>
    </w:p>
    <w:p>
      <w:pPr>
        <w:spacing w:after="80"/>
      </w:pPr>
      <w:r>
        <w:t>Define which outputs require review; whether review is prospective or retrospective; what information is shown; time limits; override rights; escalation; disagreement recording; and responsibility where vendors and providers share control. Measure override patterns, missed escalations, alert burden, review latency, and user confidence. Patient-facing systems should make boundaries clear and route urgent or uncertain cases to appropriate human services.</w:t>
      </w:r>
    </w:p>
    <w:p>
      <w:pPr>
        <w:spacing w:after="80"/>
      </w:pPr>
      <w:r>
        <w:t>Notably absent: this guide does not transfer professional accountability to a model, prescribe clinical judgement, or treat explainability as a substitute for validation.</w:t>
      </w:r>
    </w:p>
    <w:p>
      <w:pPr>
        <w:pStyle w:val="Heading1"/>
      </w:pPr>
      <w:r>
        <w:t>15. Health Data Protection and Confidentiality</w:t>
      </w:r>
    </w:p>
    <w:p>
      <w:pPr>
        <w:spacing w:after="80"/>
      </w:pPr>
      <w:r>
        <w:t>Health data protection must cover collection, prompts, retrieval, training, fine-tuning, outputs, caches, logs, telemetry, backups, support access, and supplier processing. Data minimisation should be enforced technically and contractually. De-identification and pseudonymisation reduce some risks but do not automatically remove re-identification, linkage, or jurisdictional obligations.</w:t>
      </w:r>
    </w:p>
    <w:p>
      <w:pPr>
        <w:spacing w:after="80"/>
      </w:pPr>
      <w:r>
        <w:t>Implementation should document purpose, authority, access, patient rights where applicable, minimum-necessary use, retention, deletion, secondary use, transfer, model-provider training terms, support access, and incident handling. Genomic, voice, image, child, and rare-condition data may require heightened analysis because uniqueness or context can increase identifiability.</w:t>
      </w:r>
    </w:p>
    <w:p>
      <w:pPr>
        <w:spacing w:after="80"/>
      </w:pPr>
      <w:r>
        <w:t>External legal requirements are jurisdiction-specific. [EXTERNAL REFERENCE REQUIRES VERIFICATION BEFORE PUBLICATION]</w:t>
      </w:r>
    </w:p>
    <w:p>
      <w:pPr>
        <w:pStyle w:val="Heading1"/>
      </w:pPr>
      <w:r>
        <w:t>16. Medical-Device and Connected-System Considerations</w:t>
      </w:r>
    </w:p>
    <w:p>
      <w:pPr>
        <w:spacing w:after="80"/>
      </w:pPr>
      <w:r>
        <w:t>AI embedded in a medical device or supplied as medical-device software requires coordination among security, clinical engineering, quality, safety, regulatory, and manufacturer functions. Inventory device identity, software and model version, network location, remote-support path, maintenance owner, patch constraints, end-of-support date, and fallback.</w:t>
      </w:r>
    </w:p>
    <w:p>
      <w:pPr>
        <w:spacing w:after="80"/>
      </w:pPr>
      <w:r>
        <w:t>Validate updates before deployment where operationally feasible; assess the safety effect of security controls; segment networks; control remote access; monitor vulnerabilities; preserve manufacturer communications; and maintain emergency procedures. Where relevant, use software component transparency and secure-development evidence, but do not assume any single artefact proves device security.</w:t>
      </w:r>
    </w:p>
    <w:p>
      <w:pPr>
        <w:spacing w:after="80"/>
      </w:pPr>
      <w:r>
        <w:t>Notably absent: GAISSF assessment does not replace medical-device approval, quality-system obligations, post-market surveillance, or clinical acceptance.</w:t>
      </w:r>
    </w:p>
    <w:p>
      <w:pPr>
        <w:pStyle w:val="Heading1"/>
      </w:pPr>
      <w:r>
        <w:t>17. Generative AI in Healthcare</w:t>
      </w:r>
    </w:p>
    <w:p>
      <w:pPr>
        <w:spacing w:after="80"/>
      </w:pPr>
      <w:r>
        <w:t>Generative AI requires explicit task boundaries. Uses such as summarisation, documentation, education, navigation, coding support, and research assistance present different risks from diagnosis or autonomous action. Tool use, retrieval, and agentic permissions materially change the risk profile.</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vAlign w:val="center"/>
            <w:shd w:fill="1F4E79"/>
          </w:tcPr>
          <w:p>
            <w:pPr>
              <w:spacing w:after="0"/>
            </w:pPr>
            <w:r>
              <w:rPr>
                <w:b/>
                <w:color w:val="FFFFFF"/>
                <w:sz w:val="15"/>
              </w:rPr>
              <w:t>Decision factor</w:t>
            </w:r>
          </w:p>
        </w:tc>
        <w:tc>
          <w:tcPr>
            <w:tcW w:type="dxa" w:w="3408"/>
            <w:vAlign w:val="center"/>
            <w:shd w:fill="1F4E79"/>
          </w:tcPr>
          <w:p>
            <w:pPr>
              <w:spacing w:after="0"/>
            </w:pPr>
            <w:r>
              <w:rPr>
                <w:b/>
                <w:color w:val="FFFFFF"/>
                <w:sz w:val="15"/>
              </w:rPr>
              <w:t>Lower-risk pattern</w:t>
            </w:r>
          </w:p>
        </w:tc>
        <w:tc>
          <w:tcPr>
            <w:tcW w:type="dxa" w:w="3408"/>
            <w:vAlign w:val="center"/>
            <w:shd w:fill="1F4E79"/>
          </w:tcPr>
          <w:p>
            <w:pPr>
              <w:spacing w:after="0"/>
            </w:pPr>
            <w:r>
              <w:rPr>
                <w:b/>
                <w:color w:val="FFFFFF"/>
                <w:sz w:val="15"/>
              </w:rPr>
              <w:t>Higher-risk pattern</w:t>
            </w:r>
          </w:p>
        </w:tc>
      </w:tr>
      <w:tr>
        <w:tc>
          <w:tcPr>
            <w:tcW w:type="dxa" w:w="3408"/>
            <w:vAlign w:val="center"/>
          </w:tcPr>
          <w:p>
            <w:pPr>
              <w:spacing w:after="0"/>
            </w:pPr>
            <w:r>
              <w:rPr>
                <w:sz w:val="15"/>
              </w:rPr>
              <w:t>Purpose</w:t>
            </w:r>
          </w:p>
        </w:tc>
        <w:tc>
          <w:tcPr>
            <w:tcW w:type="dxa" w:w="3408"/>
            <w:vAlign w:val="center"/>
          </w:tcPr>
          <w:p>
            <w:pPr>
              <w:spacing w:after="0"/>
            </w:pPr>
            <w:r>
              <w:rPr>
                <w:sz w:val="15"/>
              </w:rPr>
              <w:t>Drafting or retrieval support</w:t>
            </w:r>
          </w:p>
        </w:tc>
        <w:tc>
          <w:tcPr>
            <w:tcW w:type="dxa" w:w="3408"/>
            <w:vAlign w:val="center"/>
          </w:tcPr>
          <w:p>
            <w:pPr>
              <w:spacing w:after="0"/>
            </w:pPr>
            <w:r>
              <w:rPr>
                <w:sz w:val="15"/>
              </w:rPr>
              <w:t>Diagnosis, treatment, autonomous action</w:t>
            </w:r>
          </w:p>
        </w:tc>
      </w:tr>
      <w:tr>
        <w:tc>
          <w:tcPr>
            <w:tcW w:type="dxa" w:w="3408"/>
            <w:vAlign w:val="center"/>
          </w:tcPr>
          <w:p>
            <w:pPr>
              <w:spacing w:after="0"/>
            </w:pPr>
            <w:r>
              <w:rPr>
                <w:sz w:val="15"/>
              </w:rPr>
              <w:t>Data</w:t>
            </w:r>
          </w:p>
        </w:tc>
        <w:tc>
          <w:tcPr>
            <w:tcW w:type="dxa" w:w="3408"/>
            <w:vAlign w:val="center"/>
          </w:tcPr>
          <w:p>
            <w:pPr>
              <w:spacing w:after="0"/>
            </w:pPr>
            <w:r>
              <w:rPr>
                <w:sz w:val="15"/>
              </w:rPr>
              <w:t>Controlled, minimised, approved</w:t>
            </w:r>
          </w:p>
        </w:tc>
        <w:tc>
          <w:tcPr>
            <w:tcW w:type="dxa" w:w="3408"/>
            <w:vAlign w:val="center"/>
          </w:tcPr>
          <w:p>
            <w:pPr>
              <w:spacing w:after="0"/>
            </w:pPr>
            <w:r>
              <w:rPr>
                <w:sz w:val="15"/>
              </w:rPr>
              <w:t>Identifiable data sent to unapproved service</w:t>
            </w:r>
          </w:p>
        </w:tc>
      </w:tr>
      <w:tr>
        <w:tc>
          <w:tcPr>
            <w:tcW w:type="dxa" w:w="3408"/>
            <w:vAlign w:val="center"/>
          </w:tcPr>
          <w:p>
            <w:pPr>
              <w:spacing w:after="0"/>
            </w:pPr>
            <w:r>
              <w:rPr>
                <w:sz w:val="15"/>
              </w:rPr>
              <w:t>Grounding</w:t>
            </w:r>
          </w:p>
        </w:tc>
        <w:tc>
          <w:tcPr>
            <w:tcW w:type="dxa" w:w="3408"/>
            <w:vAlign w:val="center"/>
          </w:tcPr>
          <w:p>
            <w:pPr>
              <w:spacing w:after="0"/>
            </w:pPr>
            <w:r>
              <w:rPr>
                <w:sz w:val="15"/>
              </w:rPr>
              <w:t>Curated sources with provenance</w:t>
            </w:r>
          </w:p>
        </w:tc>
        <w:tc>
          <w:tcPr>
            <w:tcW w:type="dxa" w:w="3408"/>
            <w:vAlign w:val="center"/>
          </w:tcPr>
          <w:p>
            <w:pPr>
              <w:spacing w:after="0"/>
            </w:pPr>
            <w:r>
              <w:rPr>
                <w:sz w:val="15"/>
              </w:rPr>
              <w:t>Open-web or unverified retrieval</w:t>
            </w:r>
          </w:p>
        </w:tc>
      </w:tr>
      <w:tr>
        <w:tc>
          <w:tcPr>
            <w:tcW w:type="dxa" w:w="3408"/>
            <w:vAlign w:val="center"/>
          </w:tcPr>
          <w:p>
            <w:pPr>
              <w:spacing w:after="0"/>
            </w:pPr>
            <w:r>
              <w:rPr>
                <w:sz w:val="15"/>
              </w:rPr>
              <w:t>Review</w:t>
            </w:r>
          </w:p>
        </w:tc>
        <w:tc>
          <w:tcPr>
            <w:tcW w:type="dxa" w:w="3408"/>
            <w:vAlign w:val="center"/>
          </w:tcPr>
          <w:p>
            <w:pPr>
              <w:spacing w:after="0"/>
            </w:pPr>
            <w:r>
              <w:rPr>
                <w:sz w:val="15"/>
              </w:rPr>
              <w:t>Competent mandatory review</w:t>
            </w:r>
          </w:p>
        </w:tc>
        <w:tc>
          <w:tcPr>
            <w:tcW w:type="dxa" w:w="3408"/>
            <w:vAlign w:val="center"/>
          </w:tcPr>
          <w:p>
            <w:pPr>
              <w:spacing w:after="0"/>
            </w:pPr>
            <w:r>
              <w:rPr>
                <w:sz w:val="15"/>
              </w:rPr>
              <w:t>Direct patient or system action without review</w:t>
            </w:r>
          </w:p>
        </w:tc>
      </w:tr>
      <w:tr>
        <w:tc>
          <w:tcPr>
            <w:tcW w:type="dxa" w:w="3408"/>
            <w:vAlign w:val="center"/>
          </w:tcPr>
          <w:p>
            <w:pPr>
              <w:spacing w:after="0"/>
            </w:pPr>
            <w:r>
              <w:rPr>
                <w:sz w:val="15"/>
              </w:rPr>
              <w:t>Tools</w:t>
            </w:r>
          </w:p>
        </w:tc>
        <w:tc>
          <w:tcPr>
            <w:tcW w:type="dxa" w:w="3408"/>
            <w:vAlign w:val="center"/>
          </w:tcPr>
          <w:p>
            <w:pPr>
              <w:spacing w:after="0"/>
            </w:pPr>
            <w:r>
              <w:rPr>
                <w:sz w:val="15"/>
              </w:rPr>
              <w:t>Read-only, allowlisted</w:t>
            </w:r>
          </w:p>
        </w:tc>
        <w:tc>
          <w:tcPr>
            <w:tcW w:type="dxa" w:w="3408"/>
            <w:vAlign w:val="center"/>
          </w:tcPr>
          <w:p>
            <w:pPr>
              <w:spacing w:after="0"/>
            </w:pPr>
            <w:r>
              <w:rPr>
                <w:sz w:val="15"/>
              </w:rPr>
              <w:t>Write, prescribe, schedule, or modify records</w:t>
            </w:r>
          </w:p>
        </w:tc>
      </w:tr>
      <w:tr>
        <w:tc>
          <w:tcPr>
            <w:tcW w:type="dxa" w:w="3408"/>
            <w:vAlign w:val="center"/>
          </w:tcPr>
          <w:p>
            <w:pPr>
              <w:spacing w:after="0"/>
            </w:pPr>
            <w:r>
              <w:rPr>
                <w:sz w:val="15"/>
              </w:rPr>
              <w:t>Failure handling</w:t>
            </w:r>
          </w:p>
        </w:tc>
        <w:tc>
          <w:tcPr>
            <w:tcW w:type="dxa" w:w="3408"/>
            <w:vAlign w:val="center"/>
          </w:tcPr>
          <w:p>
            <w:pPr>
              <w:spacing w:after="0"/>
            </w:pPr>
            <w:r>
              <w:rPr>
                <w:sz w:val="15"/>
              </w:rPr>
              <w:t>Clear escalation and fallback</w:t>
            </w:r>
          </w:p>
        </w:tc>
        <w:tc>
          <w:tcPr>
            <w:tcW w:type="dxa" w:w="3408"/>
            <w:vAlign w:val="center"/>
          </w:tcPr>
          <w:p>
            <w:pPr>
              <w:spacing w:after="0"/>
            </w:pPr>
            <w:r>
              <w:rPr>
                <w:sz w:val="15"/>
              </w:rPr>
              <w:t>Output accepted as authoritative</w:t>
            </w:r>
          </w:p>
        </w:tc>
      </w:tr>
    </w:tbl>
    <w:p>
      <w:pPr>
        <w:spacing w:after="80"/>
      </w:pPr>
      <w:r>
        <w:t>Controls should address hallucination, fabricated citations, prompt injection, retrieval poisoning, sensitive-data disclosure, provider retention, system-prompt exposure, unsafe tool calls, patient impersonation, provenance, source verification, and disclosure to users. Public model use should be governed through acceptable-use rules and approved alternatives.</w:t>
      </w:r>
    </w:p>
    <w:p>
      <w:pPr>
        <w:pStyle w:val="Heading1"/>
      </w:pPr>
      <w:r>
        <w:t>18. Third-Party and Supply-Chain Risk</w:t>
      </w:r>
    </w:p>
    <w:p>
      <w:pPr>
        <w:spacing w:after="80"/>
      </w:pPr>
      <w:r>
        <w:t>Supplier assurance should cover the full chain: application vendor, model provider, cloud provider, data provider, device manufacturer, API, subcontractor, and open-source dependency. Contractual statements are useful but should be corroborated where impact warrants.</w:t>
      </w:r>
    </w:p>
    <w:p>
      <w:pPr>
        <w:spacing w:after="80"/>
      </w:pPr>
      <w:r>
        <w:t>Due diligence should ask about architecture, data use and retention, training, security testing, vulnerability handling, incidents, audit evidence, regulatory status, availability, changes, model versions, subcontractors, location, deletion, logging, IP, validation, continuity, and exit. Material suppliers should provide timely notification of security incidents and changes that could invalidate prior assessment.</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vAlign w:val="center"/>
            <w:shd w:fill="1F4E79"/>
          </w:tcPr>
          <w:p>
            <w:pPr>
              <w:spacing w:after="0"/>
            </w:pPr>
            <w:r>
              <w:rPr>
                <w:b/>
                <w:color w:val="FFFFFF"/>
                <w:sz w:val="15"/>
              </w:rPr>
              <w:t>Contract-control category</w:t>
            </w:r>
          </w:p>
        </w:tc>
        <w:tc>
          <w:tcPr>
            <w:tcW w:type="dxa" w:w="5112"/>
            <w:vAlign w:val="center"/>
            <w:shd w:fill="1F4E79"/>
          </w:tcPr>
          <w:p>
            <w:pPr>
              <w:spacing w:after="0"/>
            </w:pPr>
            <w:r>
              <w:rPr>
                <w:b/>
                <w:color w:val="FFFFFF"/>
                <w:sz w:val="15"/>
              </w:rPr>
              <w:t>Intended outcome</w:t>
            </w:r>
          </w:p>
        </w:tc>
      </w:tr>
      <w:tr>
        <w:tc>
          <w:tcPr>
            <w:tcW w:type="dxa" w:w="5112"/>
            <w:vAlign w:val="center"/>
          </w:tcPr>
          <w:p>
            <w:pPr>
              <w:spacing w:after="0"/>
            </w:pPr>
            <w:r>
              <w:rPr>
                <w:sz w:val="15"/>
              </w:rPr>
              <w:t>Data use and deletion</w:t>
            </w:r>
          </w:p>
        </w:tc>
        <w:tc>
          <w:tcPr>
            <w:tcW w:type="dxa" w:w="5112"/>
            <w:vAlign w:val="center"/>
          </w:tcPr>
          <w:p>
            <w:pPr>
              <w:spacing w:after="0"/>
            </w:pPr>
            <w:r>
              <w:rPr>
                <w:sz w:val="15"/>
              </w:rPr>
              <w:t>Limit purpose, retention, training, support access, and residual copies</w:t>
            </w:r>
          </w:p>
        </w:tc>
      </w:tr>
      <w:tr>
        <w:tc>
          <w:tcPr>
            <w:tcW w:type="dxa" w:w="5112"/>
            <w:vAlign w:val="center"/>
          </w:tcPr>
          <w:p>
            <w:pPr>
              <w:spacing w:after="0"/>
            </w:pPr>
            <w:r>
              <w:rPr>
                <w:sz w:val="15"/>
              </w:rPr>
              <w:t>Security and assurance</w:t>
            </w:r>
          </w:p>
        </w:tc>
        <w:tc>
          <w:tcPr>
            <w:tcW w:type="dxa" w:w="5112"/>
            <w:vAlign w:val="center"/>
          </w:tcPr>
          <w:p>
            <w:pPr>
              <w:spacing w:after="0"/>
            </w:pPr>
            <w:r>
              <w:rPr>
                <w:sz w:val="15"/>
              </w:rPr>
              <w:t>Define controls, testing, evidence, vulnerability and audit rights</w:t>
            </w:r>
          </w:p>
        </w:tc>
      </w:tr>
      <w:tr>
        <w:tc>
          <w:tcPr>
            <w:tcW w:type="dxa" w:w="5112"/>
            <w:vAlign w:val="center"/>
          </w:tcPr>
          <w:p>
            <w:pPr>
              <w:spacing w:after="0"/>
            </w:pPr>
            <w:r>
              <w:rPr>
                <w:sz w:val="15"/>
              </w:rPr>
              <w:t>Change management</w:t>
            </w:r>
          </w:p>
        </w:tc>
        <w:tc>
          <w:tcPr>
            <w:tcW w:type="dxa" w:w="5112"/>
            <w:vAlign w:val="center"/>
          </w:tcPr>
          <w:p>
            <w:pPr>
              <w:spacing w:after="0"/>
            </w:pPr>
            <w:r>
              <w:rPr>
                <w:sz w:val="15"/>
              </w:rPr>
              <w:t>Notify model, infrastructure, data-source, and subcontractor changes</w:t>
            </w:r>
          </w:p>
        </w:tc>
      </w:tr>
      <w:tr>
        <w:tc>
          <w:tcPr>
            <w:tcW w:type="dxa" w:w="5112"/>
            <w:vAlign w:val="center"/>
          </w:tcPr>
          <w:p>
            <w:pPr>
              <w:spacing w:after="0"/>
            </w:pPr>
            <w:r>
              <w:rPr>
                <w:sz w:val="15"/>
              </w:rPr>
              <w:t>Incident response</w:t>
            </w:r>
          </w:p>
        </w:tc>
        <w:tc>
          <w:tcPr>
            <w:tcW w:type="dxa" w:w="5112"/>
            <w:vAlign w:val="center"/>
          </w:tcPr>
          <w:p>
            <w:pPr>
              <w:spacing w:after="0"/>
            </w:pPr>
            <w:r>
              <w:rPr>
                <w:sz w:val="15"/>
              </w:rPr>
              <w:t>Set notification, cooperation, evidence preservation, and remediation duties</w:t>
            </w:r>
          </w:p>
        </w:tc>
      </w:tr>
      <w:tr>
        <w:tc>
          <w:tcPr>
            <w:tcW w:type="dxa" w:w="5112"/>
            <w:vAlign w:val="center"/>
          </w:tcPr>
          <w:p>
            <w:pPr>
              <w:spacing w:after="0"/>
            </w:pPr>
            <w:r>
              <w:rPr>
                <w:sz w:val="15"/>
              </w:rPr>
              <w:t>Availability and exit</w:t>
            </w:r>
          </w:p>
        </w:tc>
        <w:tc>
          <w:tcPr>
            <w:tcW w:type="dxa" w:w="5112"/>
            <w:vAlign w:val="center"/>
          </w:tcPr>
          <w:p>
            <w:pPr>
              <w:spacing w:after="0"/>
            </w:pPr>
            <w:r>
              <w:rPr>
                <w:sz w:val="15"/>
              </w:rPr>
              <w:t>Support continuity, portability, transition, and secure termination</w:t>
            </w:r>
          </w:p>
        </w:tc>
      </w:tr>
    </w:tbl>
    <w:p>
      <w:pPr>
        <w:spacing w:after="80"/>
      </w:pPr>
      <w:r>
        <w:t>This is implementation guidance, not legal drafting advice.</w:t>
      </w:r>
    </w:p>
    <w:p>
      <w:pPr>
        <w:pStyle w:val="Heading1"/>
      </w:pPr>
      <w:r>
        <w:t>19. Identity, Access, and Privileged Operations</w:t>
      </w:r>
    </w:p>
    <w:p>
      <w:pPr>
        <w:spacing w:after="80"/>
      </w:pPr>
      <w:r>
        <w:t>Identity controls must cover clinicians, patients, researchers, administrators, service accounts, devices, model endpoints, and suppliers. Apply least privilege, role or attribute controls, strong authentication, session protection, segregation of duties, and periodic recertification.</w:t>
      </w:r>
    </w:p>
    <w:p>
      <w:pPr>
        <w:spacing w:after="80"/>
      </w:pPr>
      <w:r>
        <w:t>Emergency “break-glass” access should be limited, logged, reviewed, and tested so that security does not obstruct urgent care while emergency privilege does not become a routine bypass. Privileged changes to models, prompts, tools, thresholds, retrieval content, and integrations should require approval and traceability.</w:t>
      </w:r>
    </w:p>
    <w:p>
      <w:pPr>
        <w:pStyle w:val="Heading1"/>
      </w:pPr>
      <w:r>
        <w:t>20. Resilience and Continuity of Care</w:t>
      </w:r>
    </w:p>
    <w:p>
      <w:pPr>
        <w:spacing w:after="80"/>
      </w:pPr>
      <w:r>
        <w:t>Continuity planning must assume loss, degradation, corruption, or withdrawal of AI functionality. Identify clinical and operational dependencies, maximum tolerable disruption, manual fallback, staffing requirements, data reconciliation, recovery sequence, supplier dependencies, and criteria for safe return.</w:t>
      </w:r>
    </w:p>
    <w:p>
      <w:pPr>
        <w:spacing w:after="80"/>
      </w:pPr>
      <w:r/>
      <w:r>
        <w:rPr>
          <w:b/>
        </w:rPr>
        <w:t>Continuity template:</w:t>
      </w:r>
      <w:r>
        <w:t xml:space="preserve"> system and owner; dependent workflows; trigger; degraded mode; manual process; safety checks; required data; communications; recovery objective; backup and model artefacts; supplier contact; test frequency; last test; gaps; approval.</w:t>
      </w:r>
    </w:p>
    <w:p>
      <w:pPr>
        <w:spacing w:after="80"/>
      </w:pPr>
      <w:r>
        <w:t>Exercises should include cloud outage, network interruption, ransomware, vendor failure, model withdrawal, corrupted update, and loss of supporting data. Notably absent: a documented fallback is not evidence that staff can execute it under realistic workload.</w:t>
      </w:r>
    </w:p>
    <w:p>
      <w:pPr>
        <w:pStyle w:val="Heading1"/>
      </w:pPr>
      <w:r>
        <w:t>21. Monitoring and Performance Surveillance</w:t>
      </w:r>
    </w:p>
    <w:p>
      <w:pPr>
        <w:spacing w:after="80"/>
      </w:pPr>
      <w:r>
        <w:t>Monitoring should combine security, model, clinical, operational, privacy, and supplier signals. Metrics may include abnormal inputs and outputs, drift, subgroup performance, overrides, false outcomes, incidents, availability, latency, prompt attacks, leakage, unauthorised use, version changes, workarounds, complaints, near misses, and safety events.</w:t>
      </w:r>
    </w:p>
    <w:p>
      <w:pPr>
        <w:spacing w:after="80"/>
      </w:pPr>
      <w:r>
        <w:t>Each metric needs an owner, data source, review frequency, threshold or decision rule, escalation route, retention, and revalidation trigger. Universal thresholds are not prescribed because acceptable values depend on use and harm pathways.</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vAlign w:val="center"/>
            <w:shd w:fill="1F4E79"/>
          </w:tcPr>
          <w:p>
            <w:pPr>
              <w:spacing w:after="0"/>
            </w:pPr>
            <w:r>
              <w:rPr>
                <w:b/>
                <w:color w:val="FFFFFF"/>
                <w:sz w:val="15"/>
              </w:rPr>
              <w:t>Signal</w:t>
            </w:r>
          </w:p>
        </w:tc>
        <w:tc>
          <w:tcPr>
            <w:tcW w:type="dxa" w:w="3408"/>
            <w:vAlign w:val="center"/>
            <w:shd w:fill="1F4E79"/>
          </w:tcPr>
          <w:p>
            <w:pPr>
              <w:spacing w:after="0"/>
            </w:pPr>
            <w:r>
              <w:rPr>
                <w:b/>
                <w:color w:val="FFFFFF"/>
                <w:sz w:val="15"/>
              </w:rPr>
              <w:t>Owner</w:t>
            </w:r>
          </w:p>
        </w:tc>
        <w:tc>
          <w:tcPr>
            <w:tcW w:type="dxa" w:w="3408"/>
            <w:vAlign w:val="center"/>
            <w:shd w:fill="1F4E79"/>
          </w:tcPr>
          <w:p>
            <w:pPr>
              <w:spacing w:after="0"/>
            </w:pPr>
            <w:r>
              <w:rPr>
                <w:b/>
                <w:color w:val="FFFFFF"/>
                <w:sz w:val="15"/>
              </w:rPr>
              <w:t>Example decision</w:t>
            </w:r>
          </w:p>
        </w:tc>
      </w:tr>
      <w:tr>
        <w:tc>
          <w:tcPr>
            <w:tcW w:type="dxa" w:w="3408"/>
            <w:vAlign w:val="center"/>
          </w:tcPr>
          <w:p>
            <w:pPr>
              <w:spacing w:after="0"/>
            </w:pPr>
            <w:r>
              <w:rPr>
                <w:sz w:val="15"/>
              </w:rPr>
              <w:t>Input distribution change</w:t>
            </w:r>
          </w:p>
        </w:tc>
        <w:tc>
          <w:tcPr>
            <w:tcW w:type="dxa" w:w="3408"/>
            <w:vAlign w:val="center"/>
          </w:tcPr>
          <w:p>
            <w:pPr>
              <w:spacing w:after="0"/>
            </w:pPr>
            <w:r>
              <w:rPr>
                <w:sz w:val="15"/>
              </w:rPr>
              <w:t>Model owner / clinical owner</w:t>
            </w:r>
          </w:p>
        </w:tc>
        <w:tc>
          <w:tcPr>
            <w:tcW w:type="dxa" w:w="3408"/>
            <w:vAlign w:val="center"/>
          </w:tcPr>
          <w:p>
            <w:pPr>
              <w:spacing w:after="0"/>
            </w:pPr>
            <w:r>
              <w:rPr>
                <w:sz w:val="15"/>
              </w:rPr>
              <w:t>Investigate data pipeline; restrict use if material</w:t>
            </w:r>
          </w:p>
        </w:tc>
      </w:tr>
      <w:tr>
        <w:tc>
          <w:tcPr>
            <w:tcW w:type="dxa" w:w="3408"/>
            <w:vAlign w:val="center"/>
          </w:tcPr>
          <w:p>
            <w:pPr>
              <w:spacing w:after="0"/>
            </w:pPr>
            <w:r>
              <w:rPr>
                <w:sz w:val="15"/>
              </w:rPr>
              <w:t>Prompt-attack indicator</w:t>
            </w:r>
          </w:p>
        </w:tc>
        <w:tc>
          <w:tcPr>
            <w:tcW w:type="dxa" w:w="3408"/>
            <w:vAlign w:val="center"/>
          </w:tcPr>
          <w:p>
            <w:pPr>
              <w:spacing w:after="0"/>
            </w:pPr>
            <w:r>
              <w:rPr>
                <w:sz w:val="15"/>
              </w:rPr>
              <w:t>Security operations</w:t>
            </w:r>
          </w:p>
        </w:tc>
        <w:tc>
          <w:tcPr>
            <w:tcW w:type="dxa" w:w="3408"/>
            <w:vAlign w:val="center"/>
          </w:tcPr>
          <w:p>
            <w:pPr>
              <w:spacing w:after="0"/>
            </w:pPr>
            <w:r>
              <w:rPr>
                <w:sz w:val="15"/>
              </w:rPr>
              <w:t>Contain session, review tool actions and exposed data</w:t>
            </w:r>
          </w:p>
        </w:tc>
      </w:tr>
      <w:tr>
        <w:tc>
          <w:tcPr>
            <w:tcW w:type="dxa" w:w="3408"/>
            <w:vAlign w:val="center"/>
          </w:tcPr>
          <w:p>
            <w:pPr>
              <w:spacing w:after="0"/>
            </w:pPr>
            <w:r>
              <w:rPr>
                <w:sz w:val="15"/>
              </w:rPr>
              <w:t>Override-rate change</w:t>
            </w:r>
          </w:p>
        </w:tc>
        <w:tc>
          <w:tcPr>
            <w:tcW w:type="dxa" w:w="3408"/>
            <w:vAlign w:val="center"/>
          </w:tcPr>
          <w:p>
            <w:pPr>
              <w:spacing w:after="0"/>
            </w:pPr>
            <w:r>
              <w:rPr>
                <w:sz w:val="15"/>
              </w:rPr>
              <w:t>Clinical governance</w:t>
            </w:r>
          </w:p>
        </w:tc>
        <w:tc>
          <w:tcPr>
            <w:tcW w:type="dxa" w:w="3408"/>
            <w:vAlign w:val="center"/>
          </w:tcPr>
          <w:p>
            <w:pPr>
              <w:spacing w:after="0"/>
            </w:pPr>
            <w:r>
              <w:rPr>
                <w:sz w:val="15"/>
              </w:rPr>
              <w:t>Review model performance, workflow and training</w:t>
            </w:r>
          </w:p>
        </w:tc>
      </w:tr>
      <w:tr>
        <w:tc>
          <w:tcPr>
            <w:tcW w:type="dxa" w:w="3408"/>
            <w:vAlign w:val="center"/>
          </w:tcPr>
          <w:p>
            <w:pPr>
              <w:spacing w:after="0"/>
            </w:pPr>
            <w:r>
              <w:rPr>
                <w:sz w:val="15"/>
              </w:rPr>
              <w:t>Supplier version change</w:t>
            </w:r>
          </w:p>
        </w:tc>
        <w:tc>
          <w:tcPr>
            <w:tcW w:type="dxa" w:w="3408"/>
            <w:vAlign w:val="center"/>
          </w:tcPr>
          <w:p>
            <w:pPr>
              <w:spacing w:after="0"/>
            </w:pPr>
            <w:r>
              <w:rPr>
                <w:sz w:val="15"/>
              </w:rPr>
              <w:t>System owner / procurement</w:t>
            </w:r>
          </w:p>
        </w:tc>
        <w:tc>
          <w:tcPr>
            <w:tcW w:type="dxa" w:w="3408"/>
            <w:vAlign w:val="center"/>
          </w:tcPr>
          <w:p>
            <w:pPr>
              <w:spacing w:after="0"/>
            </w:pPr>
            <w:r>
              <w:rPr>
                <w:sz w:val="15"/>
              </w:rPr>
              <w:t>Assess significance and revalidate before acceptance</w:t>
            </w:r>
          </w:p>
        </w:tc>
      </w:tr>
      <w:tr>
        <w:tc>
          <w:tcPr>
            <w:tcW w:type="dxa" w:w="3408"/>
            <w:vAlign w:val="center"/>
          </w:tcPr>
          <w:p>
            <w:pPr>
              <w:spacing w:after="0"/>
            </w:pPr>
            <w:r>
              <w:rPr>
                <w:sz w:val="15"/>
              </w:rPr>
              <w:t>Availability degradation</w:t>
            </w:r>
          </w:p>
        </w:tc>
        <w:tc>
          <w:tcPr>
            <w:tcW w:type="dxa" w:w="3408"/>
            <w:vAlign w:val="center"/>
          </w:tcPr>
          <w:p>
            <w:pPr>
              <w:spacing w:after="0"/>
            </w:pPr>
            <w:r>
              <w:rPr>
                <w:sz w:val="15"/>
              </w:rPr>
              <w:t>IT operations / clinical operations</w:t>
            </w:r>
          </w:p>
        </w:tc>
        <w:tc>
          <w:tcPr>
            <w:tcW w:type="dxa" w:w="3408"/>
            <w:vAlign w:val="center"/>
          </w:tcPr>
          <w:p>
            <w:pPr>
              <w:spacing w:after="0"/>
            </w:pPr>
            <w:r>
              <w:rPr>
                <w:sz w:val="15"/>
              </w:rPr>
              <w:t>Activate fallback and continuity communications</w:t>
            </w:r>
          </w:p>
        </w:tc>
      </w:tr>
    </w:tbl>
    <w:p>
      <w:pPr>
        <w:pStyle w:val="Heading1"/>
      </w:pPr>
      <w:r>
        <w:t>22. Healthcare AI Incident Management</w:t>
      </w:r>
    </w:p>
    <w:p>
      <w:pPr>
        <w:spacing w:after="80"/>
      </w:pPr>
      <w:r>
        <w:t>AI incidents may be cybersecurity, privacy, safety, data-quality, performance, availability, supplier, misuse, regulatory, or near-miss events. Classification should support coordinated action rather than force an incident into one organisational silo.</w:t>
      </w:r>
    </w:p>
    <w:tbl>
      <w:tblPr>
        <w:tblStyle w:val="TableGrid"/>
        <w:tblW w:type="auto" w:w="0"/>
        <w:jc w:val="center"/>
        <w:tblLook w:firstColumn="1" w:firstRow="1" w:lastColumn="0" w:lastRow="0" w:noHBand="0" w:noVBand="1" w:val="04A0"/>
      </w:tblPr>
      <w:tblGrid>
        <w:gridCol w:w="5112"/>
        <w:gridCol w:w="5112"/>
      </w:tblGrid>
      <w:tr>
        <w:trPr>
          <w:tblHeader w:val="true"/>
        </w:trPr>
        <w:tc>
          <w:tcPr>
            <w:tcW w:type="dxa" w:w="5112"/>
            <w:vAlign w:val="center"/>
            <w:shd w:fill="1F4E79"/>
          </w:tcPr>
          <w:p>
            <w:pPr>
              <w:spacing w:after="0"/>
            </w:pPr>
            <w:r>
              <w:rPr>
                <w:b/>
                <w:color w:val="FFFFFF"/>
                <w:sz w:val="15"/>
              </w:rPr>
              <w:t>Triage factor</w:t>
            </w:r>
          </w:p>
        </w:tc>
        <w:tc>
          <w:tcPr>
            <w:tcW w:type="dxa" w:w="5112"/>
            <w:vAlign w:val="center"/>
            <w:shd w:fill="1F4E79"/>
          </w:tcPr>
          <w:p>
            <w:pPr>
              <w:spacing w:after="0"/>
            </w:pPr>
            <w:r>
              <w:rPr>
                <w:b/>
                <w:color w:val="FFFFFF"/>
                <w:sz w:val="15"/>
              </w:rPr>
              <w:t>Questions</w:t>
            </w:r>
          </w:p>
        </w:tc>
      </w:tr>
      <w:tr>
        <w:tc>
          <w:tcPr>
            <w:tcW w:type="dxa" w:w="5112"/>
            <w:vAlign w:val="center"/>
          </w:tcPr>
          <w:p>
            <w:pPr>
              <w:spacing w:after="0"/>
            </w:pPr>
            <w:r>
              <w:rPr>
                <w:sz w:val="15"/>
              </w:rPr>
              <w:t>Patient impact</w:t>
            </w:r>
          </w:p>
        </w:tc>
        <w:tc>
          <w:tcPr>
            <w:tcW w:type="dxa" w:w="5112"/>
            <w:vAlign w:val="center"/>
          </w:tcPr>
          <w:p>
            <w:pPr>
              <w:spacing w:after="0"/>
            </w:pPr>
            <w:r>
              <w:rPr>
                <w:sz w:val="15"/>
              </w:rPr>
              <w:t>Actual or plausible harm, delay, omission, or wrong-patient effect?</w:t>
            </w:r>
          </w:p>
        </w:tc>
      </w:tr>
      <w:tr>
        <w:tc>
          <w:tcPr>
            <w:tcW w:type="dxa" w:w="5112"/>
            <w:vAlign w:val="center"/>
          </w:tcPr>
          <w:p>
            <w:pPr>
              <w:spacing w:after="0"/>
            </w:pPr>
            <w:r>
              <w:rPr>
                <w:sz w:val="15"/>
              </w:rPr>
              <w:t>Scale and duration</w:t>
            </w:r>
          </w:p>
        </w:tc>
        <w:tc>
          <w:tcPr>
            <w:tcW w:type="dxa" w:w="5112"/>
            <w:vAlign w:val="center"/>
          </w:tcPr>
          <w:p>
            <w:pPr>
              <w:spacing w:after="0"/>
            </w:pPr>
            <w:r>
              <w:rPr>
                <w:sz w:val="15"/>
              </w:rPr>
              <w:t>How many people, sites, decisions, and how long?</w:t>
            </w:r>
          </w:p>
        </w:tc>
      </w:tr>
      <w:tr>
        <w:tc>
          <w:tcPr>
            <w:tcW w:type="dxa" w:w="5112"/>
            <w:vAlign w:val="center"/>
          </w:tcPr>
          <w:p>
            <w:pPr>
              <w:spacing w:after="0"/>
            </w:pPr>
            <w:r>
              <w:rPr>
                <w:sz w:val="15"/>
              </w:rPr>
              <w:t>Data sensitivity</w:t>
            </w:r>
          </w:p>
        </w:tc>
        <w:tc>
          <w:tcPr>
            <w:tcW w:type="dxa" w:w="5112"/>
            <w:vAlign w:val="center"/>
          </w:tcPr>
          <w:p>
            <w:pPr>
              <w:spacing w:after="0"/>
            </w:pPr>
            <w:r>
              <w:rPr>
                <w:sz w:val="15"/>
              </w:rPr>
              <w:t>What health or identity data were exposed, altered, or unavailable?</w:t>
            </w:r>
          </w:p>
        </w:tc>
      </w:tr>
      <w:tr>
        <w:tc>
          <w:tcPr>
            <w:tcW w:type="dxa" w:w="5112"/>
            <w:vAlign w:val="center"/>
          </w:tcPr>
          <w:p>
            <w:pPr>
              <w:spacing w:after="0"/>
            </w:pPr>
            <w:r>
              <w:rPr>
                <w:sz w:val="15"/>
              </w:rPr>
              <w:t>Exploitability</w:t>
            </w:r>
          </w:p>
        </w:tc>
        <w:tc>
          <w:tcPr>
            <w:tcW w:type="dxa" w:w="5112"/>
            <w:vAlign w:val="center"/>
          </w:tcPr>
          <w:p>
            <w:pPr>
              <w:spacing w:after="0"/>
            </w:pPr>
            <w:r>
              <w:rPr>
                <w:sz w:val="15"/>
              </w:rPr>
              <w:t>Is there active exploitation or repeatability?</w:t>
            </w:r>
          </w:p>
        </w:tc>
      </w:tr>
      <w:tr>
        <w:tc>
          <w:tcPr>
            <w:tcW w:type="dxa" w:w="5112"/>
            <w:vAlign w:val="center"/>
          </w:tcPr>
          <w:p>
            <w:pPr>
              <w:spacing w:after="0"/>
            </w:pPr>
            <w:r>
              <w:rPr>
                <w:sz w:val="15"/>
              </w:rPr>
              <w:t>System criticality</w:t>
            </w:r>
          </w:p>
        </w:tc>
        <w:tc>
          <w:tcPr>
            <w:tcW w:type="dxa" w:w="5112"/>
            <w:vAlign w:val="center"/>
          </w:tcPr>
          <w:p>
            <w:pPr>
              <w:spacing w:after="0"/>
            </w:pPr>
            <w:r>
              <w:rPr>
                <w:sz w:val="15"/>
              </w:rPr>
              <w:t>Is there manual fallback and is it effective?</w:t>
            </w:r>
          </w:p>
        </w:tc>
      </w:tr>
      <w:tr>
        <w:tc>
          <w:tcPr>
            <w:tcW w:type="dxa" w:w="5112"/>
            <w:vAlign w:val="center"/>
          </w:tcPr>
          <w:p>
            <w:pPr>
              <w:spacing w:after="0"/>
            </w:pPr>
            <w:r>
              <w:rPr>
                <w:sz w:val="15"/>
              </w:rPr>
              <w:t>Regulatory relevance</w:t>
            </w:r>
          </w:p>
        </w:tc>
        <w:tc>
          <w:tcPr>
            <w:tcW w:type="dxa" w:w="5112"/>
            <w:vAlign w:val="center"/>
          </w:tcPr>
          <w:p>
            <w:pPr>
              <w:spacing w:after="0"/>
            </w:pPr>
            <w:r>
              <w:rPr>
                <w:sz w:val="15"/>
              </w:rPr>
              <w:t>Could notification, preservation, or authority engagement be required?</w:t>
            </w:r>
          </w:p>
        </w:tc>
      </w:tr>
      <w:tr>
        <w:tc>
          <w:tcPr>
            <w:tcW w:type="dxa" w:w="5112"/>
            <w:vAlign w:val="center"/>
          </w:tcPr>
          <w:p>
            <w:pPr>
              <w:spacing w:after="0"/>
            </w:pPr>
            <w:r>
              <w:rPr>
                <w:sz w:val="15"/>
              </w:rPr>
              <w:t>Evidence</w:t>
            </w:r>
          </w:p>
        </w:tc>
        <w:tc>
          <w:tcPr>
            <w:tcW w:type="dxa" w:w="5112"/>
            <w:vAlign w:val="center"/>
          </w:tcPr>
          <w:p>
            <w:pPr>
              <w:spacing w:after="0"/>
            </w:pPr>
            <w:r>
              <w:rPr>
                <w:sz w:val="15"/>
              </w:rPr>
              <w:t>Can affected versions, inputs, outputs, logs, and decisions be reconstructed?</w:t>
            </w:r>
          </w:p>
        </w:tc>
      </w:tr>
    </w:tbl>
    <w:p>
      <w:pPr>
        <w:spacing w:after="80"/>
      </w:pPr>
      <w:r>
        <w:t>Workflow: detect; protect patients and operations; contain; preserve evidence; classify; notify internal owners; determine external obligations; communicate; recover; assess affected decisions; remediate; revalidate; document lessons. Legal notification decisions require qualified advice.</w:t>
      </w:r>
    </w:p>
    <w:p>
      <w:pPr>
        <w:pStyle w:val="Heading1"/>
      </w:pPr>
      <w:r>
        <w:t>23. Documentation and Evidence Expectations</w:t>
      </w:r>
    </w:p>
    <w:p>
      <w:pPr>
        <w:spacing w:after="80"/>
      </w:pPr>
      <w:r>
        <w:t>Evidence should demonstrate design and operation. Typical evidence includes system inventory, intended and prohibited use, data flows, architecture, system/model cards, clinical and security validation, privacy assessment, risk and safety analysis, supplier assessment, contracts, change records, approvals, training, monitoring, incidents, access reviews, audit trails, performance reports, and retirement records.</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2556"/>
            <w:vAlign w:val="center"/>
            <w:shd w:fill="1F4E79"/>
          </w:tcPr>
          <w:p>
            <w:pPr>
              <w:spacing w:after="0"/>
            </w:pPr>
            <w:r>
              <w:rPr>
                <w:b/>
                <w:color w:val="FFFFFF"/>
                <w:sz w:val="15"/>
              </w:rPr>
              <w:t>Evidence</w:t>
            </w:r>
          </w:p>
        </w:tc>
        <w:tc>
          <w:tcPr>
            <w:tcW w:type="dxa" w:w="2556"/>
            <w:vAlign w:val="center"/>
            <w:shd w:fill="1F4E79"/>
          </w:tcPr>
          <w:p>
            <w:pPr>
              <w:spacing w:after="0"/>
            </w:pPr>
            <w:r>
              <w:rPr>
                <w:b/>
                <w:color w:val="FFFFFF"/>
                <w:sz w:val="15"/>
              </w:rPr>
              <w:t>Purpose</w:t>
            </w:r>
          </w:p>
        </w:tc>
        <w:tc>
          <w:tcPr>
            <w:tcW w:type="dxa" w:w="2556"/>
            <w:vAlign w:val="center"/>
            <w:shd w:fill="1F4E79"/>
          </w:tcPr>
          <w:p>
            <w:pPr>
              <w:spacing w:after="0"/>
            </w:pPr>
            <w:r>
              <w:rPr>
                <w:b/>
                <w:color w:val="FFFFFF"/>
                <w:sz w:val="15"/>
              </w:rPr>
              <w:t>Likely owner</w:t>
            </w:r>
          </w:p>
        </w:tc>
        <w:tc>
          <w:tcPr>
            <w:tcW w:type="dxa" w:w="2556"/>
            <w:vAlign w:val="center"/>
            <w:shd w:fill="1F4E79"/>
          </w:tcPr>
          <w:p>
            <w:pPr>
              <w:spacing w:after="0"/>
            </w:pPr>
            <w:r>
              <w:rPr>
                <w:b/>
                <w:color w:val="FFFFFF"/>
                <w:sz w:val="15"/>
              </w:rPr>
              <w:t>Lifecycle / review</w:t>
            </w:r>
          </w:p>
        </w:tc>
      </w:tr>
      <w:tr>
        <w:tc>
          <w:tcPr>
            <w:tcW w:type="dxa" w:w="2556"/>
            <w:vAlign w:val="center"/>
          </w:tcPr>
          <w:p>
            <w:pPr>
              <w:spacing w:after="0"/>
            </w:pPr>
            <w:r>
              <w:rPr>
                <w:sz w:val="15"/>
              </w:rPr>
              <w:t>Intended-use statement</w:t>
            </w:r>
          </w:p>
        </w:tc>
        <w:tc>
          <w:tcPr>
            <w:tcW w:type="dxa" w:w="2556"/>
            <w:vAlign w:val="center"/>
          </w:tcPr>
          <w:p>
            <w:pPr>
              <w:spacing w:after="0"/>
            </w:pPr>
            <w:r>
              <w:rPr>
                <w:sz w:val="15"/>
              </w:rPr>
              <w:t>Bound authorised use and users</w:t>
            </w:r>
          </w:p>
        </w:tc>
        <w:tc>
          <w:tcPr>
            <w:tcW w:type="dxa" w:w="2556"/>
            <w:vAlign w:val="center"/>
          </w:tcPr>
          <w:p>
            <w:pPr>
              <w:spacing w:after="0"/>
            </w:pPr>
            <w:r>
              <w:rPr>
                <w:sz w:val="15"/>
              </w:rPr>
              <w:t>Clinical / system owner</w:t>
            </w:r>
          </w:p>
        </w:tc>
        <w:tc>
          <w:tcPr>
            <w:tcW w:type="dxa" w:w="2556"/>
            <w:vAlign w:val="center"/>
          </w:tcPr>
          <w:p>
            <w:pPr>
              <w:spacing w:after="0"/>
            </w:pPr>
            <w:r>
              <w:rPr>
                <w:sz w:val="15"/>
              </w:rPr>
              <w:t>Initiation; material change</w:t>
            </w:r>
          </w:p>
        </w:tc>
      </w:tr>
      <w:tr>
        <w:tc>
          <w:tcPr>
            <w:tcW w:type="dxa" w:w="2556"/>
            <w:vAlign w:val="center"/>
          </w:tcPr>
          <w:p>
            <w:pPr>
              <w:spacing w:after="0"/>
            </w:pPr>
            <w:r>
              <w:rPr>
                <w:sz w:val="15"/>
              </w:rPr>
              <w:t>Data-flow and architecture</w:t>
            </w:r>
          </w:p>
        </w:tc>
        <w:tc>
          <w:tcPr>
            <w:tcW w:type="dxa" w:w="2556"/>
            <w:vAlign w:val="center"/>
          </w:tcPr>
          <w:p>
            <w:pPr>
              <w:spacing w:after="0"/>
            </w:pPr>
            <w:r>
              <w:rPr>
                <w:sz w:val="15"/>
              </w:rPr>
              <w:t>Identify data, interfaces and trust boundaries</w:t>
            </w:r>
          </w:p>
        </w:tc>
        <w:tc>
          <w:tcPr>
            <w:tcW w:type="dxa" w:w="2556"/>
            <w:vAlign w:val="center"/>
          </w:tcPr>
          <w:p>
            <w:pPr>
              <w:spacing w:after="0"/>
            </w:pPr>
            <w:r>
              <w:rPr>
                <w:sz w:val="15"/>
              </w:rPr>
              <w:t>Architecture / privacy / security</w:t>
            </w:r>
          </w:p>
        </w:tc>
        <w:tc>
          <w:tcPr>
            <w:tcW w:type="dxa" w:w="2556"/>
            <w:vAlign w:val="center"/>
          </w:tcPr>
          <w:p>
            <w:pPr>
              <w:spacing w:after="0"/>
            </w:pPr>
            <w:r>
              <w:rPr>
                <w:sz w:val="15"/>
              </w:rPr>
              <w:t>Design; integration change</w:t>
            </w:r>
          </w:p>
        </w:tc>
      </w:tr>
      <w:tr>
        <w:tc>
          <w:tcPr>
            <w:tcW w:type="dxa" w:w="2556"/>
            <w:vAlign w:val="center"/>
          </w:tcPr>
          <w:p>
            <w:pPr>
              <w:spacing w:after="0"/>
            </w:pPr>
            <w:r>
              <w:rPr>
                <w:sz w:val="15"/>
              </w:rPr>
              <w:t>Validation package</w:t>
            </w:r>
          </w:p>
        </w:tc>
        <w:tc>
          <w:tcPr>
            <w:tcW w:type="dxa" w:w="2556"/>
            <w:vAlign w:val="center"/>
          </w:tcPr>
          <w:p>
            <w:pPr>
              <w:spacing w:after="0"/>
            </w:pPr>
            <w:r>
              <w:rPr>
                <w:sz w:val="15"/>
              </w:rPr>
              <w:t>Support technical, clinical, security and operational claims</w:t>
            </w:r>
          </w:p>
        </w:tc>
        <w:tc>
          <w:tcPr>
            <w:tcW w:type="dxa" w:w="2556"/>
            <w:vAlign w:val="center"/>
          </w:tcPr>
          <w:p>
            <w:pPr>
              <w:spacing w:after="0"/>
            </w:pPr>
            <w:r>
              <w:rPr>
                <w:sz w:val="15"/>
              </w:rPr>
              <w:t>Model and clinical owners</w:t>
            </w:r>
          </w:p>
        </w:tc>
        <w:tc>
          <w:tcPr>
            <w:tcW w:type="dxa" w:w="2556"/>
            <w:vAlign w:val="center"/>
          </w:tcPr>
          <w:p>
            <w:pPr>
              <w:spacing w:after="0"/>
            </w:pPr>
            <w:r>
              <w:rPr>
                <w:sz w:val="15"/>
              </w:rPr>
              <w:t>Pre-deployment; revalidation trigger</w:t>
            </w:r>
          </w:p>
        </w:tc>
      </w:tr>
      <w:tr>
        <w:tc>
          <w:tcPr>
            <w:tcW w:type="dxa" w:w="2556"/>
            <w:vAlign w:val="center"/>
          </w:tcPr>
          <w:p>
            <w:pPr>
              <w:spacing w:after="0"/>
            </w:pPr>
            <w:r>
              <w:rPr>
                <w:sz w:val="15"/>
              </w:rPr>
              <w:t>Supplier assurance file</w:t>
            </w:r>
          </w:p>
        </w:tc>
        <w:tc>
          <w:tcPr>
            <w:tcW w:type="dxa" w:w="2556"/>
            <w:vAlign w:val="center"/>
          </w:tcPr>
          <w:p>
            <w:pPr>
              <w:spacing w:after="0"/>
            </w:pPr>
            <w:r>
              <w:rPr>
                <w:sz w:val="15"/>
              </w:rPr>
              <w:t>Support reliance on external service</w:t>
            </w:r>
          </w:p>
        </w:tc>
        <w:tc>
          <w:tcPr>
            <w:tcW w:type="dxa" w:w="2556"/>
            <w:vAlign w:val="center"/>
          </w:tcPr>
          <w:p>
            <w:pPr>
              <w:spacing w:after="0"/>
            </w:pPr>
            <w:r>
              <w:rPr>
                <w:sz w:val="15"/>
              </w:rPr>
              <w:t>Procurement / TPRM</w:t>
            </w:r>
          </w:p>
        </w:tc>
        <w:tc>
          <w:tcPr>
            <w:tcW w:type="dxa" w:w="2556"/>
            <w:vAlign w:val="center"/>
          </w:tcPr>
          <w:p>
            <w:pPr>
              <w:spacing w:after="0"/>
            </w:pPr>
            <w:r>
              <w:rPr>
                <w:sz w:val="15"/>
              </w:rPr>
              <w:t>Onboarding; annual; material change</w:t>
            </w:r>
          </w:p>
        </w:tc>
      </w:tr>
      <w:tr>
        <w:tc>
          <w:tcPr>
            <w:tcW w:type="dxa" w:w="2556"/>
            <w:vAlign w:val="center"/>
          </w:tcPr>
          <w:p>
            <w:pPr>
              <w:spacing w:after="0"/>
            </w:pPr>
            <w:r>
              <w:rPr>
                <w:sz w:val="15"/>
              </w:rPr>
              <w:t>Monitoring record</w:t>
            </w:r>
          </w:p>
        </w:tc>
        <w:tc>
          <w:tcPr>
            <w:tcW w:type="dxa" w:w="2556"/>
            <w:vAlign w:val="center"/>
          </w:tcPr>
          <w:p>
            <w:pPr>
              <w:spacing w:after="0"/>
            </w:pPr>
            <w:r>
              <w:rPr>
                <w:sz w:val="15"/>
              </w:rPr>
              <w:t>Show continuing control and review</w:t>
            </w:r>
          </w:p>
        </w:tc>
        <w:tc>
          <w:tcPr>
            <w:tcW w:type="dxa" w:w="2556"/>
            <w:vAlign w:val="center"/>
          </w:tcPr>
          <w:p>
            <w:pPr>
              <w:spacing w:after="0"/>
            </w:pPr>
            <w:r>
              <w:rPr>
                <w:sz w:val="15"/>
              </w:rPr>
              <w:t>Operations / model owner</w:t>
            </w:r>
          </w:p>
        </w:tc>
        <w:tc>
          <w:tcPr>
            <w:tcW w:type="dxa" w:w="2556"/>
            <w:vAlign w:val="center"/>
          </w:tcPr>
          <w:p>
            <w:pPr>
              <w:spacing w:after="0"/>
            </w:pPr>
            <w:r>
              <w:rPr>
                <w:sz w:val="15"/>
              </w:rPr>
              <w:t>Continuous / periodic</w:t>
            </w:r>
          </w:p>
        </w:tc>
      </w:tr>
      <w:tr>
        <w:tc>
          <w:tcPr>
            <w:tcW w:type="dxa" w:w="2556"/>
            <w:vAlign w:val="center"/>
          </w:tcPr>
          <w:p>
            <w:pPr>
              <w:spacing w:after="0"/>
            </w:pPr>
            <w:r>
              <w:rPr>
                <w:sz w:val="15"/>
              </w:rPr>
              <w:t>Incident and CAPA record</w:t>
            </w:r>
          </w:p>
        </w:tc>
        <w:tc>
          <w:tcPr>
            <w:tcW w:type="dxa" w:w="2556"/>
            <w:vAlign w:val="center"/>
          </w:tcPr>
          <w:p>
            <w:pPr>
              <w:spacing w:after="0"/>
            </w:pPr>
            <w:r>
              <w:rPr>
                <w:sz w:val="15"/>
              </w:rPr>
              <w:t>Show detection, response and improvement</w:t>
            </w:r>
          </w:p>
        </w:tc>
        <w:tc>
          <w:tcPr>
            <w:tcW w:type="dxa" w:w="2556"/>
            <w:vAlign w:val="center"/>
          </w:tcPr>
          <w:p>
            <w:pPr>
              <w:spacing w:after="0"/>
            </w:pPr>
            <w:r>
              <w:rPr>
                <w:sz w:val="15"/>
              </w:rPr>
              <w:t>Incident owner / quality</w:t>
            </w:r>
          </w:p>
        </w:tc>
        <w:tc>
          <w:tcPr>
            <w:tcW w:type="dxa" w:w="2556"/>
            <w:vAlign w:val="center"/>
          </w:tcPr>
          <w:p>
            <w:pPr>
              <w:spacing w:after="0"/>
            </w:pPr>
            <w:r>
              <w:rPr>
                <w:sz w:val="15"/>
              </w:rPr>
              <w:t>Per event; trend review</w:t>
            </w:r>
          </w:p>
        </w:tc>
      </w:tr>
      <w:tr>
        <w:tc>
          <w:tcPr>
            <w:tcW w:type="dxa" w:w="2556"/>
            <w:vAlign w:val="center"/>
          </w:tcPr>
          <w:p>
            <w:pPr>
              <w:spacing w:after="0"/>
            </w:pPr>
            <w:r>
              <w:rPr>
                <w:sz w:val="15"/>
              </w:rPr>
              <w:t>Retirement certificate</w:t>
            </w:r>
          </w:p>
        </w:tc>
        <w:tc>
          <w:tcPr>
            <w:tcW w:type="dxa" w:w="2556"/>
            <w:vAlign w:val="center"/>
          </w:tcPr>
          <w:p>
            <w:pPr>
              <w:spacing w:after="0"/>
            </w:pPr>
            <w:r>
              <w:rPr>
                <w:sz w:val="15"/>
              </w:rPr>
              <w:t>Close access, data and dependencies</w:t>
            </w:r>
          </w:p>
        </w:tc>
        <w:tc>
          <w:tcPr>
            <w:tcW w:type="dxa" w:w="2556"/>
            <w:vAlign w:val="center"/>
          </w:tcPr>
          <w:p>
            <w:pPr>
              <w:spacing w:after="0"/>
            </w:pPr>
            <w:r>
              <w:rPr>
                <w:sz w:val="15"/>
              </w:rPr>
              <w:t>System owner</w:t>
            </w:r>
          </w:p>
        </w:tc>
        <w:tc>
          <w:tcPr>
            <w:tcW w:type="dxa" w:w="2556"/>
            <w:vAlign w:val="center"/>
          </w:tcPr>
          <w:p>
            <w:pPr>
              <w:spacing w:after="0"/>
            </w:pPr>
            <w:r>
              <w:rPr>
                <w:sz w:val="15"/>
              </w:rPr>
              <w:t>Decommissioning</w:t>
            </w:r>
          </w:p>
        </w:tc>
      </w:tr>
    </w:tbl>
    <w:p>
      <w:pPr>
        <w:spacing w:after="80"/>
      </w:pPr>
      <w:r>
        <w:t>Retention should reflect legal, clinical, security, contractual, and evidentiary needs. No universal retention period is asserted.</w:t>
      </w:r>
    </w:p>
    <w:p>
      <w:pPr>
        <w:pStyle w:val="Heading1"/>
      </w:pPr>
      <w:r>
        <w:t>24. Assessment Guidance</w:t>
      </w:r>
    </w:p>
    <w:p>
      <w:pPr>
        <w:spacing w:after="80"/>
      </w:pPr>
      <w:r>
        <w:t>Assessors should establish scope, sample systems by impact and type, interview clinical and technical stakeholders, inspect evidence, test selected controls, and compare documented use with actual workflow. Supplier evidence may support but not automatically replace the organisation’s own risk decision.</w:t>
      </w:r>
    </w:p>
    <w:p>
      <w:pPr>
        <w:spacing w:after="80"/>
      </w:pPr>
      <w:r>
        <w:t>Strong evidence is specific, current, approved, traceable, and corroborated by operation. Weak evidence is generic, stale, incomplete, or unowned. Misleading evidence uses regulatory approval, policy existence, or vendor certification to imply broader assurance than it supports. Absent evidence is a gap; evidence requiring corroboration includes self-attestation, screenshots without provenance, and reports whose scope excludes the deployed configuration.</w:t>
      </w:r>
    </w:p>
    <w:p>
      <w:pPr>
        <w:spacing w:after="80"/>
      </w:pPr>
      <w:r>
        <w:t>Assessors should verify effective fallback and human oversight, historical traceability, monitoring response, change significance, and treatment of high-impact systems. They must not create certification criteria from this guide.</w:t>
      </w:r>
    </w:p>
    <w:p>
      <w:pPr>
        <w:pStyle w:val="Heading1"/>
      </w:pPr>
      <w:r>
        <w:t>25. Healthcare Implementation Scenarios</w:t>
      </w:r>
    </w:p>
    <w:p>
      <w:pPr>
        <w:spacing w:after="80"/>
      </w:pPr>
      <w:r>
        <w:t xml:space="preserve">All scenarios are fictional Tier 5 examples. </w:t>
      </w:r>
      <w:r>
        <w:rPr>
          <w:b/>
        </w:rPr>
        <w:t>This example is illustrative and does not establish a universal implementation requirement.</w:t>
      </w:r>
      <w:r/>
    </w:p>
    <w:p>
      <w:pPr>
        <w:pStyle w:val="Heading3"/>
      </w:pPr>
      <w:r>
        <w:t>25.1 Radiology image-analysis system</w:t>
      </w:r>
    </w:p>
    <w:p>
      <w:pPr>
        <w:spacing w:after="80"/>
      </w:pPr>
      <w:r/>
      <w:r>
        <w:rPr>
          <w:b/>
        </w:rPr>
        <w:t>Context:</w:t>
      </w:r>
      <w:r>
        <w:t xml:space="preserve"> large hospital network. </w:t>
      </w:r>
      <w:r>
        <w:rPr>
          <w:b/>
        </w:rPr>
        <w:t>Use:</w:t>
      </w:r>
      <w:r>
        <w:t xml:space="preserve"> suggests findings for radiologist review. </w:t>
      </w:r>
      <w:r>
        <w:rPr>
          <w:b/>
        </w:rPr>
        <w:t>Data and architecture:</w:t>
      </w:r>
      <w:r>
        <w:t xml:space="preserve"> relevant clinical or operational data passes through controlled interfaces to an identified model or service; exact design is organisation-specific. </w:t>
      </w:r>
      <w:r>
        <w:rPr>
          <w:b/>
        </w:rPr>
        <w:t>Provisional risk:</w:t>
      </w:r>
      <w:r>
        <w:t xml:space="preserve"> determined using Section 7 and may range from material operational to critical dependency. </w:t>
      </w:r>
      <w:r>
        <w:rPr>
          <w:b/>
        </w:rPr>
        <w:t>Threats/failures:</w:t>
      </w:r>
      <w:r>
        <w:t xml:space="preserve"> image integrity attack, drift, wrong-patient association. </w:t>
      </w:r>
      <w:r>
        <w:rPr>
          <w:b/>
        </w:rPr>
        <w:t>Implementation:</w:t>
      </w:r>
      <w:r>
        <w:t xml:space="preserve"> PACS integration controls, clinical validation, image provenance, radiologist override monitoring, fallback to standard reading. </w:t>
      </w:r>
      <w:r>
        <w:rPr>
          <w:b/>
        </w:rPr>
        <w:t>Evidence:</w:t>
      </w:r>
      <w:r>
        <w:t xml:space="preserve"> intended-use statement, architecture, validation, access and monitoring records, supplier file where relevant, incident and change records. </w:t>
      </w:r>
      <w:r>
        <w:rPr>
          <w:b/>
        </w:rPr>
        <w:t>Residual risk:</w:t>
      </w:r>
      <w:r>
        <w:t xml:space="preserve"> incorrect output, dependency, human factors, and unobserved distribution change remain possible. </w:t>
      </w:r>
      <w:r>
        <w:rPr>
          <w:b/>
        </w:rPr>
        <w:t>Notably absent:</w:t>
      </w:r>
      <w:r>
        <w:t xml:space="preserve"> no real organisation, product, incident, performance rate, or regulatory outcome is represented.</w:t>
      </w:r>
    </w:p>
    <w:p>
      <w:pPr>
        <w:pStyle w:val="Heading3"/>
      </w:pPr>
      <w:r>
        <w:t>25.2 Emergency-department triage model</w:t>
      </w:r>
    </w:p>
    <w:p>
      <w:pPr>
        <w:spacing w:after="80"/>
      </w:pPr>
      <w:r/>
      <w:r>
        <w:rPr>
          <w:b/>
        </w:rPr>
        <w:t>Context:</w:t>
      </w:r>
      <w:r>
        <w:t xml:space="preserve"> regional health system. </w:t>
      </w:r>
      <w:r>
        <w:rPr>
          <w:b/>
        </w:rPr>
        <w:t>Use:</w:t>
      </w:r>
      <w:r>
        <w:t xml:space="preserve"> prioritises queue and flags deterioration risk. </w:t>
      </w:r>
      <w:r>
        <w:rPr>
          <w:b/>
        </w:rPr>
        <w:t>Data and architecture:</w:t>
      </w:r>
      <w:r>
        <w:t xml:space="preserve"> relevant clinical or operational data passes through controlled interfaces to an identified model or service; exact design is organisation-specific. </w:t>
      </w:r>
      <w:r>
        <w:rPr>
          <w:b/>
        </w:rPr>
        <w:t>Provisional risk:</w:t>
      </w:r>
      <w:r>
        <w:t xml:space="preserve"> determined using Section 7 and may range from material operational to critical dependency. </w:t>
      </w:r>
      <w:r>
        <w:rPr>
          <w:b/>
        </w:rPr>
        <w:t>Threats/failures:</w:t>
      </w:r>
      <w:r>
        <w:t xml:space="preserve"> data-interface degradation, subgroup performance, automation bias. </w:t>
      </w:r>
      <w:r>
        <w:rPr>
          <w:b/>
        </w:rPr>
        <w:t>Implementation:</w:t>
      </w:r>
      <w:r>
        <w:t xml:space="preserve"> manual triage authority, real-time data-quality monitoring, periodic subgroup review, downtime protocol. </w:t>
      </w:r>
      <w:r>
        <w:rPr>
          <w:b/>
        </w:rPr>
        <w:t>Evidence:</w:t>
      </w:r>
      <w:r>
        <w:t xml:space="preserve"> intended-use statement, architecture, validation, access and monitoring records, supplier file where relevant, incident and change records. </w:t>
      </w:r>
      <w:r>
        <w:rPr>
          <w:b/>
        </w:rPr>
        <w:t>Residual risk:</w:t>
      </w:r>
      <w:r>
        <w:t xml:space="preserve"> incorrect output, dependency, human factors, and unobserved distribution change remain possible. </w:t>
      </w:r>
      <w:r>
        <w:rPr>
          <w:b/>
        </w:rPr>
        <w:t>Notably absent:</w:t>
      </w:r>
      <w:r>
        <w:t xml:space="preserve"> no real organisation, product, incident, performance rate, or regulatory outcome is represented.</w:t>
      </w:r>
    </w:p>
    <w:p>
      <w:pPr>
        <w:pStyle w:val="Heading3"/>
      </w:pPr>
      <w:r>
        <w:t>25.3 Patient-facing generative assistant</w:t>
      </w:r>
    </w:p>
    <w:p>
      <w:pPr>
        <w:spacing w:after="80"/>
      </w:pPr>
      <w:r/>
      <w:r>
        <w:rPr>
          <w:b/>
        </w:rPr>
        <w:t>Context:</w:t>
      </w:r>
      <w:r>
        <w:t xml:space="preserve"> digital-health platform. </w:t>
      </w:r>
      <w:r>
        <w:rPr>
          <w:b/>
        </w:rPr>
        <w:t>Use:</w:t>
      </w:r>
      <w:r>
        <w:t xml:space="preserve"> provides navigation and education. </w:t>
      </w:r>
      <w:r>
        <w:rPr>
          <w:b/>
        </w:rPr>
        <w:t>Data and architecture:</w:t>
      </w:r>
      <w:r>
        <w:t xml:space="preserve"> relevant clinical or operational data passes through controlled interfaces to an identified model or service; exact design is organisation-specific. </w:t>
      </w:r>
      <w:r>
        <w:rPr>
          <w:b/>
        </w:rPr>
        <w:t>Provisional risk:</w:t>
      </w:r>
      <w:r>
        <w:t xml:space="preserve"> determined using Section 7 and may range from material operational to critical dependency. </w:t>
      </w:r>
      <w:r>
        <w:rPr>
          <w:b/>
        </w:rPr>
        <w:t>Threats/failures:</w:t>
      </w:r>
      <w:r>
        <w:t xml:space="preserve"> hallucination, privacy leakage, unsafe urgency advice. </w:t>
      </w:r>
      <w:r>
        <w:rPr>
          <w:b/>
        </w:rPr>
        <w:t>Implementation:</w:t>
      </w:r>
      <w:r>
        <w:t xml:space="preserve"> curated retrieval, prohibited diagnostic use, urgent-care escalation, session data controls, sampled review. </w:t>
      </w:r>
      <w:r>
        <w:rPr>
          <w:b/>
        </w:rPr>
        <w:t>Evidence:</w:t>
      </w:r>
      <w:r>
        <w:t xml:space="preserve"> intended-use statement, architecture, validation, access and monitoring records, supplier file where relevant, incident and change records. </w:t>
      </w:r>
      <w:r>
        <w:rPr>
          <w:b/>
        </w:rPr>
        <w:t>Residual risk:</w:t>
      </w:r>
      <w:r>
        <w:t xml:space="preserve"> incorrect output, dependency, human factors, and unobserved distribution change remain possible. </w:t>
      </w:r>
      <w:r>
        <w:rPr>
          <w:b/>
        </w:rPr>
        <w:t>Notably absent:</w:t>
      </w:r>
      <w:r>
        <w:t xml:space="preserve"> no real organisation, product, incident, performance rate, or regulatory outcome is represented.</w:t>
      </w:r>
    </w:p>
    <w:p>
      <w:pPr>
        <w:pStyle w:val="Heading3"/>
      </w:pPr>
      <w:r>
        <w:t>25.4 Ambient documentation tool</w:t>
      </w:r>
    </w:p>
    <w:p>
      <w:pPr>
        <w:spacing w:after="80"/>
      </w:pPr>
      <w:r/>
      <w:r>
        <w:rPr>
          <w:b/>
        </w:rPr>
        <w:t>Context:</w:t>
      </w:r>
      <w:r>
        <w:t xml:space="preserve"> multi-site clinic. </w:t>
      </w:r>
      <w:r>
        <w:rPr>
          <w:b/>
        </w:rPr>
        <w:t>Use:</w:t>
      </w:r>
      <w:r>
        <w:t xml:space="preserve"> drafts notes from clinical conversations. </w:t>
      </w:r>
      <w:r>
        <w:rPr>
          <w:b/>
        </w:rPr>
        <w:t>Data and architecture:</w:t>
      </w:r>
      <w:r>
        <w:t xml:space="preserve"> relevant clinical or operational data passes through controlled interfaces to an identified model or service; exact design is organisation-specific. </w:t>
      </w:r>
      <w:r>
        <w:rPr>
          <w:b/>
        </w:rPr>
        <w:t>Provisional risk:</w:t>
      </w:r>
      <w:r>
        <w:t xml:space="preserve"> determined using Section 7 and may range from material operational to critical dependency. </w:t>
      </w:r>
      <w:r>
        <w:rPr>
          <w:b/>
        </w:rPr>
        <w:t>Threats/failures:</w:t>
      </w:r>
      <w:r>
        <w:t xml:space="preserve"> omission, fabrication, patient mismatch, audio leakage. </w:t>
      </w:r>
      <w:r>
        <w:rPr>
          <w:b/>
        </w:rPr>
        <w:t>Implementation:</w:t>
      </w:r>
      <w:r>
        <w:t xml:space="preserve"> clinician attestation, identity reconciliation, encrypted audio handling, provenance and correction log. </w:t>
      </w:r>
      <w:r>
        <w:rPr>
          <w:b/>
        </w:rPr>
        <w:t>Evidence:</w:t>
      </w:r>
      <w:r>
        <w:t xml:space="preserve"> intended-use statement, architecture, validation, access and monitoring records, supplier file where relevant, incident and change records. </w:t>
      </w:r>
      <w:r>
        <w:rPr>
          <w:b/>
        </w:rPr>
        <w:t>Residual risk:</w:t>
      </w:r>
      <w:r>
        <w:t xml:space="preserve"> incorrect output, dependency, human factors, and unobserved distribution change remain possible. </w:t>
      </w:r>
      <w:r>
        <w:rPr>
          <w:b/>
        </w:rPr>
        <w:t>Notably absent:</w:t>
      </w:r>
      <w:r>
        <w:t xml:space="preserve"> no real organisation, product, incident, performance rate, or regulatory outcome is represented.</w:t>
      </w:r>
    </w:p>
    <w:p>
      <w:pPr>
        <w:pStyle w:val="Heading3"/>
      </w:pPr>
      <w:r>
        <w:t>25.5 Remote patient-monitoring platform</w:t>
      </w:r>
    </w:p>
    <w:p>
      <w:pPr>
        <w:spacing w:after="80"/>
      </w:pPr>
      <w:r/>
      <w:r>
        <w:rPr>
          <w:b/>
        </w:rPr>
        <w:t>Context:</w:t>
      </w:r>
      <w:r>
        <w:t xml:space="preserve"> home-care provider. </w:t>
      </w:r>
      <w:r>
        <w:rPr>
          <w:b/>
        </w:rPr>
        <w:t>Use:</w:t>
      </w:r>
      <w:r>
        <w:t xml:space="preserve"> detects deteriorating measurements. </w:t>
      </w:r>
      <w:r>
        <w:rPr>
          <w:b/>
        </w:rPr>
        <w:t>Data and architecture:</w:t>
      </w:r>
      <w:r>
        <w:t xml:space="preserve"> relevant clinical or operational data passes through controlled interfaces to an identified model or service; exact design is organisation-specific. </w:t>
      </w:r>
      <w:r>
        <w:rPr>
          <w:b/>
        </w:rPr>
        <w:t>Provisional risk:</w:t>
      </w:r>
      <w:r>
        <w:t xml:space="preserve"> determined using Section 7 and may range from material operational to critical dependency. </w:t>
      </w:r>
      <w:r>
        <w:rPr>
          <w:b/>
        </w:rPr>
        <w:t>Threats/failures:</w:t>
      </w:r>
      <w:r>
        <w:t xml:space="preserve"> connectivity loss, alert flooding, device spoofing. </w:t>
      </w:r>
      <w:r>
        <w:rPr>
          <w:b/>
        </w:rPr>
        <w:t>Implementation:</w:t>
      </w:r>
      <w:r>
        <w:t xml:space="preserve"> device identity, availability monitoring, alarm escalation, patient contact fallback. </w:t>
      </w:r>
      <w:r>
        <w:rPr>
          <w:b/>
        </w:rPr>
        <w:t>Evidence:</w:t>
      </w:r>
      <w:r>
        <w:t xml:space="preserve"> intended-use statement, architecture, validation, access and monitoring records, supplier file where relevant, incident and change records. </w:t>
      </w:r>
      <w:r>
        <w:rPr>
          <w:b/>
        </w:rPr>
        <w:t>Residual risk:</w:t>
      </w:r>
      <w:r>
        <w:t xml:space="preserve"> incorrect output, dependency, human factors, and unobserved distribution change remain possible. </w:t>
      </w:r>
      <w:r>
        <w:rPr>
          <w:b/>
        </w:rPr>
        <w:t>Notably absent:</w:t>
      </w:r>
      <w:r>
        <w:t xml:space="preserve"> no real organisation, product, incident, performance rate, or regulatory outcome is represented.</w:t>
      </w:r>
    </w:p>
    <w:p>
      <w:pPr>
        <w:pStyle w:val="Heading3"/>
      </w:pPr>
      <w:r>
        <w:t>25.6 AI-enabled medical device</w:t>
      </w:r>
    </w:p>
    <w:p>
      <w:pPr>
        <w:spacing w:after="80"/>
      </w:pPr>
      <w:r/>
      <w:r>
        <w:rPr>
          <w:b/>
        </w:rPr>
        <w:t>Context:</w:t>
      </w:r>
      <w:r>
        <w:t xml:space="preserve"> device manufacturer and hospital. </w:t>
      </w:r>
      <w:r>
        <w:rPr>
          <w:b/>
        </w:rPr>
        <w:t>Use:</w:t>
      </w:r>
      <w:r>
        <w:t xml:space="preserve"> adapts a device function within approved bounds. </w:t>
      </w:r>
      <w:r>
        <w:rPr>
          <w:b/>
        </w:rPr>
        <w:t>Data and architecture:</w:t>
      </w:r>
      <w:r>
        <w:t xml:space="preserve"> relevant clinical or operational data passes through controlled interfaces to an identified model or service; exact design is organisation-specific. </w:t>
      </w:r>
      <w:r>
        <w:rPr>
          <w:b/>
        </w:rPr>
        <w:t>Provisional risk:</w:t>
      </w:r>
      <w:r>
        <w:t xml:space="preserve"> determined using Section 7 and may range from material operational to critical dependency. </w:t>
      </w:r>
      <w:r>
        <w:rPr>
          <w:b/>
        </w:rPr>
        <w:t>Threats/failures:</w:t>
      </w:r>
      <w:r>
        <w:t xml:space="preserve"> unsafe update, remote-access compromise, model drift. </w:t>
      </w:r>
      <w:r>
        <w:rPr>
          <w:b/>
        </w:rPr>
        <w:t>Implementation:</w:t>
      </w:r>
      <w:r>
        <w:t xml:space="preserve"> quality and safety integration, signed updates, network controls, post-market surveillance. </w:t>
      </w:r>
      <w:r>
        <w:rPr>
          <w:b/>
        </w:rPr>
        <w:t>Evidence:</w:t>
      </w:r>
      <w:r>
        <w:t xml:space="preserve"> intended-use statement, architecture, validation, access and monitoring records, supplier file where relevant, incident and change records. </w:t>
      </w:r>
      <w:r>
        <w:rPr>
          <w:b/>
        </w:rPr>
        <w:t>Residual risk:</w:t>
      </w:r>
      <w:r>
        <w:t xml:space="preserve"> incorrect output, dependency, human factors, and unobserved distribution change remain possible. </w:t>
      </w:r>
      <w:r>
        <w:rPr>
          <w:b/>
        </w:rPr>
        <w:t>Notably absent:</w:t>
      </w:r>
      <w:r>
        <w:t xml:space="preserve"> no real organisation, product, incident, performance rate, or regulatory outcome is represented.</w:t>
      </w:r>
    </w:p>
    <w:p>
      <w:pPr>
        <w:pStyle w:val="Heading3"/>
      </w:pPr>
      <w:r>
        <w:t>25.7 Administrative scheduling system</w:t>
      </w:r>
    </w:p>
    <w:p>
      <w:pPr>
        <w:spacing w:after="80"/>
      </w:pPr>
      <w:r/>
      <w:r>
        <w:rPr>
          <w:b/>
        </w:rPr>
        <w:t>Context:</w:t>
      </w:r>
      <w:r>
        <w:t xml:space="preserve"> small rural provider. </w:t>
      </w:r>
      <w:r>
        <w:rPr>
          <w:b/>
        </w:rPr>
        <w:t>Use:</w:t>
      </w:r>
      <w:r>
        <w:t xml:space="preserve"> optimises appointments and capacity. </w:t>
      </w:r>
      <w:r>
        <w:rPr>
          <w:b/>
        </w:rPr>
        <w:t>Data and architecture:</w:t>
      </w:r>
      <w:r>
        <w:t xml:space="preserve"> relevant clinical or operational data passes through controlled interfaces to an identified model or service; exact design is organisation-specific. </w:t>
      </w:r>
      <w:r>
        <w:rPr>
          <w:b/>
        </w:rPr>
        <w:t>Provisional risk:</w:t>
      </w:r>
      <w:r>
        <w:t xml:space="preserve"> determined using Section 7 and may range from material operational to critical dependency. </w:t>
      </w:r>
      <w:r>
        <w:rPr>
          <w:b/>
        </w:rPr>
        <w:t>Threats/failures:</w:t>
      </w:r>
      <w:r>
        <w:t xml:space="preserve"> access inequity, incorrect cancellation, outage. </w:t>
      </w:r>
      <w:r>
        <w:rPr>
          <w:b/>
        </w:rPr>
        <w:t>Implementation:</w:t>
      </w:r>
      <w:r>
        <w:t xml:space="preserve"> human appeal, audit log, manual scheduling, impact review. </w:t>
      </w:r>
      <w:r>
        <w:rPr>
          <w:b/>
        </w:rPr>
        <w:t>Evidence:</w:t>
      </w:r>
      <w:r>
        <w:t xml:space="preserve"> intended-use statement, architecture, validation, access and monitoring records, supplier file where relevant, incident and change records. </w:t>
      </w:r>
      <w:r>
        <w:rPr>
          <w:b/>
        </w:rPr>
        <w:t>Residual risk:</w:t>
      </w:r>
      <w:r>
        <w:t xml:space="preserve"> incorrect output, dependency, human factors, and unobserved distribution change remain possible. </w:t>
      </w:r>
      <w:r>
        <w:rPr>
          <w:b/>
        </w:rPr>
        <w:t>Notably absent:</w:t>
      </w:r>
      <w:r>
        <w:t xml:space="preserve"> no real organisation, product, incident, performance rate, or regulatory outcome is represented.</w:t>
      </w:r>
    </w:p>
    <w:p>
      <w:pPr>
        <w:pStyle w:val="Heading3"/>
      </w:pPr>
      <w:r>
        <w:t>25.8 Clinical-trial selection model</w:t>
      </w:r>
    </w:p>
    <w:p>
      <w:pPr>
        <w:spacing w:after="80"/>
      </w:pPr>
      <w:r/>
      <w:r>
        <w:rPr>
          <w:b/>
        </w:rPr>
        <w:t>Context:</w:t>
      </w:r>
      <w:r>
        <w:t xml:space="preserve"> clinical research organisation. </w:t>
      </w:r>
      <w:r>
        <w:rPr>
          <w:b/>
        </w:rPr>
        <w:t>Use:</w:t>
      </w:r>
      <w:r>
        <w:t xml:space="preserve"> matches candidates to protocol criteria. </w:t>
      </w:r>
      <w:r>
        <w:rPr>
          <w:b/>
        </w:rPr>
        <w:t>Data and architecture:</w:t>
      </w:r>
      <w:r>
        <w:t xml:space="preserve"> relevant clinical or operational data passes through controlled interfaces to an identified model or service; exact design is organisation-specific. </w:t>
      </w:r>
      <w:r>
        <w:rPr>
          <w:b/>
        </w:rPr>
        <w:t>Provisional risk:</w:t>
      </w:r>
      <w:r>
        <w:t xml:space="preserve"> determined using Section 7 and may range from material operational to critical dependency. </w:t>
      </w:r>
      <w:r>
        <w:rPr>
          <w:b/>
        </w:rPr>
        <w:t>Threats/failures:</w:t>
      </w:r>
      <w:r>
        <w:t xml:space="preserve"> biased exclusion, data misuse, non-reproducible ranking. </w:t>
      </w:r>
      <w:r>
        <w:rPr>
          <w:b/>
        </w:rPr>
        <w:t>Implementation:</w:t>
      </w:r>
      <w:r>
        <w:t xml:space="preserve"> protocol governance, reproducibility, privacy controls, investigator review. </w:t>
      </w:r>
      <w:r>
        <w:rPr>
          <w:b/>
        </w:rPr>
        <w:t>Evidence:</w:t>
      </w:r>
      <w:r>
        <w:t xml:space="preserve"> intended-use statement, architecture, validation, access and monitoring records, supplier file where relevant, incident and change records. </w:t>
      </w:r>
      <w:r>
        <w:rPr>
          <w:b/>
        </w:rPr>
        <w:t>Residual risk:</w:t>
      </w:r>
      <w:r>
        <w:t xml:space="preserve"> incorrect output, dependency, human factors, and unobserved distribution change remain possible. </w:t>
      </w:r>
      <w:r>
        <w:rPr>
          <w:b/>
        </w:rPr>
        <w:t>Notably absent:</w:t>
      </w:r>
      <w:r>
        <w:t xml:space="preserve"> no real organisation, product, incident, performance rate, or regulatory outcome is represented.</w:t>
      </w:r>
    </w:p>
    <w:p>
      <w:pPr>
        <w:pStyle w:val="Heading3"/>
      </w:pPr>
      <w:r>
        <w:t>25.9 Cybersecurity anomaly-detection platform</w:t>
      </w:r>
    </w:p>
    <w:p>
      <w:pPr>
        <w:spacing w:after="80"/>
      </w:pPr>
      <w:r/>
      <w:r>
        <w:rPr>
          <w:b/>
        </w:rPr>
        <w:t>Context:</w:t>
      </w:r>
      <w:r>
        <w:t xml:space="preserve"> hospital security operations. </w:t>
      </w:r>
      <w:r>
        <w:rPr>
          <w:b/>
        </w:rPr>
        <w:t>Use:</w:t>
      </w:r>
      <w:r>
        <w:t xml:space="preserve"> prioritises identity and network alerts. </w:t>
      </w:r>
      <w:r>
        <w:rPr>
          <w:b/>
        </w:rPr>
        <w:t>Data and architecture:</w:t>
      </w:r>
      <w:r>
        <w:t xml:space="preserve"> relevant clinical or operational data passes through controlled interfaces to an identified model or service; exact design is organisation-specific. </w:t>
      </w:r>
      <w:r>
        <w:rPr>
          <w:b/>
        </w:rPr>
        <w:t>Provisional risk:</w:t>
      </w:r>
      <w:r>
        <w:t xml:space="preserve"> determined using Section 7 and may range from material operational to critical dependency. </w:t>
      </w:r>
      <w:r>
        <w:rPr>
          <w:b/>
        </w:rPr>
        <w:t>Threats/failures:</w:t>
      </w:r>
      <w:r>
        <w:t xml:space="preserve"> false positive isolation, blind spot, unsafe automation. </w:t>
      </w:r>
      <w:r>
        <w:rPr>
          <w:b/>
        </w:rPr>
        <w:t>Implementation:</w:t>
      </w:r>
      <w:r>
        <w:t xml:space="preserve"> human approval for disruptive action, tuning, recovery and audit. </w:t>
      </w:r>
      <w:r>
        <w:rPr>
          <w:b/>
        </w:rPr>
        <w:t>Evidence:</w:t>
      </w:r>
      <w:r>
        <w:t xml:space="preserve"> intended-use statement, architecture, validation, access and monitoring records, supplier file where relevant, incident and change records. </w:t>
      </w:r>
      <w:r>
        <w:rPr>
          <w:b/>
        </w:rPr>
        <w:t>Residual risk:</w:t>
      </w:r>
      <w:r>
        <w:t xml:space="preserve"> incorrect output, dependency, human factors, and unobserved distribution change remain possible. </w:t>
      </w:r>
      <w:r>
        <w:rPr>
          <w:b/>
        </w:rPr>
        <w:t>Notably absent:</w:t>
      </w:r>
      <w:r>
        <w:t xml:space="preserve"> no real organisation, product, incident, performance rate, or regulatory outcome is represented.</w:t>
      </w:r>
    </w:p>
    <w:p>
      <w:pPr>
        <w:pStyle w:val="Heading3"/>
      </w:pPr>
      <w:r>
        <w:t>25.10 Externally hosted clinical decision support</w:t>
      </w:r>
    </w:p>
    <w:p>
      <w:pPr>
        <w:spacing w:after="80"/>
      </w:pPr>
      <w:r/>
      <w:r>
        <w:rPr>
          <w:b/>
        </w:rPr>
        <w:t>Context:</w:t>
      </w:r>
      <w:r>
        <w:t xml:space="preserve"> hospital network and SaaS supplier. </w:t>
      </w:r>
      <w:r>
        <w:rPr>
          <w:b/>
        </w:rPr>
        <w:t>Use:</w:t>
      </w:r>
      <w:r>
        <w:t xml:space="preserve"> offers treatment-support information. </w:t>
      </w:r>
      <w:r>
        <w:rPr>
          <w:b/>
        </w:rPr>
        <w:t>Data and architecture:</w:t>
      </w:r>
      <w:r>
        <w:t xml:space="preserve"> relevant clinical or operational data passes through controlled interfaces to an identified model or service; exact design is organisation-specific. </w:t>
      </w:r>
      <w:r>
        <w:rPr>
          <w:b/>
        </w:rPr>
        <w:t>Provisional risk:</w:t>
      </w:r>
      <w:r>
        <w:t xml:space="preserve"> determined using Section 7 and may range from material operational to critical dependency. </w:t>
      </w:r>
      <w:r>
        <w:rPr>
          <w:b/>
        </w:rPr>
        <w:t>Threats/failures:</w:t>
      </w:r>
      <w:r>
        <w:t xml:space="preserve"> supplier outage, hidden version change, unsupported recommendation. </w:t>
      </w:r>
      <w:r>
        <w:rPr>
          <w:b/>
        </w:rPr>
        <w:t>Implementation:</w:t>
      </w:r>
      <w:r>
        <w:t xml:space="preserve"> supplier change notification, local validation, version monitoring, manual fallback. </w:t>
      </w:r>
      <w:r>
        <w:rPr>
          <w:b/>
        </w:rPr>
        <w:t>Evidence:</w:t>
      </w:r>
      <w:r>
        <w:t xml:space="preserve"> intended-use statement, architecture, validation, access and monitoring records, supplier file where relevant, incident and change records. </w:t>
      </w:r>
      <w:r>
        <w:rPr>
          <w:b/>
        </w:rPr>
        <w:t>Residual risk:</w:t>
      </w:r>
      <w:r>
        <w:t xml:space="preserve"> incorrect output, dependency, human factors, and unobserved distribution change remain possible. </w:t>
      </w:r>
      <w:r>
        <w:rPr>
          <w:b/>
        </w:rPr>
        <w:t>Notably absent:</w:t>
      </w:r>
      <w:r>
        <w:t xml:space="preserve"> no real organisation, product, incident, performance rate, or regulatory outcome is represented.</w:t>
      </w:r>
    </w:p>
    <w:p>
      <w:pPr>
        <w:pStyle w:val="Heading1"/>
      </w:pPr>
      <w:r>
        <w:t>26. Small and Resource-Constrained Healthcare Organisations</w:t>
      </w:r>
    </w:p>
    <w:p>
      <w:pPr>
        <w:spacing w:after="80"/>
      </w:pPr>
      <w:r>
        <w:t>Smaller organisations should use proportionate governance without removing accountability. Minimum viable practice includes a complete inventory; named accountable clinical and technical owners; documented intended use; supplier due diligence; basic security and privacy review; validation appropriate to impact; manual fallback; monitoring; and incident escalation.</w:t>
      </w:r>
    </w:p>
    <w:p>
      <w:pPr>
        <w:spacing w:after="80"/>
      </w:pPr>
      <w:r>
        <w:t>Shared security services, regional clinical networks, managed providers, and standardised templates may reduce burden. Supplier reliance increases the importance of clear evidence, change notice, incident cooperation, data terms, and exit plans. Where the system can materially affect patient care, specialised clinical safety, privacy, security, or legal expertise should be obtained.</w:t>
      </w:r>
    </w:p>
    <w:p>
      <w:pPr>
        <w:spacing w:after="80"/>
      </w:pPr>
      <w:r>
        <w:t>Notably absent: resource constraints do not by themselves justify accepting uncontrolled high-impact risk.</w:t>
      </w:r>
    </w:p>
    <w:p>
      <w:pPr>
        <w:pStyle w:val="Heading1"/>
      </w:pPr>
      <w:r>
        <w:t>27. Multi-Jurisdictional Considerations</w:t>
      </w:r>
    </w:p>
    <w:p>
      <w:pPr>
        <w:spacing w:after="80"/>
      </w:pPr>
      <w:r>
        <w:t>Organisations should maintain a jurisdictional applicability worksheet covering health-data and privacy law, medical-device regulation, AI regulation, cybersecurity duties, breach and safety reporting, localisation, retention, patient rights, research, and cross-border service delivery.</w:t>
      </w:r>
    </w:p>
    <w:tbl>
      <w:tblPr>
        <w:tblStyle w:val="TableGrid"/>
        <w:tblW w:type="auto" w:w="0"/>
        <w:jc w:val="center"/>
        <w:tblLook w:firstColumn="1" w:firstRow="1" w:lastColumn="0" w:lastRow="0" w:noHBand="0" w:noVBand="1" w:val="04A0"/>
      </w:tblPr>
      <w:tblGrid>
        <w:gridCol w:w="1278"/>
        <w:gridCol w:w="1278"/>
        <w:gridCol w:w="1278"/>
        <w:gridCol w:w="1278"/>
        <w:gridCol w:w="1278"/>
        <w:gridCol w:w="1278"/>
        <w:gridCol w:w="1278"/>
        <w:gridCol w:w="1278"/>
      </w:tblGrid>
      <w:tr>
        <w:trPr>
          <w:tblHeader w:val="true"/>
        </w:trPr>
        <w:tc>
          <w:tcPr>
            <w:tcW w:type="dxa" w:w="1278"/>
            <w:vAlign w:val="center"/>
            <w:shd w:fill="1F4E79"/>
          </w:tcPr>
          <w:p>
            <w:pPr>
              <w:spacing w:after="0"/>
            </w:pPr>
            <w:r>
              <w:rPr>
                <w:b/>
                <w:color w:val="FFFFFF"/>
                <w:sz w:val="15"/>
              </w:rPr>
              <w:t>Jurisdiction / role</w:t>
            </w:r>
          </w:p>
        </w:tc>
        <w:tc>
          <w:tcPr>
            <w:tcW w:type="dxa" w:w="1278"/>
            <w:vAlign w:val="center"/>
            <w:shd w:fill="1F4E79"/>
          </w:tcPr>
          <w:p>
            <w:pPr>
              <w:spacing w:after="0"/>
            </w:pPr>
            <w:r>
              <w:rPr>
                <w:b/>
                <w:color w:val="FFFFFF"/>
                <w:sz w:val="15"/>
              </w:rPr>
              <w:t>System and use</w:t>
            </w:r>
          </w:p>
        </w:tc>
        <w:tc>
          <w:tcPr>
            <w:tcW w:type="dxa" w:w="1278"/>
            <w:vAlign w:val="center"/>
            <w:shd w:fill="1F4E79"/>
          </w:tcPr>
          <w:p>
            <w:pPr>
              <w:spacing w:after="0"/>
            </w:pPr>
            <w:r>
              <w:rPr>
                <w:b/>
                <w:color w:val="FFFFFF"/>
                <w:sz w:val="15"/>
              </w:rPr>
              <w:t>Data / patients</w:t>
            </w:r>
          </w:p>
        </w:tc>
        <w:tc>
          <w:tcPr>
            <w:tcW w:type="dxa" w:w="1278"/>
            <w:vAlign w:val="center"/>
            <w:shd w:fill="1F4E79"/>
          </w:tcPr>
          <w:p>
            <w:pPr>
              <w:spacing w:after="0"/>
            </w:pPr>
            <w:r>
              <w:rPr>
                <w:b/>
                <w:color w:val="FFFFFF"/>
                <w:sz w:val="15"/>
              </w:rPr>
              <w:t>Potential obligation category</w:t>
            </w:r>
          </w:p>
        </w:tc>
        <w:tc>
          <w:tcPr>
            <w:tcW w:type="dxa" w:w="1278"/>
            <w:vAlign w:val="center"/>
            <w:shd w:fill="1F4E79"/>
          </w:tcPr>
          <w:p>
            <w:pPr>
              <w:spacing w:after="0"/>
            </w:pPr>
            <w:r>
              <w:rPr>
                <w:b/>
                <w:color w:val="FFFFFF"/>
                <w:sz w:val="15"/>
              </w:rPr>
              <w:t>Authority source</w:t>
            </w:r>
          </w:p>
        </w:tc>
        <w:tc>
          <w:tcPr>
            <w:tcW w:type="dxa" w:w="1278"/>
            <w:vAlign w:val="center"/>
            <w:shd w:fill="1F4E79"/>
          </w:tcPr>
          <w:p>
            <w:pPr>
              <w:spacing w:after="0"/>
            </w:pPr>
            <w:r>
              <w:rPr>
                <w:b/>
                <w:color w:val="FFFFFF"/>
                <w:sz w:val="15"/>
              </w:rPr>
              <w:t>Owner</w:t>
            </w:r>
          </w:p>
        </w:tc>
        <w:tc>
          <w:tcPr>
            <w:tcW w:type="dxa" w:w="1278"/>
            <w:vAlign w:val="center"/>
            <w:shd w:fill="1F4E79"/>
          </w:tcPr>
          <w:p>
            <w:pPr>
              <w:spacing w:after="0"/>
            </w:pPr>
            <w:r>
              <w:rPr>
                <w:b/>
                <w:color w:val="FFFFFF"/>
                <w:sz w:val="15"/>
              </w:rPr>
              <w:t>Verified date</w:t>
            </w:r>
          </w:p>
        </w:tc>
        <w:tc>
          <w:tcPr>
            <w:tcW w:type="dxa" w:w="1278"/>
            <w:vAlign w:val="center"/>
            <w:shd w:fill="1F4E79"/>
          </w:tcPr>
          <w:p>
            <w:pPr>
              <w:spacing w:after="0"/>
            </w:pPr>
            <w:r>
              <w:rPr>
                <w:b/>
                <w:color w:val="FFFFFF"/>
                <w:sz w:val="15"/>
              </w:rPr>
              <w:t>Open decision</w:t>
            </w:r>
          </w:p>
        </w:tc>
      </w:tr>
      <w:tr>
        <w:tc>
          <w:tcPr>
            <w:tcW w:type="dxa" w:w="1278"/>
            <w:vAlign w:val="center"/>
          </w:tcPr>
          <w:p>
            <w:pPr>
              <w:spacing w:after="0"/>
            </w:pPr>
            <w:r>
              <w:rPr>
                <w:sz w:val="15"/>
              </w:rPr>
              <w:t>[TBC]</w:t>
            </w:r>
          </w:p>
        </w:tc>
        <w:tc>
          <w:tcPr>
            <w:tcW w:type="dxa" w:w="1278"/>
            <w:vAlign w:val="center"/>
          </w:tcPr>
          <w:p>
            <w:pPr>
              <w:spacing w:after="0"/>
            </w:pPr>
            <w:r>
              <w:rPr>
                <w:sz w:val="15"/>
              </w:rPr>
              <w:t>[TBC]</w:t>
            </w:r>
          </w:p>
        </w:tc>
        <w:tc>
          <w:tcPr>
            <w:tcW w:type="dxa" w:w="1278"/>
            <w:vAlign w:val="center"/>
          </w:tcPr>
          <w:p>
            <w:pPr>
              <w:spacing w:after="0"/>
            </w:pPr>
            <w:r>
              <w:rPr>
                <w:sz w:val="15"/>
              </w:rPr>
              <w:t>[TBC]</w:t>
            </w:r>
          </w:p>
        </w:tc>
        <w:tc>
          <w:tcPr>
            <w:tcW w:type="dxa" w:w="1278"/>
            <w:vAlign w:val="center"/>
          </w:tcPr>
          <w:p>
            <w:pPr>
              <w:spacing w:after="0"/>
            </w:pPr>
            <w:r>
              <w:rPr>
                <w:sz w:val="15"/>
              </w:rPr>
              <w:t>Privacy / device / AI / cyber / clinical</w:t>
            </w:r>
          </w:p>
        </w:tc>
        <w:tc>
          <w:tcPr>
            <w:tcW w:type="dxa" w:w="1278"/>
            <w:vAlign w:val="center"/>
          </w:tcPr>
          <w:p>
            <w:pPr>
              <w:spacing w:after="0"/>
            </w:pPr>
            <w:r>
              <w:rPr>
                <w:sz w:val="15"/>
              </w:rPr>
              <w:t>[AUTHORITATIVE SOURCE]</w:t>
            </w:r>
          </w:p>
        </w:tc>
        <w:tc>
          <w:tcPr>
            <w:tcW w:type="dxa" w:w="1278"/>
            <w:vAlign w:val="center"/>
          </w:tcPr>
          <w:p>
            <w:pPr>
              <w:spacing w:after="0"/>
            </w:pPr>
            <w:r>
              <w:rPr>
                <w:sz w:val="15"/>
              </w:rPr>
              <w:t>[TBC]</w:t>
            </w:r>
          </w:p>
        </w:tc>
        <w:tc>
          <w:tcPr>
            <w:tcW w:type="dxa" w:w="1278"/>
            <w:vAlign w:val="center"/>
          </w:tcPr>
          <w:p>
            <w:pPr>
              <w:spacing w:after="0"/>
            </w:pPr>
            <w:r>
              <w:rPr>
                <w:sz w:val="15"/>
              </w:rPr>
              <w:t>[TBC]</w:t>
            </w:r>
          </w:p>
        </w:tc>
        <w:tc>
          <w:tcPr>
            <w:tcW w:type="dxa" w:w="1278"/>
            <w:vAlign w:val="center"/>
          </w:tcPr>
          <w:p>
            <w:pPr>
              <w:spacing w:after="0"/>
            </w:pPr>
            <w:r>
              <w:rPr>
                <w:sz w:val="15"/>
              </w:rPr>
              <w:t>[TBC]</w:t>
            </w:r>
          </w:p>
        </w:tc>
      </w:tr>
    </w:tbl>
    <w:p>
      <w:pPr>
        <w:spacing w:after="80"/>
      </w:pPr>
      <w:r>
        <w:t>This worksheet supports issue spotting only. Binding status and applicability require authoritative verification and qualified advice.</w:t>
      </w:r>
    </w:p>
    <w:p>
      <w:pPr>
        <w:pStyle w:val="Heading1"/>
      </w:pPr>
      <w:r>
        <w:t>28. Relationship to External Standards and Frameworks</w:t>
      </w:r>
    </w:p>
    <w:p>
      <w:pPr>
        <w:spacing w:after="80"/>
      </w:pPr>
      <w:r>
        <w:t>External frameworks may support implementation but should not be represented as equivalent to GAISSF. Titles, editions, and statuses below require verification before publication.</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vAlign w:val="center"/>
            <w:shd w:fill="1F4E79"/>
          </w:tcPr>
          <w:p>
            <w:pPr>
              <w:spacing w:after="0"/>
            </w:pPr>
            <w:r>
              <w:rPr>
                <w:b/>
                <w:color w:val="FFFFFF"/>
                <w:sz w:val="15"/>
              </w:rPr>
              <w:t>Framework</w:t>
            </w:r>
          </w:p>
        </w:tc>
        <w:tc>
          <w:tcPr>
            <w:tcW w:type="dxa" w:w="3408"/>
            <w:vAlign w:val="center"/>
            <w:shd w:fill="1F4E79"/>
          </w:tcPr>
          <w:p>
            <w:pPr>
              <w:spacing w:after="0"/>
            </w:pPr>
            <w:r>
              <w:rPr>
                <w:b/>
                <w:color w:val="FFFFFF"/>
                <w:sz w:val="15"/>
              </w:rPr>
              <w:t>Relevance / overlap</w:t>
            </w:r>
          </w:p>
        </w:tc>
        <w:tc>
          <w:tcPr>
            <w:tcW w:type="dxa" w:w="3408"/>
            <w:vAlign w:val="center"/>
            <w:shd w:fill="1F4E79"/>
          </w:tcPr>
          <w:p>
            <w:pPr>
              <w:spacing w:after="0"/>
            </w:pPr>
            <w:r>
              <w:rPr>
                <w:b/>
                <w:color w:val="FFFFFF"/>
                <w:sz w:val="15"/>
              </w:rPr>
              <w:t>Distinction and remaining work</w:t>
            </w:r>
          </w:p>
        </w:tc>
      </w:tr>
      <w:tr>
        <w:tc>
          <w:tcPr>
            <w:tcW w:type="dxa" w:w="3408"/>
            <w:vAlign w:val="center"/>
          </w:tcPr>
          <w:p>
            <w:pPr>
              <w:spacing w:after="0"/>
            </w:pPr>
            <w:r>
              <w:rPr>
                <w:sz w:val="15"/>
              </w:rPr>
              <w:t>ISO/IEC 27001</w:t>
            </w:r>
          </w:p>
        </w:tc>
        <w:tc>
          <w:tcPr>
            <w:tcW w:type="dxa" w:w="3408"/>
            <w:vAlign w:val="center"/>
          </w:tcPr>
          <w:p>
            <w:pPr>
              <w:spacing w:after="0"/>
            </w:pPr>
            <w:r>
              <w:rPr>
                <w:sz w:val="15"/>
              </w:rPr>
              <w:t>Information-security management system</w:t>
            </w:r>
          </w:p>
        </w:tc>
        <w:tc>
          <w:tcPr>
            <w:tcW w:type="dxa" w:w="3408"/>
            <w:vAlign w:val="center"/>
          </w:tcPr>
          <w:p>
            <w:pPr>
              <w:spacing w:after="0"/>
            </w:pPr>
            <w:r>
              <w:rPr>
                <w:sz w:val="15"/>
              </w:rPr>
              <w:t>Does not alone address all AI model, clinical, or patient-safety concerns</w:t>
            </w:r>
          </w:p>
        </w:tc>
      </w:tr>
      <w:tr>
        <w:tc>
          <w:tcPr>
            <w:tcW w:type="dxa" w:w="3408"/>
            <w:vAlign w:val="center"/>
          </w:tcPr>
          <w:p>
            <w:pPr>
              <w:spacing w:after="0"/>
            </w:pPr>
            <w:r>
              <w:rPr>
                <w:sz w:val="15"/>
              </w:rPr>
              <w:t>ISO/IEC 27701</w:t>
            </w:r>
          </w:p>
        </w:tc>
        <w:tc>
          <w:tcPr>
            <w:tcW w:type="dxa" w:w="3408"/>
            <w:vAlign w:val="center"/>
          </w:tcPr>
          <w:p>
            <w:pPr>
              <w:spacing w:after="0"/>
            </w:pPr>
            <w:r>
              <w:rPr>
                <w:sz w:val="15"/>
              </w:rPr>
              <w:t>Privacy information management</w:t>
            </w:r>
          </w:p>
        </w:tc>
        <w:tc>
          <w:tcPr>
            <w:tcW w:type="dxa" w:w="3408"/>
            <w:vAlign w:val="center"/>
          </w:tcPr>
          <w:p>
            <w:pPr>
              <w:spacing w:after="0"/>
            </w:pPr>
            <w:r>
              <w:rPr>
                <w:sz w:val="15"/>
              </w:rPr>
              <w:t>Does not determine healthcare law or AI security conformance</w:t>
            </w:r>
          </w:p>
        </w:tc>
      </w:tr>
      <w:tr>
        <w:tc>
          <w:tcPr>
            <w:tcW w:type="dxa" w:w="3408"/>
            <w:vAlign w:val="center"/>
          </w:tcPr>
          <w:p>
            <w:pPr>
              <w:spacing w:after="0"/>
            </w:pPr>
            <w:r>
              <w:rPr>
                <w:sz w:val="15"/>
              </w:rPr>
              <w:t>ISO/IEC 42001</w:t>
            </w:r>
          </w:p>
        </w:tc>
        <w:tc>
          <w:tcPr>
            <w:tcW w:type="dxa" w:w="3408"/>
            <w:vAlign w:val="center"/>
          </w:tcPr>
          <w:p>
            <w:pPr>
              <w:spacing w:after="0"/>
            </w:pPr>
            <w:r>
              <w:rPr>
                <w:sz w:val="15"/>
              </w:rPr>
              <w:t>AI management system</w:t>
            </w:r>
          </w:p>
        </w:tc>
        <w:tc>
          <w:tcPr>
            <w:tcW w:type="dxa" w:w="3408"/>
            <w:vAlign w:val="center"/>
          </w:tcPr>
          <w:p>
            <w:pPr>
              <w:spacing w:after="0"/>
            </w:pPr>
            <w:r>
              <w:rPr>
                <w:sz w:val="15"/>
              </w:rPr>
              <w:t>Broad AI governance; healthcare security and clinical application still require sector controls</w:t>
            </w:r>
          </w:p>
        </w:tc>
      </w:tr>
      <w:tr>
        <w:tc>
          <w:tcPr>
            <w:tcW w:type="dxa" w:w="3408"/>
            <w:vAlign w:val="center"/>
          </w:tcPr>
          <w:p>
            <w:pPr>
              <w:spacing w:after="0"/>
            </w:pPr>
            <w:r>
              <w:rPr>
                <w:sz w:val="15"/>
              </w:rPr>
              <w:t>ISO/IEC 23894</w:t>
            </w:r>
          </w:p>
        </w:tc>
        <w:tc>
          <w:tcPr>
            <w:tcW w:type="dxa" w:w="3408"/>
            <w:vAlign w:val="center"/>
          </w:tcPr>
          <w:p>
            <w:pPr>
              <w:spacing w:after="0"/>
            </w:pPr>
            <w:r>
              <w:rPr>
                <w:sz w:val="15"/>
              </w:rPr>
              <w:t>AI risk-management guidance</w:t>
            </w:r>
          </w:p>
        </w:tc>
        <w:tc>
          <w:tcPr>
            <w:tcW w:type="dxa" w:w="3408"/>
            <w:vAlign w:val="center"/>
          </w:tcPr>
          <w:p>
            <w:pPr>
              <w:spacing w:after="0"/>
            </w:pPr>
            <w:r>
              <w:rPr>
                <w:sz w:val="15"/>
              </w:rPr>
              <w:t>Supports risk method; does not create GAISSF equivalence</w:t>
            </w:r>
          </w:p>
        </w:tc>
      </w:tr>
      <w:tr>
        <w:tc>
          <w:tcPr>
            <w:tcW w:type="dxa" w:w="3408"/>
            <w:vAlign w:val="center"/>
          </w:tcPr>
          <w:p>
            <w:pPr>
              <w:spacing w:after="0"/>
            </w:pPr>
            <w:r>
              <w:rPr>
                <w:sz w:val="15"/>
              </w:rPr>
              <w:t>ISO 14971</w:t>
            </w:r>
          </w:p>
        </w:tc>
        <w:tc>
          <w:tcPr>
            <w:tcW w:type="dxa" w:w="3408"/>
            <w:vAlign w:val="center"/>
          </w:tcPr>
          <w:p>
            <w:pPr>
              <w:spacing w:after="0"/>
            </w:pPr>
            <w:r>
              <w:rPr>
                <w:sz w:val="15"/>
              </w:rPr>
              <w:t>Medical-device risk management</w:t>
            </w:r>
          </w:p>
        </w:tc>
        <w:tc>
          <w:tcPr>
            <w:tcW w:type="dxa" w:w="3408"/>
            <w:vAlign w:val="center"/>
          </w:tcPr>
          <w:p>
            <w:pPr>
              <w:spacing w:after="0"/>
            </w:pPr>
            <w:r>
              <w:rPr>
                <w:sz w:val="15"/>
              </w:rPr>
              <w:t>Device safety focus; not a complete enterprise AI-security standard</w:t>
            </w:r>
          </w:p>
        </w:tc>
      </w:tr>
      <w:tr>
        <w:tc>
          <w:tcPr>
            <w:tcW w:type="dxa" w:w="3408"/>
            <w:vAlign w:val="center"/>
          </w:tcPr>
          <w:p>
            <w:pPr>
              <w:spacing w:after="0"/>
            </w:pPr>
            <w:r>
              <w:rPr>
                <w:sz w:val="15"/>
              </w:rPr>
              <w:t>IEC 62304</w:t>
            </w:r>
          </w:p>
        </w:tc>
        <w:tc>
          <w:tcPr>
            <w:tcW w:type="dxa" w:w="3408"/>
            <w:vAlign w:val="center"/>
          </w:tcPr>
          <w:p>
            <w:pPr>
              <w:spacing w:after="0"/>
            </w:pPr>
            <w:r>
              <w:rPr>
                <w:sz w:val="15"/>
              </w:rPr>
              <w:t>Medical-device software lifecycle</w:t>
            </w:r>
          </w:p>
        </w:tc>
        <w:tc>
          <w:tcPr>
            <w:tcW w:type="dxa" w:w="3408"/>
            <w:vAlign w:val="center"/>
          </w:tcPr>
          <w:p>
            <w:pPr>
              <w:spacing w:after="0"/>
            </w:pPr>
            <w:r>
              <w:rPr>
                <w:sz w:val="15"/>
              </w:rPr>
              <w:t>Software lifecycle focus; model, supplier, and operational security need additional treatment</w:t>
            </w:r>
          </w:p>
        </w:tc>
      </w:tr>
      <w:tr>
        <w:tc>
          <w:tcPr>
            <w:tcW w:type="dxa" w:w="3408"/>
            <w:vAlign w:val="center"/>
          </w:tcPr>
          <w:p>
            <w:pPr>
              <w:spacing w:after="0"/>
            </w:pPr>
            <w:r>
              <w:rPr>
                <w:sz w:val="15"/>
              </w:rPr>
              <w:t>IEC 81001-5-1</w:t>
            </w:r>
          </w:p>
        </w:tc>
        <w:tc>
          <w:tcPr>
            <w:tcW w:type="dxa" w:w="3408"/>
            <w:vAlign w:val="center"/>
          </w:tcPr>
          <w:p>
            <w:pPr>
              <w:spacing w:after="0"/>
            </w:pPr>
            <w:r>
              <w:rPr>
                <w:sz w:val="15"/>
              </w:rPr>
              <w:t>Health software and health IT security lifecycle</w:t>
            </w:r>
          </w:p>
        </w:tc>
        <w:tc>
          <w:tcPr>
            <w:tcW w:type="dxa" w:w="3408"/>
            <w:vAlign w:val="center"/>
          </w:tcPr>
          <w:p>
            <w:pPr>
              <w:spacing w:after="0"/>
            </w:pPr>
            <w:r>
              <w:rPr>
                <w:sz w:val="15"/>
              </w:rPr>
              <w:t>Relevant to secure lifecycle; scope and edition must be verified</w:t>
            </w:r>
          </w:p>
        </w:tc>
      </w:tr>
      <w:tr>
        <w:tc>
          <w:tcPr>
            <w:tcW w:type="dxa" w:w="3408"/>
            <w:vAlign w:val="center"/>
          </w:tcPr>
          <w:p>
            <w:pPr>
              <w:spacing w:after="0"/>
            </w:pPr>
            <w:r>
              <w:rPr>
                <w:sz w:val="15"/>
              </w:rPr>
              <w:t>IEC 80001 series</w:t>
            </w:r>
          </w:p>
        </w:tc>
        <w:tc>
          <w:tcPr>
            <w:tcW w:type="dxa" w:w="3408"/>
            <w:vAlign w:val="center"/>
          </w:tcPr>
          <w:p>
            <w:pPr>
              <w:spacing w:after="0"/>
            </w:pPr>
            <w:r>
              <w:rPr>
                <w:sz w:val="15"/>
              </w:rPr>
              <w:t>Risk management for IT networks incorporating medical devices</w:t>
            </w:r>
          </w:p>
        </w:tc>
        <w:tc>
          <w:tcPr>
            <w:tcW w:type="dxa" w:w="3408"/>
            <w:vAlign w:val="center"/>
          </w:tcPr>
          <w:p>
            <w:pPr>
              <w:spacing w:after="0"/>
            </w:pPr>
            <w:r>
              <w:rPr>
                <w:sz w:val="15"/>
              </w:rPr>
              <w:t>Relevant to connected clinical environments; not full AI assurance</w:t>
            </w:r>
          </w:p>
        </w:tc>
      </w:tr>
      <w:tr>
        <w:tc>
          <w:tcPr>
            <w:tcW w:type="dxa" w:w="3408"/>
            <w:vAlign w:val="center"/>
          </w:tcPr>
          <w:p>
            <w:pPr>
              <w:spacing w:after="0"/>
            </w:pPr>
            <w:r>
              <w:rPr>
                <w:sz w:val="15"/>
              </w:rPr>
              <w:t>NIST Cybersecurity Framework</w:t>
            </w:r>
          </w:p>
        </w:tc>
        <w:tc>
          <w:tcPr>
            <w:tcW w:type="dxa" w:w="3408"/>
            <w:vAlign w:val="center"/>
          </w:tcPr>
          <w:p>
            <w:pPr>
              <w:spacing w:after="0"/>
            </w:pPr>
            <w:r>
              <w:rPr>
                <w:sz w:val="15"/>
              </w:rPr>
              <w:t>Cybersecurity outcomes and profiles</w:t>
            </w:r>
          </w:p>
        </w:tc>
        <w:tc>
          <w:tcPr>
            <w:tcW w:type="dxa" w:w="3408"/>
            <w:vAlign w:val="center"/>
          </w:tcPr>
          <w:p>
            <w:pPr>
              <w:spacing w:after="0"/>
            </w:pPr>
            <w:r>
              <w:rPr>
                <w:sz w:val="15"/>
              </w:rPr>
              <w:t>Requires AI- and healthcare-specific interpretation</w:t>
            </w:r>
          </w:p>
        </w:tc>
      </w:tr>
      <w:tr>
        <w:tc>
          <w:tcPr>
            <w:tcW w:type="dxa" w:w="3408"/>
            <w:vAlign w:val="center"/>
          </w:tcPr>
          <w:p>
            <w:pPr>
              <w:spacing w:after="0"/>
            </w:pPr>
            <w:r>
              <w:rPr>
                <w:sz w:val="15"/>
              </w:rPr>
              <w:t>NIST AI Risk Management Framework</w:t>
            </w:r>
          </w:p>
        </w:tc>
        <w:tc>
          <w:tcPr>
            <w:tcW w:type="dxa" w:w="3408"/>
            <w:vAlign w:val="center"/>
          </w:tcPr>
          <w:p>
            <w:pPr>
              <w:spacing w:after="0"/>
            </w:pPr>
            <w:r>
              <w:rPr>
                <w:sz w:val="15"/>
              </w:rPr>
              <w:t>AI risk functions and profiles</w:t>
            </w:r>
          </w:p>
        </w:tc>
        <w:tc>
          <w:tcPr>
            <w:tcW w:type="dxa" w:w="3408"/>
            <w:vAlign w:val="center"/>
          </w:tcPr>
          <w:p>
            <w:pPr>
              <w:spacing w:after="0"/>
            </w:pPr>
            <w:r>
              <w:rPr>
                <w:sz w:val="15"/>
              </w:rPr>
              <w:t>Broad voluntary framework; no automatic certification equivalence</w:t>
            </w:r>
          </w:p>
        </w:tc>
      </w:tr>
    </w:tbl>
    <w:p>
      <w:pPr>
        <w:spacing w:after="80"/>
      </w:pPr>
      <w:r>
        <w:t>[EXTERNAL REFERENCE REQUIRES VERIFICATION BEFORE PUBLICATION]</w:t>
      </w:r>
    </w:p>
    <w:p>
      <w:pPr>
        <w:pStyle w:val="Heading1"/>
      </w:pPr>
      <w:r>
        <w:t>29. Implementation Roadmap</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2556"/>
            <w:vAlign w:val="center"/>
            <w:shd w:fill="1F4E79"/>
          </w:tcPr>
          <w:p>
            <w:pPr>
              <w:spacing w:after="0"/>
            </w:pPr>
            <w:r>
              <w:rPr>
                <w:b/>
                <w:color w:val="FFFFFF"/>
                <w:sz w:val="15"/>
              </w:rPr>
              <w:t>Stage</w:t>
            </w:r>
          </w:p>
        </w:tc>
        <w:tc>
          <w:tcPr>
            <w:tcW w:type="dxa" w:w="2556"/>
            <w:vAlign w:val="center"/>
            <w:shd w:fill="1F4E79"/>
          </w:tcPr>
          <w:p>
            <w:pPr>
              <w:spacing w:after="0"/>
            </w:pPr>
            <w:r>
              <w:rPr>
                <w:b/>
                <w:color w:val="FFFFFF"/>
                <w:sz w:val="15"/>
              </w:rPr>
              <w:t>Objective and activities</w:t>
            </w:r>
          </w:p>
        </w:tc>
        <w:tc>
          <w:tcPr>
            <w:tcW w:type="dxa" w:w="2556"/>
            <w:vAlign w:val="center"/>
            <w:shd w:fill="1F4E79"/>
          </w:tcPr>
          <w:p>
            <w:pPr>
              <w:spacing w:after="0"/>
            </w:pPr>
            <w:r>
              <w:rPr>
                <w:b/>
                <w:color w:val="FFFFFF"/>
                <w:sz w:val="15"/>
              </w:rPr>
              <w:t>Accountable roles</w:t>
            </w:r>
          </w:p>
        </w:tc>
        <w:tc>
          <w:tcPr>
            <w:tcW w:type="dxa" w:w="2556"/>
            <w:vAlign w:val="center"/>
            <w:shd w:fill="1F4E79"/>
          </w:tcPr>
          <w:p>
            <w:pPr>
              <w:spacing w:after="0"/>
            </w:pPr>
            <w:r>
              <w:rPr>
                <w:b/>
                <w:color w:val="FFFFFF"/>
                <w:sz w:val="15"/>
              </w:rPr>
              <w:t>Deliverables / completion indicators</w:t>
            </w:r>
          </w:p>
        </w:tc>
      </w:tr>
      <w:tr>
        <w:tc>
          <w:tcPr>
            <w:tcW w:type="dxa" w:w="2556"/>
            <w:vAlign w:val="center"/>
          </w:tcPr>
          <w:p>
            <w:pPr>
              <w:spacing w:after="0"/>
            </w:pPr>
            <w:r>
              <w:rPr>
                <w:sz w:val="15"/>
              </w:rPr>
              <w:t>1. Governance and scope</w:t>
            </w:r>
          </w:p>
        </w:tc>
        <w:tc>
          <w:tcPr>
            <w:tcW w:type="dxa" w:w="2556"/>
            <w:vAlign w:val="center"/>
          </w:tcPr>
          <w:p>
            <w:pPr>
              <w:spacing w:after="0"/>
            </w:pPr>
            <w:r>
              <w:rPr>
                <w:sz w:val="15"/>
              </w:rPr>
              <w:t>Establish authority, scope, policy and escalation</w:t>
            </w:r>
          </w:p>
        </w:tc>
        <w:tc>
          <w:tcPr>
            <w:tcW w:type="dxa" w:w="2556"/>
            <w:vAlign w:val="center"/>
          </w:tcPr>
          <w:p>
            <w:pPr>
              <w:spacing w:after="0"/>
            </w:pPr>
            <w:r>
              <w:rPr>
                <w:sz w:val="15"/>
              </w:rPr>
              <w:t>Executive, clinical, CISO, privacy, AI lead</w:t>
            </w:r>
          </w:p>
        </w:tc>
        <w:tc>
          <w:tcPr>
            <w:tcW w:type="dxa" w:w="2556"/>
            <w:vAlign w:val="center"/>
          </w:tcPr>
          <w:p>
            <w:pPr>
              <w:spacing w:after="0"/>
            </w:pPr>
            <w:r>
              <w:rPr>
                <w:sz w:val="15"/>
              </w:rPr>
              <w:t>Charter, RACI, scope approved</w:t>
            </w:r>
          </w:p>
        </w:tc>
      </w:tr>
      <w:tr>
        <w:tc>
          <w:tcPr>
            <w:tcW w:type="dxa" w:w="2556"/>
            <w:vAlign w:val="center"/>
          </w:tcPr>
          <w:p>
            <w:pPr>
              <w:spacing w:after="0"/>
            </w:pPr>
            <w:r>
              <w:rPr>
                <w:sz w:val="15"/>
              </w:rPr>
              <w:t>2. Inventory</w:t>
            </w:r>
          </w:p>
        </w:tc>
        <w:tc>
          <w:tcPr>
            <w:tcW w:type="dxa" w:w="2556"/>
            <w:vAlign w:val="center"/>
          </w:tcPr>
          <w:p>
            <w:pPr>
              <w:spacing w:after="0"/>
            </w:pPr>
            <w:r>
              <w:rPr>
                <w:sz w:val="15"/>
              </w:rPr>
              <w:t>Discover internal, embedded, supplier and shadow AI</w:t>
            </w:r>
          </w:p>
        </w:tc>
        <w:tc>
          <w:tcPr>
            <w:tcW w:type="dxa" w:w="2556"/>
            <w:vAlign w:val="center"/>
          </w:tcPr>
          <w:p>
            <w:pPr>
              <w:spacing w:after="0"/>
            </w:pPr>
            <w:r>
              <w:rPr>
                <w:sz w:val="15"/>
              </w:rPr>
              <w:t>System owners, architecture, procurement</w:t>
            </w:r>
          </w:p>
        </w:tc>
        <w:tc>
          <w:tcPr>
            <w:tcW w:type="dxa" w:w="2556"/>
            <w:vAlign w:val="center"/>
          </w:tcPr>
          <w:p>
            <w:pPr>
              <w:spacing w:after="0"/>
            </w:pPr>
            <w:r>
              <w:rPr>
                <w:sz w:val="15"/>
              </w:rPr>
              <w:t>Inventory with ownership and lifecycle state</w:t>
            </w:r>
          </w:p>
        </w:tc>
      </w:tr>
      <w:tr>
        <w:tc>
          <w:tcPr>
            <w:tcW w:type="dxa" w:w="2556"/>
            <w:vAlign w:val="center"/>
          </w:tcPr>
          <w:p>
            <w:pPr>
              <w:spacing w:after="0"/>
            </w:pPr>
            <w:r>
              <w:rPr>
                <w:sz w:val="15"/>
              </w:rPr>
              <w:t>3. Risk classify</w:t>
            </w:r>
          </w:p>
        </w:tc>
        <w:tc>
          <w:tcPr>
            <w:tcW w:type="dxa" w:w="2556"/>
            <w:vAlign w:val="center"/>
          </w:tcPr>
          <w:p>
            <w:pPr>
              <w:spacing w:after="0"/>
            </w:pPr>
            <w:r>
              <w:rPr>
                <w:sz w:val="15"/>
              </w:rPr>
              <w:t>Apply Section 7 and identify obligations</w:t>
            </w:r>
          </w:p>
        </w:tc>
        <w:tc>
          <w:tcPr>
            <w:tcW w:type="dxa" w:w="2556"/>
            <w:vAlign w:val="center"/>
          </w:tcPr>
          <w:p>
            <w:pPr>
              <w:spacing w:after="0"/>
            </w:pPr>
            <w:r>
              <w:rPr>
                <w:sz w:val="15"/>
              </w:rPr>
              <w:t>Clinical, security, privacy, legal</w:t>
            </w:r>
          </w:p>
        </w:tc>
        <w:tc>
          <w:tcPr>
            <w:tcW w:type="dxa" w:w="2556"/>
            <w:vAlign w:val="center"/>
          </w:tcPr>
          <w:p>
            <w:pPr>
              <w:spacing w:after="0"/>
            </w:pPr>
            <w:r>
              <w:rPr>
                <w:sz w:val="15"/>
              </w:rPr>
              <w:t>Approved provisional tiers and applicability issues</w:t>
            </w:r>
          </w:p>
        </w:tc>
      </w:tr>
      <w:tr>
        <w:tc>
          <w:tcPr>
            <w:tcW w:type="dxa" w:w="2556"/>
            <w:vAlign w:val="center"/>
          </w:tcPr>
          <w:p>
            <w:pPr>
              <w:spacing w:after="0"/>
            </w:pPr>
            <w:r>
              <w:rPr>
                <w:sz w:val="15"/>
              </w:rPr>
              <w:t>4. Prioritise</w:t>
            </w:r>
          </w:p>
        </w:tc>
        <w:tc>
          <w:tcPr>
            <w:tcW w:type="dxa" w:w="2556"/>
            <w:vAlign w:val="center"/>
          </w:tcPr>
          <w:p>
            <w:pPr>
              <w:spacing w:after="0"/>
            </w:pPr>
            <w:r>
              <w:rPr>
                <w:sz w:val="15"/>
              </w:rPr>
              <w:t>Focus first on high-impact and weakly controlled systems</w:t>
            </w:r>
          </w:p>
        </w:tc>
        <w:tc>
          <w:tcPr>
            <w:tcW w:type="dxa" w:w="2556"/>
            <w:vAlign w:val="center"/>
          </w:tcPr>
          <w:p>
            <w:pPr>
              <w:spacing w:after="0"/>
            </w:pPr>
            <w:r>
              <w:rPr>
                <w:sz w:val="15"/>
              </w:rPr>
              <w:t>Governance body</w:t>
            </w:r>
          </w:p>
        </w:tc>
        <w:tc>
          <w:tcPr>
            <w:tcW w:type="dxa" w:w="2556"/>
            <w:vAlign w:val="center"/>
          </w:tcPr>
          <w:p>
            <w:pPr>
              <w:spacing w:after="0"/>
            </w:pPr>
            <w:r>
              <w:rPr>
                <w:sz w:val="15"/>
              </w:rPr>
              <w:t>Remediation portfolio and risk decisions</w:t>
            </w:r>
          </w:p>
        </w:tc>
      </w:tr>
      <w:tr>
        <w:tc>
          <w:tcPr>
            <w:tcW w:type="dxa" w:w="2556"/>
            <w:vAlign w:val="center"/>
          </w:tcPr>
          <w:p>
            <w:pPr>
              <w:spacing w:after="0"/>
            </w:pPr>
            <w:r>
              <w:rPr>
                <w:sz w:val="15"/>
              </w:rPr>
              <w:t>5. Baseline assessment</w:t>
            </w:r>
          </w:p>
        </w:tc>
        <w:tc>
          <w:tcPr>
            <w:tcW w:type="dxa" w:w="2556"/>
            <w:vAlign w:val="center"/>
          </w:tcPr>
          <w:p>
            <w:pPr>
              <w:spacing w:after="0"/>
            </w:pPr>
            <w:r>
              <w:rPr>
                <w:sz w:val="15"/>
              </w:rPr>
              <w:t>Compare actual controls and evidence to GAISSF</w:t>
            </w:r>
          </w:p>
        </w:tc>
        <w:tc>
          <w:tcPr>
            <w:tcW w:type="dxa" w:w="2556"/>
            <w:vAlign w:val="center"/>
          </w:tcPr>
          <w:p>
            <w:pPr>
              <w:spacing w:after="0"/>
            </w:pPr>
            <w:r>
              <w:rPr>
                <w:sz w:val="15"/>
              </w:rPr>
              <w:t>Control owners, assurance</w:t>
            </w:r>
          </w:p>
        </w:tc>
        <w:tc>
          <w:tcPr>
            <w:tcW w:type="dxa" w:w="2556"/>
            <w:vAlign w:val="center"/>
          </w:tcPr>
          <w:p>
            <w:pPr>
              <w:spacing w:after="0"/>
            </w:pPr>
            <w:r>
              <w:rPr>
                <w:sz w:val="15"/>
              </w:rPr>
              <w:t>Gap register with evidence</w:t>
            </w:r>
          </w:p>
        </w:tc>
      </w:tr>
      <w:tr>
        <w:tc>
          <w:tcPr>
            <w:tcW w:type="dxa" w:w="2556"/>
            <w:vAlign w:val="center"/>
          </w:tcPr>
          <w:p>
            <w:pPr>
              <w:spacing w:after="0"/>
            </w:pPr>
            <w:r>
              <w:rPr>
                <w:sz w:val="15"/>
              </w:rPr>
              <w:t>6. Remediate</w:t>
            </w:r>
          </w:p>
        </w:tc>
        <w:tc>
          <w:tcPr>
            <w:tcW w:type="dxa" w:w="2556"/>
            <w:vAlign w:val="center"/>
          </w:tcPr>
          <w:p>
            <w:pPr>
              <w:spacing w:after="0"/>
            </w:pPr>
            <w:r>
              <w:rPr>
                <w:sz w:val="15"/>
              </w:rPr>
              <w:t>Implement technical, clinical, supplier and process controls</w:t>
            </w:r>
          </w:p>
        </w:tc>
        <w:tc>
          <w:tcPr>
            <w:tcW w:type="dxa" w:w="2556"/>
            <w:vAlign w:val="center"/>
          </w:tcPr>
          <w:p>
            <w:pPr>
              <w:spacing w:after="0"/>
            </w:pPr>
            <w:r>
              <w:rPr>
                <w:sz w:val="15"/>
              </w:rPr>
              <w:t>System and control owners</w:t>
            </w:r>
          </w:p>
        </w:tc>
        <w:tc>
          <w:tcPr>
            <w:tcW w:type="dxa" w:w="2556"/>
            <w:vAlign w:val="center"/>
          </w:tcPr>
          <w:p>
            <w:pPr>
              <w:spacing w:after="0"/>
            </w:pPr>
            <w:r>
              <w:rPr>
                <w:sz w:val="15"/>
              </w:rPr>
              <w:t>Closed critical gaps, accepted residual risks</w:t>
            </w:r>
          </w:p>
        </w:tc>
      </w:tr>
      <w:tr>
        <w:tc>
          <w:tcPr>
            <w:tcW w:type="dxa" w:w="2556"/>
            <w:vAlign w:val="center"/>
          </w:tcPr>
          <w:p>
            <w:pPr>
              <w:spacing w:after="0"/>
            </w:pPr>
            <w:r>
              <w:rPr>
                <w:sz w:val="15"/>
              </w:rPr>
              <w:t>7. Validate</w:t>
            </w:r>
          </w:p>
        </w:tc>
        <w:tc>
          <w:tcPr>
            <w:tcW w:type="dxa" w:w="2556"/>
            <w:vAlign w:val="center"/>
          </w:tcPr>
          <w:p>
            <w:pPr>
              <w:spacing w:after="0"/>
            </w:pPr>
            <w:r>
              <w:rPr>
                <w:sz w:val="15"/>
              </w:rPr>
              <w:t>Perform independent, proportionate testing</w:t>
            </w:r>
          </w:p>
        </w:tc>
        <w:tc>
          <w:tcPr>
            <w:tcW w:type="dxa" w:w="2556"/>
            <w:vAlign w:val="center"/>
          </w:tcPr>
          <w:p>
            <w:pPr>
              <w:spacing w:after="0"/>
            </w:pPr>
            <w:r>
              <w:rPr>
                <w:sz w:val="15"/>
              </w:rPr>
              <w:t>Clinical, model, security, privacy</w:t>
            </w:r>
          </w:p>
        </w:tc>
        <w:tc>
          <w:tcPr>
            <w:tcW w:type="dxa" w:w="2556"/>
            <w:vAlign w:val="center"/>
          </w:tcPr>
          <w:p>
            <w:pPr>
              <w:spacing w:after="0"/>
            </w:pPr>
            <w:r>
              <w:rPr>
                <w:sz w:val="15"/>
              </w:rPr>
              <w:t>Approved validation package</w:t>
            </w:r>
          </w:p>
        </w:tc>
      </w:tr>
      <w:tr>
        <w:tc>
          <w:tcPr>
            <w:tcW w:type="dxa" w:w="2556"/>
            <w:vAlign w:val="center"/>
          </w:tcPr>
          <w:p>
            <w:pPr>
              <w:spacing w:after="0"/>
            </w:pPr>
            <w:r>
              <w:rPr>
                <w:sz w:val="15"/>
              </w:rPr>
              <w:t>8. Deploy and monitor</w:t>
            </w:r>
          </w:p>
        </w:tc>
        <w:tc>
          <w:tcPr>
            <w:tcW w:type="dxa" w:w="2556"/>
            <w:vAlign w:val="center"/>
          </w:tcPr>
          <w:p>
            <w:pPr>
              <w:spacing w:after="0"/>
            </w:pPr>
            <w:r>
              <w:rPr>
                <w:sz w:val="15"/>
              </w:rPr>
              <w:t>Authorise use; operationalise metrics and fallback</w:t>
            </w:r>
          </w:p>
        </w:tc>
        <w:tc>
          <w:tcPr>
            <w:tcW w:type="dxa" w:w="2556"/>
            <w:vAlign w:val="center"/>
          </w:tcPr>
          <w:p>
            <w:pPr>
              <w:spacing w:after="0"/>
            </w:pPr>
            <w:r>
              <w:rPr>
                <w:sz w:val="15"/>
              </w:rPr>
              <w:t>Operations and owners</w:t>
            </w:r>
          </w:p>
        </w:tc>
        <w:tc>
          <w:tcPr>
            <w:tcW w:type="dxa" w:w="2556"/>
            <w:vAlign w:val="center"/>
          </w:tcPr>
          <w:p>
            <w:pPr>
              <w:spacing w:after="0"/>
            </w:pPr>
            <w:r>
              <w:rPr>
                <w:sz w:val="15"/>
              </w:rPr>
              <w:t>Deployment approval, dashboards, tested fallback</w:t>
            </w:r>
          </w:p>
        </w:tc>
      </w:tr>
      <w:tr>
        <w:tc>
          <w:tcPr>
            <w:tcW w:type="dxa" w:w="2556"/>
            <w:vAlign w:val="center"/>
          </w:tcPr>
          <w:p>
            <w:pPr>
              <w:spacing w:after="0"/>
            </w:pPr>
            <w:r>
              <w:rPr>
                <w:sz w:val="15"/>
              </w:rPr>
              <w:t>9. Incident integration</w:t>
            </w:r>
          </w:p>
        </w:tc>
        <w:tc>
          <w:tcPr>
            <w:tcW w:type="dxa" w:w="2556"/>
            <w:vAlign w:val="center"/>
          </w:tcPr>
          <w:p>
            <w:pPr>
              <w:spacing w:after="0"/>
            </w:pPr>
            <w:r>
              <w:rPr>
                <w:sz w:val="15"/>
              </w:rPr>
              <w:t>Connect AI events to safety, privacy and cyber response</w:t>
            </w:r>
          </w:p>
        </w:tc>
        <w:tc>
          <w:tcPr>
            <w:tcW w:type="dxa" w:w="2556"/>
            <w:vAlign w:val="center"/>
          </w:tcPr>
          <w:p>
            <w:pPr>
              <w:spacing w:after="0"/>
            </w:pPr>
            <w:r>
              <w:rPr>
                <w:sz w:val="15"/>
              </w:rPr>
              <w:t>Incident, quality, clinical, legal</w:t>
            </w:r>
          </w:p>
        </w:tc>
        <w:tc>
          <w:tcPr>
            <w:tcW w:type="dxa" w:w="2556"/>
            <w:vAlign w:val="center"/>
          </w:tcPr>
          <w:p>
            <w:pPr>
              <w:spacing w:after="0"/>
            </w:pPr>
            <w:r>
              <w:rPr>
                <w:sz w:val="15"/>
              </w:rPr>
              <w:t>Playbook and exercise record</w:t>
            </w:r>
          </w:p>
        </w:tc>
      </w:tr>
      <w:tr>
        <w:tc>
          <w:tcPr>
            <w:tcW w:type="dxa" w:w="2556"/>
            <w:vAlign w:val="center"/>
          </w:tcPr>
          <w:p>
            <w:pPr>
              <w:spacing w:after="0"/>
            </w:pPr>
            <w:r>
              <w:rPr>
                <w:sz w:val="15"/>
              </w:rPr>
              <w:t>10. Assess and improve</w:t>
            </w:r>
          </w:p>
        </w:tc>
        <w:tc>
          <w:tcPr>
            <w:tcW w:type="dxa" w:w="2556"/>
            <w:vAlign w:val="center"/>
          </w:tcPr>
          <w:p>
            <w:pPr>
              <w:spacing w:after="0"/>
            </w:pPr>
            <w:r>
              <w:rPr>
                <w:sz w:val="15"/>
              </w:rPr>
              <w:t>Internal assessment, external readiness, lessons</w:t>
            </w:r>
          </w:p>
        </w:tc>
        <w:tc>
          <w:tcPr>
            <w:tcW w:type="dxa" w:w="2556"/>
            <w:vAlign w:val="center"/>
          </w:tcPr>
          <w:p>
            <w:pPr>
              <w:spacing w:after="0"/>
            </w:pPr>
            <w:r>
              <w:rPr>
                <w:sz w:val="15"/>
              </w:rPr>
              <w:t>Assurance and governance</w:t>
            </w:r>
          </w:p>
        </w:tc>
        <w:tc>
          <w:tcPr>
            <w:tcW w:type="dxa" w:w="2556"/>
            <w:vAlign w:val="center"/>
          </w:tcPr>
          <w:p>
            <w:pPr>
              <w:spacing w:after="0"/>
            </w:pPr>
            <w:r>
              <w:rPr>
                <w:sz w:val="15"/>
              </w:rPr>
              <w:t>Findings, CAPA, periodic review</w:t>
            </w:r>
          </w:p>
        </w:tc>
      </w:tr>
    </w:tbl>
    <w:p>
      <w:pPr>
        <w:spacing w:after="80"/>
      </w:pPr>
      <w:r>
        <w:t>Sequencing is indicative; no universal completion timeline is prescribed.</w:t>
      </w:r>
    </w:p>
    <w:p>
      <w:pPr>
        <w:pStyle w:val="Heading1"/>
      </w:pPr>
      <w:r>
        <w:t>30. Implementation Checklist</w:t>
      </w:r>
    </w:p>
    <w:p>
      <w:pPr>
        <w:spacing w:after="80"/>
      </w:pPr>
      <w:r>
        <w:t>The consolidated checklist is supplied as `SEC-037_Healthcare_Implementation_Checklist.xlsx` and CSV/JSON derivatives. Status values should be evidence-based. “Not applicable” requires rationale and approval.</w:t>
      </w:r>
    </w:p>
    <w:tbl>
      <w:tblPr>
        <w:tblStyle w:val="TableGrid"/>
        <w:tblW w:type="auto" w:w="0"/>
        <w:jc w:val="center"/>
        <w:tblLook w:firstColumn="1" w:firstRow="1" w:lastColumn="0" w:lastRow="0" w:noHBand="0" w:noVBand="1" w:val="04A0"/>
      </w:tblPr>
      <w:tblGrid>
        <w:gridCol w:w="1136"/>
        <w:gridCol w:w="1136"/>
        <w:gridCol w:w="1136"/>
        <w:gridCol w:w="1136"/>
        <w:gridCol w:w="1136"/>
        <w:gridCol w:w="1136"/>
        <w:gridCol w:w="1136"/>
        <w:gridCol w:w="1136"/>
        <w:gridCol w:w="1136"/>
      </w:tblGrid>
      <w:tr>
        <w:trPr>
          <w:tblHeader w:val="true"/>
        </w:trPr>
        <w:tc>
          <w:tcPr>
            <w:tcW w:type="dxa" w:w="1136"/>
            <w:vAlign w:val="center"/>
            <w:shd w:fill="1F4E79"/>
          </w:tcPr>
          <w:p>
            <w:pPr>
              <w:spacing w:after="0"/>
            </w:pPr>
            <w:r>
              <w:rPr>
                <w:b/>
                <w:color w:val="FFFFFF"/>
                <w:sz w:val="15"/>
              </w:rPr>
              <w:t>ID</w:t>
            </w:r>
          </w:p>
        </w:tc>
        <w:tc>
          <w:tcPr>
            <w:tcW w:type="dxa" w:w="1136"/>
            <w:vAlign w:val="center"/>
            <w:shd w:fill="1F4E79"/>
          </w:tcPr>
          <w:p>
            <w:pPr>
              <w:spacing w:after="0"/>
            </w:pPr>
            <w:r>
              <w:rPr>
                <w:b/>
                <w:color w:val="FFFFFF"/>
                <w:sz w:val="15"/>
              </w:rPr>
              <w:t>Implementation question</w:t>
            </w:r>
          </w:p>
        </w:tc>
        <w:tc>
          <w:tcPr>
            <w:tcW w:type="dxa" w:w="1136"/>
            <w:vAlign w:val="center"/>
            <w:shd w:fill="1F4E79"/>
          </w:tcPr>
          <w:p>
            <w:pPr>
              <w:spacing w:after="0"/>
            </w:pPr>
            <w:r>
              <w:rPr>
                <w:b/>
                <w:color w:val="FFFFFF"/>
                <w:sz w:val="15"/>
              </w:rPr>
              <w:t>Applicability</w:t>
            </w:r>
          </w:p>
        </w:tc>
        <w:tc>
          <w:tcPr>
            <w:tcW w:type="dxa" w:w="1136"/>
            <w:vAlign w:val="center"/>
            <w:shd w:fill="1F4E79"/>
          </w:tcPr>
          <w:p>
            <w:pPr>
              <w:spacing w:after="0"/>
            </w:pPr>
            <w:r>
              <w:rPr>
                <w:b/>
                <w:color w:val="FFFFFF"/>
                <w:sz w:val="15"/>
              </w:rPr>
              <w:t>Responsible role</w:t>
            </w:r>
          </w:p>
        </w:tc>
        <w:tc>
          <w:tcPr>
            <w:tcW w:type="dxa" w:w="1136"/>
            <w:vAlign w:val="center"/>
            <w:shd w:fill="1F4E79"/>
          </w:tcPr>
          <w:p>
            <w:pPr>
              <w:spacing w:after="0"/>
            </w:pPr>
            <w:r>
              <w:rPr>
                <w:b/>
                <w:color w:val="FFFFFF"/>
                <w:sz w:val="15"/>
              </w:rPr>
              <w:t>Evidence</w:t>
            </w:r>
          </w:p>
        </w:tc>
        <w:tc>
          <w:tcPr>
            <w:tcW w:type="dxa" w:w="1136"/>
            <w:vAlign w:val="center"/>
            <w:shd w:fill="1F4E79"/>
          </w:tcPr>
          <w:p>
            <w:pPr>
              <w:spacing w:after="0"/>
            </w:pPr>
            <w:r>
              <w:rPr>
                <w:b/>
                <w:color w:val="FFFFFF"/>
                <w:sz w:val="15"/>
              </w:rPr>
              <w:t>Status</w:t>
            </w:r>
          </w:p>
        </w:tc>
        <w:tc>
          <w:tcPr>
            <w:tcW w:type="dxa" w:w="1136"/>
            <w:vAlign w:val="center"/>
            <w:shd w:fill="1F4E79"/>
          </w:tcPr>
          <w:p>
            <w:pPr>
              <w:spacing w:after="0"/>
            </w:pPr>
            <w:r>
              <w:rPr>
                <w:b/>
                <w:color w:val="FFFFFF"/>
                <w:sz w:val="15"/>
              </w:rPr>
              <w:t>Gap</w:t>
            </w:r>
          </w:p>
        </w:tc>
        <w:tc>
          <w:tcPr>
            <w:tcW w:type="dxa" w:w="1136"/>
            <w:vAlign w:val="center"/>
            <w:shd w:fill="1F4E79"/>
          </w:tcPr>
          <w:p>
            <w:pPr>
              <w:spacing w:after="0"/>
            </w:pPr>
            <w:r>
              <w:rPr>
                <w:b/>
                <w:color w:val="FFFFFF"/>
                <w:sz w:val="15"/>
              </w:rPr>
              <w:t>Action</w:t>
            </w:r>
          </w:p>
        </w:tc>
        <w:tc>
          <w:tcPr>
            <w:tcW w:type="dxa" w:w="1136"/>
            <w:vAlign w:val="center"/>
            <w:shd w:fill="1F4E79"/>
          </w:tcPr>
          <w:p>
            <w:pPr>
              <w:spacing w:after="0"/>
            </w:pPr>
            <w:r>
              <w:rPr>
                <w:b/>
                <w:color w:val="FFFFFF"/>
                <w:sz w:val="15"/>
              </w:rPr>
              <w:t>Target date</w:t>
            </w:r>
          </w:p>
        </w:tc>
      </w:tr>
      <w:tr>
        <w:tc>
          <w:tcPr>
            <w:tcW w:type="dxa" w:w="1136"/>
            <w:vAlign w:val="center"/>
          </w:tcPr>
          <w:p>
            <w:pPr>
              <w:spacing w:after="0"/>
            </w:pPr>
            <w:r>
              <w:rPr>
                <w:sz w:val="15"/>
              </w:rPr>
              <w:t>H-GOV-01</w:t>
            </w:r>
          </w:p>
        </w:tc>
        <w:tc>
          <w:tcPr>
            <w:tcW w:type="dxa" w:w="1136"/>
            <w:vAlign w:val="center"/>
          </w:tcPr>
          <w:p>
            <w:pPr>
              <w:spacing w:after="0"/>
            </w:pPr>
            <w:r>
              <w:rPr>
                <w:sz w:val="15"/>
              </w:rPr>
              <w:t>Is accountable ownership defined for each AI system?</w:t>
            </w:r>
          </w:p>
        </w:tc>
        <w:tc>
          <w:tcPr>
            <w:tcW w:type="dxa" w:w="1136"/>
            <w:vAlign w:val="center"/>
          </w:tcPr>
          <w:p>
            <w:pPr>
              <w:spacing w:after="0"/>
            </w:pPr>
            <w:r>
              <w:rPr>
                <w:sz w:val="15"/>
              </w:rPr>
              <w:t>All</w:t>
            </w:r>
          </w:p>
        </w:tc>
        <w:tc>
          <w:tcPr>
            <w:tcW w:type="dxa" w:w="1136"/>
            <w:vAlign w:val="center"/>
          </w:tcPr>
          <w:p>
            <w:pPr>
              <w:spacing w:after="0"/>
            </w:pPr>
            <w:r>
              <w:rPr>
                <w:sz w:val="15"/>
              </w:rPr>
              <w:t>Executive / system owner</w:t>
            </w:r>
          </w:p>
        </w:tc>
        <w:tc>
          <w:tcPr>
            <w:tcW w:type="dxa" w:w="1136"/>
            <w:vAlign w:val="center"/>
          </w:tcPr>
          <w:p>
            <w:pPr>
              <w:spacing w:after="0"/>
            </w:pPr>
            <w:r>
              <w:rPr>
                <w:sz w:val="15"/>
              </w:rPr>
              <w:t>Inventory, RACI</w:t>
            </w:r>
          </w:p>
        </w:tc>
        <w:tc>
          <w:tcPr>
            <w:tcW w:type="dxa" w:w="1136"/>
            <w:vAlign w:val="center"/>
          </w:tcPr>
          <w:p>
            <w:pPr>
              <w:spacing w:after="0"/>
            </w:pPr>
            <w:r>
              <w:rPr>
                <w:sz w:val="15"/>
              </w:rPr>
              <w:t>Not Started</w:t>
            </w:r>
          </w:p>
        </w:tc>
        <w:tc>
          <w:tcPr>
            <w:tcW w:type="dxa" w:w="1136"/>
            <w:vAlign w:val="center"/>
          </w:tcPr>
          <w:p>
            <w:pPr>
              <w:spacing w:after="0"/>
            </w:pPr>
            <w:r>
              <w:rPr>
                <w:sz w:val="15"/>
              </w:rPr>
              <w:t>—</w:t>
            </w:r>
          </w:p>
        </w:tc>
        <w:tc>
          <w:tcPr>
            <w:tcW w:type="dxa" w:w="1136"/>
            <w:vAlign w:val="center"/>
          </w:tcPr>
          <w:p>
            <w:pPr>
              <w:spacing w:after="0"/>
            </w:pPr>
            <w:r>
              <w:rPr>
                <w:sz w:val="15"/>
              </w:rPr>
              <w:t>—</w:t>
            </w:r>
          </w:p>
        </w:tc>
        <w:tc>
          <w:tcPr>
            <w:tcW w:type="dxa" w:w="1136"/>
            <w:vAlign w:val="center"/>
          </w:tcPr>
          <w:p>
            <w:pPr>
              <w:spacing w:after="0"/>
            </w:pPr>
            <w:r>
              <w:rPr>
                <w:sz w:val="15"/>
              </w:rPr>
              <w:t>—</w:t>
            </w:r>
          </w:p>
        </w:tc>
      </w:tr>
      <w:tr>
        <w:tc>
          <w:tcPr>
            <w:tcW w:type="dxa" w:w="1136"/>
            <w:vAlign w:val="center"/>
          </w:tcPr>
          <w:p>
            <w:pPr>
              <w:spacing w:after="0"/>
            </w:pPr>
            <w:r>
              <w:rPr>
                <w:sz w:val="15"/>
              </w:rPr>
              <w:t>H-RISK-01</w:t>
            </w:r>
          </w:p>
        </w:tc>
        <w:tc>
          <w:tcPr>
            <w:tcW w:type="dxa" w:w="1136"/>
            <w:vAlign w:val="center"/>
          </w:tcPr>
          <w:p>
            <w:pPr>
              <w:spacing w:after="0"/>
            </w:pPr>
            <w:r>
              <w:rPr>
                <w:sz w:val="15"/>
              </w:rPr>
              <w:t>Has the system been classified using actual use and harm pathways?</w:t>
            </w:r>
          </w:p>
        </w:tc>
        <w:tc>
          <w:tcPr>
            <w:tcW w:type="dxa" w:w="1136"/>
            <w:vAlign w:val="center"/>
          </w:tcPr>
          <w:p>
            <w:pPr>
              <w:spacing w:after="0"/>
            </w:pPr>
            <w:r>
              <w:rPr>
                <w:sz w:val="15"/>
              </w:rPr>
              <w:t>All</w:t>
            </w:r>
          </w:p>
        </w:tc>
        <w:tc>
          <w:tcPr>
            <w:tcW w:type="dxa" w:w="1136"/>
            <w:vAlign w:val="center"/>
          </w:tcPr>
          <w:p>
            <w:pPr>
              <w:spacing w:after="0"/>
            </w:pPr>
            <w:r>
              <w:rPr>
                <w:sz w:val="15"/>
              </w:rPr>
              <w:t>Risk owner</w:t>
            </w:r>
          </w:p>
        </w:tc>
        <w:tc>
          <w:tcPr>
            <w:tcW w:type="dxa" w:w="1136"/>
            <w:vAlign w:val="center"/>
          </w:tcPr>
          <w:p>
            <w:pPr>
              <w:spacing w:after="0"/>
            </w:pPr>
            <w:r>
              <w:rPr>
                <w:sz w:val="15"/>
              </w:rPr>
              <w:t>Risk assessment</w:t>
            </w:r>
          </w:p>
        </w:tc>
        <w:tc>
          <w:tcPr>
            <w:tcW w:type="dxa" w:w="1136"/>
            <w:vAlign w:val="center"/>
          </w:tcPr>
          <w:p>
            <w:pPr>
              <w:spacing w:after="0"/>
            </w:pPr>
            <w:r>
              <w:rPr>
                <w:sz w:val="15"/>
              </w:rPr>
              <w:t>Not Started</w:t>
            </w:r>
          </w:p>
        </w:tc>
        <w:tc>
          <w:tcPr>
            <w:tcW w:type="dxa" w:w="1136"/>
            <w:vAlign w:val="center"/>
          </w:tcPr>
          <w:p>
            <w:pPr>
              <w:spacing w:after="0"/>
            </w:pPr>
            <w:r>
              <w:rPr>
                <w:sz w:val="15"/>
              </w:rPr>
              <w:t>—</w:t>
            </w:r>
          </w:p>
        </w:tc>
        <w:tc>
          <w:tcPr>
            <w:tcW w:type="dxa" w:w="1136"/>
            <w:vAlign w:val="center"/>
          </w:tcPr>
          <w:p>
            <w:pPr>
              <w:spacing w:after="0"/>
            </w:pPr>
            <w:r>
              <w:rPr>
                <w:sz w:val="15"/>
              </w:rPr>
              <w:t>—</w:t>
            </w:r>
          </w:p>
        </w:tc>
        <w:tc>
          <w:tcPr>
            <w:tcW w:type="dxa" w:w="1136"/>
            <w:vAlign w:val="center"/>
          </w:tcPr>
          <w:p>
            <w:pPr>
              <w:spacing w:after="0"/>
            </w:pPr>
            <w:r>
              <w:rPr>
                <w:sz w:val="15"/>
              </w:rPr>
              <w:t>—</w:t>
            </w:r>
          </w:p>
        </w:tc>
      </w:tr>
      <w:tr>
        <w:tc>
          <w:tcPr>
            <w:tcW w:type="dxa" w:w="1136"/>
            <w:vAlign w:val="center"/>
          </w:tcPr>
          <w:p>
            <w:pPr>
              <w:spacing w:after="0"/>
            </w:pPr>
            <w:r>
              <w:rPr>
                <w:sz w:val="15"/>
              </w:rPr>
              <w:t>H-VAL-01</w:t>
            </w:r>
          </w:p>
        </w:tc>
        <w:tc>
          <w:tcPr>
            <w:tcW w:type="dxa" w:w="1136"/>
            <w:vAlign w:val="center"/>
          </w:tcPr>
          <w:p>
            <w:pPr>
              <w:spacing w:after="0"/>
            </w:pPr>
            <w:r>
              <w:rPr>
                <w:sz w:val="15"/>
              </w:rPr>
              <w:t>Are technical, clinical, security, privacy and operational claims separately validated?</w:t>
            </w:r>
          </w:p>
        </w:tc>
        <w:tc>
          <w:tcPr>
            <w:tcW w:type="dxa" w:w="1136"/>
            <w:vAlign w:val="center"/>
          </w:tcPr>
          <w:p>
            <w:pPr>
              <w:spacing w:after="0"/>
            </w:pPr>
            <w:r>
              <w:rPr>
                <w:sz w:val="15"/>
              </w:rPr>
              <w:t>As applicable</w:t>
            </w:r>
          </w:p>
        </w:tc>
        <w:tc>
          <w:tcPr>
            <w:tcW w:type="dxa" w:w="1136"/>
            <w:vAlign w:val="center"/>
          </w:tcPr>
          <w:p>
            <w:pPr>
              <w:spacing w:after="0"/>
            </w:pPr>
            <w:r>
              <w:rPr>
                <w:sz w:val="15"/>
              </w:rPr>
              <w:t>Validation owners</w:t>
            </w:r>
          </w:p>
        </w:tc>
        <w:tc>
          <w:tcPr>
            <w:tcW w:type="dxa" w:w="1136"/>
            <w:vAlign w:val="center"/>
          </w:tcPr>
          <w:p>
            <w:pPr>
              <w:spacing w:after="0"/>
            </w:pPr>
            <w:r>
              <w:rPr>
                <w:sz w:val="15"/>
              </w:rPr>
              <w:t>Validation package</w:t>
            </w:r>
          </w:p>
        </w:tc>
        <w:tc>
          <w:tcPr>
            <w:tcW w:type="dxa" w:w="1136"/>
            <w:vAlign w:val="center"/>
          </w:tcPr>
          <w:p>
            <w:pPr>
              <w:spacing w:after="0"/>
            </w:pPr>
            <w:r>
              <w:rPr>
                <w:sz w:val="15"/>
              </w:rPr>
              <w:t>Not Started</w:t>
            </w:r>
          </w:p>
        </w:tc>
        <w:tc>
          <w:tcPr>
            <w:tcW w:type="dxa" w:w="1136"/>
            <w:vAlign w:val="center"/>
          </w:tcPr>
          <w:p>
            <w:pPr>
              <w:spacing w:after="0"/>
            </w:pPr>
            <w:r>
              <w:rPr>
                <w:sz w:val="15"/>
              </w:rPr>
              <w:t>—</w:t>
            </w:r>
          </w:p>
        </w:tc>
        <w:tc>
          <w:tcPr>
            <w:tcW w:type="dxa" w:w="1136"/>
            <w:vAlign w:val="center"/>
          </w:tcPr>
          <w:p>
            <w:pPr>
              <w:spacing w:after="0"/>
            </w:pPr>
            <w:r>
              <w:rPr>
                <w:sz w:val="15"/>
              </w:rPr>
              <w:t>—</w:t>
            </w:r>
          </w:p>
        </w:tc>
        <w:tc>
          <w:tcPr>
            <w:tcW w:type="dxa" w:w="1136"/>
            <w:vAlign w:val="center"/>
          </w:tcPr>
          <w:p>
            <w:pPr>
              <w:spacing w:after="0"/>
            </w:pPr>
            <w:r>
              <w:rPr>
                <w:sz w:val="15"/>
              </w:rPr>
              <w:t>—</w:t>
            </w:r>
          </w:p>
        </w:tc>
      </w:tr>
      <w:tr>
        <w:tc>
          <w:tcPr>
            <w:tcW w:type="dxa" w:w="1136"/>
            <w:vAlign w:val="center"/>
          </w:tcPr>
          <w:p>
            <w:pPr>
              <w:spacing w:after="0"/>
            </w:pPr>
            <w:r>
              <w:rPr>
                <w:sz w:val="15"/>
              </w:rPr>
              <w:t>H-MON-01</w:t>
            </w:r>
          </w:p>
        </w:tc>
        <w:tc>
          <w:tcPr>
            <w:tcW w:type="dxa" w:w="1136"/>
            <w:vAlign w:val="center"/>
          </w:tcPr>
          <w:p>
            <w:pPr>
              <w:spacing w:after="0"/>
            </w:pPr>
            <w:r>
              <w:rPr>
                <w:sz w:val="15"/>
              </w:rPr>
              <w:t>Are monitoring signals, thresholds, owners and revalidation triggers defined?</w:t>
            </w:r>
          </w:p>
        </w:tc>
        <w:tc>
          <w:tcPr>
            <w:tcW w:type="dxa" w:w="1136"/>
            <w:vAlign w:val="center"/>
          </w:tcPr>
          <w:p>
            <w:pPr>
              <w:spacing w:after="0"/>
            </w:pPr>
            <w:r>
              <w:rPr>
                <w:sz w:val="15"/>
              </w:rPr>
              <w:t>Production</w:t>
            </w:r>
          </w:p>
        </w:tc>
        <w:tc>
          <w:tcPr>
            <w:tcW w:type="dxa" w:w="1136"/>
            <w:vAlign w:val="center"/>
          </w:tcPr>
          <w:p>
            <w:pPr>
              <w:spacing w:after="0"/>
            </w:pPr>
            <w:r>
              <w:rPr>
                <w:sz w:val="15"/>
              </w:rPr>
              <w:t>Model / clinical / security owner</w:t>
            </w:r>
          </w:p>
        </w:tc>
        <w:tc>
          <w:tcPr>
            <w:tcW w:type="dxa" w:w="1136"/>
            <w:vAlign w:val="center"/>
          </w:tcPr>
          <w:p>
            <w:pPr>
              <w:spacing w:after="0"/>
            </w:pPr>
            <w:r>
              <w:rPr>
                <w:sz w:val="15"/>
              </w:rPr>
              <w:t>Monitoring plan</w:t>
            </w:r>
          </w:p>
        </w:tc>
        <w:tc>
          <w:tcPr>
            <w:tcW w:type="dxa" w:w="1136"/>
            <w:vAlign w:val="center"/>
          </w:tcPr>
          <w:p>
            <w:pPr>
              <w:spacing w:after="0"/>
            </w:pPr>
            <w:r>
              <w:rPr>
                <w:sz w:val="15"/>
              </w:rPr>
              <w:t>Not Started</w:t>
            </w:r>
          </w:p>
        </w:tc>
        <w:tc>
          <w:tcPr>
            <w:tcW w:type="dxa" w:w="1136"/>
            <w:vAlign w:val="center"/>
          </w:tcPr>
          <w:p>
            <w:pPr>
              <w:spacing w:after="0"/>
            </w:pPr>
            <w:r>
              <w:rPr>
                <w:sz w:val="15"/>
              </w:rPr>
              <w:t>—</w:t>
            </w:r>
          </w:p>
        </w:tc>
        <w:tc>
          <w:tcPr>
            <w:tcW w:type="dxa" w:w="1136"/>
            <w:vAlign w:val="center"/>
          </w:tcPr>
          <w:p>
            <w:pPr>
              <w:spacing w:after="0"/>
            </w:pPr>
            <w:r>
              <w:rPr>
                <w:sz w:val="15"/>
              </w:rPr>
              <w:t>—</w:t>
            </w:r>
          </w:p>
        </w:tc>
        <w:tc>
          <w:tcPr>
            <w:tcW w:type="dxa" w:w="1136"/>
            <w:vAlign w:val="center"/>
          </w:tcPr>
          <w:p>
            <w:pPr>
              <w:spacing w:after="0"/>
            </w:pPr>
            <w:r>
              <w:rPr>
                <w:sz w:val="15"/>
              </w:rPr>
              <w:t>—</w:t>
            </w:r>
          </w:p>
        </w:tc>
      </w:tr>
      <w:tr>
        <w:tc>
          <w:tcPr>
            <w:tcW w:type="dxa" w:w="1136"/>
            <w:vAlign w:val="center"/>
          </w:tcPr>
          <w:p>
            <w:pPr>
              <w:spacing w:after="0"/>
            </w:pPr>
            <w:r>
              <w:rPr>
                <w:sz w:val="15"/>
              </w:rPr>
              <w:t>H-IR-01</w:t>
            </w:r>
          </w:p>
        </w:tc>
        <w:tc>
          <w:tcPr>
            <w:tcW w:type="dxa" w:w="1136"/>
            <w:vAlign w:val="center"/>
          </w:tcPr>
          <w:p>
            <w:pPr>
              <w:spacing w:after="0"/>
            </w:pPr>
            <w:r>
              <w:rPr>
                <w:sz w:val="15"/>
              </w:rPr>
              <w:t>Is the system integrated into clinical, cyber, privacy and supplier incident response?</w:t>
            </w:r>
          </w:p>
        </w:tc>
        <w:tc>
          <w:tcPr>
            <w:tcW w:type="dxa" w:w="1136"/>
            <w:vAlign w:val="center"/>
          </w:tcPr>
          <w:p>
            <w:pPr>
              <w:spacing w:after="0"/>
            </w:pPr>
            <w:r>
              <w:rPr>
                <w:sz w:val="15"/>
              </w:rPr>
              <w:t>All</w:t>
            </w:r>
          </w:p>
        </w:tc>
        <w:tc>
          <w:tcPr>
            <w:tcW w:type="dxa" w:w="1136"/>
            <w:vAlign w:val="center"/>
          </w:tcPr>
          <w:p>
            <w:pPr>
              <w:spacing w:after="0"/>
            </w:pPr>
            <w:r>
              <w:rPr>
                <w:sz w:val="15"/>
              </w:rPr>
              <w:t>Incident owner</w:t>
            </w:r>
          </w:p>
        </w:tc>
        <w:tc>
          <w:tcPr>
            <w:tcW w:type="dxa" w:w="1136"/>
            <w:vAlign w:val="center"/>
          </w:tcPr>
          <w:p>
            <w:pPr>
              <w:spacing w:after="0"/>
            </w:pPr>
            <w:r>
              <w:rPr>
                <w:sz w:val="15"/>
              </w:rPr>
              <w:t>Playbook / exercise</w:t>
            </w:r>
          </w:p>
        </w:tc>
        <w:tc>
          <w:tcPr>
            <w:tcW w:type="dxa" w:w="1136"/>
            <w:vAlign w:val="center"/>
          </w:tcPr>
          <w:p>
            <w:pPr>
              <w:spacing w:after="0"/>
            </w:pPr>
            <w:r>
              <w:rPr>
                <w:sz w:val="15"/>
              </w:rPr>
              <w:t>Not Started</w:t>
            </w:r>
          </w:p>
        </w:tc>
        <w:tc>
          <w:tcPr>
            <w:tcW w:type="dxa" w:w="1136"/>
            <w:vAlign w:val="center"/>
          </w:tcPr>
          <w:p>
            <w:pPr>
              <w:spacing w:after="0"/>
            </w:pPr>
            <w:r>
              <w:rPr>
                <w:sz w:val="15"/>
              </w:rPr>
              <w:t>—</w:t>
            </w:r>
          </w:p>
        </w:tc>
        <w:tc>
          <w:tcPr>
            <w:tcW w:type="dxa" w:w="1136"/>
            <w:vAlign w:val="center"/>
          </w:tcPr>
          <w:p>
            <w:pPr>
              <w:spacing w:after="0"/>
            </w:pPr>
            <w:r>
              <w:rPr>
                <w:sz w:val="15"/>
              </w:rPr>
              <w:t>—</w:t>
            </w:r>
          </w:p>
        </w:tc>
        <w:tc>
          <w:tcPr>
            <w:tcW w:type="dxa" w:w="1136"/>
            <w:vAlign w:val="center"/>
          </w:tcPr>
          <w:p>
            <w:pPr>
              <w:spacing w:after="0"/>
            </w:pPr>
            <w:r>
              <w:rPr>
                <w:sz w:val="15"/>
              </w:rPr>
              <w:t>—</w:t>
            </w:r>
          </w:p>
        </w:tc>
      </w:tr>
    </w:tbl>
    <w:p>
      <w:pPr>
        <w:pStyle w:val="Heading1"/>
      </w:pPr>
      <w:r>
        <w:t>31. Common Failure Patterns</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vAlign w:val="center"/>
            <w:shd w:fill="1F4E79"/>
          </w:tcPr>
          <w:p>
            <w:pPr>
              <w:spacing w:after="0"/>
            </w:pPr>
            <w:r>
              <w:rPr>
                <w:b/>
                <w:color w:val="FFFFFF"/>
                <w:sz w:val="15"/>
              </w:rPr>
              <w:t>Failure pattern</w:t>
            </w:r>
          </w:p>
        </w:tc>
        <w:tc>
          <w:tcPr>
            <w:tcW w:type="dxa" w:w="3408"/>
            <w:vAlign w:val="center"/>
            <w:shd w:fill="1F4E79"/>
          </w:tcPr>
          <w:p>
            <w:pPr>
              <w:spacing w:after="0"/>
            </w:pPr>
            <w:r>
              <w:rPr>
                <w:b/>
                <w:color w:val="FFFFFF"/>
                <w:sz w:val="15"/>
              </w:rPr>
              <w:t>Why it matters / warning signs</w:t>
            </w:r>
          </w:p>
        </w:tc>
        <w:tc>
          <w:tcPr>
            <w:tcW w:type="dxa" w:w="3408"/>
            <w:vAlign w:val="center"/>
            <w:shd w:fill="1F4E79"/>
          </w:tcPr>
          <w:p>
            <w:pPr>
              <w:spacing w:after="0"/>
            </w:pPr>
            <w:r>
              <w:rPr>
                <w:b/>
                <w:color w:val="FFFFFF"/>
                <w:sz w:val="15"/>
              </w:rPr>
              <w:t>Corrective action</w:t>
            </w:r>
          </w:p>
        </w:tc>
      </w:tr>
      <w:tr>
        <w:tc>
          <w:tcPr>
            <w:tcW w:type="dxa" w:w="3408"/>
            <w:vAlign w:val="center"/>
          </w:tcPr>
          <w:p>
            <w:pPr>
              <w:spacing w:after="0"/>
            </w:pPr>
            <w:r>
              <w:rPr>
                <w:sz w:val="15"/>
              </w:rPr>
              <w:t>Regulatory approval treated as full security assurance</w:t>
            </w:r>
          </w:p>
        </w:tc>
        <w:tc>
          <w:tcPr>
            <w:tcW w:type="dxa" w:w="3408"/>
            <w:vAlign w:val="center"/>
          </w:tcPr>
          <w:p>
            <w:pPr>
              <w:spacing w:after="0"/>
            </w:pPr>
            <w:r>
              <w:rPr>
                <w:sz w:val="15"/>
              </w:rPr>
              <w:t>Approval scope may not cover deployed integration, threats, or operations</w:t>
            </w:r>
          </w:p>
        </w:tc>
        <w:tc>
          <w:tcPr>
            <w:tcW w:type="dxa" w:w="3408"/>
            <w:vAlign w:val="center"/>
          </w:tcPr>
          <w:p>
            <w:pPr>
              <w:spacing w:after="0"/>
            </w:pPr>
            <w:r>
              <w:rPr>
                <w:sz w:val="15"/>
              </w:rPr>
              <w:t>Map approval evidence to actual claims; perform local security assessment</w:t>
            </w:r>
          </w:p>
        </w:tc>
      </w:tr>
      <w:tr>
        <w:tc>
          <w:tcPr>
            <w:tcW w:type="dxa" w:w="3408"/>
            <w:vAlign w:val="center"/>
          </w:tcPr>
          <w:p>
            <w:pPr>
              <w:spacing w:after="0"/>
            </w:pPr>
            <w:r>
              <w:rPr>
                <w:sz w:val="15"/>
              </w:rPr>
              <w:t>Security testing treated as clinical validation</w:t>
            </w:r>
          </w:p>
        </w:tc>
        <w:tc>
          <w:tcPr>
            <w:tcW w:type="dxa" w:w="3408"/>
            <w:vAlign w:val="center"/>
          </w:tcPr>
          <w:p>
            <w:pPr>
              <w:spacing w:after="0"/>
            </w:pPr>
            <w:r>
              <w:rPr>
                <w:sz w:val="15"/>
              </w:rPr>
              <w:t>Technical robustness does not establish clinical utility or safety</w:t>
            </w:r>
          </w:p>
        </w:tc>
        <w:tc>
          <w:tcPr>
            <w:tcW w:type="dxa" w:w="3408"/>
            <w:vAlign w:val="center"/>
          </w:tcPr>
          <w:p>
            <w:pPr>
              <w:spacing w:after="0"/>
            </w:pPr>
            <w:r>
              <w:rPr>
                <w:sz w:val="15"/>
              </w:rPr>
              <w:t>Separate plans, owners, criteria and approvals</w:t>
            </w:r>
          </w:p>
        </w:tc>
      </w:tr>
      <w:tr>
        <w:tc>
          <w:tcPr>
            <w:tcW w:type="dxa" w:w="3408"/>
            <w:vAlign w:val="center"/>
          </w:tcPr>
          <w:p>
            <w:pPr>
              <w:spacing w:after="0"/>
            </w:pPr>
            <w:r>
              <w:rPr>
                <w:sz w:val="15"/>
              </w:rPr>
              <w:t>Embedded or supplier AI omitted from inventory</w:t>
            </w:r>
          </w:p>
        </w:tc>
        <w:tc>
          <w:tcPr>
            <w:tcW w:type="dxa" w:w="3408"/>
            <w:vAlign w:val="center"/>
          </w:tcPr>
          <w:p>
            <w:pPr>
              <w:spacing w:after="0"/>
            </w:pPr>
            <w:r>
              <w:rPr>
                <w:sz w:val="15"/>
              </w:rPr>
              <w:t>Unknown dependency and change risk</w:t>
            </w:r>
          </w:p>
        </w:tc>
        <w:tc>
          <w:tcPr>
            <w:tcW w:type="dxa" w:w="3408"/>
            <w:vAlign w:val="center"/>
          </w:tcPr>
          <w:p>
            <w:pPr>
              <w:spacing w:after="0"/>
            </w:pPr>
            <w:r>
              <w:rPr>
                <w:sz w:val="15"/>
              </w:rPr>
              <w:t>Discover by architecture, procurement, data flow and vendor review</w:t>
            </w:r>
          </w:p>
        </w:tc>
      </w:tr>
      <w:tr>
        <w:tc>
          <w:tcPr>
            <w:tcW w:type="dxa" w:w="3408"/>
            <w:vAlign w:val="center"/>
          </w:tcPr>
          <w:p>
            <w:pPr>
              <w:spacing w:after="0"/>
            </w:pPr>
            <w:r>
              <w:rPr>
                <w:sz w:val="15"/>
              </w:rPr>
              <w:t>Vendor claims accepted without evidence</w:t>
            </w:r>
          </w:p>
        </w:tc>
        <w:tc>
          <w:tcPr>
            <w:tcW w:type="dxa" w:w="3408"/>
            <w:vAlign w:val="center"/>
          </w:tcPr>
          <w:p>
            <w:pPr>
              <w:spacing w:after="0"/>
            </w:pPr>
            <w:r>
              <w:rPr>
                <w:sz w:val="15"/>
              </w:rPr>
              <w:t>Scope, version or exclusions may not match deployment</w:t>
            </w:r>
          </w:p>
        </w:tc>
        <w:tc>
          <w:tcPr>
            <w:tcW w:type="dxa" w:w="3408"/>
            <w:vAlign w:val="center"/>
          </w:tcPr>
          <w:p>
            <w:pPr>
              <w:spacing w:after="0"/>
            </w:pPr>
            <w:r>
              <w:rPr>
                <w:sz w:val="15"/>
              </w:rPr>
              <w:t>Obtain corroborating reports, tests, contracts and local validation</w:t>
            </w:r>
          </w:p>
        </w:tc>
      </w:tr>
      <w:tr>
        <w:tc>
          <w:tcPr>
            <w:tcW w:type="dxa" w:w="3408"/>
            <w:vAlign w:val="center"/>
          </w:tcPr>
          <w:p>
            <w:pPr>
              <w:spacing w:after="0"/>
            </w:pPr>
            <w:r>
              <w:rPr>
                <w:sz w:val="15"/>
              </w:rPr>
              <w:t>Human oversight asserted but ineffective</w:t>
            </w:r>
          </w:p>
        </w:tc>
        <w:tc>
          <w:tcPr>
            <w:tcW w:type="dxa" w:w="3408"/>
            <w:vAlign w:val="center"/>
          </w:tcPr>
          <w:p>
            <w:pPr>
              <w:spacing w:after="0"/>
            </w:pPr>
            <w:r>
              <w:rPr>
                <w:sz w:val="15"/>
              </w:rPr>
              <w:t>Reviewer lacks time, authority, context or usable interface</w:t>
            </w:r>
          </w:p>
        </w:tc>
        <w:tc>
          <w:tcPr>
            <w:tcW w:type="dxa" w:w="3408"/>
            <w:vAlign w:val="center"/>
          </w:tcPr>
          <w:p>
            <w:pPr>
              <w:spacing w:after="0"/>
            </w:pPr>
            <w:r>
              <w:rPr>
                <w:sz w:val="15"/>
              </w:rPr>
              <w:t>Test workflow and human factors; monitor override and escalation</w:t>
            </w:r>
          </w:p>
        </w:tc>
      </w:tr>
      <w:tr>
        <w:tc>
          <w:tcPr>
            <w:tcW w:type="dxa" w:w="3408"/>
            <w:vAlign w:val="center"/>
          </w:tcPr>
          <w:p>
            <w:pPr>
              <w:spacing w:after="0"/>
            </w:pPr>
            <w:r>
              <w:rPr>
                <w:sz w:val="15"/>
              </w:rPr>
              <w:t>Downtime procedures untested</w:t>
            </w:r>
          </w:p>
        </w:tc>
        <w:tc>
          <w:tcPr>
            <w:tcW w:type="dxa" w:w="3408"/>
            <w:vAlign w:val="center"/>
          </w:tcPr>
          <w:p>
            <w:pPr>
              <w:spacing w:after="0"/>
            </w:pPr>
            <w:r>
              <w:rPr>
                <w:sz w:val="15"/>
              </w:rPr>
              <w:t>Manual fallback may fail under pressure</w:t>
            </w:r>
          </w:p>
        </w:tc>
        <w:tc>
          <w:tcPr>
            <w:tcW w:type="dxa" w:w="3408"/>
            <w:vAlign w:val="center"/>
          </w:tcPr>
          <w:p>
            <w:pPr>
              <w:spacing w:after="0"/>
            </w:pPr>
            <w:r>
              <w:rPr>
                <w:sz w:val="15"/>
              </w:rPr>
              <w:t>Exercise realistically and remediate staffing/data dependencies</w:t>
            </w:r>
          </w:p>
        </w:tc>
      </w:tr>
      <w:tr>
        <w:tc>
          <w:tcPr>
            <w:tcW w:type="dxa" w:w="3408"/>
            <w:vAlign w:val="center"/>
          </w:tcPr>
          <w:p>
            <w:pPr>
              <w:spacing w:after="0"/>
            </w:pPr>
            <w:r>
              <w:rPr>
                <w:sz w:val="15"/>
              </w:rPr>
              <w:t>Generative output over-trusted</w:t>
            </w:r>
          </w:p>
        </w:tc>
        <w:tc>
          <w:tcPr>
            <w:tcW w:type="dxa" w:w="3408"/>
            <w:vAlign w:val="center"/>
          </w:tcPr>
          <w:p>
            <w:pPr>
              <w:spacing w:after="0"/>
            </w:pPr>
            <w:r>
              <w:rPr>
                <w:sz w:val="15"/>
              </w:rPr>
              <w:t>Plausible false content may enter records or advice</w:t>
            </w:r>
          </w:p>
        </w:tc>
        <w:tc>
          <w:tcPr>
            <w:tcW w:type="dxa" w:w="3408"/>
            <w:vAlign w:val="center"/>
          </w:tcPr>
          <w:p>
            <w:pPr>
              <w:spacing w:after="0"/>
            </w:pPr>
            <w:r>
              <w:rPr>
                <w:sz w:val="15"/>
              </w:rPr>
              <w:t>Bound use, ground sources, require competent review and provenance</w:t>
            </w:r>
          </w:p>
        </w:tc>
      </w:tr>
      <w:tr>
        <w:tc>
          <w:tcPr>
            <w:tcW w:type="dxa" w:w="3408"/>
            <w:vAlign w:val="center"/>
          </w:tcPr>
          <w:p>
            <w:pPr>
              <w:spacing w:after="0"/>
            </w:pPr>
            <w:r>
              <w:rPr>
                <w:sz w:val="15"/>
              </w:rPr>
              <w:t>Monitoring limited to uptime</w:t>
            </w:r>
          </w:p>
        </w:tc>
        <w:tc>
          <w:tcPr>
            <w:tcW w:type="dxa" w:w="3408"/>
            <w:vAlign w:val="center"/>
          </w:tcPr>
          <w:p>
            <w:pPr>
              <w:spacing w:after="0"/>
            </w:pPr>
            <w:r>
              <w:rPr>
                <w:sz w:val="15"/>
              </w:rPr>
              <w:t>Drift, subgroup failure, unsafe output and misuse remain unseen</w:t>
            </w:r>
          </w:p>
        </w:tc>
        <w:tc>
          <w:tcPr>
            <w:tcW w:type="dxa" w:w="3408"/>
            <w:vAlign w:val="center"/>
          </w:tcPr>
          <w:p>
            <w:pPr>
              <w:spacing w:after="0"/>
            </w:pPr>
            <w:r>
              <w:rPr>
                <w:sz w:val="15"/>
              </w:rPr>
              <w:t>Build multi-domain surveillance and decision rules</w:t>
            </w:r>
          </w:p>
        </w:tc>
      </w:tr>
      <w:tr>
        <w:tc>
          <w:tcPr>
            <w:tcW w:type="dxa" w:w="3408"/>
            <w:vAlign w:val="center"/>
          </w:tcPr>
          <w:p>
            <w:pPr>
              <w:spacing w:after="0"/>
            </w:pPr>
            <w:r>
              <w:rPr>
                <w:sz w:val="15"/>
              </w:rPr>
              <w:t>Updates not revalidated</w:t>
            </w:r>
          </w:p>
        </w:tc>
        <w:tc>
          <w:tcPr>
            <w:tcW w:type="dxa" w:w="3408"/>
            <w:vAlign w:val="center"/>
          </w:tcPr>
          <w:p>
            <w:pPr>
              <w:spacing w:after="0"/>
            </w:pPr>
            <w:r>
              <w:rPr>
                <w:sz w:val="15"/>
              </w:rPr>
              <w:t>Behaviour can change without local awareness</w:t>
            </w:r>
          </w:p>
        </w:tc>
        <w:tc>
          <w:tcPr>
            <w:tcW w:type="dxa" w:w="3408"/>
            <w:vAlign w:val="center"/>
          </w:tcPr>
          <w:p>
            <w:pPr>
              <w:spacing w:after="0"/>
            </w:pPr>
            <w:r>
              <w:rPr>
                <w:sz w:val="15"/>
              </w:rPr>
              <w:t>Require change notice, significance assessment, rollback and revalidation</w:t>
            </w:r>
          </w:p>
        </w:tc>
      </w:tr>
      <w:tr>
        <w:tc>
          <w:tcPr>
            <w:tcW w:type="dxa" w:w="3408"/>
            <w:vAlign w:val="center"/>
          </w:tcPr>
          <w:p>
            <w:pPr>
              <w:spacing w:after="0"/>
            </w:pPr>
            <w:r>
              <w:rPr>
                <w:sz w:val="15"/>
              </w:rPr>
              <w:t>Historical decisions unrecoverable</w:t>
            </w:r>
          </w:p>
        </w:tc>
        <w:tc>
          <w:tcPr>
            <w:tcW w:type="dxa" w:w="3408"/>
            <w:vAlign w:val="center"/>
          </w:tcPr>
          <w:p>
            <w:pPr>
              <w:spacing w:after="0"/>
            </w:pPr>
            <w:r>
              <w:rPr>
                <w:sz w:val="15"/>
              </w:rPr>
              <w:t>Incident and care review become unreliable</w:t>
            </w:r>
          </w:p>
        </w:tc>
        <w:tc>
          <w:tcPr>
            <w:tcW w:type="dxa" w:w="3408"/>
            <w:vAlign w:val="center"/>
          </w:tcPr>
          <w:p>
            <w:pPr>
              <w:spacing w:after="0"/>
            </w:pPr>
            <w:r>
              <w:rPr>
                <w:sz w:val="15"/>
              </w:rPr>
              <w:t>Preserve version, input, output, source and configuration context</w:t>
            </w:r>
          </w:p>
        </w:tc>
      </w:tr>
    </w:tbl>
    <w:p>
      <w:pPr>
        <w:pStyle w:val="Heading1"/>
      </w:pPr>
      <w:r>
        <w:t>32. Notably Absent</w:t>
      </w:r>
    </w:p>
    <w:p>
      <w:pPr>
        <w:spacing w:after="80"/>
      </w:pPr>
      <w:r>
        <w:t>This guide does not certify clinical effectiveness or medical-device safety; grant regulatory approval; guarantee legal compliance; eliminate patient risk; require a particular vendor; replace clinical judgement or professional standards; create new GAISSF controls; establish universal thresholds; assert that all healthcare AI is high risk; claim every listed threat has occurred; guarantee incident prevention; replace jurisdiction-specific analysis; provide legal or medical advice; create a safe harbour; or establish automatic equivalence with ISO, IEC, NIST, healthcare, privacy, or medical-device frameworks.</w:t>
      </w:r>
    </w:p>
    <w:p>
      <w:pPr>
        <w:spacing w:after="80"/>
      </w:pPr>
      <w:r>
        <w:t>The guide also does not establish that a documented control is operating effectively, that a supplier assertion is correct, that a model is fair across all populations, or that absence of observed incidents proves absence of risk. Items not tested, populations outside scope, unavailable evidence, unresolved legal questions, and technical limitations must be stated in system-level records.</w:t>
      </w:r>
    </w:p>
    <w:p>
      <w:pPr>
        <w:pStyle w:val="Heading1"/>
      </w:pPr>
      <w:r>
        <w:t>33. Limitations</w:t>
      </w:r>
    </w:p>
    <w:p>
      <w:pPr>
        <w:spacing w:after="80"/>
      </w:pPr>
      <w:r>
        <w:t>Limitations include rapidly evolving models and agentic capabilities; changing regulation and standards; jurisdictional variation; incomplete incident visibility; limited public sector data; local workflow differences; supplier opacity; research-to-care transitions; medical-device classification differences; and the simplification inherent in fictional scenarios and generic templates.</w:t>
      </w:r>
    </w:p>
    <w:p>
      <w:pPr>
        <w:spacing w:after="80"/>
      </w:pPr>
      <w:r>
        <w:t>The guide should be revised when GAISSF changes materially, authoritative healthcare obligations change, credible new attack or failure patterns emerge, incident learning invalidates guidance, or implementation experience reveals ambiguity.</w:t>
      </w:r>
    </w:p>
    <w:p>
      <w:pPr>
        <w:pStyle w:val="Heading1"/>
      </w:pPr>
      <w:r>
        <w:t>34. Maintenance and Review</w:t>
      </w:r>
    </w:p>
    <w:p>
      <w:pPr>
        <w:spacing w:after="80"/>
      </w:pPr>
      <w:r>
        <w:t>ODA3 Institute should assign a document owner and maintain a controlled issue register. Review at least annually and on material triggers. Changes should be classified as editorial, clarifying, substantive non-normative, or dependent on normative GAISSF change. Stakeholder consultation should include clinical, security, privacy, legal, device, quality, supplier, assessor, and where appropriate patient representation.</w:t>
      </w:r>
    </w:p>
    <w:p>
      <w:pPr>
        <w:spacing w:after="80"/>
      </w:pPr>
      <w:r>
        <w:t>Published versions should include compatibility with the applicable GAISSF version, change summary, effective date, deprecation status, and archive location. Normative changes must not be introduced through this guide.</w:t>
      </w:r>
    </w:p>
    <w:p>
      <w:pPr>
        <w:pStyle w:val="Heading1"/>
      </w:pPr>
      <w:r>
        <w:t>35. Conclusion</w:t>
      </w:r>
    </w:p>
    <w:p>
      <w:pPr>
        <w:spacing w:after="80"/>
      </w:pPr>
      <w:r>
        <w:t>Healthcare implementation of GAISSF requires integration rather than parallel governance. Cybersecurity and AI security controls must connect to patient safety, privacy, clinical workflow, quality, procurement, resilience, and incident response. Proportionality should be based on real consequence pathways, dependency, reversibility, data sensitivity, autonomy, and the effectiveness of human and operational controls.</w:t>
      </w:r>
    </w:p>
    <w:p>
      <w:pPr>
        <w:spacing w:after="80"/>
      </w:pPr>
      <w:r>
        <w:t>Evidence, monitoring, fallback, and change control are central. The objective is not to produce more paperwork; it is to demonstrate that defined controls operate for the deployed system and that limitations, residual risks, and absent evidence are visible to accountable decision-makers.</w:t>
      </w:r>
    </w:p>
    <w:p>
      <w:pPr>
        <w:pStyle w:val="Heading1"/>
      </w:pPr>
      <w:r>
        <w:t>Annex A — Healthcare Terminology and Definitions</w:t>
      </w:r>
    </w:p>
    <w:tbl>
      <w:tblPr>
        <w:tblStyle w:val="TableGrid"/>
        <w:tblW w:type="auto" w:w="0"/>
        <w:jc w:val="center"/>
        <w:tblLook w:firstColumn="1" w:firstRow="1" w:lastColumn="0" w:lastRow="0" w:noHBand="0" w:noVBand="1" w:val="04A0"/>
      </w:tblPr>
      <w:tblGrid>
        <w:gridCol w:w="3408"/>
        <w:gridCol w:w="3408"/>
        <w:gridCol w:w="3408"/>
      </w:tblGrid>
      <w:tr>
        <w:trPr>
          <w:tblHeader w:val="true"/>
        </w:trPr>
        <w:tc>
          <w:tcPr>
            <w:tcW w:type="dxa" w:w="3408"/>
            <w:vAlign w:val="center"/>
            <w:shd w:fill="1F4E79"/>
          </w:tcPr>
          <w:p>
            <w:pPr>
              <w:spacing w:after="0"/>
            </w:pPr>
            <w:r>
              <w:rPr>
                <w:b/>
                <w:color w:val="FFFFFF"/>
                <w:sz w:val="15"/>
              </w:rPr>
              <w:t>Term</w:t>
            </w:r>
          </w:p>
        </w:tc>
        <w:tc>
          <w:tcPr>
            <w:tcW w:type="dxa" w:w="3408"/>
            <w:vAlign w:val="center"/>
            <w:shd w:fill="1F4E79"/>
          </w:tcPr>
          <w:p>
            <w:pPr>
              <w:spacing w:after="0"/>
            </w:pPr>
            <w:r>
              <w:rPr>
                <w:b/>
                <w:color w:val="FFFFFF"/>
                <w:sz w:val="15"/>
              </w:rPr>
              <w:t>Working definition</w:t>
            </w:r>
          </w:p>
        </w:tc>
        <w:tc>
          <w:tcPr>
            <w:tcW w:type="dxa" w:w="3408"/>
            <w:vAlign w:val="center"/>
            <w:shd w:fill="1F4E79"/>
          </w:tcPr>
          <w:p>
            <w:pPr>
              <w:spacing w:after="0"/>
            </w:pPr>
            <w:r>
              <w:rPr>
                <w:b/>
                <w:color w:val="FFFFFF"/>
                <w:sz w:val="15"/>
              </w:rPr>
              <w:t>Verification note</w:t>
            </w:r>
          </w:p>
        </w:tc>
      </w:tr>
      <w:tr>
        <w:tc>
          <w:tcPr>
            <w:tcW w:type="dxa" w:w="3408"/>
            <w:vAlign w:val="center"/>
          </w:tcPr>
          <w:p>
            <w:pPr>
              <w:spacing w:after="0"/>
            </w:pPr>
            <w:r>
              <w:rPr>
                <w:sz w:val="15"/>
              </w:rPr>
              <w:t>Clinical AI</w:t>
            </w:r>
          </w:p>
        </w:tc>
        <w:tc>
          <w:tcPr>
            <w:tcW w:type="dxa" w:w="3408"/>
            <w:vAlign w:val="center"/>
          </w:tcPr>
          <w:p>
            <w:pPr>
              <w:spacing w:after="0"/>
            </w:pPr>
            <w:r>
              <w:rPr>
                <w:sz w:val="15"/>
              </w:rPr>
              <w:t>AI used in or materially influencing clinical care or clinical workflow</w:t>
            </w:r>
          </w:p>
        </w:tc>
        <w:tc>
          <w:tcPr>
            <w:tcW w:type="dxa" w:w="3408"/>
            <w:vAlign w:val="center"/>
          </w:tcPr>
          <w:p>
            <w:pPr>
              <w:spacing w:after="0"/>
            </w:pPr>
            <w:r>
              <w:rPr>
                <w:sz w:val="15"/>
              </w:rPr>
              <w:t>Organisational and legal scope may differ</w:t>
            </w:r>
          </w:p>
        </w:tc>
      </w:tr>
      <w:tr>
        <w:tc>
          <w:tcPr>
            <w:tcW w:type="dxa" w:w="3408"/>
            <w:vAlign w:val="center"/>
          </w:tcPr>
          <w:p>
            <w:pPr>
              <w:spacing w:after="0"/>
            </w:pPr>
            <w:r>
              <w:rPr>
                <w:sz w:val="15"/>
              </w:rPr>
              <w:t>Clinical decision support</w:t>
            </w:r>
          </w:p>
        </w:tc>
        <w:tc>
          <w:tcPr>
            <w:tcW w:type="dxa" w:w="3408"/>
            <w:vAlign w:val="center"/>
          </w:tcPr>
          <w:p>
            <w:pPr>
              <w:spacing w:after="0"/>
            </w:pPr>
            <w:r>
              <w:rPr>
                <w:sz w:val="15"/>
              </w:rPr>
              <w:t>Information or recommendations intended to assist a healthcare decision</w:t>
            </w:r>
          </w:p>
        </w:tc>
        <w:tc>
          <w:tcPr>
            <w:tcW w:type="dxa" w:w="3408"/>
            <w:vAlign w:val="center"/>
          </w:tcPr>
          <w:p>
            <w:pPr>
              <w:spacing w:after="0"/>
            </w:pPr>
            <w:r>
              <w:rPr>
                <w:sz w:val="15"/>
              </w:rPr>
              <w:t>Regulatory classification varies</w:t>
            </w:r>
          </w:p>
        </w:tc>
      </w:tr>
      <w:tr>
        <w:tc>
          <w:tcPr>
            <w:tcW w:type="dxa" w:w="3408"/>
            <w:vAlign w:val="center"/>
          </w:tcPr>
          <w:p>
            <w:pPr>
              <w:spacing w:after="0"/>
            </w:pPr>
            <w:r>
              <w:rPr>
                <w:sz w:val="15"/>
              </w:rPr>
              <w:t>Clinical validation</w:t>
            </w:r>
          </w:p>
        </w:tc>
        <w:tc>
          <w:tcPr>
            <w:tcW w:type="dxa" w:w="3408"/>
            <w:vAlign w:val="center"/>
          </w:tcPr>
          <w:p>
            <w:pPr>
              <w:spacing w:after="0"/>
            </w:pPr>
            <w:r>
              <w:rPr>
                <w:sz w:val="15"/>
              </w:rPr>
              <w:t>Evidence that performance is valid for the intended clinical use, population and setting</w:t>
            </w:r>
          </w:p>
        </w:tc>
        <w:tc>
          <w:tcPr>
            <w:tcW w:type="dxa" w:w="3408"/>
            <w:vAlign w:val="center"/>
          </w:tcPr>
          <w:p>
            <w:pPr>
              <w:spacing w:after="0"/>
            </w:pPr>
            <w:r>
              <w:rPr>
                <w:sz w:val="15"/>
              </w:rPr>
              <w:t>Requires clinical review</w:t>
            </w:r>
          </w:p>
        </w:tc>
      </w:tr>
      <w:tr>
        <w:tc>
          <w:tcPr>
            <w:tcW w:type="dxa" w:w="3408"/>
            <w:vAlign w:val="center"/>
          </w:tcPr>
          <w:p>
            <w:pPr>
              <w:spacing w:after="0"/>
            </w:pPr>
            <w:r>
              <w:rPr>
                <w:sz w:val="15"/>
              </w:rPr>
              <w:t>Technical validation</w:t>
            </w:r>
          </w:p>
        </w:tc>
        <w:tc>
          <w:tcPr>
            <w:tcW w:type="dxa" w:w="3408"/>
            <w:vAlign w:val="center"/>
          </w:tcPr>
          <w:p>
            <w:pPr>
              <w:spacing w:after="0"/>
            </w:pPr>
            <w:r>
              <w:rPr>
                <w:sz w:val="15"/>
              </w:rPr>
              <w:t>Evidence that technical requirements and performance criteria are met</w:t>
            </w:r>
          </w:p>
        </w:tc>
        <w:tc>
          <w:tcPr>
            <w:tcW w:type="dxa" w:w="3408"/>
            <w:vAlign w:val="center"/>
          </w:tcPr>
          <w:p>
            <w:pPr>
              <w:spacing w:after="0"/>
            </w:pPr>
            <w:r>
              <w:rPr>
                <w:sz w:val="15"/>
              </w:rPr>
              <w:t>Not equivalent to clinical utility</w:t>
            </w:r>
          </w:p>
        </w:tc>
      </w:tr>
      <w:tr>
        <w:tc>
          <w:tcPr>
            <w:tcW w:type="dxa" w:w="3408"/>
            <w:vAlign w:val="center"/>
          </w:tcPr>
          <w:p>
            <w:pPr>
              <w:spacing w:after="0"/>
            </w:pPr>
            <w:r>
              <w:rPr>
                <w:sz w:val="15"/>
              </w:rPr>
              <w:t>Clinical utility</w:t>
            </w:r>
          </w:p>
        </w:tc>
        <w:tc>
          <w:tcPr>
            <w:tcW w:type="dxa" w:w="3408"/>
            <w:vAlign w:val="center"/>
          </w:tcPr>
          <w:p>
            <w:pPr>
              <w:spacing w:after="0"/>
            </w:pPr>
            <w:r>
              <w:rPr>
                <w:sz w:val="15"/>
              </w:rPr>
              <w:t>Evidence that use produces meaningful benefit in practice</w:t>
            </w:r>
          </w:p>
        </w:tc>
        <w:tc>
          <w:tcPr>
            <w:tcW w:type="dxa" w:w="3408"/>
            <w:vAlign w:val="center"/>
          </w:tcPr>
          <w:p>
            <w:pPr>
              <w:spacing w:after="0"/>
            </w:pPr>
            <w:r>
              <w:rPr>
                <w:sz w:val="15"/>
              </w:rPr>
              <w:t>Not established by model accuracy alone</w:t>
            </w:r>
          </w:p>
        </w:tc>
      </w:tr>
      <w:tr>
        <w:tc>
          <w:tcPr>
            <w:tcW w:type="dxa" w:w="3408"/>
            <w:vAlign w:val="center"/>
          </w:tcPr>
          <w:p>
            <w:pPr>
              <w:spacing w:after="0"/>
            </w:pPr>
            <w:r>
              <w:rPr>
                <w:sz w:val="15"/>
              </w:rPr>
              <w:t>Medical device / SaMD</w:t>
            </w:r>
          </w:p>
        </w:tc>
        <w:tc>
          <w:tcPr>
            <w:tcW w:type="dxa" w:w="3408"/>
            <w:vAlign w:val="center"/>
          </w:tcPr>
          <w:p>
            <w:pPr>
              <w:spacing w:after="0"/>
            </w:pPr>
            <w:r>
              <w:rPr>
                <w:sz w:val="15"/>
              </w:rPr>
              <w:t>Product categories defined by applicable medical-device law</w:t>
            </w:r>
          </w:p>
        </w:tc>
        <w:tc>
          <w:tcPr>
            <w:tcW w:type="dxa" w:w="3408"/>
            <w:vAlign w:val="center"/>
          </w:tcPr>
          <w:p>
            <w:pPr>
              <w:spacing w:after="0"/>
            </w:pPr>
            <w:r>
              <w:rPr>
                <w:sz w:val="15"/>
              </w:rPr>
              <w:t>Jurisdictional definition must be verified</w:t>
            </w:r>
          </w:p>
        </w:tc>
      </w:tr>
      <w:tr>
        <w:tc>
          <w:tcPr>
            <w:tcW w:type="dxa" w:w="3408"/>
            <w:vAlign w:val="center"/>
          </w:tcPr>
          <w:p>
            <w:pPr>
              <w:spacing w:after="0"/>
            </w:pPr>
            <w:r>
              <w:rPr>
                <w:sz w:val="15"/>
              </w:rPr>
              <w:t>Patient safety / clinical safety</w:t>
            </w:r>
          </w:p>
        </w:tc>
        <w:tc>
          <w:tcPr>
            <w:tcW w:type="dxa" w:w="3408"/>
            <w:vAlign w:val="center"/>
          </w:tcPr>
          <w:p>
            <w:pPr>
              <w:spacing w:after="0"/>
            </w:pPr>
            <w:r>
              <w:rPr>
                <w:sz w:val="15"/>
              </w:rPr>
              <w:t>Prevention or control of avoidable harm arising in care or health technology use</w:t>
            </w:r>
          </w:p>
        </w:tc>
        <w:tc>
          <w:tcPr>
            <w:tcW w:type="dxa" w:w="3408"/>
            <w:vAlign w:val="center"/>
          </w:tcPr>
          <w:p>
            <w:pPr>
              <w:spacing w:after="0"/>
            </w:pPr>
            <w:r>
              <w:rPr>
                <w:sz w:val="15"/>
              </w:rPr>
              <w:t>Local safety terminology may differ</w:t>
            </w:r>
          </w:p>
        </w:tc>
      </w:tr>
      <w:tr>
        <w:tc>
          <w:tcPr>
            <w:tcW w:type="dxa" w:w="3408"/>
            <w:vAlign w:val="center"/>
          </w:tcPr>
          <w:p>
            <w:pPr>
              <w:spacing w:after="0"/>
            </w:pPr>
            <w:r>
              <w:rPr>
                <w:sz w:val="15"/>
              </w:rPr>
              <w:t>Health data</w:t>
            </w:r>
          </w:p>
        </w:tc>
        <w:tc>
          <w:tcPr>
            <w:tcW w:type="dxa" w:w="3408"/>
            <w:vAlign w:val="center"/>
          </w:tcPr>
          <w:p>
            <w:pPr>
              <w:spacing w:after="0"/>
            </w:pPr>
            <w:r>
              <w:rPr>
                <w:sz w:val="15"/>
              </w:rPr>
              <w:t>Data about health, care, treatment, biometrics, genetics or related identity/context</w:t>
            </w:r>
          </w:p>
        </w:tc>
        <w:tc>
          <w:tcPr>
            <w:tcW w:type="dxa" w:w="3408"/>
            <w:vAlign w:val="center"/>
          </w:tcPr>
          <w:p>
            <w:pPr>
              <w:spacing w:after="0"/>
            </w:pPr>
            <w:r>
              <w:rPr>
                <w:sz w:val="15"/>
              </w:rPr>
              <w:t>Legal definitions vary</w:t>
            </w:r>
          </w:p>
        </w:tc>
      </w:tr>
      <w:tr>
        <w:tc>
          <w:tcPr>
            <w:tcW w:type="dxa" w:w="3408"/>
            <w:vAlign w:val="center"/>
          </w:tcPr>
          <w:p>
            <w:pPr>
              <w:spacing w:after="0"/>
            </w:pPr>
            <w:r>
              <w:rPr>
                <w:sz w:val="15"/>
              </w:rPr>
              <w:t>Model drift / data drift</w:t>
            </w:r>
          </w:p>
        </w:tc>
        <w:tc>
          <w:tcPr>
            <w:tcW w:type="dxa" w:w="3408"/>
            <w:vAlign w:val="center"/>
          </w:tcPr>
          <w:p>
            <w:pPr>
              <w:spacing w:after="0"/>
            </w:pPr>
            <w:r>
              <w:rPr>
                <w:sz w:val="15"/>
              </w:rPr>
              <w:t>Material change in model behaviour or input distribution over time</w:t>
            </w:r>
          </w:p>
        </w:tc>
        <w:tc>
          <w:tcPr>
            <w:tcW w:type="dxa" w:w="3408"/>
            <w:vAlign w:val="center"/>
          </w:tcPr>
          <w:p>
            <w:pPr>
              <w:spacing w:after="0"/>
            </w:pPr>
            <w:r>
              <w:rPr>
                <w:sz w:val="15"/>
              </w:rPr>
              <w:t>Thresholds are use-specific</w:t>
            </w:r>
          </w:p>
        </w:tc>
      </w:tr>
      <w:tr>
        <w:tc>
          <w:tcPr>
            <w:tcW w:type="dxa" w:w="3408"/>
            <w:vAlign w:val="center"/>
          </w:tcPr>
          <w:p>
            <w:pPr>
              <w:spacing w:after="0"/>
            </w:pPr>
            <w:r>
              <w:rPr>
                <w:sz w:val="15"/>
              </w:rPr>
              <w:t>Human oversight</w:t>
            </w:r>
          </w:p>
        </w:tc>
        <w:tc>
          <w:tcPr>
            <w:tcW w:type="dxa" w:w="3408"/>
            <w:vAlign w:val="center"/>
          </w:tcPr>
          <w:p>
            <w:pPr>
              <w:spacing w:after="0"/>
            </w:pPr>
            <w:r>
              <w:rPr>
                <w:sz w:val="15"/>
              </w:rPr>
              <w:t>Effective human authority, review, intervention, escalation and accountability</w:t>
            </w:r>
          </w:p>
        </w:tc>
        <w:tc>
          <w:tcPr>
            <w:tcW w:type="dxa" w:w="3408"/>
            <w:vAlign w:val="center"/>
          </w:tcPr>
          <w:p>
            <w:pPr>
              <w:spacing w:after="0"/>
            </w:pPr>
            <w:r>
              <w:rPr>
                <w:sz w:val="15"/>
              </w:rPr>
              <w:t>Must be tested in workflow</w:t>
            </w:r>
          </w:p>
        </w:tc>
      </w:tr>
      <w:tr>
        <w:tc>
          <w:tcPr>
            <w:tcW w:type="dxa" w:w="3408"/>
            <w:vAlign w:val="center"/>
          </w:tcPr>
          <w:p>
            <w:pPr>
              <w:spacing w:after="0"/>
            </w:pPr>
            <w:r>
              <w:rPr>
                <w:sz w:val="15"/>
              </w:rPr>
              <w:t>Automation bias</w:t>
            </w:r>
          </w:p>
        </w:tc>
        <w:tc>
          <w:tcPr>
            <w:tcW w:type="dxa" w:w="3408"/>
            <w:vAlign w:val="center"/>
          </w:tcPr>
          <w:p>
            <w:pPr>
              <w:spacing w:after="0"/>
            </w:pPr>
            <w:r>
              <w:rPr>
                <w:sz w:val="15"/>
              </w:rPr>
              <w:t>Excessive reliance on automated output despite contrary information</w:t>
            </w:r>
          </w:p>
        </w:tc>
        <w:tc>
          <w:tcPr>
            <w:tcW w:type="dxa" w:w="3408"/>
            <w:vAlign w:val="center"/>
          </w:tcPr>
          <w:p>
            <w:pPr>
              <w:spacing w:after="0"/>
            </w:pPr>
            <w:r>
              <w:rPr>
                <w:sz w:val="15"/>
              </w:rPr>
              <w:t>Human-factors concept</w:t>
            </w:r>
          </w:p>
        </w:tc>
      </w:tr>
      <w:tr>
        <w:tc>
          <w:tcPr>
            <w:tcW w:type="dxa" w:w="3408"/>
            <w:vAlign w:val="center"/>
          </w:tcPr>
          <w:p>
            <w:pPr>
              <w:spacing w:after="0"/>
            </w:pPr>
            <w:r>
              <w:rPr>
                <w:sz w:val="15"/>
              </w:rPr>
              <w:t>Adverse event / near miss</w:t>
            </w:r>
          </w:p>
        </w:tc>
        <w:tc>
          <w:tcPr>
            <w:tcW w:type="dxa" w:w="3408"/>
            <w:vAlign w:val="center"/>
          </w:tcPr>
          <w:p>
            <w:pPr>
              <w:spacing w:after="0"/>
            </w:pPr>
            <w:r>
              <w:rPr>
                <w:sz w:val="15"/>
              </w:rPr>
              <w:t>Harmful event, or event that could have caused harm but did not</w:t>
            </w:r>
          </w:p>
        </w:tc>
        <w:tc>
          <w:tcPr>
            <w:tcW w:type="dxa" w:w="3408"/>
            <w:vAlign w:val="center"/>
          </w:tcPr>
          <w:p>
            <w:pPr>
              <w:spacing w:after="0"/>
            </w:pPr>
            <w:r>
              <w:rPr>
                <w:sz w:val="15"/>
              </w:rPr>
              <w:t>Reporting definitions vary</w:t>
            </w:r>
          </w:p>
        </w:tc>
      </w:tr>
      <w:tr>
        <w:tc>
          <w:tcPr>
            <w:tcW w:type="dxa" w:w="3408"/>
            <w:vAlign w:val="center"/>
          </w:tcPr>
          <w:p>
            <w:pPr>
              <w:spacing w:after="0"/>
            </w:pPr>
            <w:r>
              <w:rPr>
                <w:sz w:val="15"/>
              </w:rPr>
              <w:t>Intended use / foreseeable misuse</w:t>
            </w:r>
          </w:p>
        </w:tc>
        <w:tc>
          <w:tcPr>
            <w:tcW w:type="dxa" w:w="3408"/>
            <w:vAlign w:val="center"/>
          </w:tcPr>
          <w:p>
            <w:pPr>
              <w:spacing w:after="0"/>
            </w:pPr>
            <w:r>
              <w:rPr>
                <w:sz w:val="15"/>
              </w:rPr>
              <w:t>Authorised purpose and reasonably predictable use outside that purpose</w:t>
            </w:r>
          </w:p>
        </w:tc>
        <w:tc>
          <w:tcPr>
            <w:tcW w:type="dxa" w:w="3408"/>
            <w:vAlign w:val="center"/>
          </w:tcPr>
          <w:p>
            <w:pPr>
              <w:spacing w:after="0"/>
            </w:pPr>
            <w:r>
              <w:rPr>
                <w:sz w:val="15"/>
              </w:rPr>
              <w:t>Regulatory phrasing may vary</w:t>
            </w:r>
          </w:p>
        </w:tc>
      </w:tr>
      <w:tr>
        <w:tc>
          <w:tcPr>
            <w:tcW w:type="dxa" w:w="3408"/>
            <w:vAlign w:val="center"/>
          </w:tcPr>
          <w:p>
            <w:pPr>
              <w:spacing w:after="0"/>
            </w:pPr>
            <w:r>
              <w:rPr>
                <w:sz w:val="15"/>
              </w:rPr>
              <w:t>Ambient clinical documentation</w:t>
            </w:r>
          </w:p>
        </w:tc>
        <w:tc>
          <w:tcPr>
            <w:tcW w:type="dxa" w:w="3408"/>
            <w:vAlign w:val="center"/>
          </w:tcPr>
          <w:p>
            <w:pPr>
              <w:spacing w:after="0"/>
            </w:pPr>
            <w:r>
              <w:rPr>
                <w:sz w:val="15"/>
              </w:rPr>
              <w:t>Capture and AI-assisted drafting of clinical documentation from encounters</w:t>
            </w:r>
          </w:p>
        </w:tc>
        <w:tc>
          <w:tcPr>
            <w:tcW w:type="dxa" w:w="3408"/>
            <w:vAlign w:val="center"/>
          </w:tcPr>
          <w:p>
            <w:pPr>
              <w:spacing w:after="0"/>
            </w:pPr>
            <w:r>
              <w:rPr>
                <w:sz w:val="15"/>
              </w:rPr>
              <w:t>Privacy and recording rules vary</w:t>
            </w:r>
          </w:p>
        </w:tc>
      </w:tr>
      <w:tr>
        <w:tc>
          <w:tcPr>
            <w:tcW w:type="dxa" w:w="3408"/>
            <w:vAlign w:val="center"/>
          </w:tcPr>
          <w:p>
            <w:pPr>
              <w:spacing w:after="0"/>
            </w:pPr>
            <w:r>
              <w:rPr>
                <w:sz w:val="15"/>
              </w:rPr>
              <w:t>Safety case</w:t>
            </w:r>
          </w:p>
        </w:tc>
        <w:tc>
          <w:tcPr>
            <w:tcW w:type="dxa" w:w="3408"/>
            <w:vAlign w:val="center"/>
          </w:tcPr>
          <w:p>
            <w:pPr>
              <w:spacing w:after="0"/>
            </w:pPr>
            <w:r>
              <w:rPr>
                <w:sz w:val="15"/>
              </w:rPr>
              <w:t>Structured argument supported by evidence that risk is acceptably controlled</w:t>
            </w:r>
          </w:p>
        </w:tc>
        <w:tc>
          <w:tcPr>
            <w:tcW w:type="dxa" w:w="3408"/>
            <w:vAlign w:val="center"/>
          </w:tcPr>
          <w:p>
            <w:pPr>
              <w:spacing w:after="0"/>
            </w:pPr>
            <w:r>
              <w:rPr>
                <w:sz w:val="15"/>
              </w:rPr>
              <w:t>Form and legal status vary</w:t>
            </w:r>
          </w:p>
        </w:tc>
      </w:tr>
    </w:tbl>
    <w:p>
      <w:pPr>
        <w:pStyle w:val="Heading1"/>
      </w:pPr>
      <w:r>
        <w:t>Annex B — Healthcare AI System Inventory Template</w:t>
      </w:r>
    </w:p>
    <w:p>
      <w:pPr>
        <w:spacing w:after="80"/>
      </w:pPr>
      <w:r>
        <w:t>Fields: system ID; name; owner; vendor; model provider; purpose; intended use; prohibited use; clinical/non-clinical; users; patient population; environment; data classes; integrations; autonomy; human oversight; device status; regulatory status; risk tier; lifecycle state; monitoring owner; validation dates; dependencies; incident history; evidence location; retirement date. A JSON schema and spreadsheet sheet are supplied in the package.</w:t>
      </w:r>
    </w:p>
    <w:p>
      <w:pPr>
        <w:pStyle w:val="Heading1"/>
      </w:pPr>
      <w:r>
        <w:t>Annex C — Healthcare AI Risk-Assessment Template</w:t>
      </w:r>
    </w:p>
    <w:p>
      <w:pPr>
        <w:spacing w:after="80"/>
      </w:pPr>
      <w:r>
        <w:t>Record system context; affected stakeholders; intended and prohibited use; patient-safety, privacy, security, availability and operational impact; threat and failure scenarios; preconditions; existing controls; gaps; likelihood and impact rationale; detectability; reversibility; residual risk; risk owner; approval; monitoring; and review trigger.</w:t>
      </w:r>
    </w:p>
    <w:p>
      <w:pPr>
        <w:pStyle w:val="Heading1"/>
      </w:pPr>
      <w:r>
        <w:t>Annex D — Supplier Assessment Questionnaire</w:t>
      </w:r>
    </w:p>
    <w:p>
      <w:pPr>
        <w:spacing w:after="80"/>
      </w:pPr>
      <w:r>
        <w:t>Minimum question groups: organisation and service scope; architecture and hosting; model and version management; data collection, use, retention, training and deletion; identity and administrative access; secure development; testing and red teaming; vulnerability disclosure; incident history and notification; availability and recovery; subcontractors and locations; change notice; logging and customer evidence; clinical validation; regulatory status; IP and licensing; support; portability and exit. Require evidence and note scope exclusions.</w:t>
      </w:r>
    </w:p>
    <w:p>
      <w:pPr>
        <w:pStyle w:val="Heading1"/>
      </w:pPr>
      <w:r>
        <w:t>Annex E — Clinical and Security Validation Checklist</w:t>
      </w:r>
    </w:p>
    <w:p>
      <w:pPr>
        <w:spacing w:after="80"/>
      </w:pPr>
      <w:r>
        <w:t>Separate workstreams for clinical validity and utility; technical performance; cybersecurity and adversarial robustness; privacy and leakage; operational workflow and usability; human factors; resilience and fallback. Each workstream must define scope, environment, population, version, criteria, results, limitations, unresolved findings, approval, and revalidation triggers.</w:t>
      </w:r>
    </w:p>
    <w:p>
      <w:pPr>
        <w:pStyle w:val="Heading1"/>
      </w:pPr>
      <w:r>
        <w:t>Annex F — Incident Triage and Escalation Matrix</w:t>
      </w:r>
    </w:p>
    <w:p>
      <w:pPr>
        <w:spacing w:after="80"/>
      </w:pPr>
      <w:r>
        <w:t>Use the incident matrix in Section 22 and identify escalation to clinical safety, security operations, privacy, quality, regulatory, legal, supplier, executive, communications, and patient-support functions. The matrix must include out-of-hours contacts, authority to suspend use, evidence preservation, affected-decision review, and external-notification decision ownership.</w:t>
      </w:r>
    </w:p>
    <w:p>
      <w:pPr>
        <w:pStyle w:val="Heading1"/>
      </w:pPr>
      <w:r>
        <w:t>Annex G — Evidence Catalogue</w:t>
      </w:r>
    </w:p>
    <w:p>
      <w:pPr>
        <w:spacing w:after="80"/>
      </w:pPr>
      <w:r>
        <w:t>The package includes a structured evidence catalogue in JSON and spreadsheet form. Evidence should be mapped to lifecycle stage, control objective, owner, system version, period, assessor use, retention, and limitations.</w:t>
      </w:r>
    </w:p>
    <w:p>
      <w:pPr>
        <w:pStyle w:val="Heading1"/>
      </w:pPr>
      <w:r>
        <w:t>Annex H — Healthcare Implementation Maturity Model</w:t>
      </w:r>
    </w:p>
    <w:tbl>
      <w:tblPr>
        <w:tblStyle w:val="TableGrid"/>
        <w:tblW w:type="auto" w:w="0"/>
        <w:jc w:val="center"/>
        <w:tblLook w:firstColumn="1" w:firstRow="1" w:lastColumn="0" w:lastRow="0" w:noHBand="0" w:noVBand="1" w:val="04A0"/>
      </w:tblPr>
      <w:tblGrid>
        <w:gridCol w:w="2556"/>
        <w:gridCol w:w="2556"/>
        <w:gridCol w:w="2556"/>
        <w:gridCol w:w="2556"/>
      </w:tblGrid>
      <w:tr>
        <w:trPr>
          <w:tblHeader w:val="true"/>
        </w:trPr>
        <w:tc>
          <w:tcPr>
            <w:tcW w:type="dxa" w:w="2556"/>
            <w:vAlign w:val="center"/>
            <w:shd w:fill="1F4E79"/>
          </w:tcPr>
          <w:p>
            <w:pPr>
              <w:spacing w:after="0"/>
            </w:pPr>
            <w:r>
              <w:rPr>
                <w:b/>
                <w:color w:val="FFFFFF"/>
                <w:sz w:val="15"/>
              </w:rPr>
              <w:t>Level</w:t>
            </w:r>
          </w:p>
        </w:tc>
        <w:tc>
          <w:tcPr>
            <w:tcW w:type="dxa" w:w="2556"/>
            <w:vAlign w:val="center"/>
            <w:shd w:fill="1F4E79"/>
          </w:tcPr>
          <w:p>
            <w:pPr>
              <w:spacing w:after="0"/>
            </w:pPr>
            <w:r>
              <w:rPr>
                <w:b/>
                <w:color w:val="FFFFFF"/>
                <w:sz w:val="15"/>
              </w:rPr>
              <w:t>Governance</w:t>
            </w:r>
          </w:p>
        </w:tc>
        <w:tc>
          <w:tcPr>
            <w:tcW w:type="dxa" w:w="2556"/>
            <w:vAlign w:val="center"/>
            <w:shd w:fill="1F4E79"/>
          </w:tcPr>
          <w:p>
            <w:pPr>
              <w:spacing w:after="0"/>
            </w:pPr>
            <w:r>
              <w:rPr>
                <w:b/>
                <w:color w:val="FFFFFF"/>
                <w:sz w:val="15"/>
              </w:rPr>
              <w:t>Technical / clinical practice</w:t>
            </w:r>
          </w:p>
        </w:tc>
        <w:tc>
          <w:tcPr>
            <w:tcW w:type="dxa" w:w="2556"/>
            <w:vAlign w:val="center"/>
            <w:shd w:fill="1F4E79"/>
          </w:tcPr>
          <w:p>
            <w:pPr>
              <w:spacing w:after="0"/>
            </w:pPr>
            <w:r>
              <w:rPr>
                <w:b/>
                <w:color w:val="FFFFFF"/>
                <w:sz w:val="15"/>
              </w:rPr>
              <w:t>Monitoring and evidence</w:t>
            </w:r>
          </w:p>
        </w:tc>
      </w:tr>
      <w:tr>
        <w:tc>
          <w:tcPr>
            <w:tcW w:type="dxa" w:w="2556"/>
            <w:vAlign w:val="center"/>
          </w:tcPr>
          <w:p>
            <w:pPr>
              <w:spacing w:after="0"/>
            </w:pPr>
            <w:r>
              <w:rPr>
                <w:sz w:val="15"/>
              </w:rPr>
              <w:t>1 Initial</w:t>
            </w:r>
          </w:p>
        </w:tc>
        <w:tc>
          <w:tcPr>
            <w:tcW w:type="dxa" w:w="2556"/>
            <w:vAlign w:val="center"/>
          </w:tcPr>
          <w:p>
            <w:pPr>
              <w:spacing w:after="0"/>
            </w:pPr>
            <w:r>
              <w:rPr>
                <w:sz w:val="15"/>
              </w:rPr>
              <w:t>Ad hoc ownership</w:t>
            </w:r>
          </w:p>
        </w:tc>
        <w:tc>
          <w:tcPr>
            <w:tcW w:type="dxa" w:w="2556"/>
            <w:vAlign w:val="center"/>
          </w:tcPr>
          <w:p>
            <w:pPr>
              <w:spacing w:after="0"/>
            </w:pPr>
            <w:r>
              <w:rPr>
                <w:sz w:val="15"/>
              </w:rPr>
              <w:t>Inconsistent review</w:t>
            </w:r>
          </w:p>
        </w:tc>
        <w:tc>
          <w:tcPr>
            <w:tcW w:type="dxa" w:w="2556"/>
            <w:vAlign w:val="center"/>
          </w:tcPr>
          <w:p>
            <w:pPr>
              <w:spacing w:after="0"/>
            </w:pPr>
            <w:r>
              <w:rPr>
                <w:sz w:val="15"/>
              </w:rPr>
              <w:t>Limited evidence; reactive incidents</w:t>
            </w:r>
          </w:p>
        </w:tc>
      </w:tr>
      <w:tr>
        <w:tc>
          <w:tcPr>
            <w:tcW w:type="dxa" w:w="2556"/>
            <w:vAlign w:val="center"/>
          </w:tcPr>
          <w:p>
            <w:pPr>
              <w:spacing w:after="0"/>
            </w:pPr>
            <w:r>
              <w:rPr>
                <w:sz w:val="15"/>
              </w:rPr>
              <w:t>2 Defined</w:t>
            </w:r>
          </w:p>
        </w:tc>
        <w:tc>
          <w:tcPr>
            <w:tcW w:type="dxa" w:w="2556"/>
            <w:vAlign w:val="center"/>
          </w:tcPr>
          <w:p>
            <w:pPr>
              <w:spacing w:after="0"/>
            </w:pPr>
            <w:r>
              <w:rPr>
                <w:sz w:val="15"/>
              </w:rPr>
              <w:t>Policies, roles and inventory established</w:t>
            </w:r>
          </w:p>
        </w:tc>
        <w:tc>
          <w:tcPr>
            <w:tcW w:type="dxa" w:w="2556"/>
            <w:vAlign w:val="center"/>
          </w:tcPr>
          <w:p>
            <w:pPr>
              <w:spacing w:after="0"/>
            </w:pPr>
            <w:r>
              <w:rPr>
                <w:sz w:val="15"/>
              </w:rPr>
              <w:t>Standard methods documented</w:t>
            </w:r>
          </w:p>
        </w:tc>
        <w:tc>
          <w:tcPr>
            <w:tcW w:type="dxa" w:w="2556"/>
            <w:vAlign w:val="center"/>
          </w:tcPr>
          <w:p>
            <w:pPr>
              <w:spacing w:after="0"/>
            </w:pPr>
            <w:r>
              <w:rPr>
                <w:sz w:val="15"/>
              </w:rPr>
              <w:t>Basic records and planned metrics</w:t>
            </w:r>
          </w:p>
        </w:tc>
      </w:tr>
      <w:tr>
        <w:tc>
          <w:tcPr>
            <w:tcW w:type="dxa" w:w="2556"/>
            <w:vAlign w:val="center"/>
          </w:tcPr>
          <w:p>
            <w:pPr>
              <w:spacing w:after="0"/>
            </w:pPr>
            <w:r>
              <w:rPr>
                <w:sz w:val="15"/>
              </w:rPr>
              <w:t>3 Implemented</w:t>
            </w:r>
          </w:p>
        </w:tc>
        <w:tc>
          <w:tcPr>
            <w:tcW w:type="dxa" w:w="2556"/>
            <w:vAlign w:val="center"/>
          </w:tcPr>
          <w:p>
            <w:pPr>
              <w:spacing w:after="0"/>
            </w:pPr>
            <w:r>
              <w:rPr>
                <w:sz w:val="15"/>
              </w:rPr>
              <w:t>Accountable governance operates</w:t>
            </w:r>
          </w:p>
        </w:tc>
        <w:tc>
          <w:tcPr>
            <w:tcW w:type="dxa" w:w="2556"/>
            <w:vAlign w:val="center"/>
          </w:tcPr>
          <w:p>
            <w:pPr>
              <w:spacing w:after="0"/>
            </w:pPr>
            <w:r>
              <w:rPr>
                <w:sz w:val="15"/>
              </w:rPr>
              <w:t>Controls and validation applied by risk</w:t>
            </w:r>
          </w:p>
        </w:tc>
        <w:tc>
          <w:tcPr>
            <w:tcW w:type="dxa" w:w="2556"/>
            <w:vAlign w:val="center"/>
          </w:tcPr>
          <w:p>
            <w:pPr>
              <w:spacing w:after="0"/>
            </w:pPr>
            <w:r>
              <w:rPr>
                <w:sz w:val="15"/>
              </w:rPr>
              <w:t>Regular monitoring and incident integration</w:t>
            </w:r>
          </w:p>
        </w:tc>
      </w:tr>
      <w:tr>
        <w:tc>
          <w:tcPr>
            <w:tcW w:type="dxa" w:w="2556"/>
            <w:vAlign w:val="center"/>
          </w:tcPr>
          <w:p>
            <w:pPr>
              <w:spacing w:after="0"/>
            </w:pPr>
            <w:r>
              <w:rPr>
                <w:sz w:val="15"/>
              </w:rPr>
              <w:t>4 Measured</w:t>
            </w:r>
          </w:p>
        </w:tc>
        <w:tc>
          <w:tcPr>
            <w:tcW w:type="dxa" w:w="2556"/>
            <w:vAlign w:val="center"/>
          </w:tcPr>
          <w:p>
            <w:pPr>
              <w:spacing w:after="0"/>
            </w:pPr>
            <w:r>
              <w:rPr>
                <w:sz w:val="15"/>
              </w:rPr>
              <w:t>Decisions use performance and risk data</w:t>
            </w:r>
          </w:p>
        </w:tc>
        <w:tc>
          <w:tcPr>
            <w:tcW w:type="dxa" w:w="2556"/>
            <w:vAlign w:val="center"/>
          </w:tcPr>
          <w:p>
            <w:pPr>
              <w:spacing w:after="0"/>
            </w:pPr>
            <w:r>
              <w:rPr>
                <w:sz w:val="15"/>
              </w:rPr>
              <w:t>Independent assurance and trend analysis</w:t>
            </w:r>
          </w:p>
        </w:tc>
        <w:tc>
          <w:tcPr>
            <w:tcW w:type="dxa" w:w="2556"/>
            <w:vAlign w:val="center"/>
          </w:tcPr>
          <w:p>
            <w:pPr>
              <w:spacing w:after="0"/>
            </w:pPr>
            <w:r>
              <w:rPr>
                <w:sz w:val="15"/>
              </w:rPr>
              <w:t>Reliable metrics, traceability and CAPA</w:t>
            </w:r>
          </w:p>
        </w:tc>
      </w:tr>
      <w:tr>
        <w:tc>
          <w:tcPr>
            <w:tcW w:type="dxa" w:w="2556"/>
            <w:vAlign w:val="center"/>
          </w:tcPr>
          <w:p>
            <w:pPr>
              <w:spacing w:after="0"/>
            </w:pPr>
            <w:r>
              <w:rPr>
                <w:sz w:val="15"/>
              </w:rPr>
              <w:t>5 Continuously improved</w:t>
            </w:r>
          </w:p>
        </w:tc>
        <w:tc>
          <w:tcPr>
            <w:tcW w:type="dxa" w:w="2556"/>
            <w:vAlign w:val="center"/>
          </w:tcPr>
          <w:p>
            <w:pPr>
              <w:spacing w:after="0"/>
            </w:pPr>
            <w:r>
              <w:rPr>
                <w:sz w:val="15"/>
              </w:rPr>
              <w:t>Governance adapts to learning</w:t>
            </w:r>
          </w:p>
        </w:tc>
        <w:tc>
          <w:tcPr>
            <w:tcW w:type="dxa" w:w="2556"/>
            <w:vAlign w:val="center"/>
          </w:tcPr>
          <w:p>
            <w:pPr>
              <w:spacing w:after="0"/>
            </w:pPr>
            <w:r>
              <w:rPr>
                <w:sz w:val="15"/>
              </w:rPr>
              <w:t>Controls are tested and improved systematically</w:t>
            </w:r>
          </w:p>
        </w:tc>
        <w:tc>
          <w:tcPr>
            <w:tcW w:type="dxa" w:w="2556"/>
            <w:vAlign w:val="center"/>
          </w:tcPr>
          <w:p>
            <w:pPr>
              <w:spacing w:after="0"/>
            </w:pPr>
            <w:r>
              <w:rPr>
                <w:sz w:val="15"/>
              </w:rPr>
              <w:t>Cross-system learning and predictive risk indicators</w:t>
            </w:r>
          </w:p>
        </w:tc>
      </w:tr>
    </w:tbl>
    <w:p>
      <w:pPr>
        <w:spacing w:after="80"/>
      </w:pPr>
      <w:r>
        <w:t>Maturity is not equivalent to GAISSF conformance.</w:t>
      </w:r>
    </w:p>
    <w:p>
      <w:pPr>
        <w:pStyle w:val="Heading1"/>
      </w:pPr>
      <w:r>
        <w:t>Annex I — Example Responsibility Matrix</w:t>
      </w:r>
    </w:p>
    <w:p>
      <w:pPr>
        <w:spacing w:after="80"/>
      </w:pPr>
      <w:r>
        <w:t>Use the RACI in Section 10 as a baseline. Tailor role titles, ensure one accountable role per decision, and document shared responsibilities with suppliers. Patient or public representation may be appropriate for material patient-facing uses.</w:t>
      </w:r>
    </w:p>
    <w:p>
      <w:pPr>
        <w:pStyle w:val="Heading1"/>
      </w:pPr>
      <w:r>
        <w:t>Annex J — Healthcare Implementation Checklist</w:t>
      </w:r>
    </w:p>
    <w:p>
      <w:pPr>
        <w:spacing w:after="80"/>
      </w:pPr>
      <w:r>
        <w:t>The complete checklist is provided in XLSX, CSV, JSON, and Markdown. Categories include governance, inventory, risk, clinical safety, cybersecurity, privacy, data, development, suppliers, validation, deployment, oversight, monitoring, incidents, resilience, change, documentation, assessment and retirement.</w:t>
      </w:r>
    </w:p>
    <w:p>
      <w:pPr>
        <w:pStyle w:val="Heading1"/>
      </w:pPr>
      <w:r>
        <w:t>Annex K — Cross-Reference Register</w:t>
      </w:r>
    </w:p>
    <w:p>
      <w:pPr>
        <w:spacing w:after="80"/>
      </w:pPr>
      <w:r>
        <w:t>The package includes a register with fields: GAISSF clause; clause title; SEC-037 section; interpretation summary; related evidence; external framework; verification status; reviewer; notes. All GAISSF identifiers remain placeholders until reconciled to the approved normative standard.</w:t>
      </w:r>
    </w:p>
    <w:p>
      <w:pPr>
        <w:pStyle w:val="Heading1"/>
      </w:pPr>
      <w:r>
        <w:t>Annex L — Document Verification Checklist</w:t>
      </w:r>
    </w:p>
    <w:p>
      <w:pPr>
        <w:spacing w:after="80"/>
      </w:pPr>
      <w:r>
        <w:t>Verify: GAISSF references; external-standard titles and editions; regulations; terminology; absence of invented identifiers; normative/guidance separation; internal cross-references; table and figure numbering; defined terms; copyright, marks and licence; version/date; links; accessibility; spelling and grammar; unsupported compliance claims; certification disclaimers; Notably Absent coverage; and final legal, clinical, privacy, cybersecurity and standards approvals.</w:t>
      </w:r>
    </w:p>
    <w:p>
      <w:pPr>
        <w:pStyle w:val="Heading1"/>
      </w:pPr>
      <w:r>
        <w:t>Publication Readiness</w:t>
      </w:r>
    </w:p>
    <w:p>
      <w:pPr>
        <w:pStyle w:val="Heading2"/>
      </w:pPr>
      <w:r>
        <w:t>Unresolved placeholders</w:t>
      </w:r>
    </w:p>
    <w:p>
      <w:pPr>
        <w:pStyle w:val="ListNumber"/>
      </w:pPr>
      <w:r>
        <w:t>Applicable GAISSF version, domain names, clauses and control identifiers.</w:t>
      </w:r>
    </w:p>
    <w:p>
      <w:pPr>
        <w:pStyle w:val="ListNumber"/>
      </w:pPr>
      <w:r>
        <w:t>Publication date, approval identities, document owner and reviewers.</w:t>
      </w:r>
    </w:p>
    <w:p>
      <w:pPr>
        <w:pStyle w:val="ListNumber"/>
      </w:pPr>
      <w:r>
        <w:t>Publication licence and trademark-status wording.</w:t>
      </w:r>
    </w:p>
    <w:p>
      <w:pPr>
        <w:pStyle w:val="ListNumber"/>
      </w:pPr>
      <w:r>
        <w:t>Verified external standard titles, editions and statuses.</w:t>
      </w:r>
    </w:p>
    <w:p>
      <w:pPr>
        <w:pStyle w:val="ListNumber"/>
      </w:pPr>
      <w:r>
        <w:t>Jurisdiction-specific regulatory references, if any are added.</w:t>
      </w:r>
    </w:p>
    <w:p>
      <w:pPr>
        <w:pStyle w:val="ListNumber"/>
      </w:pPr>
      <w:r>
        <w:t>Final GitHub paths, website URL and document compatibility statement.</w:t>
      </w:r>
    </w:p>
    <w:p>
      <w:pPr>
        <w:pStyle w:val="Heading2"/>
      </w:pPr>
      <w:r>
        <w:t>External references requiring verification</w:t>
      </w:r>
    </w:p>
    <w:p>
      <w:pPr>
        <w:spacing w:after="80"/>
      </w:pPr>
      <w:r>
        <w:t>ISO/IEC 27001; ISO/IEC 27701; ISO/IEC 42001; ISO/IEC 23894; ISO 14971; IEC 62304; IEC 81001-5-1; IEC 80001 series; NIST Cybersecurity Framework; NIST AI Risk Management Framework; and any healthcare, medical-device, privacy, cybersecurity or AI regulation cited in the publication version.</w:t>
      </w:r>
    </w:p>
    <w:p>
      <w:pPr>
        <w:pStyle w:val="Heading2"/>
      </w:pPr>
      <w:r>
        <w:t>Decisions required from the GAISSF document owner</w:t>
      </w:r>
    </w:p>
    <w:p>
      <w:pPr>
        <w:spacing w:after="80"/>
      </w:pPr>
      <w:r>
        <w:t>Confirm the authoritative GAISSF release; approve sector interpretation boundaries; determine whether any healthcare interpretations require formal normative interpretation; approve risk-tier terminology; approve assessment-use wording; select licence; confirm marks; and accept the maintenance process.</w:t>
      </w:r>
    </w:p>
    <w:p>
      <w:pPr>
        <w:pStyle w:val="Heading2"/>
      </w:pPr>
      <w:r>
        <w:t>Recommended reviewers</w:t>
      </w:r>
    </w:p>
    <w:p>
      <w:pPr>
        <w:spacing w:after="80"/>
      </w:pPr>
      <w:r>
        <w:t>Clinical safety and practising clinician; healthcare CISO / security architect; AI and model security specialist; privacy and health-data counsel; medical-device security and regulatory specialist; healthcare quality and patient-safety lead; standards editor; assessor/auditor; supplier-risk practitioner; accessibility and publication reviewer.</w:t>
      </w:r>
    </w:p>
    <w:p>
      <w:pPr>
        <w:pStyle w:val="Heading2"/>
      </w:pPr>
      <w:r>
        <w:t>Publication-readiness verdict</w:t>
      </w:r>
    </w:p>
    <w:p>
      <w:pPr>
        <w:spacing w:after="80"/>
      </w:pPr>
      <w:r/>
      <w:r>
        <w:rPr>
          <w:b/>
        </w:rPr>
        <w:t>Not ready for publication.</w:t>
      </w:r>
      <w:r>
        <w:t xml:space="preserve"> The substantive implementation package is complete as a controlled draft, but material GAISSF cross-references, external references, legal/trademark/licensing statements, and multidisciplinary approvals remain unresolved.</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4"/>
      </w:rPr>
      <w:t xml:space="preserve">Controlled draft — not ready for publication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666666"/>
        <w:sz w:val="14"/>
      </w:rPr>
      <w:t>ODA3 Institute | SEC-037 | GAISSF Healthcare Sector Implementation Guide | 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00"/>
      <w:outlineLvl w:val="0"/>
    </w:pPr>
    <w:rPr>
      <w:rFonts w:asciiTheme="majorHAnsi" w:eastAsiaTheme="majorEastAsia" w:hAnsiTheme="majorHAnsi" w:cstheme="majorBidi" w:ascii="Aptos Display" w:hAnsi="Aptos Display"/>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1F4E79"/>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2F559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Healthcare Sector Implementation Guide</dc:title>
  <dc:subject>SEC-037 Healthcare sector implementation guidance</dc:subject>
  <dc:creator>ODA3 Institute</dc:creator>
  <cp:keywords>GAISSF, healthcare, AI security, cybersecurity, clinical safety, implementation guide</cp:keywords>
  <dc:description>generated by python-docx</dc:description>
  <cp:lastModifiedBy/>
  <cp:revision>1</cp:revision>
  <dcterms:created xsi:type="dcterms:W3CDTF">2013-12-23T23:15:00Z</dcterms:created>
  <dcterms:modified xsi:type="dcterms:W3CDTF">2013-12-23T23:15:00Z</dcterms:modified>
  <cp:category/>
</cp:coreProperties>
</file>