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32"/>
        </w:rPr>
        <w:t>ODA3 Institute™</w:t>
      </w:r>
    </w:p>
    <w:p/>
    <w:p>
      <w:pPr>
        <w:jc w:val="center"/>
      </w:pPr>
      <w:r>
        <w:rPr>
          <w:b/>
          <w:color w:val="17365D"/>
          <w:sz w:val="48"/>
        </w:rPr>
        <w:t>GAISSF™ Financial Services</w:t>
        <w:br/>
        <w:t>Sector Implementation Guide</w:t>
      </w:r>
    </w:p>
    <w:p>
      <w:pPr>
        <w:jc w:val="center"/>
      </w:pPr>
      <w:r>
        <w:rPr>
          <w:i/>
          <w:sz w:val="22"/>
        </w:rPr>
        <w:t>Operational guidance for secure, resilient, accountable, and evidence-based AI in financial services</w:t>
      </w:r>
    </w:p>
    <w:p/>
    <w:tbl>
      <w:tblPr>
        <w:tblW w:type="auto" w:w="0"/>
        <w:jc w:val="center"/>
        <w:tblLook w:firstColumn="1" w:firstRow="1" w:lastColumn="0" w:lastRow="0" w:noHBand="0" w:noVBand="1" w:val="04A0"/>
      </w:tblPr>
      <w:tblGrid>
        <w:gridCol w:w="10368"/>
      </w:tblGrid>
      <w:tr>
        <w:tc>
          <w:tcPr>
            <w:tcW w:type="dxa" w:w="10368"/>
            <w:vAlign w:val="center"/>
            <w:shd w:fill="C00000"/>
          </w:tcPr>
          <w:p>
            <w:pPr>
              <w:spacing w:after="0"/>
            </w:pPr>
            <w:r>
              <w:rPr>
                <w:b/>
              </w:rPr>
              <w:t>GAISSF v1.0 CONTROL MAPPING COMPLETED - FINAL PUBLICATION CANDIDATE</w:t>
            </w:r>
          </w:p>
        </w:tc>
      </w:tr>
    </w:tbl>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vAlign w:val="center"/>
            <w:shd w:fill="17365D"/>
          </w:tcPr>
          <w:p>
            <w:pPr>
              <w:spacing w:after="0"/>
            </w:pPr>
            <w:r/>
            <w:r>
              <w:rPr>
                <w:b/>
                <w:color w:val="FFFFFF"/>
                <w:sz w:val="18"/>
              </w:rPr>
              <w:t>Field</w:t>
            </w:r>
          </w:p>
        </w:tc>
        <w:tc>
          <w:tcPr>
            <w:tcW w:type="dxa" w:w="5184"/>
            <w:vAlign w:val="center"/>
            <w:shd w:fill="17365D"/>
          </w:tcPr>
          <w:p>
            <w:pPr>
              <w:spacing w:after="0"/>
            </w:pPr>
            <w:r/>
            <w:r>
              <w:rPr>
                <w:b/>
                <w:color w:val="FFFFFF"/>
                <w:sz w:val="18"/>
              </w:rPr>
              <w:t>Value</w:t>
            </w:r>
          </w:p>
        </w:tc>
      </w:tr>
      <w:tr>
        <w:trPr>
          <w:cantSplit/>
        </w:trPr>
        <w:tc>
          <w:tcPr>
            <w:tcW w:type="dxa" w:w="5184"/>
            <w:vAlign w:val="center"/>
          </w:tcPr>
          <w:p>
            <w:pPr>
              <w:spacing w:after="0"/>
            </w:pPr>
            <w:r/>
            <w:r>
              <w:rPr>
                <w:b w:val="0"/>
                <w:sz w:val="18"/>
              </w:rPr>
              <w:t>Document ID</w:t>
            </w:r>
          </w:p>
        </w:tc>
        <w:tc>
          <w:tcPr>
            <w:tcW w:type="dxa" w:w="5184"/>
            <w:vAlign w:val="center"/>
          </w:tcPr>
          <w:p>
            <w:pPr>
              <w:spacing w:after="0"/>
            </w:pPr>
            <w:r/>
            <w:r>
              <w:rPr>
                <w:b w:val="0"/>
                <w:sz w:val="18"/>
              </w:rPr>
              <w:t>SEC-038</w:t>
            </w:r>
          </w:p>
        </w:tc>
      </w:tr>
      <w:tr>
        <w:trPr>
          <w:cantSplit/>
        </w:trPr>
        <w:tc>
          <w:tcPr>
            <w:tcW w:type="dxa" w:w="5184"/>
            <w:vAlign w:val="center"/>
            <w:shd w:fill="EAF0F6"/>
          </w:tcPr>
          <w:p>
            <w:pPr>
              <w:spacing w:after="0"/>
            </w:pPr>
            <w:r/>
            <w:r>
              <w:rPr>
                <w:b w:val="0"/>
                <w:sz w:val="18"/>
              </w:rPr>
              <w:t>Version</w:t>
            </w:r>
          </w:p>
        </w:tc>
        <w:tc>
          <w:tcPr>
            <w:tcW w:type="dxa" w:w="5184"/>
            <w:vAlign w:val="center"/>
            <w:shd w:fill="EAF0F6"/>
          </w:tcPr>
          <w:p>
            <w:pPr>
              <w:spacing w:after="0"/>
            </w:pPr>
            <w:r/>
            <w:r>
              <w:rPr>
                <w:b w:val="0"/>
                <w:sz w:val="18"/>
              </w:rPr>
              <w:t>1.0</w:t>
            </w:r>
          </w:p>
        </w:tc>
      </w:tr>
      <w:tr>
        <w:trPr>
          <w:cantSplit/>
        </w:trPr>
        <w:tc>
          <w:tcPr>
            <w:tcW w:type="dxa" w:w="5184"/>
            <w:vAlign w:val="center"/>
          </w:tcPr>
          <w:p>
            <w:pPr>
              <w:spacing w:after="0"/>
            </w:pPr>
            <w:r/>
            <w:r>
              <w:rPr>
                <w:b w:val="0"/>
                <w:sz w:val="18"/>
              </w:rPr>
              <w:t>Publication date</w:t>
            </w:r>
          </w:p>
        </w:tc>
        <w:tc>
          <w:tcPr>
            <w:tcW w:type="dxa" w:w="5184"/>
            <w:vAlign w:val="center"/>
          </w:tcPr>
          <w:p>
            <w:pPr>
              <w:spacing w:after="0"/>
            </w:pPr>
            <w:r/>
            <w:r>
              <w:rPr>
                <w:b w:val="0"/>
                <w:sz w:val="18"/>
              </w:rPr>
              <w:t>1 May 2026</w:t>
            </w:r>
          </w:p>
        </w:tc>
      </w:tr>
      <w:tr>
        <w:trPr>
          <w:cantSplit/>
        </w:trPr>
        <w:tc>
          <w:tcPr>
            <w:tcW w:type="dxa" w:w="5184"/>
            <w:vAlign w:val="center"/>
            <w:shd w:fill="EAF0F6"/>
          </w:tcPr>
          <w:p>
            <w:pPr>
              <w:spacing w:after="0"/>
            </w:pPr>
            <w:r/>
            <w:r>
              <w:rPr>
                <w:b w:val="0"/>
                <w:sz w:val="18"/>
              </w:rPr>
              <w:t>Document owner</w:t>
            </w:r>
          </w:p>
        </w:tc>
        <w:tc>
          <w:tcPr>
            <w:tcW w:type="dxa" w:w="5184"/>
            <w:vAlign w:val="center"/>
            <w:shd w:fill="EAF0F6"/>
          </w:tcPr>
          <w:p>
            <w:pPr>
              <w:spacing w:after="0"/>
            </w:pPr>
            <w:r/>
            <w:r>
              <w:rPr>
                <w:b w:val="0"/>
                <w:sz w:val="18"/>
              </w:rPr>
              <w:t>ODA3 Institute</w:t>
            </w:r>
          </w:p>
        </w:tc>
      </w:tr>
      <w:tr>
        <w:trPr>
          <w:cantSplit/>
        </w:trPr>
        <w:tc>
          <w:tcPr>
            <w:tcW w:type="dxa" w:w="5184"/>
            <w:vAlign w:val="center"/>
          </w:tcPr>
          <w:p>
            <w:pPr>
              <w:spacing w:after="0"/>
            </w:pPr>
            <w:r/>
            <w:r>
              <w:rPr>
                <w:b w:val="0"/>
                <w:sz w:val="18"/>
              </w:rPr>
              <w:t>Status</w:t>
            </w:r>
          </w:p>
        </w:tc>
        <w:tc>
          <w:tcPr>
            <w:tcW w:type="dxa" w:w="5184"/>
            <w:vAlign w:val="center"/>
          </w:tcPr>
          <w:p>
            <w:pPr>
              <w:spacing w:after="0"/>
            </w:pPr>
            <w:r/>
            <w:r>
              <w:rPr>
                <w:b w:val="0"/>
                <w:sz w:val="18"/>
              </w:rPr>
              <w:t>Final Publication Candidate</w:t>
            </w:r>
          </w:p>
        </w:tc>
      </w:tr>
      <w:tr>
        <w:trPr>
          <w:cantSplit/>
        </w:trPr>
        <w:tc>
          <w:tcPr>
            <w:tcW w:type="dxa" w:w="5184"/>
            <w:vAlign w:val="center"/>
            <w:shd w:fill="EAF0F6"/>
          </w:tcPr>
          <w:p>
            <w:pPr>
              <w:spacing w:after="0"/>
            </w:pPr>
            <w:r/>
            <w:r>
              <w:rPr>
                <w:b w:val="0"/>
                <w:sz w:val="18"/>
              </w:rPr>
              <w:t>Publication licence</w:t>
            </w:r>
          </w:p>
        </w:tc>
        <w:tc>
          <w:tcPr>
            <w:tcW w:type="dxa" w:w="5184"/>
            <w:vAlign w:val="center"/>
            <w:shd w:fill="EAF0F6"/>
          </w:tcPr>
          <w:p>
            <w:pPr>
              <w:spacing w:after="0"/>
            </w:pPr>
            <w:r/>
            <w:r>
              <w:rPr>
                <w:b w:val="0"/>
                <w:sz w:val="18"/>
              </w:rPr>
              <w:t>GEL v1.0</w:t>
            </w:r>
          </w:p>
        </w:tc>
      </w:tr>
      <w:tr>
        <w:trPr>
          <w:cantSplit/>
        </w:trPr>
        <w:tc>
          <w:tcPr>
            <w:tcW w:type="dxa" w:w="5184"/>
            <w:vAlign w:val="center"/>
          </w:tcPr>
          <w:p>
            <w:pPr>
              <w:spacing w:after="0"/>
            </w:pPr>
            <w:r/>
            <w:r>
              <w:rPr>
                <w:b w:val="0"/>
                <w:sz w:val="18"/>
              </w:rPr>
              <w:t>Publication channel</w:t>
            </w:r>
          </w:p>
        </w:tc>
        <w:tc>
          <w:tcPr>
            <w:tcW w:type="dxa" w:w="5184"/>
            <w:vAlign w:val="center"/>
          </w:tcPr>
          <w:p>
            <w:pPr>
              <w:spacing w:after="0"/>
            </w:pPr>
            <w:r/>
            <w:r>
              <w:rPr>
                <w:b w:val="0"/>
                <w:sz w:val="18"/>
              </w:rPr>
              <w:t>Website / GitHub</w:t>
            </w:r>
          </w:p>
        </w:tc>
      </w:tr>
      <w:tr>
        <w:trPr>
          <w:cantSplit/>
        </w:trPr>
        <w:tc>
          <w:tcPr>
            <w:tcW w:type="dxa" w:w="5184"/>
            <w:vAlign w:val="center"/>
            <w:shd w:fill="EAF0F6"/>
          </w:tcPr>
          <w:p>
            <w:pPr>
              <w:spacing w:after="0"/>
            </w:pPr>
            <w:r/>
            <w:r>
              <w:rPr>
                <w:b w:val="0"/>
                <w:sz w:val="18"/>
              </w:rPr>
              <w:t>Gate status</w:t>
            </w:r>
          </w:p>
        </w:tc>
        <w:tc>
          <w:tcPr>
            <w:tcW w:type="dxa" w:w="5184"/>
            <w:vAlign w:val="center"/>
            <w:shd w:fill="EAF0F6"/>
          </w:tcPr>
          <w:p>
            <w:pPr>
              <w:spacing w:after="0"/>
            </w:pPr>
            <w:r/>
            <w:r>
              <w:rPr>
                <w:b w:val="0"/>
                <w:sz w:val="18"/>
              </w:rPr>
              <w:t>GAISSF control mapping completed; qualified legal review remains an organizational publication approval item</w:t>
            </w:r>
          </w:p>
        </w:tc>
      </w:tr>
    </w:tbl>
    <w:p>
      <w:pPr>
        <w:jc w:val="center"/>
      </w:pPr>
      <w:r>
        <w:rPr>
          <w:b/>
          <w:sz w:val="18"/>
        </w:rPr>
        <w:t>This guide does not amend the GAISSF normative standard and is not legal, regulatory, audit, certification, or supervisory advice.</w:t>
      </w:r>
    </w:p>
    <w:p>
      <w:r>
        <w:br w:type="page"/>
      </w:r>
    </w:p>
    <w:tbl>
      <w:tblPr>
        <w:tblW w:type="auto" w:w="0"/>
        <w:jc w:val="center"/>
        <w:tblLook w:firstColumn="1" w:firstRow="1" w:lastColumn="0" w:lastRow="0" w:noHBand="0" w:noVBand="1" w:val="04A0"/>
      </w:tblPr>
      <w:tblGrid>
        <w:gridCol w:w="10368"/>
      </w:tblGrid>
      <w:tr>
        <w:tc>
          <w:tcPr>
            <w:tcW w:type="dxa" w:w="10368"/>
            <w:vAlign w:val="center"/>
            <w:shd w:fill="2F5597"/>
          </w:tcPr>
          <w:p>
            <w:pPr>
              <w:spacing w:after="0"/>
            </w:pPr>
            <w:r/>
            <w:r>
              <w:rPr>
                <w:b/>
                <w:color w:val="FFFFFF"/>
                <w:sz w:val="22"/>
              </w:rPr>
              <w:t>GAISSF v1.0 CONTROL MAPPING COMPLETED AGAINST GAISSF-NOR-001</w:t>
            </w:r>
          </w:p>
        </w:tc>
      </w:tr>
    </w:tbl>
    <w:p>
      <w:pPr>
        <w:pStyle w:val="Heading1"/>
      </w:pPr>
      <w:r>
        <w:t>Executive summary</w:t>
      </w:r>
    </w:p>
    <w:p>
      <w:r>
        <w:t>Financial-services AI is not merely a technology issue. It can affect the balance sheet, customer access, financial crime exposure, market integrity, regulatory records, operational resilience, and confidence in critical financial services. SEC-038 translates GAISSF™ into financial-services implementation practices for organizations operating under adversarial pressure, real-time transaction conditions, interconnected dependencies, and strict expectations for accountability and evidence.</w:t>
      </w:r>
    </w:p>
    <w:p>
      <w:r>
        <w:t>The guide is intended for boards, risk committees, CISOs, security architects, model risk teams, AI governance leaders, compliance and financial-crime functions, data and technology leaders, internal audit, and accountable business owners. It is implementation guidance rather than a new conformance standard. Conformance decisions must be made against the verified GAISSF normative catalogue and applicable obligations.</w:t>
      </w:r>
    </w:p>
    <w:p>
      <w:r>
        <w:t>Successful implementation means that the organization can identify material AI use, assign accountable owners, constrain authority, validate outcomes, detect degradation, preserve reconstructable evidence, respond to incidents, protect customers, and demonstrate tested resilience. The accompanying workbook converts these expectations into a control-by-control implementation and evidence tracker.</w:t>
      </w:r>
    </w:p>
    <w:p>
      <w:pPr>
        <w:jc w:val="center"/>
      </w:pPr>
      <w:r>
        <w:drawing>
          <wp:inline xmlns:a="http://schemas.openxmlformats.org/drawingml/2006/main" xmlns:pic="http://schemas.openxmlformats.org/drawingml/2006/picture">
            <wp:extent cx="6217920" cy="2862340"/>
            <wp:docPr id="1" name="Picture 1"/>
            <wp:cNvGraphicFramePr>
              <a:graphicFrameLocks noChangeAspect="1"/>
            </wp:cNvGraphicFramePr>
            <a:graphic>
              <a:graphicData uri="http://schemas.openxmlformats.org/drawingml/2006/picture">
                <pic:pic>
                  <pic:nvPicPr>
                    <pic:cNvPr id="0" name="operating_model.png"/>
                    <pic:cNvPicPr/>
                  </pic:nvPicPr>
                  <pic:blipFill>
                    <a:blip r:embed="rId11"/>
                    <a:stretch>
                      <a:fillRect/>
                    </a:stretch>
                  </pic:blipFill>
                  <pic:spPr>
                    <a:xfrm>
                      <a:off x="0" y="0"/>
                      <a:ext cx="6217920" cy="2862340"/>
                    </a:xfrm>
                    <a:prstGeom prst="rect"/>
                  </pic:spPr>
                </pic:pic>
              </a:graphicData>
            </a:graphic>
          </wp:inline>
        </w:drawing>
      </w:r>
    </w:p>
    <w:p>
      <w:pPr>
        <w:pStyle w:val="Heading1"/>
      </w:pPr>
      <w:r>
        <w:t>Document control and use</w:t>
      </w:r>
    </w:p>
    <w:p>
      <w:pPr>
        <w:pStyle w:val="Heading2"/>
      </w:pPr>
      <w:r>
        <w:t>Authority and hierarchy</w:t>
      </w:r>
    </w:p>
    <w:p>
      <w:r>
        <w:t>Apply the following hierarchy: applicable law and binding regulatory or supervisory direction; verified GAISSF normative requirements; approved GAISSF interpretations; this sector guide; and organizational procedures. Where requirements conflict, obtain qualified legal, regulatory, standards, and risk advice.</w:t>
      </w:r>
    </w:p>
    <w:p>
      <w:pPr>
        <w:pStyle w:val="Heading2"/>
      </w:pPr>
      <w:r>
        <w:t>International applicability</w:t>
      </w:r>
    </w:p>
    <w:p>
      <w:r>
        <w:t>SEC-038 is designed for international use. Its source register includes global standards and selected EU financial-services and horizontal regulation because they provide useful implementation context. The register is illustrative, not exhaustive. Each entity must determine its applicable jurisdictions, legal entities, regulators, products, and supervisory expectations.</w:t>
      </w:r>
    </w:p>
    <w:p>
      <w:pPr>
        <w:pStyle w:val="Heading2"/>
      </w:pPr>
      <w:r>
        <w:t>Demonstrating use of this guide</w:t>
      </w:r>
    </w:p>
    <w:p>
      <w:pPr>
        <w:pStyle w:val="ListBullet"/>
      </w:pPr>
      <w:r>
        <w:t>Record consideration of relevant guidance in risk assessments, design reviews, validation plans, procurement decisions, and governance submissions.</w:t>
      </w:r>
    </w:p>
    <w:p>
      <w:pPr>
        <w:pStyle w:val="ListBullet"/>
      </w:pPr>
      <w:r>
        <w:t>Use the checklist to evidence systematic review and identify non-applicable items with rationale.</w:t>
      </w:r>
    </w:p>
    <w:p>
      <w:pPr>
        <w:pStyle w:val="ListBullet"/>
      </w:pPr>
      <w:r>
        <w:t>Document deviations and exceptions, accountable approval, compensating controls, residual risk, and expiry or reassessment date.</w:t>
      </w:r>
    </w:p>
    <w:p>
      <w:pPr>
        <w:pStyle w:val="ListBullet"/>
      </w:pPr>
      <w:r>
        <w:t>Retain evidence proportionate to scale and consequence, not merely the technical complexity of the model.</w:t>
      </w:r>
    </w:p>
    <w:p>
      <w:pPr>
        <w:pStyle w:val="Heading2"/>
      </w:pPr>
      <w:r>
        <w:t>Normative language and cross-reference status</w:t>
      </w:r>
    </w:p>
    <w:p>
      <w:r>
        <w:t>Unless a statement quotes a verified GAISSF requirement, terms such as should, may, recommended, and consider are guidance. This edition maps implementation areas to the authoritative GAISSF v1.0 control baseline in GAISSF-NOR-001. Mappings indicate implementation relationships and do not convert sector guidance into new normative requirements.</w:t>
      </w:r>
    </w:p>
    <w:p>
      <w:pPr>
        <w:pStyle w:val="Heading1"/>
      </w:pPr>
      <w:r>
        <w:t>Executive implementation principles</w:t>
      </w:r>
    </w:p>
    <w:p>
      <w:r>
        <w:rPr>
          <w:b/>
        </w:rPr>
        <w:t xml:space="preserve">Accountability remains with the financial entity. </w:t>
      </w:r>
      <w:r>
        <w:t>Outsourcing a model, platform, data source, or operational process does not transfer accountability for customer outcomes, financial crime controls, prudential risk, market integrity, resilience, or compliance.</w:t>
      </w:r>
    </w:p>
    <w:p>
      <w:r>
        <w:rPr>
          <w:b/>
        </w:rPr>
        <w:t xml:space="preserve">Risk-tiering reflects financial consequence. </w:t>
      </w:r>
      <w:r>
        <w:t>Classification must consider direct loss, restitution, conduct harm, financial crime exposure, regulatory action, capital and liquidity effects, market disruption, and correlated or systemic propagation.</w:t>
      </w:r>
    </w:p>
    <w:p>
      <w:r>
        <w:rPr>
          <w:b/>
        </w:rPr>
        <w:t xml:space="preserve">Security and model risk operate as one assurance system. </w:t>
      </w:r>
      <w:r>
        <w:t>Threat modelling, model validation, secure engineering, data governance, operational resilience, change control, monitoring, and incident response must exchange evidence and escalation signals.</w:t>
      </w:r>
    </w:p>
    <w:p>
      <w:r>
        <w:rPr>
          <w:b/>
        </w:rPr>
        <w:t xml:space="preserve">Human oversight must be operationally effective. </w:t>
      </w:r>
      <w:r>
        <w:t>A nominal reviewer is not effective oversight. The reviewer must have sufficient information, competence, time, authority, and a technically available intervention path before irreversible action.</w:t>
      </w:r>
    </w:p>
    <w:p>
      <w:r>
        <w:rPr>
          <w:b/>
        </w:rPr>
        <w:t xml:space="preserve">Evidence must be decision-relevant and tiered. </w:t>
      </w:r>
      <w:r>
        <w:t>Institutions should distinguish T1 Primary Verified evidence, T2 Secondary Verified evidence, T3 Simulation or Test evidence, and T4 Anecdotal or Unverified evidence. Material assurance conclusions should not rely solely on T4 provider claims or policy statements.</w:t>
      </w:r>
    </w:p>
    <w:p>
      <w:r>
        <w:rPr>
          <w:b/>
        </w:rPr>
        <w:t xml:space="preserve">Customer-impact controls are first-class. </w:t>
      </w:r>
      <w:r>
        <w:t>Controls must address discriminatory outcomes, unsuitable recommendations, wrongful denial, opaque adverse decisions, manipulation, exclusion, inaccessible challenge, and delayed remediation.</w:t>
      </w:r>
    </w:p>
    <w:p>
      <w:r>
        <w:rPr>
          <w:b/>
        </w:rPr>
        <w:t xml:space="preserve">Proportionality does not remove minimum safeguards. </w:t>
      </w:r>
      <w:r>
        <w:t>Smaller institutions may combine governance forums and evidence processes, but critical actions, customer-impact decisions, financial crime controls, and critical-function dependencies still require explicit accountability and tested safeguards.</w:t>
      </w:r>
    </w:p>
    <w:p>
      <w:pPr>
        <w:pStyle w:val="Heading1"/>
      </w:pPr>
      <w:r>
        <w:t>Translating AI risk to financial impact</w:t>
      </w:r>
    </w:p>
    <w:p>
      <w:r>
        <w:t>Boards and executive committees should evaluate AI risk through the financial and governance consequences that can follow from control failure. The following examples are illustrative and do not replace entity-specific quantification.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vAlign w:val="center"/>
            <w:shd w:fill="17365D"/>
          </w:tcPr>
          <w:p>
            <w:pPr>
              <w:spacing w:after="0"/>
            </w:pPr>
            <w:r/>
            <w:r>
              <w:rPr>
                <w:b/>
                <w:color w:val="FFFFFF"/>
                <w:sz w:val="13"/>
              </w:rPr>
              <w:t>Risk domain</w:t>
            </w:r>
          </w:p>
        </w:tc>
        <w:tc>
          <w:tcPr>
            <w:tcW w:type="dxa" w:w="2592"/>
            <w:vAlign w:val="center"/>
            <w:shd w:fill="17365D"/>
          </w:tcPr>
          <w:p>
            <w:pPr>
              <w:spacing w:after="0"/>
            </w:pPr>
            <w:r/>
            <w:r>
              <w:rPr>
                <w:b/>
                <w:color w:val="FFFFFF"/>
                <w:sz w:val="13"/>
              </w:rPr>
              <w:t>Illustrative financial impact vectors</w:t>
            </w:r>
          </w:p>
        </w:tc>
        <w:tc>
          <w:tcPr>
            <w:tcW w:type="dxa" w:w="2592"/>
            <w:vAlign w:val="center"/>
            <w:shd w:fill="17365D"/>
          </w:tcPr>
          <w:p>
            <w:pPr>
              <w:spacing w:after="0"/>
            </w:pPr>
            <w:r/>
            <w:r>
              <w:rPr>
                <w:b/>
                <w:color w:val="FFFFFF"/>
                <w:sz w:val="13"/>
              </w:rPr>
              <w:t>Primary executive lens</w:t>
            </w:r>
          </w:p>
        </w:tc>
        <w:tc>
          <w:tcPr>
            <w:tcW w:type="dxa" w:w="2592"/>
            <w:vAlign w:val="center"/>
            <w:shd w:fill="17365D"/>
          </w:tcPr>
          <w:p>
            <w:pPr>
              <w:spacing w:after="0"/>
            </w:pPr>
            <w:r/>
            <w:r>
              <w:rPr>
                <w:b/>
                <w:color w:val="FFFFFF"/>
                <w:sz w:val="13"/>
              </w:rPr>
              <w:t>Minimum control emphasis</w:t>
            </w:r>
          </w:p>
        </w:tc>
      </w:tr>
      <w:tr>
        <w:trPr>
          <w:cantSplit/>
        </w:trPr>
        <w:tc>
          <w:tcPr>
            <w:tcW w:type="dxa" w:w="2592"/>
            <w:vAlign w:val="center"/>
          </w:tcPr>
          <w:p>
            <w:pPr>
              <w:spacing w:after="0"/>
            </w:pPr>
            <w:r/>
            <w:r>
              <w:rPr>
                <w:b w:val="0"/>
                <w:sz w:val="13"/>
              </w:rPr>
              <w:t>FS-01 Unauthorized transactions</w:t>
            </w:r>
          </w:p>
        </w:tc>
        <w:tc>
          <w:tcPr>
            <w:tcW w:type="dxa" w:w="2592"/>
            <w:vAlign w:val="center"/>
          </w:tcPr>
          <w:p>
            <w:pPr>
              <w:spacing w:after="0"/>
            </w:pPr>
            <w:r/>
            <w:r>
              <w:rPr>
                <w:b w:val="0"/>
                <w:sz w:val="13"/>
              </w:rPr>
              <w:t>Direct monetary loss; customer restitution; fraud losses; liquidity leakage; operational investigation cost</w:t>
            </w:r>
          </w:p>
        </w:tc>
        <w:tc>
          <w:tcPr>
            <w:tcW w:type="dxa" w:w="2592"/>
            <w:vAlign w:val="center"/>
          </w:tcPr>
          <w:p>
            <w:pPr>
              <w:spacing w:after="0"/>
            </w:pPr>
            <w:r/>
            <w:r>
              <w:rPr>
                <w:b w:val="0"/>
                <w:sz w:val="13"/>
              </w:rPr>
              <w:t>CFO / CRO / CISO</w:t>
            </w:r>
          </w:p>
        </w:tc>
        <w:tc>
          <w:tcPr>
            <w:tcW w:type="dxa" w:w="2592"/>
            <w:vAlign w:val="center"/>
          </w:tcPr>
          <w:p>
            <w:pPr>
              <w:spacing w:after="0"/>
            </w:pPr>
            <w:r/>
            <w:r>
              <w:rPr>
                <w:b w:val="0"/>
                <w:sz w:val="13"/>
              </w:rPr>
              <w:t>Transaction limits, dual authorization, beneficiary controls, deterministic policy checks, immutable execution logs</w:t>
            </w:r>
          </w:p>
        </w:tc>
      </w:tr>
      <w:tr>
        <w:trPr>
          <w:cantSplit/>
        </w:trPr>
        <w:tc>
          <w:tcPr>
            <w:tcW w:type="dxa" w:w="2592"/>
            <w:vAlign w:val="center"/>
            <w:shd w:fill="EAF0F6"/>
          </w:tcPr>
          <w:p>
            <w:pPr>
              <w:spacing w:after="0"/>
            </w:pPr>
            <w:r/>
            <w:r>
              <w:rPr>
                <w:b w:val="0"/>
                <w:sz w:val="13"/>
              </w:rPr>
              <w:t>FS-03 Financial crime degradation</w:t>
            </w:r>
          </w:p>
        </w:tc>
        <w:tc>
          <w:tcPr>
            <w:tcW w:type="dxa" w:w="2592"/>
            <w:vAlign w:val="center"/>
            <w:shd w:fill="EAF0F6"/>
          </w:tcPr>
          <w:p>
            <w:pPr>
              <w:spacing w:after="0"/>
            </w:pPr>
            <w:r/>
            <w:r>
              <w:rPr>
                <w:b w:val="0"/>
                <w:sz w:val="13"/>
              </w:rPr>
              <w:t>Regulatory penalties; remediation programmes; correspondent banking restrictions; criminal exposure; customer exclusion</w:t>
            </w:r>
          </w:p>
        </w:tc>
        <w:tc>
          <w:tcPr>
            <w:tcW w:type="dxa" w:w="2592"/>
            <w:vAlign w:val="center"/>
            <w:shd w:fill="EAF0F6"/>
          </w:tcPr>
          <w:p>
            <w:pPr>
              <w:spacing w:after="0"/>
            </w:pPr>
            <w:r/>
            <w:r>
              <w:rPr>
                <w:b w:val="0"/>
                <w:sz w:val="13"/>
              </w:rPr>
              <w:t>MLRO / CRO / Board Risk Committee</w:t>
            </w:r>
          </w:p>
        </w:tc>
        <w:tc>
          <w:tcPr>
            <w:tcW w:type="dxa" w:w="2592"/>
            <w:vAlign w:val="center"/>
            <w:shd w:fill="EAF0F6"/>
          </w:tcPr>
          <w:p>
            <w:pPr>
              <w:spacing w:after="0"/>
            </w:pPr>
            <w:r/>
            <w:r>
              <w:rPr>
                <w:b w:val="0"/>
                <w:sz w:val="13"/>
              </w:rPr>
              <w:t>Independent validation, typology coverage, list freshness, alert integrity, override analytics, case reconstruction</w:t>
            </w:r>
          </w:p>
        </w:tc>
      </w:tr>
      <w:tr>
        <w:trPr>
          <w:cantSplit/>
        </w:trPr>
        <w:tc>
          <w:tcPr>
            <w:tcW w:type="dxa" w:w="2592"/>
            <w:vAlign w:val="center"/>
          </w:tcPr>
          <w:p>
            <w:pPr>
              <w:spacing w:after="0"/>
            </w:pPr>
            <w:r/>
            <w:r>
              <w:rPr>
                <w:b w:val="0"/>
                <w:sz w:val="13"/>
              </w:rPr>
              <w:t>FS-04 Credit and underwriting harm</w:t>
            </w:r>
          </w:p>
        </w:tc>
        <w:tc>
          <w:tcPr>
            <w:tcW w:type="dxa" w:w="2592"/>
            <w:vAlign w:val="center"/>
          </w:tcPr>
          <w:p>
            <w:pPr>
              <w:spacing w:after="0"/>
            </w:pPr>
            <w:r/>
            <w:r>
              <w:rPr>
                <w:b w:val="0"/>
                <w:sz w:val="13"/>
              </w:rPr>
              <w:t>Credit losses; conduct remediation; fair-lending exposure; capital-model distortion; reputational damage</w:t>
            </w:r>
          </w:p>
        </w:tc>
        <w:tc>
          <w:tcPr>
            <w:tcW w:type="dxa" w:w="2592"/>
            <w:vAlign w:val="center"/>
          </w:tcPr>
          <w:p>
            <w:pPr>
              <w:spacing w:after="0"/>
            </w:pPr>
            <w:r/>
            <w:r>
              <w:rPr>
                <w:b w:val="0"/>
                <w:sz w:val="13"/>
              </w:rPr>
              <w:t>CRO / Chief Credit Officer</w:t>
            </w:r>
          </w:p>
        </w:tc>
        <w:tc>
          <w:tcPr>
            <w:tcW w:type="dxa" w:w="2592"/>
            <w:vAlign w:val="center"/>
          </w:tcPr>
          <w:p>
            <w:pPr>
              <w:spacing w:after="0"/>
            </w:pPr>
            <w:r/>
            <w:r>
              <w:rPr>
                <w:b w:val="0"/>
                <w:sz w:val="13"/>
              </w:rPr>
              <w:t>Feature governance, calibration, fairness testing, adverse-action reasons, macro stress, exception monitoring</w:t>
            </w:r>
          </w:p>
        </w:tc>
      </w:tr>
      <w:tr>
        <w:trPr>
          <w:cantSplit/>
        </w:trPr>
        <w:tc>
          <w:tcPr>
            <w:tcW w:type="dxa" w:w="2592"/>
            <w:vAlign w:val="center"/>
            <w:shd w:fill="EAF0F6"/>
          </w:tcPr>
          <w:p>
            <w:pPr>
              <w:spacing w:after="0"/>
            </w:pPr>
            <w:r/>
            <w:r>
              <w:rPr>
                <w:b w:val="0"/>
                <w:sz w:val="13"/>
              </w:rPr>
              <w:t>FS-05 Market conduct and integrity</w:t>
            </w:r>
          </w:p>
        </w:tc>
        <w:tc>
          <w:tcPr>
            <w:tcW w:type="dxa" w:w="2592"/>
            <w:vAlign w:val="center"/>
            <w:shd w:fill="EAF0F6"/>
          </w:tcPr>
          <w:p>
            <w:pPr>
              <w:spacing w:after="0"/>
            </w:pPr>
            <w:r/>
            <w:r>
              <w:rPr>
                <w:b w:val="0"/>
                <w:sz w:val="13"/>
              </w:rPr>
              <w:t>Trading losses; market abuse findings; fines; licence restrictions; client claims; market disruption</w:t>
            </w:r>
          </w:p>
        </w:tc>
        <w:tc>
          <w:tcPr>
            <w:tcW w:type="dxa" w:w="2592"/>
            <w:vAlign w:val="center"/>
            <w:shd w:fill="EAF0F6"/>
          </w:tcPr>
          <w:p>
            <w:pPr>
              <w:spacing w:after="0"/>
            </w:pPr>
            <w:r/>
            <w:r>
              <w:rPr>
                <w:b w:val="0"/>
                <w:sz w:val="13"/>
              </w:rPr>
              <w:t>Head of Markets / Compliance / CRO</w:t>
            </w:r>
          </w:p>
        </w:tc>
        <w:tc>
          <w:tcPr>
            <w:tcW w:type="dxa" w:w="2592"/>
            <w:vAlign w:val="center"/>
            <w:shd w:fill="EAF0F6"/>
          </w:tcPr>
          <w:p>
            <w:pPr>
              <w:spacing w:after="0"/>
            </w:pPr>
            <w:r/>
            <w:r>
              <w:rPr>
                <w:b w:val="0"/>
                <w:sz w:val="13"/>
              </w:rPr>
              <w:t>Pre-trade limits, kill switches, surveillance, suitability checks, conflict controls, post-trade reconstruction</w:t>
            </w:r>
          </w:p>
        </w:tc>
      </w:tr>
      <w:tr>
        <w:trPr>
          <w:cantSplit/>
        </w:trPr>
        <w:tc>
          <w:tcPr>
            <w:tcW w:type="dxa" w:w="2592"/>
            <w:vAlign w:val="center"/>
          </w:tcPr>
          <w:p>
            <w:pPr>
              <w:spacing w:after="0"/>
            </w:pPr>
            <w:r/>
            <w:r>
              <w:rPr>
                <w:b w:val="0"/>
                <w:sz w:val="13"/>
              </w:rPr>
              <w:t>FS-06 Operational resilience failure</w:t>
            </w:r>
          </w:p>
        </w:tc>
        <w:tc>
          <w:tcPr>
            <w:tcW w:type="dxa" w:w="2592"/>
            <w:vAlign w:val="center"/>
          </w:tcPr>
          <w:p>
            <w:pPr>
              <w:spacing w:after="0"/>
            </w:pPr>
            <w:r/>
            <w:r>
              <w:rPr>
                <w:b w:val="0"/>
                <w:sz w:val="13"/>
              </w:rPr>
              <w:t>Service interruption; SLA penalties; lost revenue; customer compensation; supervisory intervention; contagion</w:t>
            </w:r>
          </w:p>
        </w:tc>
        <w:tc>
          <w:tcPr>
            <w:tcW w:type="dxa" w:w="2592"/>
            <w:vAlign w:val="center"/>
          </w:tcPr>
          <w:p>
            <w:pPr>
              <w:spacing w:after="0"/>
            </w:pPr>
            <w:r/>
            <w:r>
              <w:rPr>
                <w:b w:val="0"/>
                <w:sz w:val="13"/>
              </w:rPr>
              <w:t>COO / CIO / CISO</w:t>
            </w:r>
          </w:p>
        </w:tc>
        <w:tc>
          <w:tcPr>
            <w:tcW w:type="dxa" w:w="2592"/>
            <w:vAlign w:val="center"/>
          </w:tcPr>
          <w:p>
            <w:pPr>
              <w:spacing w:after="0"/>
            </w:pPr>
            <w:r/>
            <w:r>
              <w:rPr>
                <w:b w:val="0"/>
                <w:sz w:val="13"/>
              </w:rPr>
              <w:t>Critical-function mapping, fallback, capacity tests, RTO/RPO, dependency scenarios, tested recovery</w:t>
            </w:r>
          </w:p>
        </w:tc>
      </w:tr>
      <w:tr>
        <w:trPr>
          <w:cantSplit/>
        </w:trPr>
        <w:tc>
          <w:tcPr>
            <w:tcW w:type="dxa" w:w="2592"/>
            <w:vAlign w:val="center"/>
            <w:shd w:fill="EAF0F6"/>
          </w:tcPr>
          <w:p>
            <w:pPr>
              <w:spacing w:after="0"/>
            </w:pPr>
            <w:r/>
            <w:r>
              <w:rPr>
                <w:b w:val="0"/>
                <w:sz w:val="13"/>
              </w:rPr>
              <w:t>FS-07 Third-party concentration</w:t>
            </w:r>
          </w:p>
        </w:tc>
        <w:tc>
          <w:tcPr>
            <w:tcW w:type="dxa" w:w="2592"/>
            <w:vAlign w:val="center"/>
            <w:shd w:fill="EAF0F6"/>
          </w:tcPr>
          <w:p>
            <w:pPr>
              <w:spacing w:after="0"/>
            </w:pPr>
            <w:r/>
            <w:r>
              <w:rPr>
                <w:b w:val="0"/>
                <w:sz w:val="13"/>
              </w:rPr>
              <w:t>Correlated outage; exit cost; stranded data; supervisory access failure; vendor lock-in</w:t>
            </w:r>
          </w:p>
        </w:tc>
        <w:tc>
          <w:tcPr>
            <w:tcW w:type="dxa" w:w="2592"/>
            <w:vAlign w:val="center"/>
            <w:shd w:fill="EAF0F6"/>
          </w:tcPr>
          <w:p>
            <w:pPr>
              <w:spacing w:after="0"/>
            </w:pPr>
            <w:r/>
            <w:r>
              <w:rPr>
                <w:b w:val="0"/>
                <w:sz w:val="13"/>
              </w:rPr>
              <w:t>CIO / Procurement / TPRM / CRO</w:t>
            </w:r>
          </w:p>
        </w:tc>
        <w:tc>
          <w:tcPr>
            <w:tcW w:type="dxa" w:w="2592"/>
            <w:vAlign w:val="center"/>
            <w:shd w:fill="EAF0F6"/>
          </w:tcPr>
          <w:p>
            <w:pPr>
              <w:spacing w:after="0"/>
            </w:pPr>
            <w:r/>
            <w:r>
              <w:rPr>
                <w:b w:val="0"/>
                <w:sz w:val="13"/>
              </w:rPr>
              <w:t>Concentration analysis, audit rights, subcontractor visibility, portability, tested exit, alternate provider strategy</w:t>
            </w:r>
          </w:p>
        </w:tc>
      </w:tr>
      <w:tr>
        <w:trPr>
          <w:cantSplit/>
        </w:trPr>
        <w:tc>
          <w:tcPr>
            <w:tcW w:type="dxa" w:w="2592"/>
            <w:vAlign w:val="center"/>
          </w:tcPr>
          <w:p>
            <w:pPr>
              <w:spacing w:after="0"/>
            </w:pPr>
            <w:r/>
            <w:r>
              <w:rPr>
                <w:b w:val="0"/>
                <w:sz w:val="13"/>
              </w:rPr>
              <w:t>FS-11 Bias and exclusion</w:t>
            </w:r>
          </w:p>
        </w:tc>
        <w:tc>
          <w:tcPr>
            <w:tcW w:type="dxa" w:w="2592"/>
            <w:vAlign w:val="center"/>
          </w:tcPr>
          <w:p>
            <w:pPr>
              <w:spacing w:after="0"/>
            </w:pPr>
            <w:r/>
            <w:r>
              <w:rPr>
                <w:b w:val="0"/>
                <w:sz w:val="13"/>
              </w:rPr>
              <w:t>Customer remediation; litigation; enforcement; product withdrawal; loss of trust</w:t>
            </w:r>
          </w:p>
        </w:tc>
        <w:tc>
          <w:tcPr>
            <w:tcW w:type="dxa" w:w="2592"/>
            <w:vAlign w:val="center"/>
          </w:tcPr>
          <w:p>
            <w:pPr>
              <w:spacing w:after="0"/>
            </w:pPr>
            <w:r/>
            <w:r>
              <w:rPr>
                <w:b w:val="0"/>
                <w:sz w:val="13"/>
              </w:rPr>
              <w:t>Conduct Risk / Compliance / Product</w:t>
            </w:r>
          </w:p>
        </w:tc>
        <w:tc>
          <w:tcPr>
            <w:tcW w:type="dxa" w:w="2592"/>
            <w:vAlign w:val="center"/>
          </w:tcPr>
          <w:p>
            <w:pPr>
              <w:spacing w:after="0"/>
            </w:pPr>
            <w:r/>
            <w:r>
              <w:rPr>
                <w:b w:val="0"/>
                <w:sz w:val="13"/>
              </w:rPr>
              <w:t>Segment testing, outcome monitoring, accessible appeal, vulnerable-customer review, documented justification</w:t>
            </w:r>
          </w:p>
        </w:tc>
      </w:tr>
      <w:tr>
        <w:trPr>
          <w:cantSplit/>
        </w:trPr>
        <w:tc>
          <w:tcPr>
            <w:tcW w:type="dxa" w:w="2592"/>
            <w:vAlign w:val="center"/>
            <w:shd w:fill="EAF0F6"/>
          </w:tcPr>
          <w:p>
            <w:pPr>
              <w:spacing w:after="0"/>
            </w:pPr>
            <w:r/>
            <w:r>
              <w:rPr>
                <w:b w:val="0"/>
                <w:sz w:val="13"/>
              </w:rPr>
              <w:t>FS-14 Agentic autonomy</w:t>
            </w:r>
          </w:p>
        </w:tc>
        <w:tc>
          <w:tcPr>
            <w:tcW w:type="dxa" w:w="2592"/>
            <w:vAlign w:val="center"/>
            <w:shd w:fill="EAF0F6"/>
          </w:tcPr>
          <w:p>
            <w:pPr>
              <w:spacing w:after="0"/>
            </w:pPr>
            <w:r/>
            <w:r>
              <w:rPr>
                <w:b w:val="0"/>
                <w:sz w:val="13"/>
              </w:rPr>
              <w:t>Compounding transaction loss; unauthorized system change; cascading control bypass; prolonged execution loops</w:t>
            </w:r>
          </w:p>
        </w:tc>
        <w:tc>
          <w:tcPr>
            <w:tcW w:type="dxa" w:w="2592"/>
            <w:vAlign w:val="center"/>
            <w:shd w:fill="EAF0F6"/>
          </w:tcPr>
          <w:p>
            <w:pPr>
              <w:spacing w:after="0"/>
            </w:pPr>
            <w:r/>
            <w:r>
              <w:rPr>
                <w:b w:val="0"/>
                <w:sz w:val="13"/>
              </w:rPr>
              <w:t>CISO / CTO / COO / CRO</w:t>
            </w:r>
          </w:p>
        </w:tc>
        <w:tc>
          <w:tcPr>
            <w:tcW w:type="dxa" w:w="2592"/>
            <w:vAlign w:val="center"/>
            <w:shd w:fill="EAF0F6"/>
          </w:tcPr>
          <w:p>
            <w:pPr>
              <w:spacing w:after="0"/>
            </w:pPr>
            <w:r/>
            <w:r>
              <w:rPr>
                <w:b w:val="0"/>
                <w:sz w:val="13"/>
              </w:rPr>
              <w:t>Tool allow-lists, agent identity, cumulative limits, circuit breakers, approval boundaries, chain-of-action logs</w:t>
            </w:r>
          </w:p>
        </w:tc>
      </w:tr>
      <w:tr>
        <w:trPr>
          <w:cantSplit/>
        </w:trPr>
        <w:tc>
          <w:tcPr>
            <w:tcW w:type="dxa" w:w="2592"/>
            <w:vAlign w:val="center"/>
          </w:tcPr>
          <w:p>
            <w:pPr>
              <w:spacing w:after="0"/>
            </w:pPr>
            <w:r/>
            <w:r>
              <w:rPr>
                <w:b w:val="0"/>
                <w:sz w:val="13"/>
              </w:rPr>
              <w:t>FS-16 Systemic and contagion effects</w:t>
            </w:r>
          </w:p>
        </w:tc>
        <w:tc>
          <w:tcPr>
            <w:tcW w:type="dxa" w:w="2592"/>
            <w:vAlign w:val="center"/>
          </w:tcPr>
          <w:p>
            <w:pPr>
              <w:spacing w:after="0"/>
            </w:pPr>
            <w:r/>
            <w:r>
              <w:rPr>
                <w:b w:val="0"/>
                <w:sz w:val="13"/>
              </w:rPr>
              <w:t>Liquidity stress; correlated market activity; common-mode failure; sector-wide service disruption</w:t>
            </w:r>
          </w:p>
        </w:tc>
        <w:tc>
          <w:tcPr>
            <w:tcW w:type="dxa" w:w="2592"/>
            <w:vAlign w:val="center"/>
          </w:tcPr>
          <w:p>
            <w:pPr>
              <w:spacing w:after="0"/>
            </w:pPr>
            <w:r/>
            <w:r>
              <w:rPr>
                <w:b w:val="0"/>
                <w:sz w:val="13"/>
              </w:rPr>
              <w:t>Board Risk Committee / CRO / Treasury</w:t>
            </w:r>
          </w:p>
        </w:tc>
        <w:tc>
          <w:tcPr>
            <w:tcW w:type="dxa" w:w="2592"/>
            <w:vAlign w:val="center"/>
          </w:tcPr>
          <w:p>
            <w:pPr>
              <w:spacing w:after="0"/>
            </w:pPr>
            <w:r/>
            <w:r>
              <w:rPr>
                <w:b w:val="0"/>
                <w:sz w:val="13"/>
              </w:rPr>
              <w:t>Common dependency analysis, stress scenarios, exposure caps, cross-system monitoring, coordinated response</w:t>
            </w:r>
          </w:p>
        </w:tc>
      </w:tr>
    </w:tbl>
    <w:p>
      <w:pPr>
        <w:pStyle w:val="Heading1"/>
      </w:pPr>
      <w:r>
        <w:t>Financial-services AI risk landscape</w:t>
      </w:r>
    </w:p>
    <w:p>
      <w:r>
        <w:t>Severity labels describe an indicative sector baseline. Organizations must reassess severity using their own materiality, legal, prudential, customer, and systemic context. A High risk may become Critical where the system affects mandatory explainability, regulatory reporting, critical functions, vulnerable customers, or irreversible action.</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vAlign w:val="center"/>
            <w:shd w:fill="17365D"/>
          </w:tcPr>
          <w:p>
            <w:pPr>
              <w:spacing w:after="0"/>
            </w:pPr>
            <w:r/>
            <w:r>
              <w:rPr>
                <w:b/>
                <w:color w:val="FFFFFF"/>
                <w:sz w:val="14"/>
              </w:rPr>
              <w:t>ID</w:t>
            </w:r>
          </w:p>
        </w:tc>
        <w:tc>
          <w:tcPr>
            <w:tcW w:type="dxa" w:w="2592"/>
            <w:vAlign w:val="center"/>
            <w:shd w:fill="17365D"/>
          </w:tcPr>
          <w:p>
            <w:pPr>
              <w:spacing w:after="0"/>
            </w:pPr>
            <w:r/>
            <w:r>
              <w:rPr>
                <w:b/>
                <w:color w:val="FFFFFF"/>
                <w:sz w:val="14"/>
              </w:rPr>
              <w:t>Risk domain</w:t>
            </w:r>
          </w:p>
        </w:tc>
        <w:tc>
          <w:tcPr>
            <w:tcW w:type="dxa" w:w="2592"/>
            <w:vAlign w:val="center"/>
            <w:shd w:fill="17365D"/>
          </w:tcPr>
          <w:p>
            <w:pPr>
              <w:spacing w:after="0"/>
            </w:pPr>
            <w:r/>
            <w:r>
              <w:rPr>
                <w:b/>
                <w:color w:val="FFFFFF"/>
                <w:sz w:val="14"/>
              </w:rPr>
              <w:t>Financial-services interpretation</w:t>
            </w:r>
          </w:p>
        </w:tc>
        <w:tc>
          <w:tcPr>
            <w:tcW w:type="dxa" w:w="2592"/>
            <w:vAlign w:val="center"/>
            <w:shd w:fill="17365D"/>
          </w:tcPr>
          <w:p>
            <w:pPr>
              <w:spacing w:after="0"/>
            </w:pPr>
            <w:r/>
            <w:r>
              <w:rPr>
                <w:b/>
                <w:color w:val="FFFFFF"/>
                <w:sz w:val="14"/>
              </w:rPr>
              <w:t>Indicative inherent severity</w:t>
            </w:r>
          </w:p>
        </w:tc>
      </w:tr>
      <w:tr>
        <w:trPr>
          <w:cantSplit/>
        </w:trPr>
        <w:tc>
          <w:tcPr>
            <w:tcW w:type="dxa" w:w="2592"/>
            <w:vAlign w:val="center"/>
          </w:tcPr>
          <w:p>
            <w:pPr>
              <w:spacing w:after="0"/>
            </w:pPr>
            <w:r/>
            <w:r>
              <w:rPr>
                <w:b w:val="0"/>
                <w:sz w:val="14"/>
              </w:rPr>
              <w:t>FS-01</w:t>
            </w:r>
          </w:p>
        </w:tc>
        <w:tc>
          <w:tcPr>
            <w:tcW w:type="dxa" w:w="2592"/>
            <w:vAlign w:val="center"/>
          </w:tcPr>
          <w:p>
            <w:pPr>
              <w:spacing w:after="0"/>
            </w:pPr>
            <w:r/>
            <w:r>
              <w:rPr>
                <w:b w:val="0"/>
                <w:sz w:val="14"/>
              </w:rPr>
              <w:t>Unauthorized transaction or instruction generation</w:t>
            </w:r>
          </w:p>
        </w:tc>
        <w:tc>
          <w:tcPr>
            <w:tcW w:type="dxa" w:w="2592"/>
            <w:vAlign w:val="center"/>
          </w:tcPr>
          <w:p>
            <w:pPr>
              <w:spacing w:after="0"/>
            </w:pPr>
            <w:r/>
            <w:r>
              <w:rPr>
                <w:b w:val="0"/>
                <w:sz w:val="14"/>
              </w:rPr>
              <w:t>Fraudulent payments, orders, beneficiary changes, account actions, or privileged operator commands are generated, altered, or executed through AI compromise.</w:t>
            </w:r>
          </w:p>
        </w:tc>
        <w:tc>
          <w:tcPr>
            <w:tcW w:type="dxa" w:w="2592"/>
            <w:vAlign w:val="center"/>
          </w:tcPr>
          <w:p>
            <w:pPr>
              <w:spacing w:after="0"/>
            </w:pPr>
            <w:r/>
            <w:r>
              <w:rPr>
                <w:b w:val="0"/>
                <w:sz w:val="14"/>
              </w:rPr>
              <w:t>Critical</w:t>
            </w:r>
          </w:p>
        </w:tc>
      </w:tr>
      <w:tr>
        <w:trPr>
          <w:cantSplit/>
        </w:trPr>
        <w:tc>
          <w:tcPr>
            <w:tcW w:type="dxa" w:w="2592"/>
            <w:vAlign w:val="center"/>
            <w:shd w:fill="EAF0F6"/>
          </w:tcPr>
          <w:p>
            <w:pPr>
              <w:spacing w:after="0"/>
            </w:pPr>
            <w:r/>
            <w:r>
              <w:rPr>
                <w:b w:val="0"/>
                <w:sz w:val="14"/>
              </w:rPr>
              <w:t>FS-02</w:t>
            </w:r>
          </w:p>
        </w:tc>
        <w:tc>
          <w:tcPr>
            <w:tcW w:type="dxa" w:w="2592"/>
            <w:vAlign w:val="center"/>
            <w:shd w:fill="EAF0F6"/>
          </w:tcPr>
          <w:p>
            <w:pPr>
              <w:spacing w:after="0"/>
            </w:pPr>
            <w:r/>
            <w:r>
              <w:rPr>
                <w:b w:val="0"/>
                <w:sz w:val="14"/>
              </w:rPr>
              <w:t>Model manipulation and adversarial input</w:t>
            </w:r>
          </w:p>
        </w:tc>
        <w:tc>
          <w:tcPr>
            <w:tcW w:type="dxa" w:w="2592"/>
            <w:vAlign w:val="center"/>
            <w:shd w:fill="EAF0F6"/>
          </w:tcPr>
          <w:p>
            <w:pPr>
              <w:spacing w:after="0"/>
            </w:pPr>
            <w:r/>
            <w:r>
              <w:rPr>
                <w:b w:val="0"/>
                <w:sz w:val="14"/>
              </w:rPr>
              <w:t>Evasion, poisoning, prompt injection, feature manipulation, synthetic identities, and feedback-loop exploitation alter risk decisions or tool behaviour.</w:t>
            </w:r>
          </w:p>
        </w:tc>
        <w:tc>
          <w:tcPr>
            <w:tcW w:type="dxa" w:w="2592"/>
            <w:vAlign w:val="center"/>
            <w:shd w:fill="EAF0F6"/>
          </w:tcPr>
          <w:p>
            <w:pPr>
              <w:spacing w:after="0"/>
            </w:pPr>
            <w:r/>
            <w:r>
              <w:rPr>
                <w:b w:val="0"/>
                <w:sz w:val="14"/>
              </w:rPr>
              <w:t>Critical</w:t>
            </w:r>
          </w:p>
        </w:tc>
      </w:tr>
      <w:tr>
        <w:trPr>
          <w:cantSplit/>
        </w:trPr>
        <w:tc>
          <w:tcPr>
            <w:tcW w:type="dxa" w:w="2592"/>
            <w:vAlign w:val="center"/>
          </w:tcPr>
          <w:p>
            <w:pPr>
              <w:spacing w:after="0"/>
            </w:pPr>
            <w:r/>
            <w:r>
              <w:rPr>
                <w:b w:val="0"/>
                <w:sz w:val="14"/>
              </w:rPr>
              <w:t>FS-03</w:t>
            </w:r>
          </w:p>
        </w:tc>
        <w:tc>
          <w:tcPr>
            <w:tcW w:type="dxa" w:w="2592"/>
            <w:vAlign w:val="center"/>
          </w:tcPr>
          <w:p>
            <w:pPr>
              <w:spacing w:after="0"/>
            </w:pPr>
            <w:r/>
            <w:r>
              <w:rPr>
                <w:b w:val="0"/>
                <w:sz w:val="14"/>
              </w:rPr>
              <w:t>Financial crime control degradation</w:t>
            </w:r>
          </w:p>
        </w:tc>
        <w:tc>
          <w:tcPr>
            <w:tcW w:type="dxa" w:w="2592"/>
            <w:vAlign w:val="center"/>
          </w:tcPr>
          <w:p>
            <w:pPr>
              <w:spacing w:after="0"/>
            </w:pPr>
            <w:r/>
            <w:r>
              <w:rPr>
                <w:b w:val="0"/>
                <w:sz w:val="14"/>
              </w:rPr>
              <w:t>False negatives, alert suppression, typology drift, biased prioritisation, list staleness, or untraceable reasoning weakens AML, sanctions, fraud, or transaction monitoring.</w:t>
            </w:r>
          </w:p>
        </w:tc>
        <w:tc>
          <w:tcPr>
            <w:tcW w:type="dxa" w:w="2592"/>
            <w:vAlign w:val="center"/>
          </w:tcPr>
          <w:p>
            <w:pPr>
              <w:spacing w:after="0"/>
            </w:pPr>
            <w:r/>
            <w:r>
              <w:rPr>
                <w:b w:val="0"/>
                <w:sz w:val="14"/>
              </w:rPr>
              <w:t>Critical</w:t>
            </w:r>
          </w:p>
        </w:tc>
      </w:tr>
      <w:tr>
        <w:trPr>
          <w:cantSplit/>
        </w:trPr>
        <w:tc>
          <w:tcPr>
            <w:tcW w:type="dxa" w:w="2592"/>
            <w:vAlign w:val="center"/>
            <w:shd w:fill="EAF0F6"/>
          </w:tcPr>
          <w:p>
            <w:pPr>
              <w:spacing w:after="0"/>
            </w:pPr>
            <w:r/>
            <w:r>
              <w:rPr>
                <w:b w:val="0"/>
                <w:sz w:val="14"/>
              </w:rPr>
              <w:t>FS-04</w:t>
            </w:r>
          </w:p>
        </w:tc>
        <w:tc>
          <w:tcPr>
            <w:tcW w:type="dxa" w:w="2592"/>
            <w:vAlign w:val="center"/>
            <w:shd w:fill="EAF0F6"/>
          </w:tcPr>
          <w:p>
            <w:pPr>
              <w:spacing w:after="0"/>
            </w:pPr>
            <w:r/>
            <w:r>
              <w:rPr>
                <w:b w:val="0"/>
                <w:sz w:val="14"/>
              </w:rPr>
              <w:t>Credit, pricing and underwriting harm</w:t>
            </w:r>
          </w:p>
        </w:tc>
        <w:tc>
          <w:tcPr>
            <w:tcW w:type="dxa" w:w="2592"/>
            <w:vAlign w:val="center"/>
            <w:shd w:fill="EAF0F6"/>
          </w:tcPr>
          <w:p>
            <w:pPr>
              <w:spacing w:after="0"/>
            </w:pPr>
            <w:r/>
            <w:r>
              <w:rPr>
                <w:b w:val="0"/>
                <w:sz w:val="14"/>
              </w:rPr>
              <w:t>Unfair, unstable, poorly calibrated, insufficiently explainable, or weakly governed lending, pricing, limit, affordability, collections, or insurance outcomes.</w:t>
            </w:r>
          </w:p>
        </w:tc>
        <w:tc>
          <w:tcPr>
            <w:tcW w:type="dxa" w:w="2592"/>
            <w:vAlign w:val="center"/>
            <w:shd w:fill="EAF0F6"/>
          </w:tcPr>
          <w:p>
            <w:pPr>
              <w:spacing w:after="0"/>
            </w:pPr>
            <w:r/>
            <w:r>
              <w:rPr>
                <w:b w:val="0"/>
                <w:sz w:val="14"/>
              </w:rPr>
              <w:t>High</w:t>
            </w:r>
          </w:p>
        </w:tc>
      </w:tr>
      <w:tr>
        <w:trPr>
          <w:cantSplit/>
        </w:trPr>
        <w:tc>
          <w:tcPr>
            <w:tcW w:type="dxa" w:w="2592"/>
            <w:vAlign w:val="center"/>
          </w:tcPr>
          <w:p>
            <w:pPr>
              <w:spacing w:after="0"/>
            </w:pPr>
            <w:r/>
            <w:r>
              <w:rPr>
                <w:b w:val="0"/>
                <w:sz w:val="14"/>
              </w:rPr>
              <w:t>FS-05</w:t>
            </w:r>
          </w:p>
        </w:tc>
        <w:tc>
          <w:tcPr>
            <w:tcW w:type="dxa" w:w="2592"/>
            <w:vAlign w:val="center"/>
          </w:tcPr>
          <w:p>
            <w:pPr>
              <w:spacing w:after="0"/>
            </w:pPr>
            <w:r/>
            <w:r>
              <w:rPr>
                <w:b w:val="0"/>
                <w:sz w:val="14"/>
              </w:rPr>
              <w:t>Market conduct and integrity failure</w:t>
            </w:r>
          </w:p>
        </w:tc>
        <w:tc>
          <w:tcPr>
            <w:tcW w:type="dxa" w:w="2592"/>
            <w:vAlign w:val="center"/>
          </w:tcPr>
          <w:p>
            <w:pPr>
              <w:spacing w:after="0"/>
            </w:pPr>
            <w:r/>
            <w:r>
              <w:rPr>
                <w:b w:val="0"/>
                <w:sz w:val="14"/>
              </w:rPr>
              <w:t>AI contributes to manipulation, unsuitable advice, misleading communication, collusion, information leakage, uncontrolled autonomous execution, or surveillance failure.</w:t>
            </w:r>
          </w:p>
        </w:tc>
        <w:tc>
          <w:tcPr>
            <w:tcW w:type="dxa" w:w="2592"/>
            <w:vAlign w:val="center"/>
          </w:tcPr>
          <w:p>
            <w:pPr>
              <w:spacing w:after="0"/>
            </w:pPr>
            <w:r/>
            <w:r>
              <w:rPr>
                <w:b w:val="0"/>
                <w:sz w:val="14"/>
              </w:rPr>
              <w:t>Critical</w:t>
            </w:r>
          </w:p>
        </w:tc>
      </w:tr>
      <w:tr>
        <w:trPr>
          <w:cantSplit/>
        </w:trPr>
        <w:tc>
          <w:tcPr>
            <w:tcW w:type="dxa" w:w="2592"/>
            <w:vAlign w:val="center"/>
            <w:shd w:fill="EAF0F6"/>
          </w:tcPr>
          <w:p>
            <w:pPr>
              <w:spacing w:after="0"/>
            </w:pPr>
            <w:r/>
            <w:r>
              <w:rPr>
                <w:b w:val="0"/>
                <w:sz w:val="14"/>
              </w:rPr>
              <w:t>FS-06</w:t>
            </w:r>
          </w:p>
        </w:tc>
        <w:tc>
          <w:tcPr>
            <w:tcW w:type="dxa" w:w="2592"/>
            <w:vAlign w:val="center"/>
            <w:shd w:fill="EAF0F6"/>
          </w:tcPr>
          <w:p>
            <w:pPr>
              <w:spacing w:after="0"/>
            </w:pPr>
            <w:r/>
            <w:r>
              <w:rPr>
                <w:b w:val="0"/>
                <w:sz w:val="14"/>
              </w:rPr>
              <w:t>Operational resilience failure</w:t>
            </w:r>
          </w:p>
        </w:tc>
        <w:tc>
          <w:tcPr>
            <w:tcW w:type="dxa" w:w="2592"/>
            <w:vAlign w:val="center"/>
            <w:shd w:fill="EAF0F6"/>
          </w:tcPr>
          <w:p>
            <w:pPr>
              <w:spacing w:after="0"/>
            </w:pPr>
            <w:r/>
            <w:r>
              <w:rPr>
                <w:b w:val="0"/>
                <w:sz w:val="14"/>
              </w:rPr>
              <w:t>AI dependency causes outage, processing error, capacity collapse, recovery failure, or inability to continue a critical or important function.</w:t>
            </w:r>
          </w:p>
        </w:tc>
        <w:tc>
          <w:tcPr>
            <w:tcW w:type="dxa" w:w="2592"/>
            <w:vAlign w:val="center"/>
            <w:shd w:fill="EAF0F6"/>
          </w:tcPr>
          <w:p>
            <w:pPr>
              <w:spacing w:after="0"/>
            </w:pPr>
            <w:r/>
            <w:r>
              <w:rPr>
                <w:b w:val="0"/>
                <w:sz w:val="14"/>
              </w:rPr>
              <w:t>Critical</w:t>
            </w:r>
          </w:p>
        </w:tc>
      </w:tr>
      <w:tr>
        <w:trPr>
          <w:cantSplit/>
        </w:trPr>
        <w:tc>
          <w:tcPr>
            <w:tcW w:type="dxa" w:w="2592"/>
            <w:vAlign w:val="center"/>
          </w:tcPr>
          <w:p>
            <w:pPr>
              <w:spacing w:after="0"/>
            </w:pPr>
            <w:r/>
            <w:r>
              <w:rPr>
                <w:b w:val="0"/>
                <w:sz w:val="14"/>
              </w:rPr>
              <w:t>FS-07</w:t>
            </w:r>
          </w:p>
        </w:tc>
        <w:tc>
          <w:tcPr>
            <w:tcW w:type="dxa" w:w="2592"/>
            <w:vAlign w:val="center"/>
          </w:tcPr>
          <w:p>
            <w:pPr>
              <w:spacing w:after="0"/>
            </w:pPr>
            <w:r/>
            <w:r>
              <w:rPr>
                <w:b w:val="0"/>
                <w:sz w:val="14"/>
              </w:rPr>
              <w:t>Third-party and concentration risk</w:t>
            </w:r>
          </w:p>
        </w:tc>
        <w:tc>
          <w:tcPr>
            <w:tcW w:type="dxa" w:w="2592"/>
            <w:vAlign w:val="center"/>
          </w:tcPr>
          <w:p>
            <w:pPr>
              <w:spacing w:after="0"/>
            </w:pPr>
            <w:r/>
            <w:r>
              <w:rPr>
                <w:b w:val="0"/>
                <w:sz w:val="14"/>
              </w:rPr>
              <w:t>Shared model, cloud, identity, data, or platform dependencies create correlated failure, hidden subcontracting, exit constraints, or supervisory access gaps.</w:t>
            </w:r>
          </w:p>
        </w:tc>
        <w:tc>
          <w:tcPr>
            <w:tcW w:type="dxa" w:w="2592"/>
            <w:vAlign w:val="center"/>
          </w:tcPr>
          <w:p>
            <w:pPr>
              <w:spacing w:after="0"/>
            </w:pPr>
            <w:r/>
            <w:r>
              <w:rPr>
                <w:b w:val="0"/>
                <w:sz w:val="14"/>
              </w:rPr>
              <w:t>High</w:t>
            </w:r>
          </w:p>
        </w:tc>
      </w:tr>
      <w:tr>
        <w:trPr>
          <w:cantSplit/>
        </w:trPr>
        <w:tc>
          <w:tcPr>
            <w:tcW w:type="dxa" w:w="2592"/>
            <w:vAlign w:val="center"/>
            <w:shd w:fill="EAF0F6"/>
          </w:tcPr>
          <w:p>
            <w:pPr>
              <w:spacing w:after="0"/>
            </w:pPr>
            <w:r/>
            <w:r>
              <w:rPr>
                <w:b w:val="0"/>
                <w:sz w:val="14"/>
              </w:rPr>
              <w:t>FS-08</w:t>
            </w:r>
          </w:p>
        </w:tc>
        <w:tc>
          <w:tcPr>
            <w:tcW w:type="dxa" w:w="2592"/>
            <w:vAlign w:val="center"/>
            <w:shd w:fill="EAF0F6"/>
          </w:tcPr>
          <w:p>
            <w:pPr>
              <w:spacing w:after="0"/>
            </w:pPr>
            <w:r/>
            <w:r>
              <w:rPr>
                <w:b w:val="0"/>
                <w:sz w:val="14"/>
              </w:rPr>
              <w:t>Confidentiality and data leakage</w:t>
            </w:r>
          </w:p>
        </w:tc>
        <w:tc>
          <w:tcPr>
            <w:tcW w:type="dxa" w:w="2592"/>
            <w:vAlign w:val="center"/>
            <w:shd w:fill="EAF0F6"/>
          </w:tcPr>
          <w:p>
            <w:pPr>
              <w:spacing w:after="0"/>
            </w:pPr>
            <w:r/>
            <w:r>
              <w:rPr>
                <w:b w:val="0"/>
                <w:sz w:val="14"/>
              </w:rPr>
              <w:t>Customer, authentication, transaction, trading, supervisory, portfolio, or proprietary data is exposed through training, inference, logging, retrieval, support, or model extraction.</w:t>
            </w:r>
          </w:p>
        </w:tc>
        <w:tc>
          <w:tcPr>
            <w:tcW w:type="dxa" w:w="2592"/>
            <w:vAlign w:val="center"/>
            <w:shd w:fill="EAF0F6"/>
          </w:tcPr>
          <w:p>
            <w:pPr>
              <w:spacing w:after="0"/>
            </w:pPr>
            <w:r/>
            <w:r>
              <w:rPr>
                <w:b w:val="0"/>
                <w:sz w:val="14"/>
              </w:rPr>
              <w:t>Critical</w:t>
            </w:r>
          </w:p>
        </w:tc>
      </w:tr>
      <w:tr>
        <w:trPr>
          <w:cantSplit/>
        </w:trPr>
        <w:tc>
          <w:tcPr>
            <w:tcW w:type="dxa" w:w="2592"/>
            <w:vAlign w:val="center"/>
          </w:tcPr>
          <w:p>
            <w:pPr>
              <w:spacing w:after="0"/>
            </w:pPr>
            <w:r/>
            <w:r>
              <w:rPr>
                <w:b w:val="0"/>
                <w:sz w:val="14"/>
              </w:rPr>
              <w:t>FS-09</w:t>
            </w:r>
          </w:p>
        </w:tc>
        <w:tc>
          <w:tcPr>
            <w:tcW w:type="dxa" w:w="2592"/>
            <w:vAlign w:val="center"/>
          </w:tcPr>
          <w:p>
            <w:pPr>
              <w:spacing w:after="0"/>
            </w:pPr>
            <w:r/>
            <w:r>
              <w:rPr>
                <w:b w:val="0"/>
                <w:sz w:val="14"/>
              </w:rPr>
              <w:t>Privacy and data-subject rights failure</w:t>
            </w:r>
          </w:p>
        </w:tc>
        <w:tc>
          <w:tcPr>
            <w:tcW w:type="dxa" w:w="2592"/>
            <w:vAlign w:val="center"/>
          </w:tcPr>
          <w:p>
            <w:pPr>
              <w:spacing w:after="0"/>
            </w:pPr>
            <w:r/>
            <w:r>
              <w:rPr>
                <w:b w:val="0"/>
                <w:sz w:val="14"/>
              </w:rPr>
              <w:t>AI processing impairs access, rectification, erasure, objection, minimisation, purpose limitation, lawful basis, or privacy-impact assessment obligations.</w:t>
            </w:r>
          </w:p>
        </w:tc>
        <w:tc>
          <w:tcPr>
            <w:tcW w:type="dxa" w:w="2592"/>
            <w:vAlign w:val="center"/>
          </w:tcPr>
          <w:p>
            <w:pPr>
              <w:spacing w:after="0"/>
            </w:pPr>
            <w:r/>
            <w:r>
              <w:rPr>
                <w:b w:val="0"/>
                <w:sz w:val="14"/>
              </w:rPr>
              <w:t>High</w:t>
            </w:r>
          </w:p>
        </w:tc>
      </w:tr>
      <w:tr>
        <w:trPr>
          <w:cantSplit/>
        </w:trPr>
        <w:tc>
          <w:tcPr>
            <w:tcW w:type="dxa" w:w="2592"/>
            <w:vAlign w:val="center"/>
            <w:shd w:fill="EAF0F6"/>
          </w:tcPr>
          <w:p>
            <w:pPr>
              <w:spacing w:after="0"/>
            </w:pPr>
            <w:r/>
            <w:r>
              <w:rPr>
                <w:b w:val="0"/>
                <w:sz w:val="14"/>
              </w:rPr>
              <w:t>FS-10</w:t>
            </w:r>
          </w:p>
        </w:tc>
        <w:tc>
          <w:tcPr>
            <w:tcW w:type="dxa" w:w="2592"/>
            <w:vAlign w:val="center"/>
            <w:shd w:fill="EAF0F6"/>
          </w:tcPr>
          <w:p>
            <w:pPr>
              <w:spacing w:after="0"/>
            </w:pPr>
            <w:r/>
            <w:r>
              <w:rPr>
                <w:b w:val="0"/>
                <w:sz w:val="14"/>
              </w:rPr>
              <w:t>Identity, authentication and impersonation</w:t>
            </w:r>
          </w:p>
        </w:tc>
        <w:tc>
          <w:tcPr>
            <w:tcW w:type="dxa" w:w="2592"/>
            <w:vAlign w:val="center"/>
            <w:shd w:fill="EAF0F6"/>
          </w:tcPr>
          <w:p>
            <w:pPr>
              <w:spacing w:after="0"/>
            </w:pPr>
            <w:r/>
            <w:r>
              <w:rPr>
                <w:b w:val="0"/>
                <w:sz w:val="14"/>
              </w:rPr>
              <w:t>Deepfakes, voice cloning, document synthesis, synthetic identity, social engineering, or AI-assisted account takeover defeats identity controls.</w:t>
            </w:r>
          </w:p>
        </w:tc>
        <w:tc>
          <w:tcPr>
            <w:tcW w:type="dxa" w:w="2592"/>
            <w:vAlign w:val="center"/>
            <w:shd w:fill="EAF0F6"/>
          </w:tcPr>
          <w:p>
            <w:pPr>
              <w:spacing w:after="0"/>
            </w:pPr>
            <w:r/>
            <w:r>
              <w:rPr>
                <w:b w:val="0"/>
                <w:sz w:val="14"/>
              </w:rPr>
              <w:t>Critical</w:t>
            </w:r>
          </w:p>
        </w:tc>
      </w:tr>
      <w:tr>
        <w:trPr>
          <w:cantSplit/>
        </w:trPr>
        <w:tc>
          <w:tcPr>
            <w:tcW w:type="dxa" w:w="2592"/>
            <w:vAlign w:val="center"/>
          </w:tcPr>
          <w:p>
            <w:pPr>
              <w:spacing w:after="0"/>
            </w:pPr>
            <w:r/>
            <w:r>
              <w:rPr>
                <w:b w:val="0"/>
                <w:sz w:val="14"/>
              </w:rPr>
              <w:t>FS-11</w:t>
            </w:r>
          </w:p>
        </w:tc>
        <w:tc>
          <w:tcPr>
            <w:tcW w:type="dxa" w:w="2592"/>
            <w:vAlign w:val="center"/>
          </w:tcPr>
          <w:p>
            <w:pPr>
              <w:spacing w:after="0"/>
            </w:pPr>
            <w:r/>
            <w:r>
              <w:rPr>
                <w:b w:val="0"/>
                <w:sz w:val="14"/>
              </w:rPr>
              <w:t>Explainability, contestability and reason-giving failure</w:t>
            </w:r>
          </w:p>
        </w:tc>
        <w:tc>
          <w:tcPr>
            <w:tcW w:type="dxa" w:w="2592"/>
            <w:vAlign w:val="center"/>
          </w:tcPr>
          <w:p>
            <w:pPr>
              <w:spacing w:after="0"/>
            </w:pPr>
            <w:r/>
            <w:r>
              <w:rPr>
                <w:b w:val="0"/>
                <w:sz w:val="14"/>
              </w:rPr>
              <w:t>The entity cannot reconstruct material factors, provide usable reasons, support challenge, or evidence meaningful review and remediation.</w:t>
            </w:r>
          </w:p>
        </w:tc>
        <w:tc>
          <w:tcPr>
            <w:tcW w:type="dxa" w:w="2592"/>
            <w:vAlign w:val="center"/>
          </w:tcPr>
          <w:p>
            <w:pPr>
              <w:spacing w:after="0"/>
            </w:pPr>
            <w:r/>
            <w:r>
              <w:rPr>
                <w:b w:val="0"/>
                <w:sz w:val="14"/>
              </w:rPr>
              <w:t>High / Critical by context</w:t>
            </w:r>
          </w:p>
        </w:tc>
      </w:tr>
      <w:tr>
        <w:trPr>
          <w:cantSplit/>
        </w:trPr>
        <w:tc>
          <w:tcPr>
            <w:tcW w:type="dxa" w:w="2592"/>
            <w:vAlign w:val="center"/>
            <w:shd w:fill="EAF0F6"/>
          </w:tcPr>
          <w:p>
            <w:pPr>
              <w:spacing w:after="0"/>
            </w:pPr>
            <w:r/>
            <w:r>
              <w:rPr>
                <w:b w:val="0"/>
                <w:sz w:val="14"/>
              </w:rPr>
              <w:t>FS-12</w:t>
            </w:r>
          </w:p>
        </w:tc>
        <w:tc>
          <w:tcPr>
            <w:tcW w:type="dxa" w:w="2592"/>
            <w:vAlign w:val="center"/>
            <w:shd w:fill="EAF0F6"/>
          </w:tcPr>
          <w:p>
            <w:pPr>
              <w:spacing w:after="0"/>
            </w:pPr>
            <w:r/>
            <w:r>
              <w:rPr>
                <w:b w:val="0"/>
                <w:sz w:val="14"/>
              </w:rPr>
              <w:t>Bias, exclusion and disparate impact</w:t>
            </w:r>
          </w:p>
        </w:tc>
        <w:tc>
          <w:tcPr>
            <w:tcW w:type="dxa" w:w="2592"/>
            <w:vAlign w:val="center"/>
            <w:shd w:fill="EAF0F6"/>
          </w:tcPr>
          <w:p>
            <w:pPr>
              <w:spacing w:after="0"/>
            </w:pPr>
            <w:r/>
            <w:r>
              <w:rPr>
                <w:b w:val="0"/>
                <w:sz w:val="14"/>
              </w:rPr>
              <w:t>Unjustified outcome differences arise across protected or vulnerable groups, geographies, income bands, channels, disability status, or customer segments.</w:t>
            </w:r>
          </w:p>
        </w:tc>
        <w:tc>
          <w:tcPr>
            <w:tcW w:type="dxa" w:w="2592"/>
            <w:vAlign w:val="center"/>
            <w:shd w:fill="EAF0F6"/>
          </w:tcPr>
          <w:p>
            <w:pPr>
              <w:spacing w:after="0"/>
            </w:pPr>
            <w:r/>
            <w:r>
              <w:rPr>
                <w:b w:val="0"/>
                <w:sz w:val="14"/>
              </w:rPr>
              <w:t>High</w:t>
            </w:r>
          </w:p>
        </w:tc>
      </w:tr>
      <w:tr>
        <w:trPr>
          <w:cantSplit/>
        </w:trPr>
        <w:tc>
          <w:tcPr>
            <w:tcW w:type="dxa" w:w="2592"/>
            <w:vAlign w:val="center"/>
          </w:tcPr>
          <w:p>
            <w:pPr>
              <w:spacing w:after="0"/>
            </w:pPr>
            <w:r/>
            <w:r>
              <w:rPr>
                <w:b w:val="0"/>
                <w:sz w:val="14"/>
              </w:rPr>
              <w:t>FS-13</w:t>
            </w:r>
          </w:p>
        </w:tc>
        <w:tc>
          <w:tcPr>
            <w:tcW w:type="dxa" w:w="2592"/>
            <w:vAlign w:val="center"/>
          </w:tcPr>
          <w:p>
            <w:pPr>
              <w:spacing w:after="0"/>
            </w:pPr>
            <w:r/>
            <w:r>
              <w:rPr>
                <w:b w:val="0"/>
                <w:sz w:val="14"/>
              </w:rPr>
              <w:t>Data quality and provenance failure</w:t>
            </w:r>
          </w:p>
        </w:tc>
        <w:tc>
          <w:tcPr>
            <w:tcW w:type="dxa" w:w="2592"/>
            <w:vAlign w:val="center"/>
          </w:tcPr>
          <w:p>
            <w:pPr>
              <w:spacing w:after="0"/>
            </w:pPr>
            <w:r/>
            <w:r>
              <w:rPr>
                <w:b w:val="0"/>
                <w:sz w:val="14"/>
              </w:rPr>
              <w:t>Incorrect, stale, unlawfully sourced, unrepresentative, tampered, or lineage-deficient data affects decisions, reporting, and monitoring.</w:t>
            </w:r>
          </w:p>
        </w:tc>
        <w:tc>
          <w:tcPr>
            <w:tcW w:type="dxa" w:w="2592"/>
            <w:vAlign w:val="center"/>
          </w:tcPr>
          <w:p>
            <w:pPr>
              <w:spacing w:after="0"/>
            </w:pPr>
            <w:r/>
            <w:r>
              <w:rPr>
                <w:b w:val="0"/>
                <w:sz w:val="14"/>
              </w:rPr>
              <w:t>High</w:t>
            </w:r>
          </w:p>
        </w:tc>
      </w:tr>
      <w:tr>
        <w:trPr>
          <w:cantSplit/>
        </w:trPr>
        <w:tc>
          <w:tcPr>
            <w:tcW w:type="dxa" w:w="2592"/>
            <w:vAlign w:val="center"/>
            <w:shd w:fill="EAF0F6"/>
          </w:tcPr>
          <w:p>
            <w:pPr>
              <w:spacing w:after="0"/>
            </w:pPr>
            <w:r/>
            <w:r>
              <w:rPr>
                <w:b w:val="0"/>
                <w:sz w:val="14"/>
              </w:rPr>
              <w:t>FS-14</w:t>
            </w:r>
          </w:p>
        </w:tc>
        <w:tc>
          <w:tcPr>
            <w:tcW w:type="dxa" w:w="2592"/>
            <w:vAlign w:val="center"/>
            <w:shd w:fill="EAF0F6"/>
          </w:tcPr>
          <w:p>
            <w:pPr>
              <w:spacing w:after="0"/>
            </w:pPr>
            <w:r/>
            <w:r>
              <w:rPr>
                <w:b w:val="0"/>
                <w:sz w:val="14"/>
              </w:rPr>
              <w:t>Model drift and regime change</w:t>
            </w:r>
          </w:p>
        </w:tc>
        <w:tc>
          <w:tcPr>
            <w:tcW w:type="dxa" w:w="2592"/>
            <w:vAlign w:val="center"/>
            <w:shd w:fill="EAF0F6"/>
          </w:tcPr>
          <w:p>
            <w:pPr>
              <w:spacing w:after="0"/>
            </w:pPr>
            <w:r/>
            <w:r>
              <w:rPr>
                <w:b w:val="0"/>
                <w:sz w:val="14"/>
              </w:rPr>
              <w:t>Performance or calibration degrades through economic shocks, behavioural change, fraud adaptation, market structure change, or feedback effects.</w:t>
            </w:r>
          </w:p>
        </w:tc>
        <w:tc>
          <w:tcPr>
            <w:tcW w:type="dxa" w:w="2592"/>
            <w:vAlign w:val="center"/>
            <w:shd w:fill="EAF0F6"/>
          </w:tcPr>
          <w:p>
            <w:pPr>
              <w:spacing w:after="0"/>
            </w:pPr>
            <w:r/>
            <w:r>
              <w:rPr>
                <w:b w:val="0"/>
                <w:sz w:val="14"/>
              </w:rPr>
              <w:t>High</w:t>
            </w:r>
          </w:p>
        </w:tc>
      </w:tr>
      <w:tr>
        <w:trPr>
          <w:cantSplit/>
        </w:trPr>
        <w:tc>
          <w:tcPr>
            <w:tcW w:type="dxa" w:w="2592"/>
            <w:vAlign w:val="center"/>
          </w:tcPr>
          <w:p>
            <w:pPr>
              <w:spacing w:after="0"/>
            </w:pPr>
            <w:r/>
            <w:r>
              <w:rPr>
                <w:b w:val="0"/>
                <w:sz w:val="14"/>
              </w:rPr>
              <w:t>FS-15</w:t>
            </w:r>
          </w:p>
        </w:tc>
        <w:tc>
          <w:tcPr>
            <w:tcW w:type="dxa" w:w="2592"/>
            <w:vAlign w:val="center"/>
          </w:tcPr>
          <w:p>
            <w:pPr>
              <w:spacing w:after="0"/>
            </w:pPr>
            <w:r/>
            <w:r>
              <w:rPr>
                <w:b w:val="0"/>
                <w:sz w:val="14"/>
              </w:rPr>
              <w:t>Agentic and multi-agent execution failure</w:t>
            </w:r>
          </w:p>
        </w:tc>
        <w:tc>
          <w:tcPr>
            <w:tcW w:type="dxa" w:w="2592"/>
            <w:vAlign w:val="center"/>
          </w:tcPr>
          <w:p>
            <w:pPr>
              <w:spacing w:after="0"/>
            </w:pPr>
            <w:r/>
            <w:r>
              <w:rPr>
                <w:b w:val="0"/>
                <w:sz w:val="14"/>
              </w:rPr>
              <w:t>Chained agents exceed authority, lose identity continuity, compound tool-call limits, create orphaned tasks, or propagate erroneous plans across systems.</w:t>
            </w:r>
          </w:p>
        </w:tc>
        <w:tc>
          <w:tcPr>
            <w:tcW w:type="dxa" w:w="2592"/>
            <w:vAlign w:val="center"/>
          </w:tcPr>
          <w:p>
            <w:pPr>
              <w:spacing w:after="0"/>
            </w:pPr>
            <w:r/>
            <w:r>
              <w:rPr>
                <w:b w:val="0"/>
                <w:sz w:val="14"/>
              </w:rPr>
              <w:t>Critical</w:t>
            </w:r>
          </w:p>
        </w:tc>
      </w:tr>
      <w:tr>
        <w:trPr>
          <w:cantSplit/>
        </w:trPr>
        <w:tc>
          <w:tcPr>
            <w:tcW w:type="dxa" w:w="2592"/>
            <w:vAlign w:val="center"/>
            <w:shd w:fill="EAF0F6"/>
          </w:tcPr>
          <w:p>
            <w:pPr>
              <w:spacing w:after="0"/>
            </w:pPr>
            <w:r/>
            <w:r>
              <w:rPr>
                <w:b w:val="0"/>
                <w:sz w:val="14"/>
              </w:rPr>
              <w:t>FS-16</w:t>
            </w:r>
          </w:p>
        </w:tc>
        <w:tc>
          <w:tcPr>
            <w:tcW w:type="dxa" w:w="2592"/>
            <w:vAlign w:val="center"/>
            <w:shd w:fill="EAF0F6"/>
          </w:tcPr>
          <w:p>
            <w:pPr>
              <w:spacing w:after="0"/>
            </w:pPr>
            <w:r/>
            <w:r>
              <w:rPr>
                <w:b w:val="0"/>
                <w:sz w:val="14"/>
              </w:rPr>
              <w:t>Regulatory reporting and recordkeeping error</w:t>
            </w:r>
          </w:p>
        </w:tc>
        <w:tc>
          <w:tcPr>
            <w:tcW w:type="dxa" w:w="2592"/>
            <w:vAlign w:val="center"/>
            <w:shd w:fill="EAF0F6"/>
          </w:tcPr>
          <w:p>
            <w:pPr>
              <w:spacing w:after="0"/>
            </w:pPr>
            <w:r/>
            <w:r>
              <w:rPr>
                <w:b w:val="0"/>
                <w:sz w:val="14"/>
              </w:rPr>
              <w:t>AI-generated returns, disclosures, books and records, model documentation, or supervisory responses are inaccurate, incomplete, or not reproducible.</w:t>
            </w:r>
          </w:p>
        </w:tc>
        <w:tc>
          <w:tcPr>
            <w:tcW w:type="dxa" w:w="2592"/>
            <w:vAlign w:val="center"/>
            <w:shd w:fill="EAF0F6"/>
          </w:tcPr>
          <w:p>
            <w:pPr>
              <w:spacing w:after="0"/>
            </w:pPr>
            <w:r/>
            <w:r>
              <w:rPr>
                <w:b w:val="0"/>
                <w:sz w:val="14"/>
              </w:rPr>
              <w:t>High / Critical by context</w:t>
            </w:r>
          </w:p>
        </w:tc>
      </w:tr>
      <w:tr>
        <w:trPr>
          <w:cantSplit/>
        </w:trPr>
        <w:tc>
          <w:tcPr>
            <w:tcW w:type="dxa" w:w="2592"/>
            <w:vAlign w:val="center"/>
          </w:tcPr>
          <w:p>
            <w:pPr>
              <w:spacing w:after="0"/>
            </w:pPr>
            <w:r/>
            <w:r>
              <w:rPr>
                <w:b w:val="0"/>
                <w:sz w:val="14"/>
              </w:rPr>
              <w:t>FS-17</w:t>
            </w:r>
          </w:p>
        </w:tc>
        <w:tc>
          <w:tcPr>
            <w:tcW w:type="dxa" w:w="2592"/>
            <w:vAlign w:val="center"/>
          </w:tcPr>
          <w:p>
            <w:pPr>
              <w:spacing w:after="0"/>
            </w:pPr>
            <w:r/>
            <w:r>
              <w:rPr>
                <w:b w:val="0"/>
                <w:sz w:val="14"/>
              </w:rPr>
              <w:t>Systemic and contagion effects</w:t>
            </w:r>
          </w:p>
        </w:tc>
        <w:tc>
          <w:tcPr>
            <w:tcW w:type="dxa" w:w="2592"/>
            <w:vAlign w:val="center"/>
          </w:tcPr>
          <w:p>
            <w:pPr>
              <w:spacing w:after="0"/>
            </w:pPr>
            <w:r/>
            <w:r>
              <w:rPr>
                <w:b w:val="0"/>
                <w:sz w:val="14"/>
              </w:rPr>
              <w:t>Common models, correlated strategies, automated withdrawals, shared data dependencies, or synchronized risk responses amplify sector-wide stress.</w:t>
            </w:r>
          </w:p>
        </w:tc>
        <w:tc>
          <w:tcPr>
            <w:tcW w:type="dxa" w:w="2592"/>
            <w:vAlign w:val="center"/>
          </w:tcPr>
          <w:p>
            <w:pPr>
              <w:spacing w:after="0"/>
            </w:pPr>
            <w:r/>
            <w:r>
              <w:rPr>
                <w:b w:val="0"/>
                <w:sz w:val="14"/>
              </w:rPr>
              <w:t>Critical</w:t>
            </w:r>
          </w:p>
        </w:tc>
      </w:tr>
    </w:tbl>
    <w:p>
      <w:pPr>
        <w:pStyle w:val="Heading1"/>
      </w:pPr>
      <w:r>
        <w:t>Use-case materiality and classification</w:t>
      </w:r>
    </w:p>
    <w:p>
      <w:r>
        <w:t>A use case should receive higher-tier treatment where one or more materiality factors are significant. The factors are not additive scoring rules unless the entity defines and validates a scoring method. A single critical factor may justify Critical classification.</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17365D"/>
          </w:tcPr>
          <w:p>
            <w:pPr>
              <w:spacing w:after="0"/>
            </w:pPr>
            <w:r/>
            <w:r>
              <w:rPr>
                <w:b/>
                <w:color w:val="FFFFFF"/>
                <w:sz w:val="14"/>
              </w:rPr>
              <w:t>Factor</w:t>
            </w:r>
          </w:p>
        </w:tc>
        <w:tc>
          <w:tcPr>
            <w:tcW w:type="dxa" w:w="3456"/>
            <w:vAlign w:val="center"/>
            <w:shd w:fill="17365D"/>
          </w:tcPr>
          <w:p>
            <w:pPr>
              <w:spacing w:after="0"/>
            </w:pPr>
            <w:r/>
            <w:r>
              <w:rPr>
                <w:b/>
                <w:color w:val="FFFFFF"/>
                <w:sz w:val="14"/>
              </w:rPr>
              <w:t>Assessment question</w:t>
            </w:r>
          </w:p>
        </w:tc>
        <w:tc>
          <w:tcPr>
            <w:tcW w:type="dxa" w:w="3456"/>
            <w:vAlign w:val="center"/>
            <w:shd w:fill="17365D"/>
          </w:tcPr>
          <w:p>
            <w:pPr>
              <w:spacing w:after="0"/>
            </w:pPr>
            <w:r/>
            <w:r>
              <w:rPr>
                <w:b/>
                <w:color w:val="FFFFFF"/>
                <w:sz w:val="14"/>
              </w:rPr>
              <w:t>Higher-tier indicator</w:t>
            </w:r>
          </w:p>
        </w:tc>
      </w:tr>
      <w:tr>
        <w:trPr>
          <w:cantSplit/>
        </w:trPr>
        <w:tc>
          <w:tcPr>
            <w:tcW w:type="dxa" w:w="3456"/>
            <w:vAlign w:val="center"/>
          </w:tcPr>
          <w:p>
            <w:pPr>
              <w:spacing w:after="0"/>
            </w:pPr>
            <w:r/>
            <w:r>
              <w:rPr>
                <w:b w:val="0"/>
                <w:sz w:val="14"/>
              </w:rPr>
              <w:t>Customer financial consequence</w:t>
            </w:r>
          </w:p>
        </w:tc>
        <w:tc>
          <w:tcPr>
            <w:tcW w:type="dxa" w:w="3456"/>
            <w:vAlign w:val="center"/>
          </w:tcPr>
          <w:p>
            <w:pPr>
              <w:spacing w:after="0"/>
            </w:pPr>
            <w:r/>
            <w:r>
              <w:rPr>
                <w:b w:val="0"/>
                <w:sz w:val="14"/>
              </w:rPr>
              <w:t>Can the system approve, deny, price, limit, collect, advise, freeze, or otherwise materially affect a customer?</w:t>
            </w:r>
          </w:p>
        </w:tc>
        <w:tc>
          <w:tcPr>
            <w:tcW w:type="dxa" w:w="3456"/>
            <w:vAlign w:val="center"/>
          </w:tcPr>
          <w:p>
            <w:pPr>
              <w:spacing w:after="0"/>
            </w:pPr>
            <w:r/>
            <w:r>
              <w:rPr>
                <w:b w:val="0"/>
                <w:sz w:val="14"/>
              </w:rPr>
              <w:t>Higher tier where adverse action is difficult to reverse or affects essential financial access.</w:t>
            </w:r>
          </w:p>
        </w:tc>
      </w:tr>
      <w:tr>
        <w:trPr>
          <w:cantSplit/>
        </w:trPr>
        <w:tc>
          <w:tcPr>
            <w:tcW w:type="dxa" w:w="3456"/>
            <w:vAlign w:val="center"/>
            <w:shd w:fill="EAF0F6"/>
          </w:tcPr>
          <w:p>
            <w:pPr>
              <w:spacing w:after="0"/>
            </w:pPr>
            <w:r/>
            <w:r>
              <w:rPr>
                <w:b w:val="0"/>
                <w:sz w:val="14"/>
              </w:rPr>
              <w:t>Authority and irreversibility</w:t>
            </w:r>
          </w:p>
        </w:tc>
        <w:tc>
          <w:tcPr>
            <w:tcW w:type="dxa" w:w="3456"/>
            <w:vAlign w:val="center"/>
            <w:shd w:fill="EAF0F6"/>
          </w:tcPr>
          <w:p>
            <w:pPr>
              <w:spacing w:after="0"/>
            </w:pPr>
            <w:r/>
            <w:r>
              <w:rPr>
                <w:b w:val="0"/>
                <w:sz w:val="14"/>
              </w:rPr>
              <w:t>Can it move funds, execute trades, change entitlements, deploy code, or alter records?</w:t>
            </w:r>
          </w:p>
        </w:tc>
        <w:tc>
          <w:tcPr>
            <w:tcW w:type="dxa" w:w="3456"/>
            <w:vAlign w:val="center"/>
            <w:shd w:fill="EAF0F6"/>
          </w:tcPr>
          <w:p>
            <w:pPr>
              <w:spacing w:after="0"/>
            </w:pPr>
            <w:r/>
            <w:r>
              <w:rPr>
                <w:b w:val="0"/>
                <w:sz w:val="14"/>
              </w:rPr>
              <w:t>Critical where action is autonomous, high-value, high-velocity, or irreversible.</w:t>
            </w:r>
          </w:p>
        </w:tc>
      </w:tr>
      <w:tr>
        <w:trPr>
          <w:cantSplit/>
        </w:trPr>
        <w:tc>
          <w:tcPr>
            <w:tcW w:type="dxa" w:w="3456"/>
            <w:vAlign w:val="center"/>
          </w:tcPr>
          <w:p>
            <w:pPr>
              <w:spacing w:after="0"/>
            </w:pPr>
            <w:r/>
            <w:r>
              <w:rPr>
                <w:b w:val="0"/>
                <w:sz w:val="14"/>
              </w:rPr>
              <w:t>Critical-function dependency</w:t>
            </w:r>
          </w:p>
        </w:tc>
        <w:tc>
          <w:tcPr>
            <w:tcW w:type="dxa" w:w="3456"/>
            <w:vAlign w:val="center"/>
          </w:tcPr>
          <w:p>
            <w:pPr>
              <w:spacing w:after="0"/>
            </w:pPr>
            <w:r/>
            <w:r>
              <w:rPr>
                <w:b w:val="0"/>
                <w:sz w:val="14"/>
              </w:rPr>
              <w:t>Does failure impair a critical or important business service?</w:t>
            </w:r>
          </w:p>
        </w:tc>
        <w:tc>
          <w:tcPr>
            <w:tcW w:type="dxa" w:w="3456"/>
            <w:vAlign w:val="center"/>
          </w:tcPr>
          <w:p>
            <w:pPr>
              <w:spacing w:after="0"/>
            </w:pPr>
            <w:r/>
            <w:r>
              <w:rPr>
                <w:b w:val="0"/>
                <w:sz w:val="14"/>
              </w:rPr>
              <w:t>Higher tier where fallback is unavailable, slow, or untested.</w:t>
            </w:r>
          </w:p>
        </w:tc>
      </w:tr>
      <w:tr>
        <w:trPr>
          <w:cantSplit/>
        </w:trPr>
        <w:tc>
          <w:tcPr>
            <w:tcW w:type="dxa" w:w="3456"/>
            <w:vAlign w:val="center"/>
            <w:shd w:fill="EAF0F6"/>
          </w:tcPr>
          <w:p>
            <w:pPr>
              <w:spacing w:after="0"/>
            </w:pPr>
            <w:r/>
            <w:r>
              <w:rPr>
                <w:b w:val="0"/>
                <w:sz w:val="14"/>
              </w:rPr>
              <w:t>Regulatory and evidentiary significance</w:t>
            </w:r>
          </w:p>
        </w:tc>
        <w:tc>
          <w:tcPr>
            <w:tcW w:type="dxa" w:w="3456"/>
            <w:vAlign w:val="center"/>
            <w:shd w:fill="EAF0F6"/>
          </w:tcPr>
          <w:p>
            <w:pPr>
              <w:spacing w:after="0"/>
            </w:pPr>
            <w:r/>
            <w:r>
              <w:rPr>
                <w:b w:val="0"/>
                <w:sz w:val="14"/>
              </w:rPr>
              <w:t>Does it create regulatory reports, books and records, suspicious activity decisions, or supervisory submissions?</w:t>
            </w:r>
          </w:p>
        </w:tc>
        <w:tc>
          <w:tcPr>
            <w:tcW w:type="dxa" w:w="3456"/>
            <w:vAlign w:val="center"/>
            <w:shd w:fill="EAF0F6"/>
          </w:tcPr>
          <w:p>
            <w:pPr>
              <w:spacing w:after="0"/>
            </w:pPr>
            <w:r/>
            <w:r>
              <w:rPr>
                <w:b w:val="0"/>
                <w:sz w:val="14"/>
              </w:rPr>
              <w:t>Higher tier where reconstruction, reason-giving, or retention is mandatory.</w:t>
            </w:r>
          </w:p>
        </w:tc>
      </w:tr>
      <w:tr>
        <w:trPr>
          <w:cantSplit/>
        </w:trPr>
        <w:tc>
          <w:tcPr>
            <w:tcW w:type="dxa" w:w="3456"/>
            <w:vAlign w:val="center"/>
          </w:tcPr>
          <w:p>
            <w:pPr>
              <w:spacing w:after="0"/>
            </w:pPr>
            <w:r/>
            <w:r>
              <w:rPr>
                <w:b w:val="0"/>
                <w:sz w:val="14"/>
              </w:rPr>
              <w:t>Scale and concentration</w:t>
            </w:r>
          </w:p>
        </w:tc>
        <w:tc>
          <w:tcPr>
            <w:tcW w:type="dxa" w:w="3456"/>
            <w:vAlign w:val="center"/>
          </w:tcPr>
          <w:p>
            <w:pPr>
              <w:spacing w:after="0"/>
            </w:pPr>
            <w:r/>
            <w:r>
              <w:rPr>
                <w:b w:val="0"/>
                <w:sz w:val="14"/>
              </w:rPr>
              <w:t>How many customers, products, legal entities, markets, and third parties depend on it?</w:t>
            </w:r>
          </w:p>
        </w:tc>
        <w:tc>
          <w:tcPr>
            <w:tcW w:type="dxa" w:w="3456"/>
            <w:vAlign w:val="center"/>
          </w:tcPr>
          <w:p>
            <w:pPr>
              <w:spacing w:after="0"/>
            </w:pPr>
            <w:r/>
            <w:r>
              <w:rPr>
                <w:b w:val="0"/>
                <w:sz w:val="14"/>
              </w:rPr>
              <w:t>Higher tier where one provider or model creates correlated exposure.</w:t>
            </w:r>
          </w:p>
        </w:tc>
      </w:tr>
      <w:tr>
        <w:trPr>
          <w:cantSplit/>
        </w:trPr>
        <w:tc>
          <w:tcPr>
            <w:tcW w:type="dxa" w:w="3456"/>
            <w:vAlign w:val="center"/>
            <w:shd w:fill="EAF0F6"/>
          </w:tcPr>
          <w:p>
            <w:pPr>
              <w:spacing w:after="0"/>
            </w:pPr>
            <w:r/>
            <w:r>
              <w:rPr>
                <w:b w:val="0"/>
                <w:sz w:val="14"/>
              </w:rPr>
              <w:t>Adversarial attractiveness</w:t>
            </w:r>
          </w:p>
        </w:tc>
        <w:tc>
          <w:tcPr>
            <w:tcW w:type="dxa" w:w="3456"/>
            <w:vAlign w:val="center"/>
            <w:shd w:fill="EAF0F6"/>
          </w:tcPr>
          <w:p>
            <w:pPr>
              <w:spacing w:after="0"/>
            </w:pPr>
            <w:r/>
            <w:r>
              <w:rPr>
                <w:b w:val="0"/>
                <w:sz w:val="14"/>
              </w:rPr>
              <w:t>Would manipulation produce fraud, evasion, access, market, or intelligence value?</w:t>
            </w:r>
          </w:p>
        </w:tc>
        <w:tc>
          <w:tcPr>
            <w:tcW w:type="dxa" w:w="3456"/>
            <w:vAlign w:val="center"/>
            <w:shd w:fill="EAF0F6"/>
          </w:tcPr>
          <w:p>
            <w:pPr>
              <w:spacing w:after="0"/>
            </w:pPr>
            <w:r/>
            <w:r>
              <w:rPr>
                <w:b w:val="0"/>
                <w:sz w:val="14"/>
              </w:rPr>
              <w:t>Higher tier where attackers can cheaply probe or influence inputs.</w:t>
            </w:r>
          </w:p>
        </w:tc>
      </w:tr>
      <w:tr>
        <w:trPr>
          <w:cantSplit/>
        </w:trPr>
        <w:tc>
          <w:tcPr>
            <w:tcW w:type="dxa" w:w="3456"/>
            <w:vAlign w:val="center"/>
          </w:tcPr>
          <w:p>
            <w:pPr>
              <w:spacing w:after="0"/>
            </w:pPr>
            <w:r/>
            <w:r>
              <w:rPr>
                <w:b w:val="0"/>
                <w:sz w:val="14"/>
              </w:rPr>
              <w:t>Vulnerability and fairness</w:t>
            </w:r>
          </w:p>
        </w:tc>
        <w:tc>
          <w:tcPr>
            <w:tcW w:type="dxa" w:w="3456"/>
            <w:vAlign w:val="center"/>
          </w:tcPr>
          <w:p>
            <w:pPr>
              <w:spacing w:after="0"/>
            </w:pPr>
            <w:r/>
            <w:r>
              <w:rPr>
                <w:b w:val="0"/>
                <w:sz w:val="14"/>
              </w:rPr>
              <w:t>Does it affect protected, vulnerable, thin-file, distressed, or digitally excluded groups?</w:t>
            </w:r>
          </w:p>
        </w:tc>
        <w:tc>
          <w:tcPr>
            <w:tcW w:type="dxa" w:w="3456"/>
            <w:vAlign w:val="center"/>
          </w:tcPr>
          <w:p>
            <w:pPr>
              <w:spacing w:after="0"/>
            </w:pPr>
            <w:r/>
            <w:r>
              <w:rPr>
                <w:b w:val="0"/>
                <w:sz w:val="14"/>
              </w:rPr>
              <w:t>Higher tier where harm is difficult to detect through aggregate metrics.</w:t>
            </w:r>
          </w:p>
        </w:tc>
      </w:tr>
      <w:tr>
        <w:trPr>
          <w:cantSplit/>
        </w:trPr>
        <w:tc>
          <w:tcPr>
            <w:tcW w:type="dxa" w:w="3456"/>
            <w:vAlign w:val="center"/>
            <w:shd w:fill="EAF0F6"/>
          </w:tcPr>
          <w:p>
            <w:pPr>
              <w:spacing w:after="0"/>
            </w:pPr>
            <w:r/>
            <w:r>
              <w:rPr>
                <w:b w:val="0"/>
                <w:sz w:val="14"/>
              </w:rPr>
              <w:t>Systemic propagation</w:t>
            </w:r>
          </w:p>
        </w:tc>
        <w:tc>
          <w:tcPr>
            <w:tcW w:type="dxa" w:w="3456"/>
            <w:vAlign w:val="center"/>
            <w:shd w:fill="EAF0F6"/>
          </w:tcPr>
          <w:p>
            <w:pPr>
              <w:spacing w:after="0"/>
            </w:pPr>
            <w:r/>
            <w:r>
              <w:rPr>
                <w:b w:val="0"/>
                <w:sz w:val="14"/>
              </w:rPr>
              <w:t>Can outputs influence liquidity, common strategies, market pricing, or other institutions?</w:t>
            </w:r>
          </w:p>
        </w:tc>
        <w:tc>
          <w:tcPr>
            <w:tcW w:type="dxa" w:w="3456"/>
            <w:vAlign w:val="center"/>
            <w:shd w:fill="EAF0F6"/>
          </w:tcPr>
          <w:p>
            <w:pPr>
              <w:spacing w:after="0"/>
            </w:pPr>
            <w:r/>
            <w:r>
              <w:rPr>
                <w:b w:val="0"/>
                <w:sz w:val="14"/>
              </w:rPr>
              <w:t>Critical where correlated response or feedback loops are plausible.</w:t>
            </w:r>
          </w:p>
        </w:tc>
      </w:tr>
    </w:tbl>
    <w:p>
      <w:pPr>
        <w:pStyle w:val="Heading2"/>
      </w:pPr>
      <w:r>
        <w:t>Representative use cases</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tblHeader w:val="true"/>
        </w:trPr>
        <w:tc>
          <w:tcPr>
            <w:tcW w:type="dxa" w:w="2074"/>
            <w:vAlign w:val="center"/>
            <w:shd w:fill="17365D"/>
          </w:tcPr>
          <w:p>
            <w:pPr>
              <w:spacing w:after="0"/>
            </w:pPr>
            <w:r/>
            <w:r>
              <w:rPr>
                <w:b/>
                <w:color w:val="FFFFFF"/>
                <w:sz w:val="13"/>
              </w:rPr>
              <w:t>ID</w:t>
            </w:r>
          </w:p>
        </w:tc>
        <w:tc>
          <w:tcPr>
            <w:tcW w:type="dxa" w:w="2074"/>
            <w:vAlign w:val="center"/>
            <w:shd w:fill="17365D"/>
          </w:tcPr>
          <w:p>
            <w:pPr>
              <w:spacing w:after="0"/>
            </w:pPr>
            <w:r/>
            <w:r>
              <w:rPr>
                <w:b/>
                <w:color w:val="FFFFFF"/>
                <w:sz w:val="13"/>
              </w:rPr>
              <w:t>Use case</w:t>
            </w:r>
          </w:p>
        </w:tc>
        <w:tc>
          <w:tcPr>
            <w:tcW w:type="dxa" w:w="2074"/>
            <w:vAlign w:val="center"/>
            <w:shd w:fill="17365D"/>
          </w:tcPr>
          <w:p>
            <w:pPr>
              <w:spacing w:after="0"/>
            </w:pPr>
            <w:r/>
            <w:r>
              <w:rPr>
                <w:b/>
                <w:color w:val="FFFFFF"/>
                <w:sz w:val="13"/>
              </w:rPr>
              <w:t>Indicative tier</w:t>
            </w:r>
          </w:p>
        </w:tc>
        <w:tc>
          <w:tcPr>
            <w:tcW w:type="dxa" w:w="2074"/>
            <w:vAlign w:val="center"/>
            <w:shd w:fill="17365D"/>
          </w:tcPr>
          <w:p>
            <w:pPr>
              <w:spacing w:after="0"/>
            </w:pPr>
            <w:r/>
            <w:r>
              <w:rPr>
                <w:b/>
                <w:color w:val="FFFFFF"/>
                <w:sz w:val="13"/>
              </w:rPr>
              <w:t>Accountable functions</w:t>
            </w:r>
          </w:p>
        </w:tc>
        <w:tc>
          <w:tcPr>
            <w:tcW w:type="dxa" w:w="2074"/>
            <w:vAlign w:val="center"/>
            <w:shd w:fill="17365D"/>
          </w:tcPr>
          <w:p>
            <w:pPr>
              <w:spacing w:after="0"/>
            </w:pPr>
            <w:r/>
            <w:r>
              <w:rPr>
                <w:b/>
                <w:color w:val="FFFFFF"/>
                <w:sz w:val="13"/>
              </w:rPr>
              <w:t>Principal control focus</w:t>
            </w:r>
          </w:p>
        </w:tc>
      </w:tr>
      <w:tr>
        <w:trPr>
          <w:cantSplit/>
        </w:trPr>
        <w:tc>
          <w:tcPr>
            <w:tcW w:type="dxa" w:w="2074"/>
            <w:vAlign w:val="center"/>
          </w:tcPr>
          <w:p>
            <w:pPr>
              <w:spacing w:after="0"/>
            </w:pPr>
            <w:r/>
            <w:r>
              <w:rPr>
                <w:b w:val="0"/>
                <w:sz w:val="13"/>
              </w:rPr>
              <w:t>UC-01</w:t>
            </w:r>
          </w:p>
        </w:tc>
        <w:tc>
          <w:tcPr>
            <w:tcW w:type="dxa" w:w="2074"/>
            <w:vAlign w:val="center"/>
          </w:tcPr>
          <w:p>
            <w:pPr>
              <w:spacing w:after="0"/>
            </w:pPr>
            <w:r/>
            <w:r>
              <w:rPr>
                <w:b w:val="0"/>
                <w:sz w:val="13"/>
              </w:rPr>
              <w:t>Fraud detection and transaction monitoring</w:t>
            </w:r>
          </w:p>
        </w:tc>
        <w:tc>
          <w:tcPr>
            <w:tcW w:type="dxa" w:w="2074"/>
            <w:vAlign w:val="center"/>
          </w:tcPr>
          <w:p>
            <w:pPr>
              <w:spacing w:after="0"/>
            </w:pPr>
            <w:r/>
            <w:r>
              <w:rPr>
                <w:b w:val="0"/>
                <w:sz w:val="13"/>
              </w:rPr>
              <w:t>Critical</w:t>
            </w:r>
          </w:p>
        </w:tc>
        <w:tc>
          <w:tcPr>
            <w:tcW w:type="dxa" w:w="2074"/>
            <w:vAlign w:val="center"/>
          </w:tcPr>
          <w:p>
            <w:pPr>
              <w:spacing w:after="0"/>
            </w:pPr>
            <w:r/>
            <w:r>
              <w:rPr>
                <w:b w:val="0"/>
                <w:sz w:val="13"/>
              </w:rPr>
              <w:t>Fraud Operations / CISO / Model Risk</w:t>
            </w:r>
          </w:p>
        </w:tc>
        <w:tc>
          <w:tcPr>
            <w:tcW w:type="dxa" w:w="2074"/>
            <w:vAlign w:val="center"/>
          </w:tcPr>
          <w:p>
            <w:pPr>
              <w:spacing w:after="0"/>
            </w:pPr>
            <w:r/>
            <w:r>
              <w:rPr>
                <w:b w:val="0"/>
                <w:sz w:val="13"/>
              </w:rPr>
              <w:t>False-negative risk, adversarial adaptation, alert integrity, override abuse</w:t>
            </w:r>
          </w:p>
        </w:tc>
      </w:tr>
      <w:tr>
        <w:trPr>
          <w:cantSplit/>
        </w:trPr>
        <w:tc>
          <w:tcPr>
            <w:tcW w:type="dxa" w:w="2074"/>
            <w:vAlign w:val="center"/>
            <w:shd w:fill="EAF0F6"/>
          </w:tcPr>
          <w:p>
            <w:pPr>
              <w:spacing w:after="0"/>
            </w:pPr>
            <w:r/>
            <w:r>
              <w:rPr>
                <w:b w:val="0"/>
                <w:sz w:val="13"/>
              </w:rPr>
              <w:t>UC-02</w:t>
            </w:r>
          </w:p>
        </w:tc>
        <w:tc>
          <w:tcPr>
            <w:tcW w:type="dxa" w:w="2074"/>
            <w:vAlign w:val="center"/>
            <w:shd w:fill="EAF0F6"/>
          </w:tcPr>
          <w:p>
            <w:pPr>
              <w:spacing w:after="0"/>
            </w:pPr>
            <w:r/>
            <w:r>
              <w:rPr>
                <w:b w:val="0"/>
                <w:sz w:val="13"/>
              </w:rPr>
              <w:t>AML and sanctions screening</w:t>
            </w:r>
          </w:p>
        </w:tc>
        <w:tc>
          <w:tcPr>
            <w:tcW w:type="dxa" w:w="2074"/>
            <w:vAlign w:val="center"/>
            <w:shd w:fill="EAF0F6"/>
          </w:tcPr>
          <w:p>
            <w:pPr>
              <w:spacing w:after="0"/>
            </w:pPr>
            <w:r/>
            <w:r>
              <w:rPr>
                <w:b w:val="0"/>
                <w:sz w:val="13"/>
              </w:rPr>
              <w:t>Critical</w:t>
            </w:r>
          </w:p>
        </w:tc>
        <w:tc>
          <w:tcPr>
            <w:tcW w:type="dxa" w:w="2074"/>
            <w:vAlign w:val="center"/>
            <w:shd w:fill="EAF0F6"/>
          </w:tcPr>
          <w:p>
            <w:pPr>
              <w:spacing w:after="0"/>
            </w:pPr>
            <w:r/>
            <w:r>
              <w:rPr>
                <w:b w:val="0"/>
                <w:sz w:val="13"/>
              </w:rPr>
              <w:t>MLRO / Financial Crime / Model Risk</w:t>
            </w:r>
          </w:p>
        </w:tc>
        <w:tc>
          <w:tcPr>
            <w:tcW w:type="dxa" w:w="2074"/>
            <w:vAlign w:val="center"/>
            <w:shd w:fill="EAF0F6"/>
          </w:tcPr>
          <w:p>
            <w:pPr>
              <w:spacing w:after="0"/>
            </w:pPr>
            <w:r/>
            <w:r>
              <w:rPr>
                <w:b w:val="0"/>
                <w:sz w:val="13"/>
              </w:rPr>
              <w:t>Typology drift, list freshness, explainability, alert suppression, customer harm</w:t>
            </w:r>
          </w:p>
        </w:tc>
      </w:tr>
      <w:tr>
        <w:trPr>
          <w:cantSplit/>
        </w:trPr>
        <w:tc>
          <w:tcPr>
            <w:tcW w:type="dxa" w:w="2074"/>
            <w:vAlign w:val="center"/>
          </w:tcPr>
          <w:p>
            <w:pPr>
              <w:spacing w:after="0"/>
            </w:pPr>
            <w:r/>
            <w:r>
              <w:rPr>
                <w:b w:val="0"/>
                <w:sz w:val="13"/>
              </w:rPr>
              <w:t>UC-03</w:t>
            </w:r>
          </w:p>
        </w:tc>
        <w:tc>
          <w:tcPr>
            <w:tcW w:type="dxa" w:w="2074"/>
            <w:vAlign w:val="center"/>
          </w:tcPr>
          <w:p>
            <w:pPr>
              <w:spacing w:after="0"/>
            </w:pPr>
            <w:r/>
            <w:r>
              <w:rPr>
                <w:b w:val="0"/>
                <w:sz w:val="13"/>
              </w:rPr>
              <w:t>KYC, onboarding and identity verification</w:t>
            </w:r>
          </w:p>
        </w:tc>
        <w:tc>
          <w:tcPr>
            <w:tcW w:type="dxa" w:w="2074"/>
            <w:vAlign w:val="center"/>
          </w:tcPr>
          <w:p>
            <w:pPr>
              <w:spacing w:after="0"/>
            </w:pPr>
            <w:r/>
            <w:r>
              <w:rPr>
                <w:b w:val="0"/>
                <w:sz w:val="13"/>
              </w:rPr>
              <w:t>High</w:t>
            </w:r>
          </w:p>
        </w:tc>
        <w:tc>
          <w:tcPr>
            <w:tcW w:type="dxa" w:w="2074"/>
            <w:vAlign w:val="center"/>
          </w:tcPr>
          <w:p>
            <w:pPr>
              <w:spacing w:after="0"/>
            </w:pPr>
            <w:r/>
            <w:r>
              <w:rPr>
                <w:b w:val="0"/>
                <w:sz w:val="13"/>
              </w:rPr>
              <w:t>MLRO / Operations / CISO</w:t>
            </w:r>
          </w:p>
        </w:tc>
        <w:tc>
          <w:tcPr>
            <w:tcW w:type="dxa" w:w="2074"/>
            <w:vAlign w:val="center"/>
          </w:tcPr>
          <w:p>
            <w:pPr>
              <w:spacing w:after="0"/>
            </w:pPr>
            <w:r/>
            <w:r>
              <w:rPr>
                <w:b w:val="0"/>
                <w:sz w:val="13"/>
              </w:rPr>
              <w:t>Synthetic identity, deepfakes, document fraud, accessibility, manual escalation</w:t>
            </w:r>
          </w:p>
        </w:tc>
      </w:tr>
      <w:tr>
        <w:trPr>
          <w:cantSplit/>
        </w:trPr>
        <w:tc>
          <w:tcPr>
            <w:tcW w:type="dxa" w:w="2074"/>
            <w:vAlign w:val="center"/>
            <w:shd w:fill="EAF0F6"/>
          </w:tcPr>
          <w:p>
            <w:pPr>
              <w:spacing w:after="0"/>
            </w:pPr>
            <w:r/>
            <w:r>
              <w:rPr>
                <w:b w:val="0"/>
                <w:sz w:val="13"/>
              </w:rPr>
              <w:t>UC-04</w:t>
            </w:r>
          </w:p>
        </w:tc>
        <w:tc>
          <w:tcPr>
            <w:tcW w:type="dxa" w:w="2074"/>
            <w:vAlign w:val="center"/>
            <w:shd w:fill="EAF0F6"/>
          </w:tcPr>
          <w:p>
            <w:pPr>
              <w:spacing w:after="0"/>
            </w:pPr>
            <w:r/>
            <w:r>
              <w:rPr>
                <w:b w:val="0"/>
                <w:sz w:val="13"/>
              </w:rPr>
              <w:t>Credit scoring and underwriting</w:t>
            </w:r>
          </w:p>
        </w:tc>
        <w:tc>
          <w:tcPr>
            <w:tcW w:type="dxa" w:w="2074"/>
            <w:vAlign w:val="center"/>
            <w:shd w:fill="EAF0F6"/>
          </w:tcPr>
          <w:p>
            <w:pPr>
              <w:spacing w:after="0"/>
            </w:pPr>
            <w:r/>
            <w:r>
              <w:rPr>
                <w:b w:val="0"/>
                <w:sz w:val="13"/>
              </w:rPr>
              <w:t>High</w:t>
            </w:r>
          </w:p>
        </w:tc>
        <w:tc>
          <w:tcPr>
            <w:tcW w:type="dxa" w:w="2074"/>
            <w:vAlign w:val="center"/>
            <w:shd w:fill="EAF0F6"/>
          </w:tcPr>
          <w:p>
            <w:pPr>
              <w:spacing w:after="0"/>
            </w:pPr>
            <w:r/>
            <w:r>
              <w:rPr>
                <w:b w:val="0"/>
                <w:sz w:val="13"/>
              </w:rPr>
              <w:t>CRO / Chief Credit Officer / Compliance</w:t>
            </w:r>
          </w:p>
        </w:tc>
        <w:tc>
          <w:tcPr>
            <w:tcW w:type="dxa" w:w="2074"/>
            <w:vAlign w:val="center"/>
            <w:shd w:fill="EAF0F6"/>
          </w:tcPr>
          <w:p>
            <w:pPr>
              <w:spacing w:after="0"/>
            </w:pPr>
            <w:r/>
            <w:r>
              <w:rPr>
                <w:b w:val="0"/>
                <w:sz w:val="13"/>
              </w:rPr>
              <w:t>Fairness, reason codes, calibration, affordability, macroeconomic regime change</w:t>
            </w:r>
          </w:p>
        </w:tc>
      </w:tr>
      <w:tr>
        <w:trPr>
          <w:cantSplit/>
        </w:trPr>
        <w:tc>
          <w:tcPr>
            <w:tcW w:type="dxa" w:w="2074"/>
            <w:vAlign w:val="center"/>
          </w:tcPr>
          <w:p>
            <w:pPr>
              <w:spacing w:after="0"/>
            </w:pPr>
            <w:r/>
            <w:r>
              <w:rPr>
                <w:b w:val="0"/>
                <w:sz w:val="13"/>
              </w:rPr>
              <w:t>UC-05</w:t>
            </w:r>
          </w:p>
        </w:tc>
        <w:tc>
          <w:tcPr>
            <w:tcW w:type="dxa" w:w="2074"/>
            <w:vAlign w:val="center"/>
          </w:tcPr>
          <w:p>
            <w:pPr>
              <w:spacing w:after="0"/>
            </w:pPr>
            <w:r/>
            <w:r>
              <w:rPr>
                <w:b w:val="0"/>
                <w:sz w:val="13"/>
              </w:rPr>
              <w:t>Insurance pricing and claims</w:t>
            </w:r>
          </w:p>
        </w:tc>
        <w:tc>
          <w:tcPr>
            <w:tcW w:type="dxa" w:w="2074"/>
            <w:vAlign w:val="center"/>
          </w:tcPr>
          <w:p>
            <w:pPr>
              <w:spacing w:after="0"/>
            </w:pPr>
            <w:r/>
            <w:r>
              <w:rPr>
                <w:b w:val="0"/>
                <w:sz w:val="13"/>
              </w:rPr>
              <w:t>High</w:t>
            </w:r>
          </w:p>
        </w:tc>
        <w:tc>
          <w:tcPr>
            <w:tcW w:type="dxa" w:w="2074"/>
            <w:vAlign w:val="center"/>
          </w:tcPr>
          <w:p>
            <w:pPr>
              <w:spacing w:after="0"/>
            </w:pPr>
            <w:r/>
            <w:r>
              <w:rPr>
                <w:b w:val="0"/>
                <w:sz w:val="13"/>
              </w:rPr>
              <w:t>Chief Underwriting Officer / Claims / Compliance</w:t>
            </w:r>
          </w:p>
        </w:tc>
        <w:tc>
          <w:tcPr>
            <w:tcW w:type="dxa" w:w="2074"/>
            <w:vAlign w:val="center"/>
          </w:tcPr>
          <w:p>
            <w:pPr>
              <w:spacing w:after="0"/>
            </w:pPr>
            <w:r/>
            <w:r>
              <w:rPr>
                <w:b w:val="0"/>
                <w:sz w:val="13"/>
              </w:rPr>
              <w:t>Discrimination, denial, fraud trade-offs, vulnerable customers, contestability</w:t>
            </w:r>
          </w:p>
        </w:tc>
      </w:tr>
      <w:tr>
        <w:trPr>
          <w:cantSplit/>
        </w:trPr>
        <w:tc>
          <w:tcPr>
            <w:tcW w:type="dxa" w:w="2074"/>
            <w:vAlign w:val="center"/>
            <w:shd w:fill="EAF0F6"/>
          </w:tcPr>
          <w:p>
            <w:pPr>
              <w:spacing w:after="0"/>
            </w:pPr>
            <w:r/>
            <w:r>
              <w:rPr>
                <w:b w:val="0"/>
                <w:sz w:val="13"/>
              </w:rPr>
              <w:t>UC-06</w:t>
            </w:r>
          </w:p>
        </w:tc>
        <w:tc>
          <w:tcPr>
            <w:tcW w:type="dxa" w:w="2074"/>
            <w:vAlign w:val="center"/>
            <w:shd w:fill="EAF0F6"/>
          </w:tcPr>
          <w:p>
            <w:pPr>
              <w:spacing w:after="0"/>
            </w:pPr>
            <w:r/>
            <w:r>
              <w:rPr>
                <w:b w:val="0"/>
                <w:sz w:val="13"/>
              </w:rPr>
              <w:t>Investment advice and portfolio construction</w:t>
            </w:r>
          </w:p>
        </w:tc>
        <w:tc>
          <w:tcPr>
            <w:tcW w:type="dxa" w:w="2074"/>
            <w:vAlign w:val="center"/>
            <w:shd w:fill="EAF0F6"/>
          </w:tcPr>
          <w:p>
            <w:pPr>
              <w:spacing w:after="0"/>
            </w:pPr>
            <w:r/>
            <w:r>
              <w:rPr>
                <w:b w:val="0"/>
                <w:sz w:val="13"/>
              </w:rPr>
              <w:t>High</w:t>
            </w:r>
          </w:p>
        </w:tc>
        <w:tc>
          <w:tcPr>
            <w:tcW w:type="dxa" w:w="2074"/>
            <w:vAlign w:val="center"/>
            <w:shd w:fill="EAF0F6"/>
          </w:tcPr>
          <w:p>
            <w:pPr>
              <w:spacing w:after="0"/>
            </w:pPr>
            <w:r/>
            <w:r>
              <w:rPr>
                <w:b w:val="0"/>
                <w:sz w:val="13"/>
              </w:rPr>
              <w:t>CIO / Conduct Risk / Compliance</w:t>
            </w:r>
          </w:p>
        </w:tc>
        <w:tc>
          <w:tcPr>
            <w:tcW w:type="dxa" w:w="2074"/>
            <w:vAlign w:val="center"/>
            <w:shd w:fill="EAF0F6"/>
          </w:tcPr>
          <w:p>
            <w:pPr>
              <w:spacing w:after="0"/>
            </w:pPr>
            <w:r/>
            <w:r>
              <w:rPr>
                <w:b w:val="0"/>
                <w:sz w:val="13"/>
              </w:rPr>
              <w:t>Suitability, hallucinated facts, conflicts, product governance, volatility</w:t>
            </w:r>
          </w:p>
        </w:tc>
      </w:tr>
      <w:tr>
        <w:trPr>
          <w:cantSplit/>
        </w:trPr>
        <w:tc>
          <w:tcPr>
            <w:tcW w:type="dxa" w:w="2074"/>
            <w:vAlign w:val="center"/>
          </w:tcPr>
          <w:p>
            <w:pPr>
              <w:spacing w:after="0"/>
            </w:pPr>
            <w:r/>
            <w:r>
              <w:rPr>
                <w:b w:val="0"/>
                <w:sz w:val="13"/>
              </w:rPr>
              <w:t>UC-07</w:t>
            </w:r>
          </w:p>
        </w:tc>
        <w:tc>
          <w:tcPr>
            <w:tcW w:type="dxa" w:w="2074"/>
            <w:vAlign w:val="center"/>
          </w:tcPr>
          <w:p>
            <w:pPr>
              <w:spacing w:after="0"/>
            </w:pPr>
            <w:r/>
            <w:r>
              <w:rPr>
                <w:b w:val="0"/>
                <w:sz w:val="13"/>
              </w:rPr>
              <w:t>Algorithmic and AI-assisted trading</w:t>
            </w:r>
          </w:p>
        </w:tc>
        <w:tc>
          <w:tcPr>
            <w:tcW w:type="dxa" w:w="2074"/>
            <w:vAlign w:val="center"/>
          </w:tcPr>
          <w:p>
            <w:pPr>
              <w:spacing w:after="0"/>
            </w:pPr>
            <w:r/>
            <w:r>
              <w:rPr>
                <w:b w:val="0"/>
                <w:sz w:val="13"/>
              </w:rPr>
              <w:t>Critical</w:t>
            </w:r>
          </w:p>
        </w:tc>
        <w:tc>
          <w:tcPr>
            <w:tcW w:type="dxa" w:w="2074"/>
            <w:vAlign w:val="center"/>
          </w:tcPr>
          <w:p>
            <w:pPr>
              <w:spacing w:after="0"/>
            </w:pPr>
            <w:r/>
            <w:r>
              <w:rPr>
                <w:b w:val="0"/>
                <w:sz w:val="13"/>
              </w:rPr>
              <w:t>Head of Trading / Market Risk / Compliance</w:t>
            </w:r>
          </w:p>
        </w:tc>
        <w:tc>
          <w:tcPr>
            <w:tcW w:type="dxa" w:w="2074"/>
            <w:vAlign w:val="center"/>
          </w:tcPr>
          <w:p>
            <w:pPr>
              <w:spacing w:after="0"/>
            </w:pPr>
            <w:r/>
            <w:r>
              <w:rPr>
                <w:b w:val="0"/>
                <w:sz w:val="13"/>
              </w:rPr>
              <w:t>Runaway execution, manipulation, correlated strategies, kill-switch latency</w:t>
            </w:r>
          </w:p>
        </w:tc>
      </w:tr>
      <w:tr>
        <w:trPr>
          <w:cantSplit/>
        </w:trPr>
        <w:tc>
          <w:tcPr>
            <w:tcW w:type="dxa" w:w="2074"/>
            <w:vAlign w:val="center"/>
            <w:shd w:fill="EAF0F6"/>
          </w:tcPr>
          <w:p>
            <w:pPr>
              <w:spacing w:after="0"/>
            </w:pPr>
            <w:r/>
            <w:r>
              <w:rPr>
                <w:b w:val="0"/>
                <w:sz w:val="13"/>
              </w:rPr>
              <w:t>UC-08</w:t>
            </w:r>
          </w:p>
        </w:tc>
        <w:tc>
          <w:tcPr>
            <w:tcW w:type="dxa" w:w="2074"/>
            <w:vAlign w:val="center"/>
            <w:shd w:fill="EAF0F6"/>
          </w:tcPr>
          <w:p>
            <w:pPr>
              <w:spacing w:after="0"/>
            </w:pPr>
            <w:r/>
            <w:r>
              <w:rPr>
                <w:b w:val="0"/>
                <w:sz w:val="13"/>
              </w:rPr>
              <w:t>Customer service and financial guidance</w:t>
            </w:r>
          </w:p>
        </w:tc>
        <w:tc>
          <w:tcPr>
            <w:tcW w:type="dxa" w:w="2074"/>
            <w:vAlign w:val="center"/>
            <w:shd w:fill="EAF0F6"/>
          </w:tcPr>
          <w:p>
            <w:pPr>
              <w:spacing w:after="0"/>
            </w:pPr>
            <w:r/>
            <w:r>
              <w:rPr>
                <w:b w:val="0"/>
                <w:sz w:val="13"/>
              </w:rPr>
              <w:t>High</w:t>
            </w:r>
          </w:p>
        </w:tc>
        <w:tc>
          <w:tcPr>
            <w:tcW w:type="dxa" w:w="2074"/>
            <w:vAlign w:val="center"/>
            <w:shd w:fill="EAF0F6"/>
          </w:tcPr>
          <w:p>
            <w:pPr>
              <w:spacing w:after="0"/>
            </w:pPr>
            <w:r/>
            <w:r>
              <w:rPr>
                <w:b w:val="0"/>
                <w:sz w:val="13"/>
              </w:rPr>
              <w:t>Operations / Conduct Risk / CISO</w:t>
            </w:r>
          </w:p>
        </w:tc>
        <w:tc>
          <w:tcPr>
            <w:tcW w:type="dxa" w:w="2074"/>
            <w:vAlign w:val="center"/>
            <w:shd w:fill="EAF0F6"/>
          </w:tcPr>
          <w:p>
            <w:pPr>
              <w:spacing w:after="0"/>
            </w:pPr>
            <w:r/>
            <w:r>
              <w:rPr>
                <w:b w:val="0"/>
                <w:sz w:val="13"/>
              </w:rPr>
              <w:t>Misleading advice, authentication, prompt injection, escalation failure</w:t>
            </w:r>
          </w:p>
        </w:tc>
      </w:tr>
      <w:tr>
        <w:trPr>
          <w:cantSplit/>
        </w:trPr>
        <w:tc>
          <w:tcPr>
            <w:tcW w:type="dxa" w:w="2074"/>
            <w:vAlign w:val="center"/>
          </w:tcPr>
          <w:p>
            <w:pPr>
              <w:spacing w:after="0"/>
            </w:pPr>
            <w:r/>
            <w:r>
              <w:rPr>
                <w:b w:val="0"/>
                <w:sz w:val="13"/>
              </w:rPr>
              <w:t>UC-09</w:t>
            </w:r>
          </w:p>
        </w:tc>
        <w:tc>
          <w:tcPr>
            <w:tcW w:type="dxa" w:w="2074"/>
            <w:vAlign w:val="center"/>
          </w:tcPr>
          <w:p>
            <w:pPr>
              <w:spacing w:after="0"/>
            </w:pPr>
            <w:r/>
            <w:r>
              <w:rPr>
                <w:b w:val="0"/>
                <w:sz w:val="13"/>
              </w:rPr>
              <w:t>Customer segmentation and marketing</w:t>
            </w:r>
          </w:p>
        </w:tc>
        <w:tc>
          <w:tcPr>
            <w:tcW w:type="dxa" w:w="2074"/>
            <w:vAlign w:val="center"/>
          </w:tcPr>
          <w:p>
            <w:pPr>
              <w:spacing w:after="0"/>
            </w:pPr>
            <w:r/>
            <w:r>
              <w:rPr>
                <w:b w:val="0"/>
                <w:sz w:val="13"/>
              </w:rPr>
              <w:t>High</w:t>
            </w:r>
          </w:p>
        </w:tc>
        <w:tc>
          <w:tcPr>
            <w:tcW w:type="dxa" w:w="2074"/>
            <w:vAlign w:val="center"/>
          </w:tcPr>
          <w:p>
            <w:pPr>
              <w:spacing w:after="0"/>
            </w:pPr>
            <w:r/>
            <w:r>
              <w:rPr>
                <w:b w:val="0"/>
                <w:sz w:val="13"/>
              </w:rPr>
              <w:t>Marketing / Conduct Risk / Privacy</w:t>
            </w:r>
          </w:p>
        </w:tc>
        <w:tc>
          <w:tcPr>
            <w:tcW w:type="dxa" w:w="2074"/>
            <w:vAlign w:val="center"/>
          </w:tcPr>
          <w:p>
            <w:pPr>
              <w:spacing w:after="0"/>
            </w:pPr>
            <w:r/>
            <w:r>
              <w:rPr>
                <w:b w:val="0"/>
                <w:sz w:val="13"/>
              </w:rPr>
              <w:t>Manipulation, vulnerable customers, prohibited proxies, consent, exclusion</w:t>
            </w:r>
          </w:p>
        </w:tc>
      </w:tr>
      <w:tr>
        <w:trPr>
          <w:cantSplit/>
        </w:trPr>
        <w:tc>
          <w:tcPr>
            <w:tcW w:type="dxa" w:w="2074"/>
            <w:vAlign w:val="center"/>
            <w:shd w:fill="EAF0F6"/>
          </w:tcPr>
          <w:p>
            <w:pPr>
              <w:spacing w:after="0"/>
            </w:pPr>
            <w:r/>
            <w:r>
              <w:rPr>
                <w:b w:val="0"/>
                <w:sz w:val="13"/>
              </w:rPr>
              <w:t>UC-10</w:t>
            </w:r>
          </w:p>
        </w:tc>
        <w:tc>
          <w:tcPr>
            <w:tcW w:type="dxa" w:w="2074"/>
            <w:vAlign w:val="center"/>
            <w:shd w:fill="EAF0F6"/>
          </w:tcPr>
          <w:p>
            <w:pPr>
              <w:spacing w:after="0"/>
            </w:pPr>
            <w:r/>
            <w:r>
              <w:rPr>
                <w:b w:val="0"/>
                <w:sz w:val="13"/>
              </w:rPr>
              <w:t>Collections and recoveries</w:t>
            </w:r>
          </w:p>
        </w:tc>
        <w:tc>
          <w:tcPr>
            <w:tcW w:type="dxa" w:w="2074"/>
            <w:vAlign w:val="center"/>
            <w:shd w:fill="EAF0F6"/>
          </w:tcPr>
          <w:p>
            <w:pPr>
              <w:spacing w:after="0"/>
            </w:pPr>
            <w:r/>
            <w:r>
              <w:rPr>
                <w:b w:val="0"/>
                <w:sz w:val="13"/>
              </w:rPr>
              <w:t>High</w:t>
            </w:r>
          </w:p>
        </w:tc>
        <w:tc>
          <w:tcPr>
            <w:tcW w:type="dxa" w:w="2074"/>
            <w:vAlign w:val="center"/>
            <w:shd w:fill="EAF0F6"/>
          </w:tcPr>
          <w:p>
            <w:pPr>
              <w:spacing w:after="0"/>
            </w:pPr>
            <w:r/>
            <w:r>
              <w:rPr>
                <w:b w:val="0"/>
                <w:sz w:val="13"/>
              </w:rPr>
              <w:t>Collections / Compliance / Customer Outcomes</w:t>
            </w:r>
          </w:p>
        </w:tc>
        <w:tc>
          <w:tcPr>
            <w:tcW w:type="dxa" w:w="2074"/>
            <w:vAlign w:val="center"/>
            <w:shd w:fill="EAF0F6"/>
          </w:tcPr>
          <w:p>
            <w:pPr>
              <w:spacing w:after="0"/>
            </w:pPr>
            <w:r/>
            <w:r>
              <w:rPr>
                <w:b w:val="0"/>
                <w:sz w:val="13"/>
              </w:rPr>
              <w:t>Vulnerability, coercion, unfair prioritisation, prohibited communications</w:t>
            </w:r>
          </w:p>
        </w:tc>
      </w:tr>
      <w:tr>
        <w:trPr>
          <w:cantSplit/>
        </w:trPr>
        <w:tc>
          <w:tcPr>
            <w:tcW w:type="dxa" w:w="2074"/>
            <w:vAlign w:val="center"/>
          </w:tcPr>
          <w:p>
            <w:pPr>
              <w:spacing w:after="0"/>
            </w:pPr>
            <w:r/>
            <w:r>
              <w:rPr>
                <w:b w:val="0"/>
                <w:sz w:val="13"/>
              </w:rPr>
              <w:t>UC-11</w:t>
            </w:r>
          </w:p>
        </w:tc>
        <w:tc>
          <w:tcPr>
            <w:tcW w:type="dxa" w:w="2074"/>
            <w:vAlign w:val="center"/>
          </w:tcPr>
          <w:p>
            <w:pPr>
              <w:spacing w:after="0"/>
            </w:pPr>
            <w:r/>
            <w:r>
              <w:rPr>
                <w:b w:val="0"/>
                <w:sz w:val="13"/>
              </w:rPr>
              <w:t>Treasury, liquidity and capital analytics</w:t>
            </w:r>
          </w:p>
        </w:tc>
        <w:tc>
          <w:tcPr>
            <w:tcW w:type="dxa" w:w="2074"/>
            <w:vAlign w:val="center"/>
          </w:tcPr>
          <w:p>
            <w:pPr>
              <w:spacing w:after="0"/>
            </w:pPr>
            <w:r/>
            <w:r>
              <w:rPr>
                <w:b w:val="0"/>
                <w:sz w:val="13"/>
              </w:rPr>
              <w:t>Critical</w:t>
            </w:r>
          </w:p>
        </w:tc>
        <w:tc>
          <w:tcPr>
            <w:tcW w:type="dxa" w:w="2074"/>
            <w:vAlign w:val="center"/>
          </w:tcPr>
          <w:p>
            <w:pPr>
              <w:spacing w:after="0"/>
            </w:pPr>
            <w:r/>
            <w:r>
              <w:rPr>
                <w:b w:val="0"/>
                <w:sz w:val="13"/>
              </w:rPr>
              <w:t>CFO / Treasury / Prudential Risk</w:t>
            </w:r>
          </w:p>
        </w:tc>
        <w:tc>
          <w:tcPr>
            <w:tcW w:type="dxa" w:w="2074"/>
            <w:vAlign w:val="center"/>
          </w:tcPr>
          <w:p>
            <w:pPr>
              <w:spacing w:after="0"/>
            </w:pPr>
            <w:r/>
            <w:r>
              <w:rPr>
                <w:b w:val="0"/>
                <w:sz w:val="13"/>
              </w:rPr>
              <w:t>Forecast error, stress assumptions, concentration, reporting integrity</w:t>
            </w:r>
          </w:p>
        </w:tc>
      </w:tr>
      <w:tr>
        <w:trPr>
          <w:cantSplit/>
        </w:trPr>
        <w:tc>
          <w:tcPr>
            <w:tcW w:type="dxa" w:w="2074"/>
            <w:vAlign w:val="center"/>
            <w:shd w:fill="EAF0F6"/>
          </w:tcPr>
          <w:p>
            <w:pPr>
              <w:spacing w:after="0"/>
            </w:pPr>
            <w:r/>
            <w:r>
              <w:rPr>
                <w:b w:val="0"/>
                <w:sz w:val="13"/>
              </w:rPr>
              <w:t>UC-12</w:t>
            </w:r>
          </w:p>
        </w:tc>
        <w:tc>
          <w:tcPr>
            <w:tcW w:type="dxa" w:w="2074"/>
            <w:vAlign w:val="center"/>
            <w:shd w:fill="EAF0F6"/>
          </w:tcPr>
          <w:p>
            <w:pPr>
              <w:spacing w:after="0"/>
            </w:pPr>
            <w:r/>
            <w:r>
              <w:rPr>
                <w:b w:val="0"/>
                <w:sz w:val="13"/>
              </w:rPr>
              <w:t>Regulatory reporting and compliance drafting</w:t>
            </w:r>
          </w:p>
        </w:tc>
        <w:tc>
          <w:tcPr>
            <w:tcW w:type="dxa" w:w="2074"/>
            <w:vAlign w:val="center"/>
            <w:shd w:fill="EAF0F6"/>
          </w:tcPr>
          <w:p>
            <w:pPr>
              <w:spacing w:after="0"/>
            </w:pPr>
            <w:r/>
            <w:r>
              <w:rPr>
                <w:b w:val="0"/>
                <w:sz w:val="13"/>
              </w:rPr>
              <w:t>High</w:t>
            </w:r>
          </w:p>
        </w:tc>
        <w:tc>
          <w:tcPr>
            <w:tcW w:type="dxa" w:w="2074"/>
            <w:vAlign w:val="center"/>
            <w:shd w:fill="EAF0F6"/>
          </w:tcPr>
          <w:p>
            <w:pPr>
              <w:spacing w:after="0"/>
            </w:pPr>
            <w:r/>
            <w:r>
              <w:rPr>
                <w:b w:val="0"/>
                <w:sz w:val="13"/>
              </w:rPr>
              <w:t>Compliance / Finance / Legal</w:t>
            </w:r>
          </w:p>
        </w:tc>
        <w:tc>
          <w:tcPr>
            <w:tcW w:type="dxa" w:w="2074"/>
            <w:vAlign w:val="center"/>
            <w:shd w:fill="EAF0F6"/>
          </w:tcPr>
          <w:p>
            <w:pPr>
              <w:spacing w:after="0"/>
            </w:pPr>
            <w:r/>
            <w:r>
              <w:rPr>
                <w:b w:val="0"/>
                <w:sz w:val="13"/>
              </w:rPr>
              <w:t>Accuracy, source traceability, approvals, retention, privileged information</w:t>
            </w:r>
          </w:p>
        </w:tc>
      </w:tr>
      <w:tr>
        <w:trPr>
          <w:cantSplit/>
        </w:trPr>
        <w:tc>
          <w:tcPr>
            <w:tcW w:type="dxa" w:w="2074"/>
            <w:vAlign w:val="center"/>
          </w:tcPr>
          <w:p>
            <w:pPr>
              <w:spacing w:after="0"/>
            </w:pPr>
            <w:r/>
            <w:r>
              <w:rPr>
                <w:b w:val="0"/>
                <w:sz w:val="13"/>
              </w:rPr>
              <w:t>UC-13</w:t>
            </w:r>
          </w:p>
        </w:tc>
        <w:tc>
          <w:tcPr>
            <w:tcW w:type="dxa" w:w="2074"/>
            <w:vAlign w:val="center"/>
          </w:tcPr>
          <w:p>
            <w:pPr>
              <w:spacing w:after="0"/>
            </w:pPr>
            <w:r/>
            <w:r>
              <w:rPr>
                <w:b w:val="0"/>
                <w:sz w:val="13"/>
              </w:rPr>
              <w:t>AI-assisted model validation</w:t>
            </w:r>
          </w:p>
        </w:tc>
        <w:tc>
          <w:tcPr>
            <w:tcW w:type="dxa" w:w="2074"/>
            <w:vAlign w:val="center"/>
          </w:tcPr>
          <w:p>
            <w:pPr>
              <w:spacing w:after="0"/>
            </w:pPr>
            <w:r/>
            <w:r>
              <w:rPr>
                <w:b w:val="0"/>
                <w:sz w:val="13"/>
              </w:rPr>
              <w:t>High</w:t>
            </w:r>
          </w:p>
        </w:tc>
        <w:tc>
          <w:tcPr>
            <w:tcW w:type="dxa" w:w="2074"/>
            <w:vAlign w:val="center"/>
          </w:tcPr>
          <w:p>
            <w:pPr>
              <w:spacing w:after="0"/>
            </w:pPr>
            <w:r/>
            <w:r>
              <w:rPr>
                <w:b w:val="0"/>
                <w:sz w:val="13"/>
              </w:rPr>
              <w:t>Model Risk / Internal Audit</w:t>
            </w:r>
          </w:p>
        </w:tc>
        <w:tc>
          <w:tcPr>
            <w:tcW w:type="dxa" w:w="2074"/>
            <w:vAlign w:val="center"/>
          </w:tcPr>
          <w:p>
            <w:pPr>
              <w:spacing w:after="0"/>
            </w:pPr>
            <w:r/>
            <w:r>
              <w:rPr>
                <w:b w:val="0"/>
                <w:sz w:val="13"/>
              </w:rPr>
              <w:t>Validator independence, automation bias, benchmark circularity, reproducibility</w:t>
            </w:r>
          </w:p>
        </w:tc>
      </w:tr>
      <w:tr>
        <w:trPr>
          <w:cantSplit/>
        </w:trPr>
        <w:tc>
          <w:tcPr>
            <w:tcW w:type="dxa" w:w="2074"/>
            <w:vAlign w:val="center"/>
            <w:shd w:fill="EAF0F6"/>
          </w:tcPr>
          <w:p>
            <w:pPr>
              <w:spacing w:after="0"/>
            </w:pPr>
            <w:r/>
            <w:r>
              <w:rPr>
                <w:b w:val="0"/>
                <w:sz w:val="13"/>
              </w:rPr>
              <w:t>UC-14</w:t>
            </w:r>
          </w:p>
        </w:tc>
        <w:tc>
          <w:tcPr>
            <w:tcW w:type="dxa" w:w="2074"/>
            <w:vAlign w:val="center"/>
            <w:shd w:fill="EAF0F6"/>
          </w:tcPr>
          <w:p>
            <w:pPr>
              <w:spacing w:after="0"/>
            </w:pPr>
            <w:r/>
            <w:r>
              <w:rPr>
                <w:b w:val="0"/>
                <w:sz w:val="13"/>
              </w:rPr>
              <w:t>Software engineering copilots</w:t>
            </w:r>
          </w:p>
        </w:tc>
        <w:tc>
          <w:tcPr>
            <w:tcW w:type="dxa" w:w="2074"/>
            <w:vAlign w:val="center"/>
            <w:shd w:fill="EAF0F6"/>
          </w:tcPr>
          <w:p>
            <w:pPr>
              <w:spacing w:after="0"/>
            </w:pPr>
            <w:r/>
            <w:r>
              <w:rPr>
                <w:b w:val="0"/>
                <w:sz w:val="13"/>
              </w:rPr>
              <w:t>High</w:t>
            </w:r>
          </w:p>
        </w:tc>
        <w:tc>
          <w:tcPr>
            <w:tcW w:type="dxa" w:w="2074"/>
            <w:vAlign w:val="center"/>
            <w:shd w:fill="EAF0F6"/>
          </w:tcPr>
          <w:p>
            <w:pPr>
              <w:spacing w:after="0"/>
            </w:pPr>
            <w:r/>
            <w:r>
              <w:rPr>
                <w:b w:val="0"/>
                <w:sz w:val="13"/>
              </w:rPr>
              <w:t>CTO / CISO</w:t>
            </w:r>
          </w:p>
        </w:tc>
        <w:tc>
          <w:tcPr>
            <w:tcW w:type="dxa" w:w="2074"/>
            <w:vAlign w:val="center"/>
            <w:shd w:fill="EAF0F6"/>
          </w:tcPr>
          <w:p>
            <w:pPr>
              <w:spacing w:after="0"/>
            </w:pPr>
            <w:r/>
            <w:r>
              <w:rPr>
                <w:b w:val="0"/>
                <w:sz w:val="13"/>
              </w:rPr>
              <w:t>Insecure code, secret leakage, dependencies, unreviewed production change</w:t>
            </w:r>
          </w:p>
        </w:tc>
      </w:tr>
      <w:tr>
        <w:trPr>
          <w:cantSplit/>
        </w:trPr>
        <w:tc>
          <w:tcPr>
            <w:tcW w:type="dxa" w:w="2074"/>
            <w:vAlign w:val="center"/>
          </w:tcPr>
          <w:p>
            <w:pPr>
              <w:spacing w:after="0"/>
            </w:pPr>
            <w:r/>
            <w:r>
              <w:rPr>
                <w:b w:val="0"/>
                <w:sz w:val="13"/>
              </w:rPr>
              <w:t>UC-15</w:t>
            </w:r>
          </w:p>
        </w:tc>
        <w:tc>
          <w:tcPr>
            <w:tcW w:type="dxa" w:w="2074"/>
            <w:vAlign w:val="center"/>
          </w:tcPr>
          <w:p>
            <w:pPr>
              <w:spacing w:after="0"/>
            </w:pPr>
            <w:r/>
            <w:r>
              <w:rPr>
                <w:b w:val="0"/>
                <w:sz w:val="13"/>
              </w:rPr>
              <w:t>Cybersecurity operations</w:t>
            </w:r>
          </w:p>
        </w:tc>
        <w:tc>
          <w:tcPr>
            <w:tcW w:type="dxa" w:w="2074"/>
            <w:vAlign w:val="center"/>
          </w:tcPr>
          <w:p>
            <w:pPr>
              <w:spacing w:after="0"/>
            </w:pPr>
            <w:r/>
            <w:r>
              <w:rPr>
                <w:b w:val="0"/>
                <w:sz w:val="13"/>
              </w:rPr>
              <w:t>High</w:t>
            </w:r>
          </w:p>
        </w:tc>
        <w:tc>
          <w:tcPr>
            <w:tcW w:type="dxa" w:w="2074"/>
            <w:vAlign w:val="center"/>
          </w:tcPr>
          <w:p>
            <w:pPr>
              <w:spacing w:after="0"/>
            </w:pPr>
            <w:r/>
            <w:r>
              <w:rPr>
                <w:b w:val="0"/>
                <w:sz w:val="13"/>
              </w:rPr>
              <w:t>CISO / SOC</w:t>
            </w:r>
          </w:p>
        </w:tc>
        <w:tc>
          <w:tcPr>
            <w:tcW w:type="dxa" w:w="2074"/>
            <w:vAlign w:val="center"/>
          </w:tcPr>
          <w:p>
            <w:pPr>
              <w:spacing w:after="0"/>
            </w:pPr>
            <w:r/>
            <w:r>
              <w:rPr>
                <w:b w:val="0"/>
                <w:sz w:val="13"/>
              </w:rPr>
              <w:t>Automated containment error, attacker prompt injection, evidence integrity, excessive permissions</w:t>
            </w:r>
          </w:p>
        </w:tc>
      </w:tr>
    </w:tbl>
    <w:p>
      <w:pPr>
        <w:pStyle w:val="Heading1"/>
      </w:pPr>
      <w:r>
        <w:t>Evidence hierarchy and quality</w:t>
      </w:r>
    </w:p>
    <w:p>
      <w:r>
        <w:t>Evidence tiers describe provenance; evidence quality describes sufficiency for the stated conclusion. A T1 record can still be weak if incomplete or out of scope, while a well-designed T3 exercise can be strong evidence of tested preparedness but not of sustained production effectiveness.</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vAlign w:val="center"/>
            <w:shd w:fill="17365D"/>
          </w:tcPr>
          <w:p>
            <w:pPr>
              <w:spacing w:after="0"/>
            </w:pPr>
            <w:r/>
            <w:r>
              <w:rPr>
                <w:b/>
                <w:color w:val="FFFFFF"/>
                <w:sz w:val="14"/>
              </w:rPr>
              <w:t>Tier</w:t>
            </w:r>
          </w:p>
        </w:tc>
        <w:tc>
          <w:tcPr>
            <w:tcW w:type="dxa" w:w="2592"/>
            <w:vAlign w:val="center"/>
            <w:shd w:fill="17365D"/>
          </w:tcPr>
          <w:p>
            <w:pPr>
              <w:spacing w:after="0"/>
            </w:pPr>
            <w:r/>
            <w:r>
              <w:rPr>
                <w:b/>
                <w:color w:val="FFFFFF"/>
                <w:sz w:val="14"/>
              </w:rPr>
              <w:t>Definition</w:t>
            </w:r>
          </w:p>
        </w:tc>
        <w:tc>
          <w:tcPr>
            <w:tcW w:type="dxa" w:w="2592"/>
            <w:vAlign w:val="center"/>
            <w:shd w:fill="17365D"/>
          </w:tcPr>
          <w:p>
            <w:pPr>
              <w:spacing w:after="0"/>
            </w:pPr>
            <w:r/>
            <w:r>
              <w:rPr>
                <w:b/>
                <w:color w:val="FFFFFF"/>
                <w:sz w:val="14"/>
              </w:rPr>
              <w:t>Examples</w:t>
            </w:r>
          </w:p>
        </w:tc>
        <w:tc>
          <w:tcPr>
            <w:tcW w:type="dxa" w:w="2592"/>
            <w:vAlign w:val="center"/>
            <w:shd w:fill="17365D"/>
          </w:tcPr>
          <w:p>
            <w:pPr>
              <w:spacing w:after="0"/>
            </w:pPr>
            <w:r/>
            <w:r>
              <w:rPr>
                <w:b/>
                <w:color w:val="FFFFFF"/>
                <w:sz w:val="14"/>
              </w:rPr>
              <w:t>Use limitation</w:t>
            </w:r>
          </w:p>
        </w:tc>
      </w:tr>
      <w:tr>
        <w:trPr>
          <w:cantSplit/>
        </w:trPr>
        <w:tc>
          <w:tcPr>
            <w:tcW w:type="dxa" w:w="2592"/>
            <w:vAlign w:val="center"/>
          </w:tcPr>
          <w:p>
            <w:pPr>
              <w:spacing w:after="0"/>
            </w:pPr>
            <w:r/>
            <w:r>
              <w:rPr>
                <w:b w:val="0"/>
                <w:sz w:val="14"/>
              </w:rPr>
              <w:t>T1 - Primary Verified</w:t>
            </w:r>
          </w:p>
        </w:tc>
        <w:tc>
          <w:tcPr>
            <w:tcW w:type="dxa" w:w="2592"/>
            <w:vAlign w:val="center"/>
          </w:tcPr>
          <w:p>
            <w:pPr>
              <w:spacing w:after="0"/>
            </w:pPr>
            <w:r/>
            <w:r>
              <w:rPr>
                <w:b w:val="0"/>
                <w:sz w:val="14"/>
              </w:rPr>
              <w:t>Direct, contemporaneous evidence from the control or system</w:t>
            </w:r>
          </w:p>
        </w:tc>
        <w:tc>
          <w:tcPr>
            <w:tcW w:type="dxa" w:w="2592"/>
            <w:vAlign w:val="center"/>
          </w:tcPr>
          <w:p>
            <w:pPr>
              <w:spacing w:after="0"/>
            </w:pPr>
            <w:r/>
            <w:r>
              <w:rPr>
                <w:b w:val="0"/>
                <w:sz w:val="14"/>
              </w:rPr>
              <w:t>Immutable logs, enforced policy decisions, signed approvals, versioned configurations, transaction blocks, access-control records</w:t>
            </w:r>
          </w:p>
        </w:tc>
        <w:tc>
          <w:tcPr>
            <w:tcW w:type="dxa" w:w="2592"/>
            <w:vAlign w:val="center"/>
          </w:tcPr>
          <w:p>
            <w:pPr>
              <w:spacing w:after="0"/>
            </w:pPr>
            <w:r/>
            <w:r>
              <w:rPr>
                <w:b w:val="0"/>
                <w:sz w:val="14"/>
              </w:rPr>
              <w:t>Strongest evidence of operation; still requires scope and integrity validation.</w:t>
            </w:r>
          </w:p>
        </w:tc>
      </w:tr>
      <w:tr>
        <w:trPr>
          <w:cantSplit/>
        </w:trPr>
        <w:tc>
          <w:tcPr>
            <w:tcW w:type="dxa" w:w="2592"/>
            <w:vAlign w:val="center"/>
            <w:shd w:fill="EAF0F6"/>
          </w:tcPr>
          <w:p>
            <w:pPr>
              <w:spacing w:after="0"/>
            </w:pPr>
            <w:r/>
            <w:r>
              <w:rPr>
                <w:b w:val="0"/>
                <w:sz w:val="14"/>
              </w:rPr>
              <w:t>T2 - Secondary Verified</w:t>
            </w:r>
          </w:p>
        </w:tc>
        <w:tc>
          <w:tcPr>
            <w:tcW w:type="dxa" w:w="2592"/>
            <w:vAlign w:val="center"/>
            <w:shd w:fill="EAF0F6"/>
          </w:tcPr>
          <w:p>
            <w:pPr>
              <w:spacing w:after="0"/>
            </w:pPr>
            <w:r/>
            <w:r>
              <w:rPr>
                <w:b w:val="0"/>
                <w:sz w:val="14"/>
              </w:rPr>
              <w:t>Independent or controlled review of primary evidence</w:t>
            </w:r>
          </w:p>
        </w:tc>
        <w:tc>
          <w:tcPr>
            <w:tcW w:type="dxa" w:w="2592"/>
            <w:vAlign w:val="center"/>
            <w:shd w:fill="EAF0F6"/>
          </w:tcPr>
          <w:p>
            <w:pPr>
              <w:spacing w:after="0"/>
            </w:pPr>
            <w:r/>
            <w:r>
              <w:rPr>
                <w:b w:val="0"/>
                <w:sz w:val="14"/>
              </w:rPr>
              <w:t>Independent validation reports, internal audit testing, reconciliations, quality assurance sampling, third-party assurance with verified scope</w:t>
            </w:r>
          </w:p>
        </w:tc>
        <w:tc>
          <w:tcPr>
            <w:tcW w:type="dxa" w:w="2592"/>
            <w:vAlign w:val="center"/>
            <w:shd w:fill="EAF0F6"/>
          </w:tcPr>
          <w:p>
            <w:pPr>
              <w:spacing w:after="0"/>
            </w:pPr>
            <w:r/>
            <w:r>
              <w:rPr>
                <w:b w:val="0"/>
                <w:sz w:val="14"/>
              </w:rPr>
              <w:t>Useful for design and operating effectiveness when independence and sampling are clear.</w:t>
            </w:r>
          </w:p>
        </w:tc>
      </w:tr>
      <w:tr>
        <w:trPr>
          <w:cantSplit/>
        </w:trPr>
        <w:tc>
          <w:tcPr>
            <w:tcW w:type="dxa" w:w="2592"/>
            <w:vAlign w:val="center"/>
          </w:tcPr>
          <w:p>
            <w:pPr>
              <w:spacing w:after="0"/>
            </w:pPr>
            <w:r/>
            <w:r>
              <w:rPr>
                <w:b w:val="0"/>
                <w:sz w:val="14"/>
              </w:rPr>
              <w:t>T3 - Simulation / Test</w:t>
            </w:r>
          </w:p>
        </w:tc>
        <w:tc>
          <w:tcPr>
            <w:tcW w:type="dxa" w:w="2592"/>
            <w:vAlign w:val="center"/>
          </w:tcPr>
          <w:p>
            <w:pPr>
              <w:spacing w:after="0"/>
            </w:pPr>
            <w:r/>
            <w:r>
              <w:rPr>
                <w:b w:val="0"/>
                <w:sz w:val="14"/>
              </w:rPr>
              <w:t>Evidence generated under designed test conditions</w:t>
            </w:r>
          </w:p>
        </w:tc>
        <w:tc>
          <w:tcPr>
            <w:tcW w:type="dxa" w:w="2592"/>
            <w:vAlign w:val="center"/>
          </w:tcPr>
          <w:p>
            <w:pPr>
              <w:spacing w:after="0"/>
            </w:pPr>
            <w:r/>
            <w:r>
              <w:rPr>
                <w:b w:val="0"/>
                <w:sz w:val="14"/>
              </w:rPr>
              <w:t>Red-team results, resilience exercises, tabletop simulations, synthetic fairness tests, failover tests</w:t>
            </w:r>
          </w:p>
        </w:tc>
        <w:tc>
          <w:tcPr>
            <w:tcW w:type="dxa" w:w="2592"/>
            <w:vAlign w:val="center"/>
          </w:tcPr>
          <w:p>
            <w:pPr>
              <w:spacing w:after="0"/>
            </w:pPr>
            <w:r/>
            <w:r>
              <w:rPr>
                <w:b w:val="0"/>
                <w:sz w:val="14"/>
              </w:rPr>
              <w:t>Supports plausibility and preparedness; does not prove sustained production effectiveness.</w:t>
            </w:r>
          </w:p>
        </w:tc>
      </w:tr>
      <w:tr>
        <w:trPr>
          <w:cantSplit/>
        </w:trPr>
        <w:tc>
          <w:tcPr>
            <w:tcW w:type="dxa" w:w="2592"/>
            <w:vAlign w:val="center"/>
            <w:shd w:fill="EAF0F6"/>
          </w:tcPr>
          <w:p>
            <w:pPr>
              <w:spacing w:after="0"/>
            </w:pPr>
            <w:r/>
            <w:r>
              <w:rPr>
                <w:b w:val="0"/>
                <w:sz w:val="14"/>
              </w:rPr>
              <w:t>T4 - Anecdotal / Unverified</w:t>
            </w:r>
          </w:p>
        </w:tc>
        <w:tc>
          <w:tcPr>
            <w:tcW w:type="dxa" w:w="2592"/>
            <w:vAlign w:val="center"/>
            <w:shd w:fill="EAF0F6"/>
          </w:tcPr>
          <w:p>
            <w:pPr>
              <w:spacing w:after="0"/>
            </w:pPr>
            <w:r/>
            <w:r>
              <w:rPr>
                <w:b w:val="0"/>
                <w:sz w:val="14"/>
              </w:rPr>
              <w:t>Assertions without sufficient independent corroboration</w:t>
            </w:r>
          </w:p>
        </w:tc>
        <w:tc>
          <w:tcPr>
            <w:tcW w:type="dxa" w:w="2592"/>
            <w:vAlign w:val="center"/>
            <w:shd w:fill="EAF0F6"/>
          </w:tcPr>
          <w:p>
            <w:pPr>
              <w:spacing w:after="0"/>
            </w:pPr>
            <w:r/>
            <w:r>
              <w:rPr>
                <w:b w:val="0"/>
                <w:sz w:val="14"/>
              </w:rPr>
              <w:t>Provider marketing claims, policy-only statements, interviews without records, screenshots without provenance</w:t>
            </w:r>
          </w:p>
        </w:tc>
        <w:tc>
          <w:tcPr>
            <w:tcW w:type="dxa" w:w="2592"/>
            <w:vAlign w:val="center"/>
            <w:shd w:fill="EAF0F6"/>
          </w:tcPr>
          <w:p>
            <w:pPr>
              <w:spacing w:after="0"/>
            </w:pPr>
            <w:r/>
            <w:r>
              <w:rPr>
                <w:b w:val="0"/>
                <w:sz w:val="14"/>
              </w:rPr>
              <w:t>May identify leads; should not carry material assurance conclusions alone.</w:t>
            </w:r>
          </w:p>
        </w:tc>
      </w:tr>
    </w:tbl>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vAlign w:val="center"/>
            <w:shd w:fill="17365D"/>
          </w:tcPr>
          <w:p>
            <w:pPr>
              <w:spacing w:after="0"/>
            </w:pPr>
            <w:r/>
            <w:r>
              <w:rPr>
                <w:b/>
                <w:color w:val="FFFFFF"/>
                <w:sz w:val="16"/>
              </w:rPr>
              <w:t>Quality</w:t>
            </w:r>
          </w:p>
        </w:tc>
        <w:tc>
          <w:tcPr>
            <w:tcW w:type="dxa" w:w="5184"/>
            <w:vAlign w:val="center"/>
            <w:shd w:fill="17365D"/>
          </w:tcPr>
          <w:p>
            <w:pPr>
              <w:spacing w:after="0"/>
            </w:pPr>
            <w:r/>
            <w:r>
              <w:rPr>
                <w:b/>
                <w:color w:val="FFFFFF"/>
                <w:sz w:val="16"/>
              </w:rPr>
              <w:t>Meaning</w:t>
            </w:r>
          </w:p>
        </w:tc>
      </w:tr>
      <w:tr>
        <w:trPr>
          <w:cantSplit/>
        </w:trPr>
        <w:tc>
          <w:tcPr>
            <w:tcW w:type="dxa" w:w="5184"/>
            <w:vAlign w:val="center"/>
          </w:tcPr>
          <w:p>
            <w:pPr>
              <w:spacing w:after="0"/>
            </w:pPr>
            <w:r/>
            <w:r>
              <w:rPr>
                <w:b w:val="0"/>
                <w:sz w:val="16"/>
              </w:rPr>
              <w:t>None</w:t>
            </w:r>
          </w:p>
        </w:tc>
        <w:tc>
          <w:tcPr>
            <w:tcW w:type="dxa" w:w="5184"/>
            <w:vAlign w:val="center"/>
          </w:tcPr>
          <w:p>
            <w:pPr>
              <w:spacing w:after="0"/>
            </w:pPr>
            <w:r/>
            <w:r>
              <w:rPr>
                <w:b w:val="0"/>
                <w:sz w:val="16"/>
              </w:rPr>
              <w:t>No evidence supplied or evidence does not address the control objective.</w:t>
            </w:r>
          </w:p>
        </w:tc>
      </w:tr>
      <w:tr>
        <w:trPr>
          <w:cantSplit/>
        </w:trPr>
        <w:tc>
          <w:tcPr>
            <w:tcW w:type="dxa" w:w="5184"/>
            <w:vAlign w:val="center"/>
            <w:shd w:fill="EAF0F6"/>
          </w:tcPr>
          <w:p>
            <w:pPr>
              <w:spacing w:after="0"/>
            </w:pPr>
            <w:r/>
            <w:r>
              <w:rPr>
                <w:b w:val="0"/>
                <w:sz w:val="16"/>
              </w:rPr>
              <w:t>Weak</w:t>
            </w:r>
          </w:p>
        </w:tc>
        <w:tc>
          <w:tcPr>
            <w:tcW w:type="dxa" w:w="5184"/>
            <w:vAlign w:val="center"/>
            <w:shd w:fill="EAF0F6"/>
          </w:tcPr>
          <w:p>
            <w:pPr>
              <w:spacing w:after="0"/>
            </w:pPr>
            <w:r/>
            <w:r>
              <w:rPr>
                <w:b w:val="0"/>
                <w:sz w:val="16"/>
              </w:rPr>
              <w:t>Policy or assertion exists, but scope, provenance, approval, timing, or operating evidence is missing.</w:t>
            </w:r>
          </w:p>
        </w:tc>
      </w:tr>
      <w:tr>
        <w:trPr>
          <w:cantSplit/>
        </w:trPr>
        <w:tc>
          <w:tcPr>
            <w:tcW w:type="dxa" w:w="5184"/>
            <w:vAlign w:val="center"/>
          </w:tcPr>
          <w:p>
            <w:pPr>
              <w:spacing w:after="0"/>
            </w:pPr>
            <w:r/>
            <w:r>
              <w:rPr>
                <w:b w:val="0"/>
                <w:sz w:val="16"/>
              </w:rPr>
              <w:t>Partial</w:t>
            </w:r>
          </w:p>
        </w:tc>
        <w:tc>
          <w:tcPr>
            <w:tcW w:type="dxa" w:w="5184"/>
            <w:vAlign w:val="center"/>
          </w:tcPr>
          <w:p>
            <w:pPr>
              <w:spacing w:after="0"/>
            </w:pPr>
            <w:r/>
            <w:r>
              <w:rPr>
                <w:b w:val="0"/>
                <w:sz w:val="16"/>
              </w:rPr>
              <w:t>Evidence covers design or selected operation, but material populations, periods, exceptions, or dependencies are incomplete.</w:t>
            </w:r>
          </w:p>
        </w:tc>
      </w:tr>
      <w:tr>
        <w:trPr>
          <w:cantSplit/>
        </w:trPr>
        <w:tc>
          <w:tcPr>
            <w:tcW w:type="dxa" w:w="5184"/>
            <w:vAlign w:val="center"/>
            <w:shd w:fill="EAF0F6"/>
          </w:tcPr>
          <w:p>
            <w:pPr>
              <w:spacing w:after="0"/>
            </w:pPr>
            <w:r/>
            <w:r>
              <w:rPr>
                <w:b w:val="0"/>
                <w:sz w:val="16"/>
              </w:rPr>
              <w:t>Strong</w:t>
            </w:r>
          </w:p>
        </w:tc>
        <w:tc>
          <w:tcPr>
            <w:tcW w:type="dxa" w:w="5184"/>
            <w:vAlign w:val="center"/>
            <w:shd w:fill="EAF0F6"/>
          </w:tcPr>
          <w:p>
            <w:pPr>
              <w:spacing w:after="0"/>
            </w:pPr>
            <w:r/>
            <w:r>
              <w:rPr>
                <w:b w:val="0"/>
                <w:sz w:val="16"/>
              </w:rPr>
              <w:t>Evidence is current, attributable, complete for the stated scope, independently challenged where required, reproducible, and linked to exceptions and remediation.</w:t>
            </w:r>
          </w:p>
        </w:tc>
      </w:tr>
    </w:tbl>
    <w:p>
      <w:pPr>
        <w:pStyle w:val="Heading1"/>
      </w:pPr>
      <w:r>
        <w:t>Implementation lifecycle</w:t>
      </w:r>
    </w:p>
    <w:p>
      <w:pPr>
        <w:jc w:val="center"/>
      </w:pPr>
      <w:r>
        <w:drawing>
          <wp:inline xmlns:a="http://schemas.openxmlformats.org/drawingml/2006/main" xmlns:pic="http://schemas.openxmlformats.org/drawingml/2006/picture">
            <wp:extent cx="6400800" cy="2015402"/>
            <wp:docPr id="2" name="Picture 2"/>
            <wp:cNvGraphicFramePr>
              <a:graphicFrameLocks noChangeAspect="1"/>
            </wp:cNvGraphicFramePr>
            <a:graphic>
              <a:graphicData uri="http://schemas.openxmlformats.org/drawingml/2006/picture">
                <pic:pic>
                  <pic:nvPicPr>
                    <pic:cNvPr id="0" name="implementation_flow.png"/>
                    <pic:cNvPicPr/>
                  </pic:nvPicPr>
                  <pic:blipFill>
                    <a:blip r:embed="rId12"/>
                    <a:stretch>
                      <a:fillRect/>
                    </a:stretch>
                  </pic:blipFill>
                  <pic:spPr>
                    <a:xfrm>
                      <a:off x="0" y="0"/>
                      <a:ext cx="6400800" cy="2015402"/>
                    </a:xfrm>
                    <a:prstGeom prst="rect"/>
                  </pic:spPr>
                </pic:pic>
              </a:graphicData>
            </a:graphic>
          </wp:inline>
        </w:drawing>
      </w:r>
    </w:p>
    <w:p>
      <w:pPr>
        <w:pStyle w:val="Heading2"/>
      </w:pPr>
      <w:r>
        <w:t>1. Initiation and approval</w:t>
      </w:r>
    </w:p>
    <w:p>
      <w:pPr>
        <w:pStyle w:val="ListBullet"/>
      </w:pPr>
      <w:r>
        <w:t>Define purpose, prohibited outcomes, affected customers, legal entities, critical functions, and intended authority.</w:t>
      </w:r>
    </w:p>
    <w:p>
      <w:pPr>
        <w:pStyle w:val="ListBullet"/>
      </w:pPr>
      <w:r>
        <w:t>Assign accountable executive, business owner, model owner, data owner, security owner, control owners, independent validators, and incident escalation authority.</w:t>
      </w:r>
    </w:p>
    <w:p>
      <w:pPr>
        <w:pStyle w:val="ListBullet"/>
      </w:pPr>
      <w:r>
        <w:t>Ensure accountable executives and control owners have role-appropriate AI literacy.</w:t>
      </w:r>
    </w:p>
    <w:p>
      <w:pPr>
        <w:pStyle w:val="ListBullet"/>
      </w:pPr>
      <w:r>
        <w:t>Classify inherent risk before production data access, procurement commitment, or pilot authority.</w:t>
      </w:r>
    </w:p>
    <w:p>
      <w:pPr>
        <w:pStyle w:val="Heading2"/>
      </w:pPr>
      <w:r>
        <w:t>2. Data acquisition and preparation</w:t>
      </w:r>
    </w:p>
    <w:p>
      <w:pPr>
        <w:pStyle w:val="ListBullet"/>
      </w:pPr>
      <w:r>
        <w:t>Establish provenance, legal basis, licensing, purpose, representativeness, quality, lineage, retention, and access controls.</w:t>
      </w:r>
    </w:p>
    <w:p>
      <w:pPr>
        <w:pStyle w:val="ListBullet"/>
      </w:pPr>
      <w:r>
        <w:t>Test for sensitive-data leakage, prohibited attributes and proxies, temporal contamination, label error, manipulation, and economic-regime bias.</w:t>
      </w:r>
    </w:p>
    <w:p>
      <w:pPr>
        <w:pStyle w:val="ListBullet"/>
      </w:pPr>
      <w:r>
        <w:t>Design and test privacy rights, minimisation, deletion, and correction processes where applicable.</w:t>
      </w:r>
    </w:p>
    <w:p>
      <w:pPr>
        <w:pStyle w:val="Heading2"/>
      </w:pPr>
      <w:r>
        <w:t>3. Design and development</w:t>
      </w:r>
    </w:p>
    <w:p>
      <w:pPr>
        <w:pStyle w:val="ListBullet"/>
      </w:pPr>
      <w:r>
        <w:t>Apply secure architecture, threat modelling, segregation, secrets management, dependency governance, and abuse-case testing.</w:t>
      </w:r>
    </w:p>
    <w:p>
      <w:pPr>
        <w:pStyle w:val="ListBullet"/>
      </w:pPr>
      <w:r>
        <w:t>Constrain tools, identities, actions, transaction values, destinations, code execution, network access, retrieval, and delegation.</w:t>
      </w:r>
    </w:p>
    <w:p>
      <w:pPr>
        <w:pStyle w:val="ListBullet"/>
      </w:pPr>
      <w:r>
        <w:t>Design reconstructable records and effective human intervention points before implementation.</w:t>
      </w:r>
    </w:p>
    <w:p>
      <w:pPr>
        <w:pStyle w:val="Heading2"/>
      </w:pPr>
      <w:r>
        <w:t>4. Independent validation and challenge</w:t>
      </w:r>
    </w:p>
    <w:p>
      <w:pPr>
        <w:pStyle w:val="ListBullet"/>
      </w:pPr>
      <w:r>
        <w:t>Independent validation requires sufficient organisational, reporting, intellectual, and access independence to reach and escalate an adverse conclusion.</w:t>
      </w:r>
    </w:p>
    <w:p>
      <w:pPr>
        <w:pStyle w:val="ListBullet"/>
      </w:pPr>
      <w:r>
        <w:t>Validate conceptual soundness, data suitability, implementation correctness, calibration, discrimination, robustness, explainability, stress performance, and limitations.</w:t>
      </w:r>
    </w:p>
    <w:p>
      <w:pPr>
        <w:pStyle w:val="ListBullet"/>
      </w:pPr>
      <w:r>
        <w:t>Record unresolved findings, conditions, compensating controls, expiry dates, and residual-risk acceptance.</w:t>
      </w:r>
    </w:p>
    <w:p>
      <w:pPr>
        <w:pStyle w:val="Heading2"/>
      </w:pPr>
      <w:r>
        <w:t>5. Deployment and change control</w:t>
      </w:r>
    </w:p>
    <w:p>
      <w:pPr>
        <w:pStyle w:val="ListBullet"/>
      </w:pPr>
      <w:r>
        <w:t>Use controlled release, versioning, approvals, phased rollout where appropriate, rollback, and predefined stop conditions.</w:t>
      </w:r>
    </w:p>
    <w:p>
      <w:pPr>
        <w:pStyle w:val="ListBullet"/>
      </w:pPr>
      <w:r>
        <w:t>Govern changes to model, prompt, retrieval corpus, agent, tool, provider, feature, threshold, policy, data, hosting, and identity.</w:t>
      </w:r>
    </w:p>
    <w:p>
      <w:pPr>
        <w:pStyle w:val="ListBullet"/>
      </w:pPr>
      <w:r>
        <w:t>Prevent unmanaged employee use and shadow AI in sensitive workflows.</w:t>
      </w:r>
    </w:p>
    <w:p>
      <w:pPr>
        <w:pStyle w:val="Heading2"/>
      </w:pPr>
      <w:r>
        <w:t>6. Production monitoring</w:t>
      </w:r>
    </w:p>
    <w:p>
      <w:pPr>
        <w:pStyle w:val="ListBullet"/>
      </w:pPr>
      <w:r>
        <w:t>Monitor technical, customer, fairness, fraud, financial-crime, security, operational, data, economic-regime, and concentration indicators.</w:t>
      </w:r>
    </w:p>
    <w:p>
      <w:pPr>
        <w:pStyle w:val="ListBullet"/>
      </w:pPr>
      <w:r>
        <w:t>Tie every material threshold to ownership, action, severity, escalation, customer protection, and notification analysis.</w:t>
      </w:r>
    </w:p>
    <w:p>
      <w:pPr>
        <w:pStyle w:val="ListBullet"/>
      </w:pPr>
      <w:r>
        <w:t>Review complaints, losses, appeals, overrides, near misses, and incidents as model-risk signals.</w:t>
      </w:r>
    </w:p>
    <w:p>
      <w:pPr>
        <w:pStyle w:val="Heading2"/>
      </w:pPr>
      <w:r>
        <w:t>7. Incident response and remediation</w:t>
      </w:r>
    </w:p>
    <w:p>
      <w:pPr>
        <w:pStyle w:val="ListBullet"/>
      </w:pPr>
      <w:r>
        <w:t>Use the SEC-038 incident taxonomy and integrate cyber, fraud, privacy, conduct, financial-crime, resilience, reporting, and crisis processes.</w:t>
      </w:r>
    </w:p>
    <w:p>
      <w:pPr>
        <w:pStyle w:val="ListBullet"/>
      </w:pPr>
      <w:r>
        <w:t>Preserve model, data, prompt, policy, agent, tool, approval, identity, and transaction evidence.</w:t>
      </w:r>
    </w:p>
    <w:p>
      <w:pPr>
        <w:pStyle w:val="ListBullet"/>
      </w:pPr>
      <w:r>
        <w:t>Assess customer remediation, reversal, suspension, disclosure, notification, and systemic propagation.</w:t>
      </w:r>
    </w:p>
    <w:p>
      <w:pPr>
        <w:pStyle w:val="Heading2"/>
      </w:pPr>
      <w:r>
        <w:t>8. Retirement and exit</w:t>
      </w:r>
    </w:p>
    <w:p>
      <w:pPr>
        <w:pStyle w:val="ListBullet"/>
      </w:pPr>
      <w:r>
        <w:t>Define archival, retention, access revocation, data return/deletion, customer-impact review, dependency removal, and provider exit.</w:t>
      </w:r>
    </w:p>
    <w:p>
      <w:pPr>
        <w:pStyle w:val="ListBullet"/>
      </w:pPr>
      <w:r>
        <w:t>Test portability and continuity before a critical dependency becomes irreversible.</w:t>
      </w:r>
    </w:p>
    <w:p>
      <w:pPr>
        <w:pStyle w:val="ListBullet"/>
      </w:pPr>
      <w:r>
        <w:t>Continue monitoring delayed complaints, claims, corrections, and reporting consequences.</w:t>
      </w:r>
    </w:p>
    <w:p>
      <w:pPr>
        <w:pStyle w:val="Heading2"/>
      </w:pPr>
      <w:r>
        <w:t>9. Post-implementation review</w:t>
      </w:r>
    </w:p>
    <w:p>
      <w:pPr>
        <w:pStyle w:val="ListBullet"/>
      </w:pPr>
      <w:r>
        <w:t>At 6-12 months or earlier when triggered, review control effectiveness, assumptions, realised outcomes, incidents, exceptions, concentration, and unintended effects.</w:t>
      </w:r>
    </w:p>
    <w:p>
      <w:pPr>
        <w:pStyle w:val="ListBullet"/>
      </w:pPr>
      <w:r>
        <w:t>Document lessons learned, required control changes, risk re-approval, and improvement ownership.</w:t>
      </w:r>
    </w:p>
    <w:p>
      <w:pPr>
        <w:pStyle w:val="Heading1"/>
      </w:pPr>
      <w:r>
        <w:t>Illustrative monitoring metrics</w:t>
      </w:r>
    </w:p>
    <w:p>
      <w:r>
        <w:t>Metric selection must reflect the use case, class balance, decision cost, applicable law, and the risk of aggregate measures concealing subgroup or tail harm. The examples below are not mandatory metrics or universal acceptance thresholds.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17365D"/>
          </w:tcPr>
          <w:p>
            <w:pPr>
              <w:spacing w:after="0"/>
            </w:pPr>
            <w:r/>
            <w:r>
              <w:rPr>
                <w:b/>
                <w:color w:val="FFFFFF"/>
                <w:sz w:val="14"/>
              </w:rPr>
              <w:t>Category</w:t>
            </w:r>
          </w:p>
        </w:tc>
        <w:tc>
          <w:tcPr>
            <w:tcW w:type="dxa" w:w="3456"/>
            <w:vAlign w:val="center"/>
            <w:shd w:fill="17365D"/>
          </w:tcPr>
          <w:p>
            <w:pPr>
              <w:spacing w:after="0"/>
            </w:pPr>
            <w:r/>
            <w:r>
              <w:rPr>
                <w:b/>
                <w:color w:val="FFFFFF"/>
                <w:sz w:val="14"/>
              </w:rPr>
              <w:t>Illustrative metrics</w:t>
            </w:r>
          </w:p>
        </w:tc>
        <w:tc>
          <w:tcPr>
            <w:tcW w:type="dxa" w:w="3456"/>
            <w:vAlign w:val="center"/>
            <w:shd w:fill="17365D"/>
          </w:tcPr>
          <w:p>
            <w:pPr>
              <w:spacing w:after="0"/>
            </w:pPr>
            <w:r/>
            <w:r>
              <w:rPr>
                <w:b/>
                <w:color w:val="FFFFFF"/>
                <w:sz w:val="14"/>
              </w:rPr>
              <w:t>Interpretation limitation</w:t>
            </w:r>
          </w:p>
        </w:tc>
      </w:tr>
      <w:tr>
        <w:trPr>
          <w:cantSplit/>
        </w:trPr>
        <w:tc>
          <w:tcPr>
            <w:tcW w:type="dxa" w:w="3456"/>
            <w:vAlign w:val="center"/>
          </w:tcPr>
          <w:p>
            <w:pPr>
              <w:spacing w:after="0"/>
            </w:pPr>
            <w:r/>
            <w:r>
              <w:rPr>
                <w:b w:val="0"/>
                <w:sz w:val="14"/>
              </w:rPr>
              <w:t>Technical discrimination and ranking</w:t>
            </w:r>
          </w:p>
        </w:tc>
        <w:tc>
          <w:tcPr>
            <w:tcW w:type="dxa" w:w="3456"/>
            <w:vAlign w:val="center"/>
          </w:tcPr>
          <w:p>
            <w:pPr>
              <w:spacing w:after="0"/>
            </w:pPr>
            <w:r/>
            <w:r>
              <w:rPr>
                <w:b w:val="0"/>
                <w:sz w:val="14"/>
              </w:rPr>
              <w:t>AUC-ROC where suitable; precision-recall; F1; false-positive/false-negative rates; calibration error; top-k recall</w:t>
            </w:r>
          </w:p>
        </w:tc>
        <w:tc>
          <w:tcPr>
            <w:tcW w:type="dxa" w:w="3456"/>
            <w:vAlign w:val="center"/>
          </w:tcPr>
          <w:p>
            <w:pPr>
              <w:spacing w:after="0"/>
            </w:pPr>
            <w:r/>
            <w:r>
              <w:rPr>
                <w:b w:val="0"/>
                <w:sz w:val="14"/>
              </w:rPr>
              <w:t>Do not rely on a single aggregate metric; choose metrics consistent with class imbalance and decision cost.</w:t>
            </w:r>
          </w:p>
        </w:tc>
      </w:tr>
      <w:tr>
        <w:trPr>
          <w:cantSplit/>
        </w:trPr>
        <w:tc>
          <w:tcPr>
            <w:tcW w:type="dxa" w:w="3456"/>
            <w:vAlign w:val="center"/>
            <w:shd w:fill="EAF0F6"/>
          </w:tcPr>
          <w:p>
            <w:pPr>
              <w:spacing w:after="0"/>
            </w:pPr>
            <w:r/>
            <w:r>
              <w:rPr>
                <w:b w:val="0"/>
                <w:sz w:val="14"/>
              </w:rPr>
              <w:t>Customer outcomes</w:t>
            </w:r>
          </w:p>
        </w:tc>
        <w:tc>
          <w:tcPr>
            <w:tcW w:type="dxa" w:w="3456"/>
            <w:vAlign w:val="center"/>
            <w:shd w:fill="EAF0F6"/>
          </w:tcPr>
          <w:p>
            <w:pPr>
              <w:spacing w:after="0"/>
            </w:pPr>
            <w:r/>
            <w:r>
              <w:rPr>
                <w:b w:val="0"/>
                <w:sz w:val="14"/>
              </w:rPr>
              <w:t>Approval/denial rates; pricing dispersion; complaint rate; appeal success; remediation value; time to resolution</w:t>
            </w:r>
          </w:p>
        </w:tc>
        <w:tc>
          <w:tcPr>
            <w:tcW w:type="dxa" w:w="3456"/>
            <w:vAlign w:val="center"/>
            <w:shd w:fill="EAF0F6"/>
          </w:tcPr>
          <w:p>
            <w:pPr>
              <w:spacing w:after="0"/>
            </w:pPr>
            <w:r/>
            <w:r>
              <w:rPr>
                <w:b w:val="0"/>
                <w:sz w:val="14"/>
              </w:rPr>
              <w:t>Segment by relevant products, channels, geographies, vulnerability indicators, and protected groups where lawful.</w:t>
            </w:r>
          </w:p>
        </w:tc>
      </w:tr>
      <w:tr>
        <w:trPr>
          <w:cantSplit/>
        </w:trPr>
        <w:tc>
          <w:tcPr>
            <w:tcW w:type="dxa" w:w="3456"/>
            <w:vAlign w:val="center"/>
          </w:tcPr>
          <w:p>
            <w:pPr>
              <w:spacing w:after="0"/>
            </w:pPr>
            <w:r/>
            <w:r>
              <w:rPr>
                <w:b w:val="0"/>
                <w:sz w:val="14"/>
              </w:rPr>
              <w:t>Fairness and exclusion</w:t>
            </w:r>
          </w:p>
        </w:tc>
        <w:tc>
          <w:tcPr>
            <w:tcW w:type="dxa" w:w="3456"/>
            <w:vAlign w:val="center"/>
          </w:tcPr>
          <w:p>
            <w:pPr>
              <w:spacing w:after="0"/>
            </w:pPr>
            <w:r/>
            <w:r>
              <w:rPr>
                <w:b w:val="0"/>
                <w:sz w:val="14"/>
              </w:rPr>
              <w:t>Disparate impact ratio; equal opportunity difference; calibration by group; error-rate parity; accessibility failure rate</w:t>
            </w:r>
          </w:p>
        </w:tc>
        <w:tc>
          <w:tcPr>
            <w:tcW w:type="dxa" w:w="3456"/>
            <w:vAlign w:val="center"/>
          </w:tcPr>
          <w:p>
            <w:pPr>
              <w:spacing w:after="0"/>
            </w:pPr>
            <w:r/>
            <w:r>
              <w:rPr>
                <w:b w:val="0"/>
                <w:sz w:val="14"/>
              </w:rPr>
              <w:t>Metric selection requires legal and contextual review; no single fairness metric establishes fairness.</w:t>
            </w:r>
          </w:p>
        </w:tc>
      </w:tr>
      <w:tr>
        <w:trPr>
          <w:cantSplit/>
        </w:trPr>
        <w:tc>
          <w:tcPr>
            <w:tcW w:type="dxa" w:w="3456"/>
            <w:vAlign w:val="center"/>
            <w:shd w:fill="EAF0F6"/>
          </w:tcPr>
          <w:p>
            <w:pPr>
              <w:spacing w:after="0"/>
            </w:pPr>
            <w:r/>
            <w:r>
              <w:rPr>
                <w:b w:val="0"/>
                <w:sz w:val="14"/>
              </w:rPr>
              <w:t>Fraud and financial crime</w:t>
            </w:r>
          </w:p>
        </w:tc>
        <w:tc>
          <w:tcPr>
            <w:tcW w:type="dxa" w:w="3456"/>
            <w:vAlign w:val="center"/>
            <w:shd w:fill="EAF0F6"/>
          </w:tcPr>
          <w:p>
            <w:pPr>
              <w:spacing w:after="0"/>
            </w:pPr>
            <w:r/>
            <w:r>
              <w:rPr>
                <w:b w:val="0"/>
                <w:sz w:val="14"/>
              </w:rPr>
              <w:t>Detection rate; confirmed miss rate; alert-to-case conversion; typology coverage; list freshness; override concentration</w:t>
            </w:r>
          </w:p>
        </w:tc>
        <w:tc>
          <w:tcPr>
            <w:tcW w:type="dxa" w:w="3456"/>
            <w:vAlign w:val="center"/>
            <w:shd w:fill="EAF0F6"/>
          </w:tcPr>
          <w:p>
            <w:pPr>
              <w:spacing w:after="0"/>
            </w:pPr>
            <w:r/>
            <w:r>
              <w:rPr>
                <w:b w:val="0"/>
                <w:sz w:val="14"/>
              </w:rPr>
              <w:t>Use post-event investigations and emerging typologies, not only historical labelled data.</w:t>
            </w:r>
          </w:p>
        </w:tc>
      </w:tr>
      <w:tr>
        <w:trPr>
          <w:cantSplit/>
        </w:trPr>
        <w:tc>
          <w:tcPr>
            <w:tcW w:type="dxa" w:w="3456"/>
            <w:vAlign w:val="center"/>
          </w:tcPr>
          <w:p>
            <w:pPr>
              <w:spacing w:after="0"/>
            </w:pPr>
            <w:r/>
            <w:r>
              <w:rPr>
                <w:b w:val="0"/>
                <w:sz w:val="14"/>
              </w:rPr>
              <w:t>Operational resilience</w:t>
            </w:r>
          </w:p>
        </w:tc>
        <w:tc>
          <w:tcPr>
            <w:tcW w:type="dxa" w:w="3456"/>
            <w:vAlign w:val="center"/>
          </w:tcPr>
          <w:p>
            <w:pPr>
              <w:spacing w:after="0"/>
            </w:pPr>
            <w:r/>
            <w:r>
              <w:rPr>
                <w:b w:val="0"/>
                <w:sz w:val="14"/>
              </w:rPr>
              <w:t>p95/p99 latency; throughput; timeout rate; dependency failure rate; fallback activation; recovery time; queue growth</w:t>
            </w:r>
          </w:p>
        </w:tc>
        <w:tc>
          <w:tcPr>
            <w:tcW w:type="dxa" w:w="3456"/>
            <w:vAlign w:val="center"/>
          </w:tcPr>
          <w:p>
            <w:pPr>
              <w:spacing w:after="0"/>
            </w:pPr>
            <w:r/>
            <w:r>
              <w:rPr>
                <w:b w:val="0"/>
                <w:sz w:val="14"/>
              </w:rPr>
              <w:t>Tie thresholds to critical-service impact and documented actions.</w:t>
            </w:r>
          </w:p>
        </w:tc>
      </w:tr>
      <w:tr>
        <w:trPr>
          <w:cantSplit/>
        </w:trPr>
        <w:tc>
          <w:tcPr>
            <w:tcW w:type="dxa" w:w="3456"/>
            <w:vAlign w:val="center"/>
            <w:shd w:fill="EAF0F6"/>
          </w:tcPr>
          <w:p>
            <w:pPr>
              <w:spacing w:after="0"/>
            </w:pPr>
            <w:r/>
            <w:r>
              <w:rPr>
                <w:b w:val="0"/>
                <w:sz w:val="14"/>
              </w:rPr>
              <w:t>Human oversight</w:t>
            </w:r>
          </w:p>
        </w:tc>
        <w:tc>
          <w:tcPr>
            <w:tcW w:type="dxa" w:w="3456"/>
            <w:vAlign w:val="center"/>
            <w:shd w:fill="EAF0F6"/>
          </w:tcPr>
          <w:p>
            <w:pPr>
              <w:spacing w:after="0"/>
            </w:pPr>
            <w:r/>
            <w:r>
              <w:rPr>
                <w:b w:val="0"/>
                <w:sz w:val="14"/>
              </w:rPr>
              <w:t>Review completion; override rate; override reversal; escalation time; reviewer disagreement; intervention success</w:t>
            </w:r>
          </w:p>
        </w:tc>
        <w:tc>
          <w:tcPr>
            <w:tcW w:type="dxa" w:w="3456"/>
            <w:vAlign w:val="center"/>
            <w:shd w:fill="EAF0F6"/>
          </w:tcPr>
          <w:p>
            <w:pPr>
              <w:spacing w:after="0"/>
            </w:pPr>
            <w:r/>
            <w:r>
              <w:rPr>
                <w:b w:val="0"/>
                <w:sz w:val="14"/>
              </w:rPr>
              <w:t>High review volume can indicate poor model quality; low override volume can indicate automation bias.</w:t>
            </w:r>
          </w:p>
        </w:tc>
      </w:tr>
      <w:tr>
        <w:trPr>
          <w:cantSplit/>
        </w:trPr>
        <w:tc>
          <w:tcPr>
            <w:tcW w:type="dxa" w:w="3456"/>
            <w:vAlign w:val="center"/>
          </w:tcPr>
          <w:p>
            <w:pPr>
              <w:spacing w:after="0"/>
            </w:pPr>
            <w:r/>
            <w:r>
              <w:rPr>
                <w:b w:val="0"/>
                <w:sz w:val="14"/>
              </w:rPr>
              <w:t>Agentic execution</w:t>
            </w:r>
          </w:p>
        </w:tc>
        <w:tc>
          <w:tcPr>
            <w:tcW w:type="dxa" w:w="3456"/>
            <w:vAlign w:val="center"/>
          </w:tcPr>
          <w:p>
            <w:pPr>
              <w:spacing w:after="0"/>
            </w:pPr>
            <w:r/>
            <w:r>
              <w:rPr>
                <w:b w:val="0"/>
                <w:sz w:val="14"/>
              </w:rPr>
              <w:t>Tool-call count; cumulative transaction value; denied actions; loop duration; orphaned tasks; identity handoff failures</w:t>
            </w:r>
          </w:p>
        </w:tc>
        <w:tc>
          <w:tcPr>
            <w:tcW w:type="dxa" w:w="3456"/>
            <w:vAlign w:val="center"/>
          </w:tcPr>
          <w:p>
            <w:pPr>
              <w:spacing w:after="0"/>
            </w:pPr>
            <w:r/>
            <w:r>
              <w:rPr>
                <w:b w:val="0"/>
                <w:sz w:val="14"/>
              </w:rPr>
              <w:t>Monitor the complete chain, not only individual agent steps.</w:t>
            </w:r>
          </w:p>
        </w:tc>
      </w:tr>
      <w:tr>
        <w:trPr>
          <w:cantSplit/>
        </w:trPr>
        <w:tc>
          <w:tcPr>
            <w:tcW w:type="dxa" w:w="3456"/>
            <w:vAlign w:val="center"/>
            <w:shd w:fill="EAF0F6"/>
          </w:tcPr>
          <w:p>
            <w:pPr>
              <w:spacing w:after="0"/>
            </w:pPr>
            <w:r/>
            <w:r>
              <w:rPr>
                <w:b w:val="0"/>
                <w:sz w:val="14"/>
              </w:rPr>
              <w:t>Data and drift</w:t>
            </w:r>
          </w:p>
        </w:tc>
        <w:tc>
          <w:tcPr>
            <w:tcW w:type="dxa" w:w="3456"/>
            <w:vAlign w:val="center"/>
            <w:shd w:fill="EAF0F6"/>
          </w:tcPr>
          <w:p>
            <w:pPr>
              <w:spacing w:after="0"/>
            </w:pPr>
            <w:r/>
            <w:r>
              <w:rPr>
                <w:b w:val="0"/>
                <w:sz w:val="14"/>
              </w:rPr>
              <w:t>Population stability; feature drift; missingness; lineage exceptions; concept drift; out-of-distribution rate</w:t>
            </w:r>
          </w:p>
        </w:tc>
        <w:tc>
          <w:tcPr>
            <w:tcW w:type="dxa" w:w="3456"/>
            <w:vAlign w:val="center"/>
            <w:shd w:fill="EAF0F6"/>
          </w:tcPr>
          <w:p>
            <w:pPr>
              <w:spacing w:after="0"/>
            </w:pPr>
            <w:r/>
            <w:r>
              <w:rPr>
                <w:b w:val="0"/>
                <w:sz w:val="14"/>
              </w:rPr>
              <w:t>Pair statistical triggers with business and economic regime indicators.</w:t>
            </w:r>
          </w:p>
        </w:tc>
      </w:tr>
      <w:tr>
        <w:trPr>
          <w:cantSplit/>
        </w:trPr>
        <w:tc>
          <w:tcPr>
            <w:tcW w:type="dxa" w:w="3456"/>
            <w:vAlign w:val="center"/>
          </w:tcPr>
          <w:p>
            <w:pPr>
              <w:spacing w:after="0"/>
            </w:pPr>
            <w:r/>
            <w:r>
              <w:rPr>
                <w:b w:val="0"/>
                <w:sz w:val="14"/>
              </w:rPr>
              <w:t>Security</w:t>
            </w:r>
          </w:p>
        </w:tc>
        <w:tc>
          <w:tcPr>
            <w:tcW w:type="dxa" w:w="3456"/>
            <w:vAlign w:val="center"/>
          </w:tcPr>
          <w:p>
            <w:pPr>
              <w:spacing w:after="0"/>
            </w:pPr>
            <w:r/>
            <w:r>
              <w:rPr>
                <w:b w:val="0"/>
                <w:sz w:val="14"/>
              </w:rPr>
              <w:t>Prompt-injection detection; unauthorized tool requests; model extraction signals; secret exposure; anomalous access</w:t>
            </w:r>
          </w:p>
        </w:tc>
        <w:tc>
          <w:tcPr>
            <w:tcW w:type="dxa" w:w="3456"/>
            <w:vAlign w:val="center"/>
          </w:tcPr>
          <w:p>
            <w:pPr>
              <w:spacing w:after="0"/>
            </w:pPr>
            <w:r/>
            <w:r>
              <w:rPr>
                <w:b w:val="0"/>
                <w:sz w:val="14"/>
              </w:rPr>
              <w:t>Security events must feed model-risk and incident processes.</w:t>
            </w:r>
          </w:p>
        </w:tc>
      </w:tr>
    </w:tbl>
    <w:p>
      <w:pPr>
        <w:pStyle w:val="Heading1"/>
      </w:pPr>
      <w:r>
        <w:t>AI incident classification</w:t>
      </w:r>
    </w:p>
    <w:p>
      <w:r>
        <w:t>An incident may receive multiple classifications. Severity should consider financial loss, customer harm, legal and regulatory impact, control compromise, duration, scale, recoverability, and systemic propagation.</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17365D"/>
          </w:tcPr>
          <w:p>
            <w:pPr>
              <w:spacing w:after="0"/>
            </w:pPr>
            <w:r/>
            <w:r>
              <w:rPr>
                <w:b/>
                <w:color w:val="FFFFFF"/>
                <w:sz w:val="15"/>
              </w:rPr>
              <w:t>Class</w:t>
            </w:r>
          </w:p>
        </w:tc>
        <w:tc>
          <w:tcPr>
            <w:tcW w:type="dxa" w:w="3456"/>
            <w:vAlign w:val="center"/>
            <w:shd w:fill="17365D"/>
          </w:tcPr>
          <w:p>
            <w:pPr>
              <w:spacing w:after="0"/>
            </w:pPr>
            <w:r/>
            <w:r>
              <w:rPr>
                <w:b/>
                <w:color w:val="FFFFFF"/>
                <w:sz w:val="15"/>
              </w:rPr>
              <w:t>Category</w:t>
            </w:r>
          </w:p>
        </w:tc>
        <w:tc>
          <w:tcPr>
            <w:tcW w:type="dxa" w:w="3456"/>
            <w:vAlign w:val="center"/>
            <w:shd w:fill="17365D"/>
          </w:tcPr>
          <w:p>
            <w:pPr>
              <w:spacing w:after="0"/>
            </w:pPr>
            <w:r/>
            <w:r>
              <w:rPr>
                <w:b/>
                <w:color w:val="FFFFFF"/>
                <w:sz w:val="15"/>
              </w:rPr>
              <w:t>Illustrative events</w:t>
            </w:r>
          </w:p>
        </w:tc>
      </w:tr>
      <w:tr>
        <w:trPr>
          <w:cantSplit/>
        </w:trPr>
        <w:tc>
          <w:tcPr>
            <w:tcW w:type="dxa" w:w="3456"/>
            <w:vAlign w:val="center"/>
          </w:tcPr>
          <w:p>
            <w:pPr>
              <w:spacing w:after="0"/>
            </w:pPr>
            <w:r/>
            <w:r>
              <w:rPr>
                <w:b w:val="0"/>
                <w:sz w:val="15"/>
              </w:rPr>
              <w:t>AI-1</w:t>
            </w:r>
          </w:p>
        </w:tc>
        <w:tc>
          <w:tcPr>
            <w:tcW w:type="dxa" w:w="3456"/>
            <w:vAlign w:val="center"/>
          </w:tcPr>
          <w:p>
            <w:pPr>
              <w:spacing w:after="0"/>
            </w:pPr>
            <w:r/>
            <w:r>
              <w:rPr>
                <w:b w:val="0"/>
                <w:sz w:val="15"/>
              </w:rPr>
              <w:t>Security compromise</w:t>
            </w:r>
          </w:p>
        </w:tc>
        <w:tc>
          <w:tcPr>
            <w:tcW w:type="dxa" w:w="3456"/>
            <w:vAlign w:val="center"/>
          </w:tcPr>
          <w:p>
            <w:pPr>
              <w:spacing w:after="0"/>
            </w:pPr>
            <w:r/>
            <w:r>
              <w:rPr>
                <w:b w:val="0"/>
                <w:sz w:val="15"/>
              </w:rPr>
              <w:t>Prompt injection, poisoning, model theft, unauthorized access, tool misuse, credential exposure</w:t>
            </w:r>
          </w:p>
        </w:tc>
      </w:tr>
      <w:tr>
        <w:trPr>
          <w:cantSplit/>
        </w:trPr>
        <w:tc>
          <w:tcPr>
            <w:tcW w:type="dxa" w:w="3456"/>
            <w:vAlign w:val="center"/>
            <w:shd w:fill="EAF0F6"/>
          </w:tcPr>
          <w:p>
            <w:pPr>
              <w:spacing w:after="0"/>
            </w:pPr>
            <w:r/>
            <w:r>
              <w:rPr>
                <w:b w:val="0"/>
                <w:sz w:val="15"/>
              </w:rPr>
              <w:t>AI-2</w:t>
            </w:r>
          </w:p>
        </w:tc>
        <w:tc>
          <w:tcPr>
            <w:tcW w:type="dxa" w:w="3456"/>
            <w:vAlign w:val="center"/>
            <w:shd w:fill="EAF0F6"/>
          </w:tcPr>
          <w:p>
            <w:pPr>
              <w:spacing w:after="0"/>
            </w:pPr>
            <w:r/>
            <w:r>
              <w:rPr>
                <w:b w:val="0"/>
                <w:sz w:val="15"/>
              </w:rPr>
              <w:t>Decision integrity failure</w:t>
            </w:r>
          </w:p>
        </w:tc>
        <w:tc>
          <w:tcPr>
            <w:tcW w:type="dxa" w:w="3456"/>
            <w:vAlign w:val="center"/>
            <w:shd w:fill="EAF0F6"/>
          </w:tcPr>
          <w:p>
            <w:pPr>
              <w:spacing w:after="0"/>
            </w:pPr>
            <w:r/>
            <w:r>
              <w:rPr>
                <w:b w:val="0"/>
                <w:sz w:val="15"/>
              </w:rPr>
              <w:t>Incorrect, unstable, biased, unexplainable, or unreconstructable decision</w:t>
            </w:r>
          </w:p>
        </w:tc>
      </w:tr>
      <w:tr>
        <w:trPr>
          <w:cantSplit/>
        </w:trPr>
        <w:tc>
          <w:tcPr>
            <w:tcW w:type="dxa" w:w="3456"/>
            <w:vAlign w:val="center"/>
          </w:tcPr>
          <w:p>
            <w:pPr>
              <w:spacing w:after="0"/>
            </w:pPr>
            <w:r/>
            <w:r>
              <w:rPr>
                <w:b w:val="0"/>
                <w:sz w:val="15"/>
              </w:rPr>
              <w:t>AI-3</w:t>
            </w:r>
          </w:p>
        </w:tc>
        <w:tc>
          <w:tcPr>
            <w:tcW w:type="dxa" w:w="3456"/>
            <w:vAlign w:val="center"/>
          </w:tcPr>
          <w:p>
            <w:pPr>
              <w:spacing w:after="0"/>
            </w:pPr>
            <w:r/>
            <w:r>
              <w:rPr>
                <w:b w:val="0"/>
                <w:sz w:val="15"/>
              </w:rPr>
              <w:t>Financial crime control failure</w:t>
            </w:r>
          </w:p>
        </w:tc>
        <w:tc>
          <w:tcPr>
            <w:tcW w:type="dxa" w:w="3456"/>
            <w:vAlign w:val="center"/>
          </w:tcPr>
          <w:p>
            <w:pPr>
              <w:spacing w:after="0"/>
            </w:pPr>
            <w:r/>
            <w:r>
              <w:rPr>
                <w:b w:val="0"/>
                <w:sz w:val="15"/>
              </w:rPr>
              <w:t>Missed fraud, sanctions, AML, KYC, or alert integrity failure</w:t>
            </w:r>
          </w:p>
        </w:tc>
      </w:tr>
      <w:tr>
        <w:trPr>
          <w:cantSplit/>
        </w:trPr>
        <w:tc>
          <w:tcPr>
            <w:tcW w:type="dxa" w:w="3456"/>
            <w:vAlign w:val="center"/>
            <w:shd w:fill="EAF0F6"/>
          </w:tcPr>
          <w:p>
            <w:pPr>
              <w:spacing w:after="0"/>
            </w:pPr>
            <w:r/>
            <w:r>
              <w:rPr>
                <w:b w:val="0"/>
                <w:sz w:val="15"/>
              </w:rPr>
              <w:t>AI-4</w:t>
            </w:r>
          </w:p>
        </w:tc>
        <w:tc>
          <w:tcPr>
            <w:tcW w:type="dxa" w:w="3456"/>
            <w:vAlign w:val="center"/>
            <w:shd w:fill="EAF0F6"/>
          </w:tcPr>
          <w:p>
            <w:pPr>
              <w:spacing w:after="0"/>
            </w:pPr>
            <w:r/>
            <w:r>
              <w:rPr>
                <w:b w:val="0"/>
                <w:sz w:val="15"/>
              </w:rPr>
              <w:t>Customer or conduct harm</w:t>
            </w:r>
          </w:p>
        </w:tc>
        <w:tc>
          <w:tcPr>
            <w:tcW w:type="dxa" w:w="3456"/>
            <w:vAlign w:val="center"/>
            <w:shd w:fill="EAF0F6"/>
          </w:tcPr>
          <w:p>
            <w:pPr>
              <w:spacing w:after="0"/>
            </w:pPr>
            <w:r/>
            <w:r>
              <w:rPr>
                <w:b w:val="0"/>
                <w:sz w:val="15"/>
              </w:rPr>
              <w:t>Mis-selling, unfair denial, manipulation, inaccessible service, or ineffective redress</w:t>
            </w:r>
          </w:p>
        </w:tc>
      </w:tr>
      <w:tr>
        <w:trPr>
          <w:cantSplit/>
        </w:trPr>
        <w:tc>
          <w:tcPr>
            <w:tcW w:type="dxa" w:w="3456"/>
            <w:vAlign w:val="center"/>
          </w:tcPr>
          <w:p>
            <w:pPr>
              <w:spacing w:after="0"/>
            </w:pPr>
            <w:r/>
            <w:r>
              <w:rPr>
                <w:b w:val="0"/>
                <w:sz w:val="15"/>
              </w:rPr>
              <w:t>AI-5</w:t>
            </w:r>
          </w:p>
        </w:tc>
        <w:tc>
          <w:tcPr>
            <w:tcW w:type="dxa" w:w="3456"/>
            <w:vAlign w:val="center"/>
          </w:tcPr>
          <w:p>
            <w:pPr>
              <w:spacing w:after="0"/>
            </w:pPr>
            <w:r/>
            <w:r>
              <w:rPr>
                <w:b w:val="0"/>
                <w:sz w:val="15"/>
              </w:rPr>
              <w:t>Operational resilience failure</w:t>
            </w:r>
          </w:p>
        </w:tc>
        <w:tc>
          <w:tcPr>
            <w:tcW w:type="dxa" w:w="3456"/>
            <w:vAlign w:val="center"/>
          </w:tcPr>
          <w:p>
            <w:pPr>
              <w:spacing w:after="0"/>
            </w:pPr>
            <w:r/>
            <w:r>
              <w:rPr>
                <w:b w:val="0"/>
                <w:sz w:val="15"/>
              </w:rPr>
              <w:t>Outage, capacity collapse, dependency failure, recovery or fallback failure</w:t>
            </w:r>
          </w:p>
        </w:tc>
      </w:tr>
      <w:tr>
        <w:trPr>
          <w:cantSplit/>
        </w:trPr>
        <w:tc>
          <w:tcPr>
            <w:tcW w:type="dxa" w:w="3456"/>
            <w:vAlign w:val="center"/>
            <w:shd w:fill="EAF0F6"/>
          </w:tcPr>
          <w:p>
            <w:pPr>
              <w:spacing w:after="0"/>
            </w:pPr>
            <w:r/>
            <w:r>
              <w:rPr>
                <w:b w:val="0"/>
                <w:sz w:val="15"/>
              </w:rPr>
              <w:t>AI-6</w:t>
            </w:r>
          </w:p>
        </w:tc>
        <w:tc>
          <w:tcPr>
            <w:tcW w:type="dxa" w:w="3456"/>
            <w:vAlign w:val="center"/>
            <w:shd w:fill="EAF0F6"/>
          </w:tcPr>
          <w:p>
            <w:pPr>
              <w:spacing w:after="0"/>
            </w:pPr>
            <w:r/>
            <w:r>
              <w:rPr>
                <w:b w:val="0"/>
                <w:sz w:val="15"/>
              </w:rPr>
              <w:t>Data and privacy failure</w:t>
            </w:r>
          </w:p>
        </w:tc>
        <w:tc>
          <w:tcPr>
            <w:tcW w:type="dxa" w:w="3456"/>
            <w:vAlign w:val="center"/>
            <w:shd w:fill="EAF0F6"/>
          </w:tcPr>
          <w:p>
            <w:pPr>
              <w:spacing w:after="0"/>
            </w:pPr>
            <w:r/>
            <w:r>
              <w:rPr>
                <w:b w:val="0"/>
                <w:sz w:val="15"/>
              </w:rPr>
              <w:t>Leakage, unlawful processing, rights failure, provenance or minimisation breach</w:t>
            </w:r>
          </w:p>
        </w:tc>
      </w:tr>
      <w:tr>
        <w:trPr>
          <w:cantSplit/>
        </w:trPr>
        <w:tc>
          <w:tcPr>
            <w:tcW w:type="dxa" w:w="3456"/>
            <w:vAlign w:val="center"/>
          </w:tcPr>
          <w:p>
            <w:pPr>
              <w:spacing w:after="0"/>
            </w:pPr>
            <w:r/>
            <w:r>
              <w:rPr>
                <w:b w:val="0"/>
                <w:sz w:val="15"/>
              </w:rPr>
              <w:t>AI-7</w:t>
            </w:r>
          </w:p>
        </w:tc>
        <w:tc>
          <w:tcPr>
            <w:tcW w:type="dxa" w:w="3456"/>
            <w:vAlign w:val="center"/>
          </w:tcPr>
          <w:p>
            <w:pPr>
              <w:spacing w:after="0"/>
            </w:pPr>
            <w:r/>
            <w:r>
              <w:rPr>
                <w:b w:val="0"/>
                <w:sz w:val="15"/>
              </w:rPr>
              <w:t>Agentic execution failure</w:t>
            </w:r>
          </w:p>
        </w:tc>
        <w:tc>
          <w:tcPr>
            <w:tcW w:type="dxa" w:w="3456"/>
            <w:vAlign w:val="center"/>
          </w:tcPr>
          <w:p>
            <w:pPr>
              <w:spacing w:after="0"/>
            </w:pPr>
            <w:r/>
            <w:r>
              <w:rPr>
                <w:b w:val="0"/>
                <w:sz w:val="15"/>
              </w:rPr>
              <w:t>Excess authority, cascading actions, orphan loop, cumulative-limit bypass, unsafe tool chain</w:t>
            </w:r>
          </w:p>
        </w:tc>
      </w:tr>
      <w:tr>
        <w:trPr>
          <w:cantSplit/>
        </w:trPr>
        <w:tc>
          <w:tcPr>
            <w:tcW w:type="dxa" w:w="3456"/>
            <w:vAlign w:val="center"/>
            <w:shd w:fill="EAF0F6"/>
          </w:tcPr>
          <w:p>
            <w:pPr>
              <w:spacing w:after="0"/>
            </w:pPr>
            <w:r/>
            <w:r>
              <w:rPr>
                <w:b w:val="0"/>
                <w:sz w:val="15"/>
              </w:rPr>
              <w:t>AI-8</w:t>
            </w:r>
          </w:p>
        </w:tc>
        <w:tc>
          <w:tcPr>
            <w:tcW w:type="dxa" w:w="3456"/>
            <w:vAlign w:val="center"/>
            <w:shd w:fill="EAF0F6"/>
          </w:tcPr>
          <w:p>
            <w:pPr>
              <w:spacing w:after="0"/>
            </w:pPr>
            <w:r/>
            <w:r>
              <w:rPr>
                <w:b w:val="0"/>
                <w:sz w:val="15"/>
              </w:rPr>
              <w:t>Reporting and recordkeeping failure</w:t>
            </w:r>
          </w:p>
        </w:tc>
        <w:tc>
          <w:tcPr>
            <w:tcW w:type="dxa" w:w="3456"/>
            <w:vAlign w:val="center"/>
            <w:shd w:fill="EAF0F6"/>
          </w:tcPr>
          <w:p>
            <w:pPr>
              <w:spacing w:after="0"/>
            </w:pPr>
            <w:r/>
            <w:r>
              <w:rPr>
                <w:b w:val="0"/>
                <w:sz w:val="15"/>
              </w:rPr>
              <w:t>Incorrect return, disclosure, books and records, missing lineage, or evidence loss</w:t>
            </w:r>
          </w:p>
        </w:tc>
      </w:tr>
      <w:tr>
        <w:trPr>
          <w:cantSplit/>
        </w:trPr>
        <w:tc>
          <w:tcPr>
            <w:tcW w:type="dxa" w:w="3456"/>
            <w:vAlign w:val="center"/>
          </w:tcPr>
          <w:p>
            <w:pPr>
              <w:spacing w:after="0"/>
            </w:pPr>
            <w:r/>
            <w:r>
              <w:rPr>
                <w:b w:val="0"/>
                <w:sz w:val="15"/>
              </w:rPr>
              <w:t>AI-9</w:t>
            </w:r>
          </w:p>
        </w:tc>
        <w:tc>
          <w:tcPr>
            <w:tcW w:type="dxa" w:w="3456"/>
            <w:vAlign w:val="center"/>
          </w:tcPr>
          <w:p>
            <w:pPr>
              <w:spacing w:after="0"/>
            </w:pPr>
            <w:r/>
            <w:r>
              <w:rPr>
                <w:b w:val="0"/>
                <w:sz w:val="15"/>
              </w:rPr>
              <w:t>Market or systemic event</w:t>
            </w:r>
          </w:p>
        </w:tc>
        <w:tc>
          <w:tcPr>
            <w:tcW w:type="dxa" w:w="3456"/>
            <w:vAlign w:val="center"/>
          </w:tcPr>
          <w:p>
            <w:pPr>
              <w:spacing w:after="0"/>
            </w:pPr>
            <w:r/>
            <w:r>
              <w:rPr>
                <w:b w:val="0"/>
                <w:sz w:val="15"/>
              </w:rPr>
              <w:t>Manipulative activity, correlated strategies, liquidity pressure, common-mode or contagion event</w:t>
            </w:r>
          </w:p>
        </w:tc>
      </w:tr>
    </w:tbl>
    <w:p>
      <w:pPr>
        <w:pStyle w:val="Heading1"/>
      </w:pPr>
      <w:r>
        <w:t>Terminology for human accountability</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vAlign w:val="center"/>
            <w:shd w:fill="17365D"/>
          </w:tcPr>
          <w:p>
            <w:pPr>
              <w:spacing w:after="0"/>
            </w:pPr>
            <w:r/>
            <w:r>
              <w:rPr>
                <w:b/>
                <w:color w:val="FFFFFF"/>
                <w:sz w:val="16"/>
              </w:rPr>
              <w:t>Term</w:t>
            </w:r>
          </w:p>
        </w:tc>
        <w:tc>
          <w:tcPr>
            <w:tcW w:type="dxa" w:w="5184"/>
            <w:vAlign w:val="center"/>
            <w:shd w:fill="17365D"/>
          </w:tcPr>
          <w:p>
            <w:pPr>
              <w:spacing w:after="0"/>
            </w:pPr>
            <w:r/>
            <w:r>
              <w:rPr>
                <w:b/>
                <w:color w:val="FFFFFF"/>
                <w:sz w:val="16"/>
              </w:rPr>
              <w:t>Meaning in SEC-038</w:t>
            </w:r>
          </w:p>
        </w:tc>
      </w:tr>
      <w:tr>
        <w:trPr>
          <w:cantSplit/>
        </w:trPr>
        <w:tc>
          <w:tcPr>
            <w:tcW w:type="dxa" w:w="5184"/>
            <w:vAlign w:val="center"/>
          </w:tcPr>
          <w:p>
            <w:pPr>
              <w:spacing w:after="0"/>
            </w:pPr>
            <w:r/>
            <w:r>
              <w:rPr>
                <w:b w:val="0"/>
                <w:sz w:val="16"/>
              </w:rPr>
              <w:t>Human oversight</w:t>
            </w:r>
          </w:p>
        </w:tc>
        <w:tc>
          <w:tcPr>
            <w:tcW w:type="dxa" w:w="5184"/>
            <w:vAlign w:val="center"/>
          </w:tcPr>
          <w:p>
            <w:pPr>
              <w:spacing w:after="0"/>
            </w:pPr>
            <w:r/>
            <w:r>
              <w:rPr>
                <w:b w:val="0"/>
                <w:sz w:val="16"/>
              </w:rPr>
              <w:t>The broader governance, supervision, monitoring, accountability, and intervention capability surrounding an AI-enabled process.</w:t>
            </w:r>
          </w:p>
        </w:tc>
      </w:tr>
      <w:tr>
        <w:trPr>
          <w:cantSplit/>
        </w:trPr>
        <w:tc>
          <w:tcPr>
            <w:tcW w:type="dxa" w:w="5184"/>
            <w:vAlign w:val="center"/>
            <w:shd w:fill="EAF0F6"/>
          </w:tcPr>
          <w:p>
            <w:pPr>
              <w:spacing w:after="0"/>
            </w:pPr>
            <w:r/>
            <w:r>
              <w:rPr>
                <w:b w:val="0"/>
                <w:sz w:val="16"/>
              </w:rPr>
              <w:t>Human review</w:t>
            </w:r>
          </w:p>
        </w:tc>
        <w:tc>
          <w:tcPr>
            <w:tcW w:type="dxa" w:w="5184"/>
            <w:vAlign w:val="center"/>
            <w:shd w:fill="EAF0F6"/>
          </w:tcPr>
          <w:p>
            <w:pPr>
              <w:spacing w:after="0"/>
            </w:pPr>
            <w:r/>
            <w:r>
              <w:rPr>
                <w:b w:val="0"/>
                <w:sz w:val="16"/>
              </w:rPr>
              <w:t>A defined examination of a specific input, output, recommendation, or action at a stated point in the workflow.</w:t>
            </w:r>
          </w:p>
        </w:tc>
      </w:tr>
      <w:tr>
        <w:trPr>
          <w:cantSplit/>
        </w:trPr>
        <w:tc>
          <w:tcPr>
            <w:tcW w:type="dxa" w:w="5184"/>
            <w:vAlign w:val="center"/>
          </w:tcPr>
          <w:p>
            <w:pPr>
              <w:spacing w:after="0"/>
            </w:pPr>
            <w:r/>
            <w:r>
              <w:rPr>
                <w:b w:val="0"/>
                <w:sz w:val="16"/>
              </w:rPr>
              <w:t>Human-in-the-loop</w:t>
            </w:r>
          </w:p>
        </w:tc>
        <w:tc>
          <w:tcPr>
            <w:tcW w:type="dxa" w:w="5184"/>
            <w:vAlign w:val="center"/>
          </w:tcPr>
          <w:p>
            <w:pPr>
              <w:spacing w:after="0"/>
            </w:pPr>
            <w:r/>
            <w:r>
              <w:rPr>
                <w:b w:val="0"/>
                <w:sz w:val="16"/>
              </w:rPr>
              <w:t>A person must approve or intervene before a specified action or decision proceeds.</w:t>
            </w:r>
          </w:p>
        </w:tc>
      </w:tr>
      <w:tr>
        <w:trPr>
          <w:cantSplit/>
        </w:trPr>
        <w:tc>
          <w:tcPr>
            <w:tcW w:type="dxa" w:w="5184"/>
            <w:vAlign w:val="center"/>
            <w:shd w:fill="EAF0F6"/>
          </w:tcPr>
          <w:p>
            <w:pPr>
              <w:spacing w:after="0"/>
            </w:pPr>
            <w:r/>
            <w:r>
              <w:rPr>
                <w:b w:val="0"/>
                <w:sz w:val="16"/>
              </w:rPr>
              <w:t>Human-on-the-loop</w:t>
            </w:r>
          </w:p>
        </w:tc>
        <w:tc>
          <w:tcPr>
            <w:tcW w:type="dxa" w:w="5184"/>
            <w:vAlign w:val="center"/>
            <w:shd w:fill="EAF0F6"/>
          </w:tcPr>
          <w:p>
            <w:pPr>
              <w:spacing w:after="0"/>
            </w:pPr>
            <w:r/>
            <w:r>
              <w:rPr>
                <w:b w:val="0"/>
                <w:sz w:val="16"/>
              </w:rPr>
              <w:t>A person supervises operation and can intervene, but routine actions may proceed without pre-approval.</w:t>
            </w:r>
          </w:p>
        </w:tc>
      </w:tr>
      <w:tr>
        <w:trPr>
          <w:cantSplit/>
        </w:trPr>
        <w:tc>
          <w:tcPr>
            <w:tcW w:type="dxa" w:w="5184"/>
            <w:vAlign w:val="center"/>
          </w:tcPr>
          <w:p>
            <w:pPr>
              <w:spacing w:after="0"/>
            </w:pPr>
            <w:r/>
            <w:r>
              <w:rPr>
                <w:b w:val="0"/>
                <w:sz w:val="16"/>
              </w:rPr>
              <w:t>Independent validation</w:t>
            </w:r>
          </w:p>
        </w:tc>
        <w:tc>
          <w:tcPr>
            <w:tcW w:type="dxa" w:w="5184"/>
            <w:vAlign w:val="center"/>
          </w:tcPr>
          <w:p>
            <w:pPr>
              <w:spacing w:after="0"/>
            </w:pPr>
            <w:r/>
            <w:r>
              <w:rPr>
                <w:b w:val="0"/>
                <w:sz w:val="16"/>
              </w:rPr>
              <w:t>Challenge performed with sufficient organisational, reporting, intellectual, and access independence from development and business ownership to reach and escalate an adverse conclusion.</w:t>
            </w:r>
          </w:p>
        </w:tc>
      </w:tr>
    </w:tbl>
    <w:p>
      <w:pPr>
        <w:pStyle w:val="Heading1"/>
      </w:pPr>
      <w:r>
        <w:t>Sector interpretations and illustrative evidence</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17365D"/>
          </w:tcPr>
          <w:p>
            <w:pPr>
              <w:spacing w:after="0"/>
            </w:pPr>
            <w:r/>
            <w:r>
              <w:rPr>
                <w:b/>
                <w:color w:val="FFFFFF"/>
                <w:sz w:val="14"/>
              </w:rPr>
              <w:t>Implementation area</w:t>
            </w:r>
          </w:p>
        </w:tc>
        <w:tc>
          <w:tcPr>
            <w:tcW w:type="dxa" w:w="3456"/>
            <w:vAlign w:val="center"/>
            <w:shd w:fill="17365D"/>
          </w:tcPr>
          <w:p>
            <w:pPr>
              <w:spacing w:after="0"/>
            </w:pPr>
            <w:r/>
            <w:r>
              <w:rPr>
                <w:b/>
                <w:color w:val="FFFFFF"/>
                <w:sz w:val="14"/>
              </w:rPr>
              <w:t>Financial-services interpretation</w:t>
            </w:r>
          </w:p>
        </w:tc>
        <w:tc>
          <w:tcPr>
            <w:tcW w:type="dxa" w:w="3456"/>
            <w:vAlign w:val="center"/>
            <w:shd w:fill="17365D"/>
          </w:tcPr>
          <w:p>
            <w:pPr>
              <w:spacing w:after="0"/>
            </w:pPr>
            <w:r/>
            <w:r>
              <w:rPr>
                <w:b/>
                <w:color w:val="FFFFFF"/>
                <w:sz w:val="14"/>
              </w:rPr>
              <w:t>Illustrative evidence</w:t>
            </w:r>
          </w:p>
        </w:tc>
      </w:tr>
      <w:tr>
        <w:trPr>
          <w:cantSplit/>
        </w:trPr>
        <w:tc>
          <w:tcPr>
            <w:tcW w:type="dxa" w:w="3456"/>
            <w:vAlign w:val="center"/>
          </w:tcPr>
          <w:p>
            <w:pPr>
              <w:spacing w:after="0"/>
            </w:pPr>
            <w:r/>
            <w:r>
              <w:rPr>
                <w:b w:val="0"/>
                <w:sz w:val="14"/>
              </w:rPr>
              <w:t>Governance and accountability</w:t>
            </w:r>
          </w:p>
        </w:tc>
        <w:tc>
          <w:tcPr>
            <w:tcW w:type="dxa" w:w="3456"/>
            <w:vAlign w:val="center"/>
          </w:tcPr>
          <w:p>
            <w:pPr>
              <w:spacing w:after="0"/>
            </w:pPr>
            <w:r/>
            <w:r>
              <w:rPr>
                <w:b w:val="0"/>
                <w:sz w:val="14"/>
              </w:rPr>
              <w:t>Board and senior management oversight should identify material AI-enabled financial services, accountable executives, risk appetite, prohibited uses, and independent challenge.</w:t>
            </w:r>
          </w:p>
        </w:tc>
        <w:tc>
          <w:tcPr>
            <w:tcW w:type="dxa" w:w="3456"/>
            <w:vAlign w:val="center"/>
          </w:tcPr>
          <w:p>
            <w:pPr>
              <w:spacing w:after="0"/>
            </w:pPr>
            <w:r/>
            <w:r>
              <w:rPr>
                <w:b w:val="0"/>
                <w:sz w:val="14"/>
              </w:rPr>
              <w:t>Board-approved risk appetite; accountable executive register; committee minutes; exception approvals; management information.</w:t>
            </w:r>
          </w:p>
        </w:tc>
      </w:tr>
      <w:tr>
        <w:trPr>
          <w:cantSplit/>
        </w:trPr>
        <w:tc>
          <w:tcPr>
            <w:tcW w:type="dxa" w:w="3456"/>
            <w:vAlign w:val="center"/>
            <w:shd w:fill="EAF0F6"/>
          </w:tcPr>
          <w:p>
            <w:pPr>
              <w:spacing w:after="0"/>
            </w:pPr>
            <w:r/>
            <w:r>
              <w:rPr>
                <w:b w:val="0"/>
                <w:sz w:val="14"/>
              </w:rPr>
              <w:t>Inventory and classification</w:t>
            </w:r>
          </w:p>
        </w:tc>
        <w:tc>
          <w:tcPr>
            <w:tcW w:type="dxa" w:w="3456"/>
            <w:vAlign w:val="center"/>
            <w:shd w:fill="EAF0F6"/>
          </w:tcPr>
          <w:p>
            <w:pPr>
              <w:spacing w:after="0"/>
            </w:pPr>
            <w:r/>
            <w:r>
              <w:rPr>
                <w:b w:val="0"/>
                <w:sz w:val="14"/>
              </w:rPr>
              <w:t>Maintain an inventory covering in-house, embedded, vendor, employee-adopted, and shadow AI; link it to critical functions and materiality.</w:t>
            </w:r>
          </w:p>
        </w:tc>
        <w:tc>
          <w:tcPr>
            <w:tcW w:type="dxa" w:w="3456"/>
            <w:vAlign w:val="center"/>
            <w:shd w:fill="EAF0F6"/>
          </w:tcPr>
          <w:p>
            <w:pPr>
              <w:spacing w:after="0"/>
            </w:pPr>
            <w:r/>
            <w:r>
              <w:rPr>
                <w:b w:val="0"/>
                <w:sz w:val="14"/>
              </w:rPr>
              <w:t>AI register; architecture and data-flow maps; provider register; critical-function links; tier rationale.</w:t>
            </w:r>
          </w:p>
        </w:tc>
      </w:tr>
      <w:tr>
        <w:trPr>
          <w:cantSplit/>
        </w:trPr>
        <w:tc>
          <w:tcPr>
            <w:tcW w:type="dxa" w:w="3456"/>
            <w:vAlign w:val="center"/>
          </w:tcPr>
          <w:p>
            <w:pPr>
              <w:spacing w:after="0"/>
            </w:pPr>
            <w:r/>
            <w:r>
              <w:rPr>
                <w:b w:val="0"/>
                <w:sz w:val="14"/>
              </w:rPr>
              <w:t>Threat modelling</w:t>
            </w:r>
          </w:p>
        </w:tc>
        <w:tc>
          <w:tcPr>
            <w:tcW w:type="dxa" w:w="3456"/>
            <w:vAlign w:val="center"/>
          </w:tcPr>
          <w:p>
            <w:pPr>
              <w:spacing w:after="0"/>
            </w:pPr>
            <w:r/>
            <w:r>
              <w:rPr>
                <w:b w:val="0"/>
                <w:sz w:val="14"/>
              </w:rPr>
              <w:t>Cover adversarial inputs, fraud adaptation, injection, extraction, poisoning, identity deception, agent misuse, and common-mode failure.</w:t>
            </w:r>
          </w:p>
        </w:tc>
        <w:tc>
          <w:tcPr>
            <w:tcW w:type="dxa" w:w="3456"/>
            <w:vAlign w:val="center"/>
          </w:tcPr>
          <w:p>
            <w:pPr>
              <w:spacing w:after="0"/>
            </w:pPr>
            <w:r/>
            <w:r>
              <w:rPr>
                <w:b w:val="0"/>
                <w:sz w:val="14"/>
              </w:rPr>
              <w:t>Threat model; abuse cases; attack trees; red-team scope; agent interaction tests; residual-risk record.</w:t>
            </w:r>
          </w:p>
        </w:tc>
      </w:tr>
      <w:tr>
        <w:trPr>
          <w:cantSplit/>
        </w:trPr>
        <w:tc>
          <w:tcPr>
            <w:tcW w:type="dxa" w:w="3456"/>
            <w:vAlign w:val="center"/>
            <w:shd w:fill="EAF0F6"/>
          </w:tcPr>
          <w:p>
            <w:pPr>
              <w:spacing w:after="0"/>
            </w:pPr>
            <w:r/>
            <w:r>
              <w:rPr>
                <w:b w:val="0"/>
                <w:sz w:val="14"/>
              </w:rPr>
              <w:t>Data governance and privacy</w:t>
            </w:r>
          </w:p>
        </w:tc>
        <w:tc>
          <w:tcPr>
            <w:tcW w:type="dxa" w:w="3456"/>
            <w:vAlign w:val="center"/>
            <w:shd w:fill="EAF0F6"/>
          </w:tcPr>
          <w:p>
            <w:pPr>
              <w:spacing w:after="0"/>
            </w:pPr>
            <w:r/>
            <w:r>
              <w:rPr>
                <w:b w:val="0"/>
                <w:sz w:val="14"/>
              </w:rPr>
              <w:t>Control provenance, lawful use, rights, representativeness, quality, lineage, access, minimisation, retention, and contamination.</w:t>
            </w:r>
          </w:p>
        </w:tc>
        <w:tc>
          <w:tcPr>
            <w:tcW w:type="dxa" w:w="3456"/>
            <w:vAlign w:val="center"/>
            <w:shd w:fill="EAF0F6"/>
          </w:tcPr>
          <w:p>
            <w:pPr>
              <w:spacing w:after="0"/>
            </w:pPr>
            <w:r/>
            <w:r>
              <w:rPr>
                <w:b w:val="0"/>
                <w:sz w:val="14"/>
              </w:rPr>
              <w:t>DPIA; data sheets; lineage; quality reports; rights workflow tests; feature approvals; retention evidence.</w:t>
            </w:r>
          </w:p>
        </w:tc>
      </w:tr>
      <w:tr>
        <w:trPr>
          <w:cantSplit/>
        </w:trPr>
        <w:tc>
          <w:tcPr>
            <w:tcW w:type="dxa" w:w="3456"/>
            <w:vAlign w:val="center"/>
          </w:tcPr>
          <w:p>
            <w:pPr>
              <w:spacing w:after="0"/>
            </w:pPr>
            <w:r/>
            <w:r>
              <w:rPr>
                <w:b w:val="0"/>
                <w:sz w:val="14"/>
              </w:rPr>
              <w:t>Independent validation</w:t>
            </w:r>
          </w:p>
        </w:tc>
        <w:tc>
          <w:tcPr>
            <w:tcW w:type="dxa" w:w="3456"/>
            <w:vAlign w:val="center"/>
          </w:tcPr>
          <w:p>
            <w:pPr>
              <w:spacing w:after="0"/>
            </w:pPr>
            <w:r/>
            <w:r>
              <w:rPr>
                <w:b w:val="0"/>
                <w:sz w:val="14"/>
              </w:rPr>
              <w:t>Validate conceptual soundness, implementation, fairness, calibration, stability, robustness, explainability, and stress performance with defined independence.</w:t>
            </w:r>
          </w:p>
        </w:tc>
        <w:tc>
          <w:tcPr>
            <w:tcW w:type="dxa" w:w="3456"/>
            <w:vAlign w:val="center"/>
          </w:tcPr>
          <w:p>
            <w:pPr>
              <w:spacing w:after="0"/>
            </w:pPr>
            <w:r/>
            <w:r>
              <w:rPr>
                <w:b w:val="0"/>
                <w:sz w:val="14"/>
              </w:rPr>
              <w:t>Validation charter; independent report; benchmark and stress results; challenge log; limitations; approval conditions.</w:t>
            </w:r>
          </w:p>
        </w:tc>
      </w:tr>
      <w:tr>
        <w:trPr>
          <w:cantSplit/>
        </w:trPr>
        <w:tc>
          <w:tcPr>
            <w:tcW w:type="dxa" w:w="3456"/>
            <w:vAlign w:val="center"/>
            <w:shd w:fill="EAF0F6"/>
          </w:tcPr>
          <w:p>
            <w:pPr>
              <w:spacing w:after="0"/>
            </w:pPr>
            <w:r/>
            <w:r>
              <w:rPr>
                <w:b w:val="0"/>
                <w:sz w:val="14"/>
              </w:rPr>
              <w:t>Secure engineering and AI lifecycle management</w:t>
            </w:r>
          </w:p>
        </w:tc>
        <w:tc>
          <w:tcPr>
            <w:tcW w:type="dxa" w:w="3456"/>
            <w:vAlign w:val="center"/>
            <w:shd w:fill="EAF0F6"/>
          </w:tcPr>
          <w:p>
            <w:pPr>
              <w:spacing w:after="0"/>
            </w:pPr>
            <w:r/>
            <w:r>
              <w:rPr>
                <w:b w:val="0"/>
                <w:sz w:val="14"/>
              </w:rPr>
              <w:t>Integrate AI components, prompts, retrieval, tools, agents, and data pipelines into secure SDLC and controlled lifecycle gates.</w:t>
            </w:r>
          </w:p>
        </w:tc>
        <w:tc>
          <w:tcPr>
            <w:tcW w:type="dxa" w:w="3456"/>
            <w:vAlign w:val="center"/>
            <w:shd w:fill="EAF0F6"/>
          </w:tcPr>
          <w:p>
            <w:pPr>
              <w:spacing w:after="0"/>
            </w:pPr>
            <w:r/>
            <w:r>
              <w:rPr>
                <w:b w:val="0"/>
                <w:sz w:val="14"/>
              </w:rPr>
              <w:t>Architecture review; AIBOM/SBOM; code review; pipeline controls; version registry; release/retirement approvals.</w:t>
            </w:r>
          </w:p>
        </w:tc>
      </w:tr>
      <w:tr>
        <w:trPr>
          <w:cantSplit/>
        </w:trPr>
        <w:tc>
          <w:tcPr>
            <w:tcW w:type="dxa" w:w="3456"/>
            <w:vAlign w:val="center"/>
          </w:tcPr>
          <w:p>
            <w:pPr>
              <w:spacing w:after="0"/>
            </w:pPr>
            <w:r/>
            <w:r>
              <w:rPr>
                <w:b w:val="0"/>
                <w:sz w:val="14"/>
              </w:rPr>
              <w:t>Procurement and vendor management</w:t>
            </w:r>
          </w:p>
        </w:tc>
        <w:tc>
          <w:tcPr>
            <w:tcW w:type="dxa" w:w="3456"/>
            <w:vAlign w:val="center"/>
          </w:tcPr>
          <w:p>
            <w:pPr>
              <w:spacing w:after="0"/>
            </w:pPr>
            <w:r/>
            <w:r>
              <w:rPr>
                <w:b w:val="0"/>
                <w:sz w:val="14"/>
              </w:rPr>
              <w:t>Assess provenance, subcontractors, data use, security, validation, change, resilience, audit rights, supervisory cooperation, concentration, and exit.</w:t>
            </w:r>
          </w:p>
        </w:tc>
        <w:tc>
          <w:tcPr>
            <w:tcW w:type="dxa" w:w="3456"/>
            <w:vAlign w:val="center"/>
          </w:tcPr>
          <w:p>
            <w:pPr>
              <w:spacing w:after="0"/>
            </w:pPr>
            <w:r/>
            <w:r>
              <w:rPr>
                <w:b w:val="0"/>
                <w:sz w:val="14"/>
              </w:rPr>
              <w:t>Due diligence; contract clauses; assurance scope review; subcontractor register; concentration assessment; exit test.</w:t>
            </w:r>
          </w:p>
        </w:tc>
      </w:tr>
      <w:tr>
        <w:trPr>
          <w:cantSplit/>
        </w:trPr>
        <w:tc>
          <w:tcPr>
            <w:tcW w:type="dxa" w:w="3456"/>
            <w:vAlign w:val="center"/>
            <w:shd w:fill="EAF0F6"/>
          </w:tcPr>
          <w:p>
            <w:pPr>
              <w:spacing w:after="0"/>
            </w:pPr>
            <w:r/>
            <w:r>
              <w:rPr>
                <w:b w:val="0"/>
                <w:sz w:val="14"/>
              </w:rPr>
              <w:t>Access, authority and multi-agent control</w:t>
            </w:r>
          </w:p>
        </w:tc>
        <w:tc>
          <w:tcPr>
            <w:tcW w:type="dxa" w:w="3456"/>
            <w:vAlign w:val="center"/>
            <w:shd w:fill="EAF0F6"/>
          </w:tcPr>
          <w:p>
            <w:pPr>
              <w:spacing w:after="0"/>
            </w:pPr>
            <w:r/>
            <w:r>
              <w:rPr>
                <w:b w:val="0"/>
                <w:sz w:val="14"/>
              </w:rPr>
              <w:t>Apply least privilege, workload identity, delegation provenance, cumulative limits, circuit breakers, and segregation of duties.</w:t>
            </w:r>
          </w:p>
        </w:tc>
        <w:tc>
          <w:tcPr>
            <w:tcW w:type="dxa" w:w="3456"/>
            <w:vAlign w:val="center"/>
            <w:shd w:fill="EAF0F6"/>
          </w:tcPr>
          <w:p>
            <w:pPr>
              <w:spacing w:after="0"/>
            </w:pPr>
            <w:r/>
            <w:r>
              <w:rPr>
                <w:b w:val="0"/>
                <w:sz w:val="14"/>
              </w:rPr>
              <w:t>RBAC/ABAC; signed delegation; tool allow-list; transaction limits; circuit-breaker tests; chain logs.</w:t>
            </w:r>
          </w:p>
        </w:tc>
      </w:tr>
      <w:tr>
        <w:trPr>
          <w:cantSplit/>
        </w:trPr>
        <w:tc>
          <w:tcPr>
            <w:tcW w:type="dxa" w:w="3456"/>
            <w:vAlign w:val="center"/>
          </w:tcPr>
          <w:p>
            <w:pPr>
              <w:spacing w:after="0"/>
            </w:pPr>
            <w:r/>
            <w:r>
              <w:rPr>
                <w:b w:val="0"/>
                <w:sz w:val="14"/>
              </w:rPr>
              <w:t>Human oversight</w:t>
            </w:r>
          </w:p>
        </w:tc>
        <w:tc>
          <w:tcPr>
            <w:tcW w:type="dxa" w:w="3456"/>
            <w:vAlign w:val="center"/>
          </w:tcPr>
          <w:p>
            <w:pPr>
              <w:spacing w:after="0"/>
            </w:pPr>
            <w:r/>
            <w:r>
              <w:rPr>
                <w:b w:val="0"/>
                <w:sz w:val="14"/>
              </w:rPr>
              <w:t>Provide effective supervision and intervention; define human review points and monitor automation bias and override patterns.</w:t>
            </w:r>
          </w:p>
        </w:tc>
        <w:tc>
          <w:tcPr>
            <w:tcW w:type="dxa" w:w="3456"/>
            <w:vAlign w:val="center"/>
          </w:tcPr>
          <w:p>
            <w:pPr>
              <w:spacing w:after="0"/>
            </w:pPr>
            <w:r/>
            <w:r>
              <w:rPr>
                <w:b w:val="0"/>
                <w:sz w:val="14"/>
              </w:rPr>
              <w:t>Interface screenshots; reviewer competence; authority matrix; override logs; escalation tests; QA sampling.</w:t>
            </w:r>
          </w:p>
        </w:tc>
      </w:tr>
      <w:tr>
        <w:trPr>
          <w:cantSplit/>
        </w:trPr>
        <w:tc>
          <w:tcPr>
            <w:tcW w:type="dxa" w:w="3456"/>
            <w:vAlign w:val="center"/>
            <w:shd w:fill="EAF0F6"/>
          </w:tcPr>
          <w:p>
            <w:pPr>
              <w:spacing w:after="0"/>
            </w:pPr>
            <w:r/>
            <w:r>
              <w:rPr>
                <w:b w:val="0"/>
                <w:sz w:val="14"/>
              </w:rPr>
              <w:t>Monitoring and drift</w:t>
            </w:r>
          </w:p>
        </w:tc>
        <w:tc>
          <w:tcPr>
            <w:tcW w:type="dxa" w:w="3456"/>
            <w:vAlign w:val="center"/>
            <w:shd w:fill="EAF0F6"/>
          </w:tcPr>
          <w:p>
            <w:pPr>
              <w:spacing w:after="0"/>
            </w:pPr>
            <w:r/>
            <w:r>
              <w:rPr>
                <w:b w:val="0"/>
                <w:sz w:val="14"/>
              </w:rPr>
              <w:t>Monitor technical performance, customer outcomes, fairness, fraud adaptation, calibration, latency, data/concept drift, and concentration.</w:t>
            </w:r>
          </w:p>
        </w:tc>
        <w:tc>
          <w:tcPr>
            <w:tcW w:type="dxa" w:w="3456"/>
            <w:vAlign w:val="center"/>
            <w:shd w:fill="EAF0F6"/>
          </w:tcPr>
          <w:p>
            <w:pPr>
              <w:spacing w:after="0"/>
            </w:pPr>
            <w:r/>
            <w:r>
              <w:rPr>
                <w:b w:val="0"/>
                <w:sz w:val="14"/>
              </w:rPr>
              <w:t>Dashboards; metric definitions; thresholds; alerts; trend analysis; recalibration and stop decisions.</w:t>
            </w:r>
          </w:p>
        </w:tc>
      </w:tr>
      <w:tr>
        <w:trPr>
          <w:cantSplit/>
        </w:trPr>
        <w:tc>
          <w:tcPr>
            <w:tcW w:type="dxa" w:w="3456"/>
            <w:vAlign w:val="center"/>
          </w:tcPr>
          <w:p>
            <w:pPr>
              <w:spacing w:after="0"/>
            </w:pPr>
            <w:r/>
            <w:r>
              <w:rPr>
                <w:b w:val="0"/>
                <w:sz w:val="14"/>
              </w:rPr>
              <w:t>Incident response</w:t>
            </w:r>
          </w:p>
        </w:tc>
        <w:tc>
          <w:tcPr>
            <w:tcW w:type="dxa" w:w="3456"/>
            <w:vAlign w:val="center"/>
          </w:tcPr>
          <w:p>
            <w:pPr>
              <w:spacing w:after="0"/>
            </w:pPr>
            <w:r/>
            <w:r>
              <w:rPr>
                <w:b w:val="0"/>
                <w:sz w:val="14"/>
              </w:rPr>
              <w:t>Integrate AI incidents with cyber, fraud, conduct, privacy, financial-crime, reporting, resilience, and customer remediation.</w:t>
            </w:r>
          </w:p>
        </w:tc>
        <w:tc>
          <w:tcPr>
            <w:tcW w:type="dxa" w:w="3456"/>
            <w:vAlign w:val="center"/>
          </w:tcPr>
          <w:p>
            <w:pPr>
              <w:spacing w:after="0"/>
            </w:pPr>
            <w:r/>
            <w:r>
              <w:rPr>
                <w:b w:val="0"/>
                <w:sz w:val="14"/>
              </w:rPr>
              <w:t>Taxonomy; playbooks; decision tree; evidence preservation; notifications; customer remediation; lessons learned.</w:t>
            </w:r>
          </w:p>
        </w:tc>
      </w:tr>
      <w:tr>
        <w:trPr>
          <w:cantSplit/>
        </w:trPr>
        <w:tc>
          <w:tcPr>
            <w:tcW w:type="dxa" w:w="3456"/>
            <w:vAlign w:val="center"/>
            <w:shd w:fill="EAF0F6"/>
          </w:tcPr>
          <w:p>
            <w:pPr>
              <w:spacing w:after="0"/>
            </w:pPr>
            <w:r/>
            <w:r>
              <w:rPr>
                <w:b w:val="0"/>
                <w:sz w:val="14"/>
              </w:rPr>
              <w:t>Resilience and recovery</w:t>
            </w:r>
          </w:p>
        </w:tc>
        <w:tc>
          <w:tcPr>
            <w:tcW w:type="dxa" w:w="3456"/>
            <w:vAlign w:val="center"/>
            <w:shd w:fill="EAF0F6"/>
          </w:tcPr>
          <w:p>
            <w:pPr>
              <w:spacing w:after="0"/>
            </w:pPr>
            <w:r/>
            <w:r>
              <w:rPr>
                <w:b w:val="0"/>
                <w:sz w:val="14"/>
              </w:rPr>
              <w:t>Provide tested fallback, degraded mode, capacity, recovery objectives, manual alternatives, and dependency-aware scenarios.</w:t>
            </w:r>
          </w:p>
        </w:tc>
        <w:tc>
          <w:tcPr>
            <w:tcW w:type="dxa" w:w="3456"/>
            <w:vAlign w:val="center"/>
            <w:shd w:fill="EAF0F6"/>
          </w:tcPr>
          <w:p>
            <w:pPr>
              <w:spacing w:after="0"/>
            </w:pPr>
            <w:r/>
            <w:r>
              <w:rPr>
                <w:b w:val="0"/>
                <w:sz w:val="14"/>
              </w:rPr>
              <w:t>BIA; RTO/RPO; failover and capacity test; fallback exercise; dependency map; recovery evidence.</w:t>
            </w:r>
          </w:p>
        </w:tc>
      </w:tr>
      <w:tr>
        <w:trPr>
          <w:cantSplit/>
        </w:trPr>
        <w:tc>
          <w:tcPr>
            <w:tcW w:type="dxa" w:w="3456"/>
            <w:vAlign w:val="center"/>
          </w:tcPr>
          <w:p>
            <w:pPr>
              <w:spacing w:after="0"/>
            </w:pPr>
            <w:r/>
            <w:r>
              <w:rPr>
                <w:b w:val="0"/>
                <w:sz w:val="14"/>
              </w:rPr>
              <w:t>Customer transparency and redress</w:t>
            </w:r>
          </w:p>
        </w:tc>
        <w:tc>
          <w:tcPr>
            <w:tcW w:type="dxa" w:w="3456"/>
            <w:vAlign w:val="center"/>
          </w:tcPr>
          <w:p>
            <w:pPr>
              <w:spacing w:after="0"/>
            </w:pPr>
            <w:r/>
            <w:r>
              <w:rPr>
                <w:b w:val="0"/>
                <w:sz w:val="14"/>
              </w:rPr>
              <w:t>Support accurate disclosures, material reasons, challenge, correction, escalation, accessibility, and timely remediation.</w:t>
            </w:r>
          </w:p>
        </w:tc>
        <w:tc>
          <w:tcPr>
            <w:tcW w:type="dxa" w:w="3456"/>
            <w:vAlign w:val="center"/>
          </w:tcPr>
          <w:p>
            <w:pPr>
              <w:spacing w:after="0"/>
            </w:pPr>
            <w:r/>
            <w:r>
              <w:rPr>
                <w:b w:val="0"/>
                <w:sz w:val="14"/>
              </w:rPr>
              <w:t>Customer notices; reason validation; appeal records; accessibility tests; remediation metrics.</w:t>
            </w:r>
          </w:p>
        </w:tc>
      </w:tr>
      <w:tr>
        <w:trPr>
          <w:cantSplit/>
        </w:trPr>
        <w:tc>
          <w:tcPr>
            <w:tcW w:type="dxa" w:w="3456"/>
            <w:vAlign w:val="center"/>
            <w:shd w:fill="EAF0F6"/>
          </w:tcPr>
          <w:p>
            <w:pPr>
              <w:spacing w:after="0"/>
            </w:pPr>
            <w:r/>
            <w:r>
              <w:rPr>
                <w:b w:val="0"/>
                <w:sz w:val="14"/>
              </w:rPr>
              <w:t>Recordkeeping and reproducibility</w:t>
            </w:r>
          </w:p>
        </w:tc>
        <w:tc>
          <w:tcPr>
            <w:tcW w:type="dxa" w:w="3456"/>
            <w:vAlign w:val="center"/>
            <w:shd w:fill="EAF0F6"/>
          </w:tcPr>
          <w:p>
            <w:pPr>
              <w:spacing w:after="0"/>
            </w:pPr>
            <w:r/>
            <w:r>
              <w:rPr>
                <w:b w:val="0"/>
                <w:sz w:val="14"/>
              </w:rPr>
              <w:t>Reconstruct material decisions, versions, data/features, prompts, policy states, agents, tools, approvals, and operator actions.</w:t>
            </w:r>
          </w:p>
        </w:tc>
        <w:tc>
          <w:tcPr>
            <w:tcW w:type="dxa" w:w="3456"/>
            <w:vAlign w:val="center"/>
            <w:shd w:fill="EAF0F6"/>
          </w:tcPr>
          <w:p>
            <w:pPr>
              <w:spacing w:after="0"/>
            </w:pPr>
            <w:r/>
            <w:r>
              <w:rPr>
                <w:b w:val="0"/>
                <w:sz w:val="14"/>
              </w:rPr>
              <w:t>Version records; immutable logs; decision trace; action-chain history; retention controls; audit extracts.</w:t>
            </w:r>
          </w:p>
        </w:tc>
      </w:tr>
    </w:tbl>
    <w:p>
      <w:pPr>
        <w:pStyle w:val="Heading1"/>
      </w:pPr>
      <w:r>
        <w:t>Specific implementation patterns</w:t>
      </w:r>
    </w:p>
    <w:p>
      <w:pPr>
        <w:pStyle w:val="Heading2"/>
      </w:pPr>
      <w:r>
        <w:t>Fraud, AML, sanctions and KYC</w:t>
      </w:r>
    </w:p>
    <w:p>
      <w:pPr>
        <w:pStyle w:val="ListBullet"/>
      </w:pPr>
      <w:r>
        <w:t>Separate model detection performance from alert handling, case management, list management, and investigator behaviour; each can fail independently.</w:t>
      </w:r>
    </w:p>
    <w:p>
      <w:pPr>
        <w:pStyle w:val="ListBullet"/>
      </w:pPr>
      <w:r>
        <w:t>Estimate false negatives using confirmed events, look-backs, post-event investigations, emerging typologies, adversarial simulations, and external intelligence, not only labelled historical data.</w:t>
      </w:r>
    </w:p>
    <w:p>
      <w:pPr>
        <w:pStyle w:val="ListBullet"/>
      </w:pPr>
      <w:r>
        <w:t>Protect features, lists, rules, thresholds, investigator notes, feedback channels, and case dispositions from unauthorized change and poisoning.</w:t>
      </w:r>
    </w:p>
    <w:p>
      <w:pPr>
        <w:pStyle w:val="ListBullet"/>
      </w:pPr>
      <w:r>
        <w:t>Maintain reason codes and case reconstruction sufficient for internal challenge and applicable reporting; do not assume one explanation technique satisfies every legal context.</w:t>
      </w:r>
    </w:p>
    <w:p>
      <w:pPr>
        <w:pStyle w:val="ListBullet"/>
      </w:pPr>
      <w:r>
        <w:t>Monitor de-risking, freezing, closure, escalation, and override outcomes for disproportionate customer harm and control evasion.</w:t>
      </w:r>
    </w:p>
    <w:p>
      <w:pPr>
        <w:pStyle w:val="Heading2"/>
      </w:pPr>
      <w:r>
        <w:t>Credit, pricing, underwriting and collections</w:t>
      </w:r>
    </w:p>
    <w:p>
      <w:pPr>
        <w:pStyle w:val="ListBullet"/>
      </w:pPr>
      <w:r>
        <w:t>Define permissible features and proxies, reason codes, fairness metrics, affordability logic, approval thresholds, exception routes, and adverse-decision processes before release.</w:t>
      </w:r>
    </w:p>
    <w:p>
      <w:pPr>
        <w:pStyle w:val="ListBullet"/>
      </w:pPr>
      <w:r>
        <w:t>Validate across protected and vulnerable groups, thin-file populations, products, channels, geographies, and economic scenarios.</w:t>
      </w:r>
    </w:p>
    <w:p>
      <w:pPr>
        <w:pStyle w:val="ListBullet"/>
      </w:pPr>
      <w:r>
        <w:t>Monitor calibration and realised outcomes through rate, employment, inflation, property, catastrophe, and liquidity changes.</w:t>
      </w:r>
    </w:p>
    <w:p>
      <w:pPr>
        <w:pStyle w:val="ListBullet"/>
      </w:pPr>
      <w:r>
        <w:t>Test whether human overrides reduce harm or introduce inconsistent, undocumented, or discriminatory outcomes.</w:t>
      </w:r>
    </w:p>
    <w:p>
      <w:pPr>
        <w:pStyle w:val="Heading2"/>
      </w:pPr>
      <w:r>
        <w:t>Trading, investment and market activity</w:t>
      </w:r>
    </w:p>
    <w:p>
      <w:pPr>
        <w:pStyle w:val="ListBullet"/>
      </w:pPr>
      <w:r>
        <w:t>Set instrument, venue, order type, size, price, loss, position, exposure, latency, and market-condition limits outside the AI model.</w:t>
      </w:r>
    </w:p>
    <w:p>
      <w:pPr>
        <w:pStyle w:val="ListBullet"/>
      </w:pPr>
      <w:r>
        <w:t>Implement deterministic kill switches and manual control that remain available during model, data, network, venue, or identity degradation.</w:t>
      </w:r>
    </w:p>
    <w:p>
      <w:pPr>
        <w:pStyle w:val="ListBullet"/>
      </w:pPr>
      <w:r>
        <w:t>Assess manipulation, correlated strategy, information leakage, suitability, conflict, and hallucinated-market-fact risk.</w:t>
      </w:r>
    </w:p>
    <w:p>
      <w:pPr>
        <w:pStyle w:val="ListBullet"/>
      </w:pPr>
      <w:r>
        <w:t>Reconstruct strategy/model version, market data, prompts, orders, cancellations, overrides, surveillance alerts, and approvals.</w:t>
      </w:r>
    </w:p>
    <w:p>
      <w:pPr>
        <w:pStyle w:val="Heading2"/>
      </w:pPr>
      <w:r>
        <w:t>Generative AI and customer interactions</w:t>
      </w:r>
    </w:p>
    <w:p>
      <w:pPr>
        <w:pStyle w:val="ListBullet"/>
      </w:pPr>
      <w:r>
        <w:t>Use approved grounding sources, explicit uncertainty handling, prohibited-content rules, escalation paths, and authenticated account-action boundaries.</w:t>
      </w:r>
    </w:p>
    <w:p>
      <w:pPr>
        <w:pStyle w:val="ListBullet"/>
      </w:pPr>
      <w:r>
        <w:t>Protect retrieval stores, prompts, memory, tools, and conversation logs from injection, poisoning, disclosure, and cross-customer leakage.</w:t>
      </w:r>
    </w:p>
    <w:p>
      <w:pPr>
        <w:pStyle w:val="ListBullet"/>
      </w:pPr>
      <w:r>
        <w:t>Test vulnerable-customer, accessibility, language, bereavement, scam, fraud, distress, complaint, and dispute scenarios.</w:t>
      </w:r>
    </w:p>
    <w:p>
      <w:pPr>
        <w:pStyle w:val="ListBullet"/>
      </w:pPr>
      <w:r>
        <w:t>Disclosure that AI is used may support transparency but does not substitute for accuracy, safety, suitability, and redress.</w:t>
      </w:r>
    </w:p>
    <w:p>
      <w:pPr>
        <w:pStyle w:val="Heading2"/>
      </w:pPr>
      <w:r>
        <w:t>Agentic and multi-agent workflows</w:t>
      </w:r>
    </w:p>
    <w:p>
      <w:pPr>
        <w:pStyle w:val="ListBullet"/>
      </w:pPr>
      <w:r>
        <w:t>Assign each agent a unique workload identity and verify agent-to-agent authentication, delegation, provenance, and revocation across the complete chain.</w:t>
      </w:r>
    </w:p>
    <w:p>
      <w:pPr>
        <w:pStyle w:val="ListBullet"/>
      </w:pPr>
      <w:r>
        <w:t>Apply both per-step and cumulative limits for transaction value, tool calls, execution time, data access, destinations, code changes, and retries; downstream agents must not reset upstream limits.</w:t>
      </w:r>
    </w:p>
    <w:p>
      <w:pPr>
        <w:pStyle w:val="ListBullet"/>
      </w:pPr>
      <w:r>
        <w:t>Separate planning, approval, and execution agents where feasible; require independent authorization for irreversible, privileged, or high-value actions.</w:t>
      </w:r>
    </w:p>
    <w:p>
      <w:pPr>
        <w:pStyle w:val="ListBullet"/>
      </w:pPr>
      <w:r>
        <w:t>Prevent orphaned execution by using leases, heartbeats, bounded retries, idempotency controls, compensating actions, and deterministic completion states.</w:t>
      </w:r>
    </w:p>
    <w:p>
      <w:pPr>
        <w:pStyle w:val="ListBullet"/>
      </w:pPr>
      <w:r>
        <w:t>Use a circuit breaker independent of the agent stack that can halt anomalous behaviour using deterministic rules and can be tested without model cooperation.</w:t>
      </w:r>
    </w:p>
    <w:p>
      <w:pPr>
        <w:pStyle w:val="ListBullet"/>
      </w:pPr>
      <w:r>
        <w:t>Log the entire plan and action chain: agent identity, delegation, prompt/context, policy decision, tool parameters, credential context, result, exception, approval, and rollback.</w:t>
      </w:r>
    </w:p>
    <w:p>
      <w:pPr>
        <w:pStyle w:val="ListBullet"/>
      </w:pPr>
      <w:r>
        <w:t>Test cascading misinformation, conflicting agent goals, recursive delegation, shared-memory poisoning, partial completion, and control failure under degraded dependencies.</w:t>
      </w:r>
    </w:p>
    <w:p>
      <w:pPr>
        <w:pStyle w:val="Heading2"/>
      </w:pPr>
      <w:r>
        <w:t>AI-assisted model validation</w:t>
      </w:r>
    </w:p>
    <w:p>
      <w:pPr>
        <w:pStyle w:val="ListBullet"/>
      </w:pPr>
      <w:r>
        <w:t>Prevent circular validation in which the validator uses the same model family, training data, benchmark, or provider assumptions without disclosure and compensating challenge.</w:t>
      </w:r>
    </w:p>
    <w:p>
      <w:pPr>
        <w:pStyle w:val="ListBullet"/>
      </w:pPr>
      <w:r>
        <w:t>Require human validators to understand generated analyses, reproduce material tests, and own conclusions rather than accepting automated reports.</w:t>
      </w:r>
    </w:p>
    <w:p>
      <w:pPr>
        <w:pStyle w:val="ListBullet"/>
      </w:pPr>
      <w:r>
        <w:t>Record validator tool versions, prompts, source data, code, assumptions, exceptions, and independent challenge.</w:t>
      </w:r>
    </w:p>
    <w:p>
      <w:pPr>
        <w:pStyle w:val="Heading2"/>
      </w:pPr>
      <w:r>
        <w:t>Software engineering and cyber operations</w:t>
      </w:r>
    </w:p>
    <w:p>
      <w:pPr>
        <w:pStyle w:val="ListBullet"/>
      </w:pPr>
      <w:r>
        <w:t>Constrain copilots and agents from committing, deploying, rotating credentials, changing firewall or identity policy, or containing assets without approved authority.</w:t>
      </w:r>
    </w:p>
    <w:p>
      <w:pPr>
        <w:pStyle w:val="ListBullet"/>
      </w:pPr>
      <w:r>
        <w:t>Require code review, testing, dependency controls, secret scanning, and environment segregation for AI-generated changes.</w:t>
      </w:r>
    </w:p>
    <w:p>
      <w:pPr>
        <w:pStyle w:val="ListBullet"/>
      </w:pPr>
      <w:r>
        <w:t>Preserve incident evidence and prevent attacker-controlled content from directly invoking response tools.</w:t>
      </w:r>
    </w:p>
    <w:p>
      <w:pPr>
        <w:pStyle w:val="Heading1"/>
      </w:pPr>
      <w:r>
        <w:t>Implementation roadmap</w:t>
      </w:r>
    </w:p>
    <w:p>
      <w:r>
        <w:t>Organizations with limited AI deployment may combine phases and governance forums, but should not remove critical safeguards for high-consequence use. GAISSF mappings have been completed against the authoritative 59-control baseline. Organizations must still determine applicability through their Statement of Applicability and documented scope and risk analysis.</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vAlign w:val="center"/>
            <w:shd w:fill="17365D"/>
          </w:tcPr>
          <w:p>
            <w:pPr>
              <w:spacing w:after="0"/>
            </w:pPr>
            <w:r/>
            <w:r>
              <w:rPr>
                <w:b/>
                <w:color w:val="FFFFFF"/>
                <w:sz w:val="14"/>
              </w:rPr>
              <w:t>Timeframe</w:t>
            </w:r>
          </w:p>
        </w:tc>
        <w:tc>
          <w:tcPr>
            <w:tcW w:type="dxa" w:w="2592"/>
            <w:vAlign w:val="center"/>
            <w:shd w:fill="17365D"/>
          </w:tcPr>
          <w:p>
            <w:pPr>
              <w:spacing w:after="0"/>
            </w:pPr>
            <w:r/>
            <w:r>
              <w:rPr>
                <w:b/>
                <w:color w:val="FFFFFF"/>
                <w:sz w:val="14"/>
              </w:rPr>
              <w:t>Objective</w:t>
            </w:r>
          </w:p>
        </w:tc>
        <w:tc>
          <w:tcPr>
            <w:tcW w:type="dxa" w:w="2592"/>
            <w:vAlign w:val="center"/>
            <w:shd w:fill="17365D"/>
          </w:tcPr>
          <w:p>
            <w:pPr>
              <w:spacing w:after="0"/>
            </w:pPr>
            <w:r/>
            <w:r>
              <w:rPr>
                <w:b/>
                <w:color w:val="FFFFFF"/>
                <w:sz w:val="14"/>
              </w:rPr>
              <w:t>Minimum activities</w:t>
            </w:r>
          </w:p>
        </w:tc>
        <w:tc>
          <w:tcPr>
            <w:tcW w:type="dxa" w:w="2592"/>
            <w:vAlign w:val="center"/>
            <w:shd w:fill="17365D"/>
          </w:tcPr>
          <w:p>
            <w:pPr>
              <w:spacing w:after="0"/>
            </w:pPr>
            <w:r/>
            <w:r>
              <w:rPr>
                <w:b/>
                <w:color w:val="FFFFFF"/>
                <w:sz w:val="14"/>
              </w:rPr>
              <w:t>Exit evidence</w:t>
            </w:r>
          </w:p>
        </w:tc>
      </w:tr>
      <w:tr>
        <w:trPr>
          <w:cantSplit/>
        </w:trPr>
        <w:tc>
          <w:tcPr>
            <w:tcW w:type="dxa" w:w="2592"/>
            <w:vAlign w:val="center"/>
          </w:tcPr>
          <w:p>
            <w:pPr>
              <w:spacing w:after="0"/>
            </w:pPr>
            <w:r/>
            <w:r>
              <w:rPr>
                <w:b w:val="0"/>
                <w:sz w:val="14"/>
              </w:rPr>
              <w:t>0-30 days</w:t>
            </w:r>
          </w:p>
        </w:tc>
        <w:tc>
          <w:tcPr>
            <w:tcW w:type="dxa" w:w="2592"/>
            <w:vAlign w:val="center"/>
          </w:tcPr>
          <w:p>
            <w:pPr>
              <w:spacing w:after="0"/>
            </w:pPr>
            <w:r/>
            <w:r>
              <w:rPr>
                <w:b w:val="0"/>
                <w:sz w:val="14"/>
              </w:rPr>
              <w:t>Establish accountability and exposure baseline</w:t>
            </w:r>
          </w:p>
        </w:tc>
        <w:tc>
          <w:tcPr>
            <w:tcW w:type="dxa" w:w="2592"/>
            <w:vAlign w:val="center"/>
          </w:tcPr>
          <w:p>
            <w:pPr>
              <w:spacing w:after="0"/>
            </w:pPr>
            <w:r/>
            <w:r>
              <w:rPr>
                <w:b w:val="0"/>
                <w:sz w:val="14"/>
              </w:rPr>
              <w:t>Approve interim governance; inventory material AI; identify critical functions and high-risk actions; constrain unmanaged deployments; define incident route.</w:t>
            </w:r>
          </w:p>
        </w:tc>
        <w:tc>
          <w:tcPr>
            <w:tcW w:type="dxa" w:w="2592"/>
            <w:vAlign w:val="center"/>
          </w:tcPr>
          <w:p>
            <w:pPr>
              <w:spacing w:after="0"/>
            </w:pPr>
            <w:r/>
            <w:r>
              <w:rPr>
                <w:b w:val="0"/>
                <w:sz w:val="14"/>
              </w:rPr>
              <w:t>Executive sponsor; inventory coverage; critical gaps; prohibited uses; peer-review status recorded.</w:t>
            </w:r>
          </w:p>
        </w:tc>
      </w:tr>
      <w:tr>
        <w:trPr>
          <w:cantSplit/>
        </w:trPr>
        <w:tc>
          <w:tcPr>
            <w:tcW w:type="dxa" w:w="2592"/>
            <w:vAlign w:val="center"/>
            <w:shd w:fill="EAF0F6"/>
          </w:tcPr>
          <w:p>
            <w:pPr>
              <w:spacing w:after="0"/>
            </w:pPr>
            <w:r/>
            <w:r>
              <w:rPr>
                <w:b w:val="0"/>
                <w:sz w:val="14"/>
              </w:rPr>
              <w:t>31-60 days</w:t>
            </w:r>
          </w:p>
        </w:tc>
        <w:tc>
          <w:tcPr>
            <w:tcW w:type="dxa" w:w="2592"/>
            <w:vAlign w:val="center"/>
            <w:shd w:fill="EAF0F6"/>
          </w:tcPr>
          <w:p>
            <w:pPr>
              <w:spacing w:after="0"/>
            </w:pPr>
            <w:r/>
            <w:r>
              <w:rPr>
                <w:b w:val="0"/>
                <w:sz w:val="14"/>
              </w:rPr>
              <w:t>Prioritise controls and evidence</w:t>
            </w:r>
          </w:p>
        </w:tc>
        <w:tc>
          <w:tcPr>
            <w:tcW w:type="dxa" w:w="2592"/>
            <w:vAlign w:val="center"/>
            <w:shd w:fill="EAF0F6"/>
          </w:tcPr>
          <w:p>
            <w:pPr>
              <w:spacing w:after="0"/>
            </w:pPr>
            <w:r/>
            <w:r>
              <w:rPr>
                <w:b w:val="0"/>
                <w:sz w:val="14"/>
              </w:rPr>
              <w:t>Classify materiality; pre-populate the GAISSF mapping register without asserting final control IDs; complete threat and data reviews; assess critical providers.</w:t>
            </w:r>
          </w:p>
        </w:tc>
        <w:tc>
          <w:tcPr>
            <w:tcW w:type="dxa" w:w="2592"/>
            <w:vAlign w:val="center"/>
            <w:shd w:fill="EAF0F6"/>
          </w:tcPr>
          <w:p>
            <w:pPr>
              <w:spacing w:after="0"/>
            </w:pPr>
            <w:r/>
            <w:r>
              <w:rPr>
                <w:b w:val="0"/>
                <w:sz w:val="14"/>
              </w:rPr>
              <w:t>Risk-tiered remediation plan; evidence owners; mapping backlog; concentration and contractual issues.</w:t>
            </w:r>
          </w:p>
        </w:tc>
      </w:tr>
      <w:tr>
        <w:trPr>
          <w:cantSplit/>
        </w:trPr>
        <w:tc>
          <w:tcPr>
            <w:tcW w:type="dxa" w:w="2592"/>
            <w:vAlign w:val="center"/>
          </w:tcPr>
          <w:p>
            <w:pPr>
              <w:spacing w:after="0"/>
            </w:pPr>
            <w:r/>
            <w:r>
              <w:rPr>
                <w:b w:val="0"/>
                <w:sz w:val="14"/>
              </w:rPr>
              <w:t>61-90 days</w:t>
            </w:r>
          </w:p>
        </w:tc>
        <w:tc>
          <w:tcPr>
            <w:tcW w:type="dxa" w:w="2592"/>
            <w:vAlign w:val="center"/>
          </w:tcPr>
          <w:p>
            <w:pPr>
              <w:spacing w:after="0"/>
            </w:pPr>
            <w:r/>
            <w:r>
              <w:rPr>
                <w:b w:val="0"/>
                <w:sz w:val="14"/>
              </w:rPr>
              <w:t>Test high-consequence systems</w:t>
            </w:r>
          </w:p>
        </w:tc>
        <w:tc>
          <w:tcPr>
            <w:tcW w:type="dxa" w:w="2592"/>
            <w:vAlign w:val="center"/>
          </w:tcPr>
          <w:p>
            <w:pPr>
              <w:spacing w:after="0"/>
            </w:pPr>
            <w:r/>
            <w:r>
              <w:rPr>
                <w:b w:val="0"/>
                <w:sz w:val="14"/>
              </w:rPr>
              <w:t>Perform independent validation, adversarial tests, resilience scenarios, circuit-breaker and fallback exercises, customer-outcome review, and incident simulation.</w:t>
            </w:r>
          </w:p>
        </w:tc>
        <w:tc>
          <w:tcPr>
            <w:tcW w:type="dxa" w:w="2592"/>
            <w:vAlign w:val="center"/>
          </w:tcPr>
          <w:p>
            <w:pPr>
              <w:spacing w:after="0"/>
            </w:pPr>
            <w:r/>
            <w:r>
              <w:rPr>
                <w:b w:val="0"/>
                <w:sz w:val="14"/>
              </w:rPr>
              <w:t>Critical findings resolved or accepted; stop mechanisms tested; residual risk approved.</w:t>
            </w:r>
          </w:p>
        </w:tc>
      </w:tr>
      <w:tr>
        <w:trPr>
          <w:cantSplit/>
        </w:trPr>
        <w:tc>
          <w:tcPr>
            <w:tcW w:type="dxa" w:w="2592"/>
            <w:vAlign w:val="center"/>
            <w:shd w:fill="EAF0F6"/>
          </w:tcPr>
          <w:p>
            <w:pPr>
              <w:spacing w:after="0"/>
            </w:pPr>
            <w:r/>
            <w:r>
              <w:rPr>
                <w:b w:val="0"/>
                <w:sz w:val="14"/>
              </w:rPr>
              <w:t>3-6 months</w:t>
            </w:r>
          </w:p>
        </w:tc>
        <w:tc>
          <w:tcPr>
            <w:tcW w:type="dxa" w:w="2592"/>
            <w:vAlign w:val="center"/>
            <w:shd w:fill="EAF0F6"/>
          </w:tcPr>
          <w:p>
            <w:pPr>
              <w:spacing w:after="0"/>
            </w:pPr>
            <w:r/>
            <w:r>
              <w:rPr>
                <w:b w:val="0"/>
                <w:sz w:val="14"/>
              </w:rPr>
              <w:t>Integrate the operating model</w:t>
            </w:r>
          </w:p>
        </w:tc>
        <w:tc>
          <w:tcPr>
            <w:tcW w:type="dxa" w:w="2592"/>
            <w:vAlign w:val="center"/>
            <w:shd w:fill="EAF0F6"/>
          </w:tcPr>
          <w:p>
            <w:pPr>
              <w:spacing w:after="0"/>
            </w:pPr>
            <w:r/>
            <w:r>
              <w:rPr>
                <w:b w:val="0"/>
                <w:sz w:val="14"/>
              </w:rPr>
              <w:t>Embed lifecycle gates, procurement clauses, change governance, monitoring, complaint feedback, assurance sampling, and role-based AI literacy.</w:t>
            </w:r>
          </w:p>
        </w:tc>
        <w:tc>
          <w:tcPr>
            <w:tcW w:type="dxa" w:w="2592"/>
            <w:vAlign w:val="center"/>
            <w:shd w:fill="EAF0F6"/>
          </w:tcPr>
          <w:p>
            <w:pPr>
              <w:spacing w:after="0"/>
            </w:pPr>
            <w:r/>
            <w:r>
              <w:rPr>
                <w:b w:val="0"/>
                <w:sz w:val="14"/>
              </w:rPr>
              <w:t>Repeatable controls; management information; traceable approvals; policy/process integration.</w:t>
            </w:r>
          </w:p>
        </w:tc>
      </w:tr>
      <w:tr>
        <w:trPr>
          <w:cantSplit/>
        </w:trPr>
        <w:tc>
          <w:tcPr>
            <w:tcW w:type="dxa" w:w="2592"/>
            <w:vAlign w:val="center"/>
          </w:tcPr>
          <w:p>
            <w:pPr>
              <w:spacing w:after="0"/>
            </w:pPr>
            <w:r/>
            <w:r>
              <w:rPr>
                <w:b w:val="0"/>
                <w:sz w:val="14"/>
              </w:rPr>
              <w:t>6-12 months</w:t>
            </w:r>
          </w:p>
        </w:tc>
        <w:tc>
          <w:tcPr>
            <w:tcW w:type="dxa" w:w="2592"/>
            <w:vAlign w:val="center"/>
          </w:tcPr>
          <w:p>
            <w:pPr>
              <w:spacing w:after="0"/>
            </w:pPr>
            <w:r/>
            <w:r>
              <w:rPr>
                <w:b w:val="0"/>
                <w:sz w:val="14"/>
              </w:rPr>
              <w:t>Review effectiveness and mature</w:t>
            </w:r>
          </w:p>
        </w:tc>
        <w:tc>
          <w:tcPr>
            <w:tcW w:type="dxa" w:w="2592"/>
            <w:vAlign w:val="center"/>
          </w:tcPr>
          <w:p>
            <w:pPr>
              <w:spacing w:after="0"/>
            </w:pPr>
            <w:r/>
            <w:r>
              <w:rPr>
                <w:b w:val="0"/>
                <w:sz w:val="14"/>
              </w:rPr>
              <w:t>Conduct post-implementation review, concentration and contagion analysis, thematic reviews, control-effectiveness testing, and certification-readiness assessment.</w:t>
            </w:r>
          </w:p>
        </w:tc>
        <w:tc>
          <w:tcPr>
            <w:tcW w:type="dxa" w:w="2592"/>
            <w:vAlign w:val="center"/>
          </w:tcPr>
          <w:p>
            <w:pPr>
              <w:spacing w:after="0"/>
            </w:pPr>
            <w:r/>
            <w:r>
              <w:rPr>
                <w:b w:val="0"/>
                <w:sz w:val="14"/>
              </w:rPr>
              <w:t>Sustained effectiveness; lessons learned; evidence quality improvement; assurance report with limitations.</w:t>
            </w:r>
          </w:p>
        </w:tc>
      </w:tr>
    </w:tbl>
    <w:p>
      <w:pPr>
        <w:pStyle w:val="Heading1"/>
      </w:pPr>
      <w:r>
        <w:t>Common failure patterns</w:t>
      </w:r>
    </w:p>
    <w:p>
      <w:pPr>
        <w:pStyle w:val="ListBullet"/>
      </w:pPr>
      <w:r>
        <w:t>Treating AI governance as a policy exercise without technical enforcement, deployment inventory, and operating evidence.</w:t>
      </w:r>
    </w:p>
    <w:p>
      <w:pPr>
        <w:pStyle w:val="ListBullet"/>
      </w:pPr>
      <w:r>
        <w:t>Validating predictive accuracy while omitting adversarial, resilience, fairness, customer-outcome, fraud-adaptation, and extreme-event testing.</w:t>
      </w:r>
    </w:p>
    <w:p>
      <w:pPr>
        <w:pStyle w:val="ListBullet"/>
      </w:pPr>
      <w:r>
        <w:t>Using provider documentation as a substitute for entity-specific threat assessment, validation, and exit testing.</w:t>
      </w:r>
    </w:p>
    <w:p>
      <w:pPr>
        <w:pStyle w:val="ListBullet"/>
      </w:pPr>
      <w:r>
        <w:t>Placing human review after the transaction, communication, or customer impact has become irreversible.</w:t>
      </w:r>
    </w:p>
    <w:p>
      <w:pPr>
        <w:pStyle w:val="ListBullet"/>
      </w:pPr>
      <w:r>
        <w:t>Failing to govern prompts, retrieval corpora, tools, agent identities, thresholds, features, and provider updates as controlled changes.</w:t>
      </w:r>
    </w:p>
    <w:p>
      <w:pPr>
        <w:pStyle w:val="ListBullet"/>
      </w:pPr>
      <w:r>
        <w:t>Monitoring averages that conceal severe subgroup, product, channel, region, or tail-event failures.</w:t>
      </w:r>
    </w:p>
    <w:p>
      <w:pPr>
        <w:pStyle w:val="ListBullet"/>
      </w:pPr>
      <w:r>
        <w:t>Keeping kill switches, circuit breakers, or fallback procedures that are untested, inaccessible, or too slow.</w:t>
      </w:r>
    </w:p>
    <w:p>
      <w:pPr>
        <w:pStyle w:val="ListBullet"/>
      </w:pPr>
      <w:r>
        <w:t>Recording only the final output and losing the model version, input context, policy state, delegation chain, tool actions, and approvals.</w:t>
      </w:r>
    </w:p>
    <w:p>
      <w:pPr>
        <w:pStyle w:val="ListBullet"/>
      </w:pPr>
      <w:r>
        <w:t>Treating complaints, fraud losses, near misses, overrides, and operational incidents as separate from model monitoring.</w:t>
      </w:r>
    </w:p>
    <w:p>
      <w:pPr>
        <w:pStyle w:val="ListBullet"/>
      </w:pPr>
      <w:r>
        <w:t>Ignoring concentration and correlated failure across shared models, cloud, identity, market data, payment rails, and data providers.</w:t>
      </w:r>
    </w:p>
    <w:p>
      <w:pPr>
        <w:pStyle w:val="ListBullet"/>
      </w:pPr>
      <w:r>
        <w:t>Assuming a low-volume system is low risk when it can move funds, alter rights, create regulatory records, or affect a critical function.</w:t>
      </w:r>
    </w:p>
    <w:p>
      <w:pPr>
        <w:pStyle w:val="Heading1"/>
      </w:pPr>
      <w:r>
        <w:t>Notably Absent</w:t>
      </w:r>
    </w:p>
    <w:p>
      <w:pPr>
        <w:pStyle w:val="ListBullet"/>
      </w:pPr>
      <w:r>
        <w:t>No claim that SEC-038 establishes legal or regulatory compliance.</w:t>
      </w:r>
    </w:p>
    <w:p>
      <w:pPr>
        <w:pStyle w:val="ListBullet"/>
      </w:pPr>
      <w:r>
        <w:t>No universal list of applicable regulators, laws, supervisory expectations, or reporting thresholds.</w:t>
      </w:r>
    </w:p>
    <w:p>
      <w:pPr>
        <w:pStyle w:val="ListBullet"/>
      </w:pPr>
      <w:r>
        <w:t>No presumption that explainability alone makes a model safe, fair, lawful, or suitable.</w:t>
      </w:r>
    </w:p>
    <w:p>
      <w:pPr>
        <w:pStyle w:val="ListBullet"/>
      </w:pPr>
      <w:r>
        <w:t>No presumption that provider assurance replaces the financial entity’s own assessment, validation, and monitoring.</w:t>
      </w:r>
    </w:p>
    <w:p>
      <w:pPr>
        <w:pStyle w:val="ListBullet"/>
      </w:pPr>
      <w:r>
        <w:t>No blanket prohibition or endorsement of generative, predictive, or agentic AI.</w:t>
      </w:r>
    </w:p>
    <w:p>
      <w:pPr>
        <w:pStyle w:val="ListBullet"/>
      </w:pPr>
      <w:r>
        <w:t>No fixed materiality or residual-risk threshold applicable to every financial entity.</w:t>
      </w:r>
    </w:p>
    <w:p>
      <w:pPr>
        <w:pStyle w:val="ListBullet"/>
      </w:pPr>
      <w:r>
        <w:t>No final GAISSF clause or control mapping until the released normative catalogue is independently verified.</w:t>
      </w:r>
    </w:p>
    <w:p>
      <w:pPr>
        <w:pStyle w:val="ListBullet"/>
      </w:pPr>
      <w:r>
        <w:t>No assertion that human review is effective without evidence of timing, competence, information, authority, and intervention capability.</w:t>
      </w:r>
    </w:p>
    <w:p>
      <w:pPr>
        <w:pStyle w:val="ListBullet"/>
      </w:pPr>
      <w:r>
        <w:t>No assumption that successful model validation eliminates cyber, fraud, conduct, privacy, resilience, or systemic risk.</w:t>
      </w:r>
    </w:p>
    <w:p>
      <w:pPr>
        <w:pStyle w:val="ListBullet"/>
      </w:pPr>
      <w:r>
        <w:t>No representation that this guide supersedes law, regulation, supervisory direction, contract, or the GAISSF normative standard.</w:t>
      </w:r>
    </w:p>
    <w:p>
      <w:pPr>
        <w:pStyle w:val="ListBullet"/>
      </w:pPr>
      <w:r>
        <w:t>No claim that the source register is exhaustive or that every listed source applies to every entity or jurisdiction.</w:t>
      </w:r>
    </w:p>
    <w:p>
      <w:pPr>
        <w:pStyle w:val="Heading1"/>
      </w:pPr>
      <w:r>
        <w:t>GAISSF cross-reference register</w:t>
      </w:r>
    </w:p>
    <w:tbl>
      <w:tblPr>
        <w:tblW w:type="auto" w:w="0"/>
        <w:jc w:val="center"/>
        <w:tblLook w:firstColumn="1" w:firstRow="1" w:lastColumn="0" w:lastRow="0" w:noHBand="0" w:noVBand="1" w:val="04A0"/>
      </w:tblPr>
      <w:tblGrid>
        <w:gridCol w:w="10368"/>
      </w:tblGrid>
      <w:tr>
        <w:tc>
          <w:tcPr>
            <w:tcW w:type="dxa" w:w="10368"/>
            <w:vAlign w:val="center"/>
            <w:shd w:fill="2F5597"/>
          </w:tcPr>
          <w:p>
            <w:pPr>
              <w:spacing w:after="0"/>
            </w:pPr>
            <w:r/>
            <w:r>
              <w:rPr>
                <w:b/>
                <w:color w:val="FFFFFF"/>
                <w:sz w:val="22"/>
              </w:rPr>
              <w:t>VERIFIED SOURCE MAPPING - GAISSF-NOR-001 v1.0</w:t>
            </w:r>
          </w:p>
        </w:tc>
      </w:tr>
    </w:tbl>
    <w:p>
      <w:r>
        <w:t>The mappings below were completed against GAISSF-NOR-001 v1.0, the authoritative 59-control baseline. A mapping means that the referenced GAISSF control materially supports the implementation area; it does not imply that the control alone satisfies all financial-sector obligations or that every referenced control is applicable to every organization.</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trPr>
        <w:tc>
          <w:tcPr>
            <w:tcW w:type="dxa" w:w="1728"/>
            <w:vAlign w:val="center"/>
            <w:shd w:fill="17365D"/>
          </w:tcPr>
          <w:p>
            <w:pPr>
              <w:spacing w:after="0"/>
            </w:pPr>
            <w:r/>
            <w:r>
              <w:rPr>
                <w:b/>
                <w:color w:val="FFFFFF"/>
                <w:sz w:val="13"/>
              </w:rPr>
              <w:t>Ref</w:t>
            </w:r>
          </w:p>
        </w:tc>
        <w:tc>
          <w:tcPr>
            <w:tcW w:type="dxa" w:w="1728"/>
            <w:vAlign w:val="center"/>
            <w:shd w:fill="17365D"/>
          </w:tcPr>
          <w:p>
            <w:pPr>
              <w:spacing w:after="0"/>
            </w:pPr>
            <w:r/>
            <w:r>
              <w:rPr>
                <w:b/>
                <w:color w:val="FFFFFF"/>
                <w:sz w:val="13"/>
              </w:rPr>
              <w:t>Implementation area</w:t>
            </w:r>
          </w:p>
        </w:tc>
        <w:tc>
          <w:tcPr>
            <w:tcW w:type="dxa" w:w="1728"/>
            <w:vAlign w:val="center"/>
            <w:shd w:fill="17365D"/>
          </w:tcPr>
          <w:p>
            <w:pPr>
              <w:spacing w:after="0"/>
            </w:pPr>
            <w:r/>
            <w:r>
              <w:rPr>
                <w:b/>
                <w:color w:val="FFFFFF"/>
                <w:sz w:val="13"/>
              </w:rPr>
              <w:t>Verified GAISSF reference</w:t>
            </w:r>
          </w:p>
        </w:tc>
        <w:tc>
          <w:tcPr>
            <w:tcW w:type="dxa" w:w="1728"/>
            <w:vAlign w:val="center"/>
            <w:shd w:fill="17365D"/>
          </w:tcPr>
          <w:p>
            <w:pPr>
              <w:spacing w:after="0"/>
            </w:pPr>
            <w:r/>
            <w:r>
              <w:rPr>
                <w:b/>
                <w:color w:val="FFFFFF"/>
                <w:sz w:val="13"/>
              </w:rPr>
              <w:t>Relationship</w:t>
            </w:r>
          </w:p>
        </w:tc>
        <w:tc>
          <w:tcPr>
            <w:tcW w:type="dxa" w:w="1728"/>
            <w:vAlign w:val="center"/>
            <w:shd w:fill="17365D"/>
          </w:tcPr>
          <w:p>
            <w:pPr>
              <w:spacing w:after="0"/>
            </w:pPr>
            <w:r/>
            <w:r>
              <w:rPr>
                <w:b/>
                <w:color w:val="FFFFFF"/>
                <w:sz w:val="13"/>
              </w:rPr>
              <w:t>Status</w:t>
            </w:r>
          </w:p>
        </w:tc>
        <w:tc>
          <w:tcPr>
            <w:tcW w:type="dxa" w:w="1728"/>
            <w:vAlign w:val="center"/>
            <w:shd w:fill="17365D"/>
          </w:tcPr>
          <w:p>
            <w:pPr>
              <w:spacing w:after="0"/>
            </w:pPr>
            <w:r/>
            <w:r>
              <w:rPr>
                <w:b/>
                <w:color w:val="FFFFFF"/>
                <w:sz w:val="13"/>
              </w:rPr>
              <w:t>Implementation note</w:t>
            </w:r>
          </w:p>
        </w:tc>
      </w:tr>
      <w:tr>
        <w:trPr>
          <w:cantSplit/>
        </w:trPr>
        <w:tc>
          <w:tcPr>
            <w:tcW w:type="dxa" w:w="1728"/>
            <w:vAlign w:val="center"/>
          </w:tcPr>
          <w:p>
            <w:pPr>
              <w:spacing w:after="0"/>
            </w:pPr>
            <w:r/>
            <w:r>
              <w:rPr>
                <w:b w:val="0"/>
                <w:sz w:val="13"/>
              </w:rPr>
              <w:t>XR-01</w:t>
            </w:r>
          </w:p>
        </w:tc>
        <w:tc>
          <w:tcPr>
            <w:tcW w:type="dxa" w:w="1728"/>
            <w:vAlign w:val="center"/>
          </w:tcPr>
          <w:p>
            <w:pPr>
              <w:spacing w:after="0"/>
            </w:pPr>
            <w:r/>
            <w:r>
              <w:rPr>
                <w:b w:val="0"/>
                <w:sz w:val="13"/>
              </w:rPr>
              <w:t>Governance and accountability</w:t>
            </w:r>
          </w:p>
        </w:tc>
        <w:tc>
          <w:tcPr>
            <w:tcW w:type="dxa" w:w="1728"/>
            <w:vAlign w:val="center"/>
          </w:tcPr>
          <w:p>
            <w:pPr>
              <w:spacing w:after="0"/>
            </w:pPr>
            <w:r/>
            <w:r>
              <w:rPr>
                <w:b w:val="0"/>
                <w:sz w:val="13"/>
              </w:rPr>
              <w:t>Sections 4-9; D6-CTL-01 to D6-CTL-07; D8-CTL-01 to D8-CTL-05</w:t>
            </w:r>
          </w:p>
        </w:tc>
        <w:tc>
          <w:tcPr>
            <w:tcW w:type="dxa" w:w="1728"/>
            <w:vAlign w:val="center"/>
          </w:tcPr>
          <w:p>
            <w:pPr>
              <w:spacing w:after="0"/>
            </w:pPr>
            <w:r/>
            <w:r>
              <w:rPr>
                <w:b w:val="0"/>
                <w:sz w:val="13"/>
              </w:rPr>
              <w:t>Direct and supporting</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Apply through scope, Statement of Applicability, ownership, evidence and change governance.</w:t>
            </w:r>
          </w:p>
        </w:tc>
      </w:tr>
      <w:tr>
        <w:trPr>
          <w:cantSplit/>
        </w:trPr>
        <w:tc>
          <w:tcPr>
            <w:tcW w:type="dxa" w:w="1728"/>
            <w:vAlign w:val="center"/>
            <w:shd w:fill="EAF0F6"/>
          </w:tcPr>
          <w:p>
            <w:pPr>
              <w:spacing w:after="0"/>
            </w:pPr>
            <w:r/>
            <w:r>
              <w:rPr>
                <w:b w:val="0"/>
                <w:sz w:val="13"/>
              </w:rPr>
              <w:t>XR-02</w:t>
            </w:r>
          </w:p>
        </w:tc>
        <w:tc>
          <w:tcPr>
            <w:tcW w:type="dxa" w:w="1728"/>
            <w:vAlign w:val="center"/>
            <w:shd w:fill="EAF0F6"/>
          </w:tcPr>
          <w:p>
            <w:pPr>
              <w:spacing w:after="0"/>
            </w:pPr>
            <w:r/>
            <w:r>
              <w:rPr>
                <w:b w:val="0"/>
                <w:sz w:val="13"/>
              </w:rPr>
              <w:t>Inventory and classification</w:t>
            </w:r>
          </w:p>
        </w:tc>
        <w:tc>
          <w:tcPr>
            <w:tcW w:type="dxa" w:w="1728"/>
            <w:vAlign w:val="center"/>
            <w:shd w:fill="EAF0F6"/>
          </w:tcPr>
          <w:p>
            <w:pPr>
              <w:spacing w:after="0"/>
            </w:pPr>
            <w:r/>
            <w:r>
              <w:rPr>
                <w:b w:val="0"/>
                <w:sz w:val="13"/>
              </w:rPr>
              <w:t>Section 5; D4-CTL-01; D4-CTL-06; D6-CTL-03</w:t>
            </w:r>
          </w:p>
        </w:tc>
        <w:tc>
          <w:tcPr>
            <w:tcW w:type="dxa" w:w="1728"/>
            <w:vAlign w:val="center"/>
            <w:shd w:fill="EAF0F6"/>
          </w:tcPr>
          <w:p>
            <w:pPr>
              <w:spacing w:after="0"/>
            </w:pPr>
            <w:r/>
            <w:r>
              <w:rPr>
                <w:b w:val="0"/>
                <w:sz w:val="13"/>
              </w:rPr>
              <w:t>Direct and supporting</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AI BOM, shadow AI discovery, model-card and applicability records support inventory and classification.</w:t>
            </w:r>
          </w:p>
        </w:tc>
      </w:tr>
      <w:tr>
        <w:trPr>
          <w:cantSplit/>
        </w:trPr>
        <w:tc>
          <w:tcPr>
            <w:tcW w:type="dxa" w:w="1728"/>
            <w:vAlign w:val="center"/>
          </w:tcPr>
          <w:p>
            <w:pPr>
              <w:spacing w:after="0"/>
            </w:pPr>
            <w:r/>
            <w:r>
              <w:rPr>
                <w:b w:val="0"/>
                <w:sz w:val="13"/>
              </w:rPr>
              <w:t>XR-03</w:t>
            </w:r>
          </w:p>
        </w:tc>
        <w:tc>
          <w:tcPr>
            <w:tcW w:type="dxa" w:w="1728"/>
            <w:vAlign w:val="center"/>
          </w:tcPr>
          <w:p>
            <w:pPr>
              <w:spacing w:after="0"/>
            </w:pPr>
            <w:r/>
            <w:r>
              <w:rPr>
                <w:b w:val="0"/>
                <w:sz w:val="13"/>
              </w:rPr>
              <w:t>Threat modelling</w:t>
            </w:r>
          </w:p>
        </w:tc>
        <w:tc>
          <w:tcPr>
            <w:tcW w:type="dxa" w:w="1728"/>
            <w:vAlign w:val="center"/>
          </w:tcPr>
          <w:p>
            <w:pPr>
              <w:spacing w:after="0"/>
            </w:pPr>
            <w:r/>
            <w:r>
              <w:rPr>
                <w:b w:val="0"/>
                <w:sz w:val="13"/>
              </w:rPr>
              <w:t>D1-CTL-01 to D1-CTL-09; D2-CTL-01 to D2-CTL-06; D3-CTL-01 to D3-CTL-07; D7-CTL-H05</w:t>
            </w:r>
          </w:p>
        </w:tc>
        <w:tc>
          <w:tcPr>
            <w:tcW w:type="dxa" w:w="1728"/>
            <w:vAlign w:val="center"/>
          </w:tcPr>
          <w:p>
            <w:pPr>
              <w:spacing w:after="0"/>
            </w:pPr>
            <w:r/>
            <w:r>
              <w:rPr>
                <w:b w:val="0"/>
                <w:sz w:val="13"/>
              </w:rPr>
              <w:t>Supporting</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Sector threat models should select applicable adversarial, runtime, agentic and external-attack controls.</w:t>
            </w:r>
          </w:p>
        </w:tc>
      </w:tr>
      <w:tr>
        <w:trPr>
          <w:cantSplit/>
        </w:trPr>
        <w:tc>
          <w:tcPr>
            <w:tcW w:type="dxa" w:w="1728"/>
            <w:vAlign w:val="center"/>
            <w:shd w:fill="EAF0F6"/>
          </w:tcPr>
          <w:p>
            <w:pPr>
              <w:spacing w:after="0"/>
            </w:pPr>
            <w:r/>
            <w:r>
              <w:rPr>
                <w:b w:val="0"/>
                <w:sz w:val="13"/>
              </w:rPr>
              <w:t>XR-04</w:t>
            </w:r>
          </w:p>
        </w:tc>
        <w:tc>
          <w:tcPr>
            <w:tcW w:type="dxa" w:w="1728"/>
            <w:vAlign w:val="center"/>
            <w:shd w:fill="EAF0F6"/>
          </w:tcPr>
          <w:p>
            <w:pPr>
              <w:spacing w:after="0"/>
            </w:pPr>
            <w:r/>
            <w:r>
              <w:rPr>
                <w:b w:val="0"/>
                <w:sz w:val="13"/>
              </w:rPr>
              <w:t>Data governance and privacy</w:t>
            </w:r>
          </w:p>
        </w:tc>
        <w:tc>
          <w:tcPr>
            <w:tcW w:type="dxa" w:w="1728"/>
            <w:vAlign w:val="center"/>
            <w:shd w:fill="EAF0F6"/>
          </w:tcPr>
          <w:p>
            <w:pPr>
              <w:spacing w:after="0"/>
            </w:pPr>
            <w:r/>
            <w:r>
              <w:rPr>
                <w:b w:val="0"/>
                <w:sz w:val="13"/>
              </w:rPr>
              <w:t>D1-CTL-01; D3-CTL-06; D3-CTL-07; D5-CTL-02; D5-CTL-05; D5-CTL-06</w:t>
            </w:r>
          </w:p>
        </w:tc>
        <w:tc>
          <w:tcPr>
            <w:tcW w:type="dxa" w:w="1728"/>
            <w:vAlign w:val="center"/>
            <w:shd w:fill="EAF0F6"/>
          </w:tcPr>
          <w:p>
            <w:pPr>
              <w:spacing w:after="0"/>
            </w:pPr>
            <w:r/>
            <w:r>
              <w:rPr>
                <w:b w:val="0"/>
                <w:sz w:val="13"/>
              </w:rPr>
              <w:t>Direct and supporting</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Covers provenance, memory isolation/lifecycle, PII leakage and privacy-by-design; legal rights remain jurisdiction-specific.</w:t>
            </w:r>
          </w:p>
        </w:tc>
      </w:tr>
      <w:tr>
        <w:trPr>
          <w:cantSplit/>
        </w:trPr>
        <w:tc>
          <w:tcPr>
            <w:tcW w:type="dxa" w:w="1728"/>
            <w:vAlign w:val="center"/>
          </w:tcPr>
          <w:p>
            <w:pPr>
              <w:spacing w:after="0"/>
            </w:pPr>
            <w:r/>
            <w:r>
              <w:rPr>
                <w:b w:val="0"/>
                <w:sz w:val="13"/>
              </w:rPr>
              <w:t>XR-05</w:t>
            </w:r>
          </w:p>
        </w:tc>
        <w:tc>
          <w:tcPr>
            <w:tcW w:type="dxa" w:w="1728"/>
            <w:vAlign w:val="center"/>
          </w:tcPr>
          <w:p>
            <w:pPr>
              <w:spacing w:after="0"/>
            </w:pPr>
            <w:r/>
            <w:r>
              <w:rPr>
                <w:b w:val="0"/>
                <w:sz w:val="13"/>
              </w:rPr>
              <w:t>Independent validation</w:t>
            </w:r>
          </w:p>
        </w:tc>
        <w:tc>
          <w:tcPr>
            <w:tcW w:type="dxa" w:w="1728"/>
            <w:vAlign w:val="center"/>
          </w:tcPr>
          <w:p>
            <w:pPr>
              <w:spacing w:after="0"/>
            </w:pPr>
            <w:r/>
            <w:r>
              <w:rPr>
                <w:b w:val="0"/>
                <w:sz w:val="13"/>
              </w:rPr>
              <w:t>Section 6; D1-CTL-03; D2-CTL-03; D6-CTL-03</w:t>
            </w:r>
          </w:p>
        </w:tc>
        <w:tc>
          <w:tcPr>
            <w:tcW w:type="dxa" w:w="1728"/>
            <w:vAlign w:val="center"/>
          </w:tcPr>
          <w:p>
            <w:pPr>
              <w:spacing w:after="0"/>
            </w:pPr>
            <w:r/>
            <w:r>
              <w:rPr>
                <w:b w:val="0"/>
                <w:sz w:val="13"/>
              </w:rPr>
              <w:t>Supporting</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Evidence and independent verification requirements support validation; sector model-risk independence remains supplementary.</w:t>
            </w:r>
          </w:p>
        </w:tc>
      </w:tr>
      <w:tr>
        <w:trPr>
          <w:cantSplit/>
        </w:trPr>
        <w:tc>
          <w:tcPr>
            <w:tcW w:type="dxa" w:w="1728"/>
            <w:vAlign w:val="center"/>
            <w:shd w:fill="EAF0F6"/>
          </w:tcPr>
          <w:p>
            <w:pPr>
              <w:spacing w:after="0"/>
            </w:pPr>
            <w:r/>
            <w:r>
              <w:rPr>
                <w:b w:val="0"/>
                <w:sz w:val="13"/>
              </w:rPr>
              <w:t>XR-06</w:t>
            </w:r>
          </w:p>
        </w:tc>
        <w:tc>
          <w:tcPr>
            <w:tcW w:type="dxa" w:w="1728"/>
            <w:vAlign w:val="center"/>
            <w:shd w:fill="EAF0F6"/>
          </w:tcPr>
          <w:p>
            <w:pPr>
              <w:spacing w:after="0"/>
            </w:pPr>
            <w:r/>
            <w:r>
              <w:rPr>
                <w:b w:val="0"/>
                <w:sz w:val="13"/>
              </w:rPr>
              <w:t>Secure engineering and AI lifecycle management</w:t>
            </w:r>
          </w:p>
        </w:tc>
        <w:tc>
          <w:tcPr>
            <w:tcW w:type="dxa" w:w="1728"/>
            <w:vAlign w:val="center"/>
            <w:shd w:fill="EAF0F6"/>
          </w:tcPr>
          <w:p>
            <w:pPr>
              <w:spacing w:after="0"/>
            </w:pPr>
            <w:r/>
            <w:r>
              <w:rPr>
                <w:b w:val="0"/>
                <w:sz w:val="13"/>
              </w:rPr>
              <w:t>Section 9; D4-CTL-01; D4-CTL-02; D4-CTL-03; D4-CTL-07; D6-CTL-05; D8-CTL-05</w:t>
            </w:r>
          </w:p>
        </w:tc>
        <w:tc>
          <w:tcPr>
            <w:tcW w:type="dxa" w:w="1728"/>
            <w:vAlign w:val="center"/>
            <w:shd w:fill="EAF0F6"/>
          </w:tcPr>
          <w:p>
            <w:pPr>
              <w:spacing w:after="0"/>
            </w:pPr>
            <w:r/>
            <w:r>
              <w:rPr>
                <w:b w:val="0"/>
                <w:sz w:val="13"/>
              </w:rPr>
              <w:t>Direct and supporting</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Covers component inventory, scanning, registry vetting, SCA, decommissioning and secure development.</w:t>
            </w:r>
          </w:p>
        </w:tc>
      </w:tr>
      <w:tr>
        <w:trPr>
          <w:cantSplit/>
        </w:trPr>
        <w:tc>
          <w:tcPr>
            <w:tcW w:type="dxa" w:w="1728"/>
            <w:vAlign w:val="center"/>
          </w:tcPr>
          <w:p>
            <w:pPr>
              <w:spacing w:after="0"/>
            </w:pPr>
            <w:r/>
            <w:r>
              <w:rPr>
                <w:b w:val="0"/>
                <w:sz w:val="13"/>
              </w:rPr>
              <w:t>XR-07</w:t>
            </w:r>
          </w:p>
        </w:tc>
        <w:tc>
          <w:tcPr>
            <w:tcW w:type="dxa" w:w="1728"/>
            <w:vAlign w:val="center"/>
          </w:tcPr>
          <w:p>
            <w:pPr>
              <w:spacing w:after="0"/>
            </w:pPr>
            <w:r/>
            <w:r>
              <w:rPr>
                <w:b w:val="0"/>
                <w:sz w:val="13"/>
              </w:rPr>
              <w:t>Procurement and vendor management</w:t>
            </w:r>
          </w:p>
        </w:tc>
        <w:tc>
          <w:tcPr>
            <w:tcW w:type="dxa" w:w="1728"/>
            <w:vAlign w:val="center"/>
          </w:tcPr>
          <w:p>
            <w:pPr>
              <w:spacing w:after="0"/>
            </w:pPr>
            <w:r/>
            <w:r>
              <w:rPr>
                <w:b w:val="0"/>
                <w:sz w:val="13"/>
              </w:rPr>
              <w:t>D4-CTL-03; D4-CTL-05; D6-CTL-06; D6-CTL-07</w:t>
            </w:r>
          </w:p>
        </w:tc>
        <w:tc>
          <w:tcPr>
            <w:tcW w:type="dxa" w:w="1728"/>
            <w:vAlign w:val="center"/>
          </w:tcPr>
          <w:p>
            <w:pPr>
              <w:spacing w:after="0"/>
            </w:pPr>
            <w:r/>
            <w:r>
              <w:rPr>
                <w:b w:val="0"/>
                <w:sz w:val="13"/>
              </w:rPr>
              <w:t>Direct and supporting</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Vendor assessment, governance, resilience and exit expectations are applied with financial-sector contract requirements.</w:t>
            </w:r>
          </w:p>
        </w:tc>
      </w:tr>
      <w:tr>
        <w:trPr>
          <w:cantSplit/>
        </w:trPr>
        <w:tc>
          <w:tcPr>
            <w:tcW w:type="dxa" w:w="1728"/>
            <w:vAlign w:val="center"/>
            <w:shd w:fill="EAF0F6"/>
          </w:tcPr>
          <w:p>
            <w:pPr>
              <w:spacing w:after="0"/>
            </w:pPr>
            <w:r/>
            <w:r>
              <w:rPr>
                <w:b w:val="0"/>
                <w:sz w:val="13"/>
              </w:rPr>
              <w:t>XR-08</w:t>
            </w:r>
          </w:p>
        </w:tc>
        <w:tc>
          <w:tcPr>
            <w:tcW w:type="dxa" w:w="1728"/>
            <w:vAlign w:val="center"/>
            <w:shd w:fill="EAF0F6"/>
          </w:tcPr>
          <w:p>
            <w:pPr>
              <w:spacing w:after="0"/>
            </w:pPr>
            <w:r/>
            <w:r>
              <w:rPr>
                <w:b w:val="0"/>
                <w:sz w:val="13"/>
              </w:rPr>
              <w:t>Access, authority and multi-agent control</w:t>
            </w:r>
          </w:p>
        </w:tc>
        <w:tc>
          <w:tcPr>
            <w:tcW w:type="dxa" w:w="1728"/>
            <w:vAlign w:val="center"/>
            <w:shd w:fill="EAF0F6"/>
          </w:tcPr>
          <w:p>
            <w:pPr>
              <w:spacing w:after="0"/>
            </w:pPr>
            <w:r/>
            <w:r>
              <w:rPr>
                <w:b w:val="0"/>
                <w:sz w:val="13"/>
              </w:rPr>
              <w:t>D2-CTL-05; D3-CTL-01; D3-CTL-02; D3-CTL-03; D3-CTL-05</w:t>
            </w:r>
          </w:p>
        </w:tc>
        <w:tc>
          <w:tcPr>
            <w:tcW w:type="dxa" w:w="1728"/>
            <w:vAlign w:val="center"/>
            <w:shd w:fill="EAF0F6"/>
          </w:tcPr>
          <w:p>
            <w:pPr>
              <w:spacing w:after="0"/>
            </w:pPr>
            <w:r/>
            <w:r>
              <w:rPr>
                <w:b w:val="0"/>
                <w:sz w:val="13"/>
              </w:rPr>
              <w:t>Direct</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Tool-call validation, least agency, inter-agent security, chaining detection and trust-chain attestation.</w:t>
            </w:r>
          </w:p>
        </w:tc>
      </w:tr>
      <w:tr>
        <w:trPr>
          <w:cantSplit/>
        </w:trPr>
        <w:tc>
          <w:tcPr>
            <w:tcW w:type="dxa" w:w="1728"/>
            <w:vAlign w:val="center"/>
          </w:tcPr>
          <w:p>
            <w:pPr>
              <w:spacing w:after="0"/>
            </w:pPr>
            <w:r/>
            <w:r>
              <w:rPr>
                <w:b w:val="0"/>
                <w:sz w:val="13"/>
              </w:rPr>
              <w:t>XR-09</w:t>
            </w:r>
          </w:p>
        </w:tc>
        <w:tc>
          <w:tcPr>
            <w:tcW w:type="dxa" w:w="1728"/>
            <w:vAlign w:val="center"/>
          </w:tcPr>
          <w:p>
            <w:pPr>
              <w:spacing w:after="0"/>
            </w:pPr>
            <w:r/>
            <w:r>
              <w:rPr>
                <w:b w:val="0"/>
                <w:sz w:val="13"/>
              </w:rPr>
              <w:t>Human oversight</w:t>
            </w:r>
          </w:p>
        </w:tc>
        <w:tc>
          <w:tcPr>
            <w:tcW w:type="dxa" w:w="1728"/>
            <w:vAlign w:val="center"/>
          </w:tcPr>
          <w:p>
            <w:pPr>
              <w:spacing w:after="0"/>
            </w:pPr>
            <w:r/>
            <w:r>
              <w:rPr>
                <w:b w:val="0"/>
                <w:sz w:val="13"/>
              </w:rPr>
              <w:t>D6-CTL-01; D6-CTL-02</w:t>
            </w:r>
          </w:p>
        </w:tc>
        <w:tc>
          <w:tcPr>
            <w:tcW w:type="dxa" w:w="1728"/>
            <w:vAlign w:val="center"/>
          </w:tcPr>
          <w:p>
            <w:pPr>
              <w:spacing w:after="0"/>
            </w:pPr>
            <w:r/>
            <w:r>
              <w:rPr>
                <w:b w:val="0"/>
                <w:sz w:val="13"/>
              </w:rPr>
              <w:t>Direct</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Human-in-the-loop for high-risk actions and complete audit trails.</w:t>
            </w:r>
          </w:p>
        </w:tc>
      </w:tr>
      <w:tr>
        <w:trPr>
          <w:cantSplit/>
        </w:trPr>
        <w:tc>
          <w:tcPr>
            <w:tcW w:type="dxa" w:w="1728"/>
            <w:vAlign w:val="center"/>
            <w:shd w:fill="EAF0F6"/>
          </w:tcPr>
          <w:p>
            <w:pPr>
              <w:spacing w:after="0"/>
            </w:pPr>
            <w:r/>
            <w:r>
              <w:rPr>
                <w:b w:val="0"/>
                <w:sz w:val="13"/>
              </w:rPr>
              <w:t>XR-10</w:t>
            </w:r>
          </w:p>
        </w:tc>
        <w:tc>
          <w:tcPr>
            <w:tcW w:type="dxa" w:w="1728"/>
            <w:vAlign w:val="center"/>
            <w:shd w:fill="EAF0F6"/>
          </w:tcPr>
          <w:p>
            <w:pPr>
              <w:spacing w:after="0"/>
            </w:pPr>
            <w:r/>
            <w:r>
              <w:rPr>
                <w:b w:val="0"/>
                <w:sz w:val="13"/>
              </w:rPr>
              <w:t>Monitoring and drift</w:t>
            </w:r>
          </w:p>
        </w:tc>
        <w:tc>
          <w:tcPr>
            <w:tcW w:type="dxa" w:w="1728"/>
            <w:vAlign w:val="center"/>
            <w:shd w:fill="EAF0F6"/>
          </w:tcPr>
          <w:p>
            <w:pPr>
              <w:spacing w:after="0"/>
            </w:pPr>
            <w:r/>
            <w:r>
              <w:rPr>
                <w:b w:val="0"/>
                <w:sz w:val="13"/>
              </w:rPr>
              <w:t>D1-CTL-03; D3-CTL-03; D4-CTL-04; D6-CTL-07</w:t>
            </w:r>
          </w:p>
        </w:tc>
        <w:tc>
          <w:tcPr>
            <w:tcW w:type="dxa" w:w="1728"/>
            <w:vAlign w:val="center"/>
            <w:shd w:fill="EAF0F6"/>
          </w:tcPr>
          <w:p>
            <w:pPr>
              <w:spacing w:after="0"/>
            </w:pPr>
            <w:r/>
            <w:r>
              <w:rPr>
                <w:b w:val="0"/>
                <w:sz w:val="13"/>
              </w:rPr>
              <w:t>Direct and supporting</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Behavioural drift, chain correlation, MCP monitoring and resilience monitoring.</w:t>
            </w:r>
          </w:p>
        </w:tc>
      </w:tr>
      <w:tr>
        <w:trPr>
          <w:cantSplit/>
        </w:trPr>
        <w:tc>
          <w:tcPr>
            <w:tcW w:type="dxa" w:w="1728"/>
            <w:vAlign w:val="center"/>
          </w:tcPr>
          <w:p>
            <w:pPr>
              <w:spacing w:after="0"/>
            </w:pPr>
            <w:r/>
            <w:r>
              <w:rPr>
                <w:b w:val="0"/>
                <w:sz w:val="13"/>
              </w:rPr>
              <w:t>XR-11</w:t>
            </w:r>
          </w:p>
        </w:tc>
        <w:tc>
          <w:tcPr>
            <w:tcW w:type="dxa" w:w="1728"/>
            <w:vAlign w:val="center"/>
          </w:tcPr>
          <w:p>
            <w:pPr>
              <w:spacing w:after="0"/>
            </w:pPr>
            <w:r/>
            <w:r>
              <w:rPr>
                <w:b w:val="0"/>
                <w:sz w:val="13"/>
              </w:rPr>
              <w:t>Incident response</w:t>
            </w:r>
          </w:p>
        </w:tc>
        <w:tc>
          <w:tcPr>
            <w:tcW w:type="dxa" w:w="1728"/>
            <w:vAlign w:val="center"/>
          </w:tcPr>
          <w:p>
            <w:pPr>
              <w:spacing w:after="0"/>
            </w:pPr>
            <w:r/>
            <w:r>
              <w:rPr>
                <w:b w:val="0"/>
                <w:sz w:val="13"/>
              </w:rPr>
              <w:t>D6-CTL-04; D7-CTL-H04; D8-CTL-04</w:t>
            </w:r>
          </w:p>
        </w:tc>
        <w:tc>
          <w:tcPr>
            <w:tcW w:type="dxa" w:w="1728"/>
            <w:vAlign w:val="center"/>
          </w:tcPr>
          <w:p>
            <w:pPr>
              <w:spacing w:after="0"/>
            </w:pPr>
            <w:r/>
            <w:r>
              <w:rPr>
                <w:b w:val="0"/>
                <w:sz w:val="13"/>
              </w:rPr>
              <w:t>Direct</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AI incident readiness, social-engineering response and DORA ICT incident reporting.</w:t>
            </w:r>
          </w:p>
        </w:tc>
      </w:tr>
      <w:tr>
        <w:trPr>
          <w:cantSplit/>
        </w:trPr>
        <w:tc>
          <w:tcPr>
            <w:tcW w:type="dxa" w:w="1728"/>
            <w:vAlign w:val="center"/>
            <w:shd w:fill="EAF0F6"/>
          </w:tcPr>
          <w:p>
            <w:pPr>
              <w:spacing w:after="0"/>
            </w:pPr>
            <w:r/>
            <w:r>
              <w:rPr>
                <w:b w:val="0"/>
                <w:sz w:val="13"/>
              </w:rPr>
              <w:t>XR-12</w:t>
            </w:r>
          </w:p>
        </w:tc>
        <w:tc>
          <w:tcPr>
            <w:tcW w:type="dxa" w:w="1728"/>
            <w:vAlign w:val="center"/>
            <w:shd w:fill="EAF0F6"/>
          </w:tcPr>
          <w:p>
            <w:pPr>
              <w:spacing w:after="0"/>
            </w:pPr>
            <w:r/>
            <w:r>
              <w:rPr>
                <w:b w:val="0"/>
                <w:sz w:val="13"/>
              </w:rPr>
              <w:t>Resilience and recovery</w:t>
            </w:r>
          </w:p>
        </w:tc>
        <w:tc>
          <w:tcPr>
            <w:tcW w:type="dxa" w:w="1728"/>
            <w:vAlign w:val="center"/>
            <w:shd w:fill="EAF0F6"/>
          </w:tcPr>
          <w:p>
            <w:pPr>
              <w:spacing w:after="0"/>
            </w:pPr>
            <w:r/>
            <w:r>
              <w:rPr>
                <w:b w:val="0"/>
                <w:sz w:val="13"/>
              </w:rPr>
              <w:t>D6-CTL-07; D9-CTL-02; D9-CTL-03</w:t>
            </w:r>
          </w:p>
        </w:tc>
        <w:tc>
          <w:tcPr>
            <w:tcW w:type="dxa" w:w="1728"/>
            <w:vAlign w:val="center"/>
            <w:shd w:fill="EAF0F6"/>
          </w:tcPr>
          <w:p>
            <w:pPr>
              <w:spacing w:after="0"/>
            </w:pPr>
            <w:r/>
            <w:r>
              <w:rPr>
                <w:b w:val="0"/>
                <w:sz w:val="13"/>
              </w:rPr>
              <w:t>Direct and conditional</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D9 controls apply only where physical or cyber-physical actuation is in scope.</w:t>
            </w:r>
          </w:p>
        </w:tc>
      </w:tr>
      <w:tr>
        <w:trPr>
          <w:cantSplit/>
        </w:trPr>
        <w:tc>
          <w:tcPr>
            <w:tcW w:type="dxa" w:w="1728"/>
            <w:vAlign w:val="center"/>
          </w:tcPr>
          <w:p>
            <w:pPr>
              <w:spacing w:after="0"/>
            </w:pPr>
            <w:r/>
            <w:r>
              <w:rPr>
                <w:b w:val="0"/>
                <w:sz w:val="13"/>
              </w:rPr>
              <w:t>XR-13</w:t>
            </w:r>
          </w:p>
        </w:tc>
        <w:tc>
          <w:tcPr>
            <w:tcW w:type="dxa" w:w="1728"/>
            <w:vAlign w:val="center"/>
          </w:tcPr>
          <w:p>
            <w:pPr>
              <w:spacing w:after="0"/>
            </w:pPr>
            <w:r/>
            <w:r>
              <w:rPr>
                <w:b w:val="0"/>
                <w:sz w:val="13"/>
              </w:rPr>
              <w:t>Customer transparency and redress</w:t>
            </w:r>
          </w:p>
        </w:tc>
        <w:tc>
          <w:tcPr>
            <w:tcW w:type="dxa" w:w="1728"/>
            <w:vAlign w:val="center"/>
          </w:tcPr>
          <w:p>
            <w:pPr>
              <w:spacing w:after="0"/>
            </w:pPr>
            <w:r/>
            <w:r>
              <w:rPr>
                <w:b w:val="0"/>
                <w:sz w:val="13"/>
              </w:rPr>
              <w:t>D5-CTL-01; D5-CTL-02; D5-CTL-05; D6-CTL-01; D6-CTL-02; D6-CTL-03</w:t>
            </w:r>
          </w:p>
        </w:tc>
        <w:tc>
          <w:tcPr>
            <w:tcW w:type="dxa" w:w="1728"/>
            <w:vAlign w:val="center"/>
          </w:tcPr>
          <w:p>
            <w:pPr>
              <w:spacing w:after="0"/>
            </w:pPr>
            <w:r/>
            <w:r>
              <w:rPr>
                <w:b w:val="0"/>
                <w:sz w:val="13"/>
              </w:rPr>
              <w:t>Supporting</w:t>
            </w:r>
          </w:p>
        </w:tc>
        <w:tc>
          <w:tcPr>
            <w:tcW w:type="dxa" w:w="1728"/>
            <w:vAlign w:val="center"/>
          </w:tcPr>
          <w:p>
            <w:pPr>
              <w:spacing w:after="0"/>
            </w:pPr>
            <w:r/>
            <w:r>
              <w:rPr>
                <w:b w:val="0"/>
                <w:sz w:val="13"/>
              </w:rPr>
              <w:t>Mapped</w:t>
            </w:r>
          </w:p>
        </w:tc>
        <w:tc>
          <w:tcPr>
            <w:tcW w:type="dxa" w:w="1728"/>
            <w:vAlign w:val="center"/>
          </w:tcPr>
          <w:p>
            <w:pPr>
              <w:spacing w:after="0"/>
            </w:pPr>
            <w:r/>
            <w:r>
              <w:rPr>
                <w:b w:val="0"/>
                <w:sz w:val="13"/>
              </w:rPr>
              <w:t>Supports output integrity, privacy, oversight and records; sector disclosure and redress duties remain supplementary.</w:t>
            </w:r>
          </w:p>
        </w:tc>
      </w:tr>
      <w:tr>
        <w:trPr>
          <w:cantSplit/>
        </w:trPr>
        <w:tc>
          <w:tcPr>
            <w:tcW w:type="dxa" w:w="1728"/>
            <w:vAlign w:val="center"/>
            <w:shd w:fill="EAF0F6"/>
          </w:tcPr>
          <w:p>
            <w:pPr>
              <w:spacing w:after="0"/>
            </w:pPr>
            <w:r/>
            <w:r>
              <w:rPr>
                <w:b w:val="0"/>
                <w:sz w:val="13"/>
              </w:rPr>
              <w:t>XR-14</w:t>
            </w:r>
          </w:p>
        </w:tc>
        <w:tc>
          <w:tcPr>
            <w:tcW w:type="dxa" w:w="1728"/>
            <w:vAlign w:val="center"/>
            <w:shd w:fill="EAF0F6"/>
          </w:tcPr>
          <w:p>
            <w:pPr>
              <w:spacing w:after="0"/>
            </w:pPr>
            <w:r/>
            <w:r>
              <w:rPr>
                <w:b w:val="0"/>
                <w:sz w:val="13"/>
              </w:rPr>
              <w:t>Recordkeeping and reproducibility</w:t>
            </w:r>
          </w:p>
        </w:tc>
        <w:tc>
          <w:tcPr>
            <w:tcW w:type="dxa" w:w="1728"/>
            <w:vAlign w:val="center"/>
            <w:shd w:fill="EAF0F6"/>
          </w:tcPr>
          <w:p>
            <w:pPr>
              <w:spacing w:after="0"/>
            </w:pPr>
            <w:r/>
            <w:r>
              <w:rPr>
                <w:b w:val="0"/>
                <w:sz w:val="13"/>
              </w:rPr>
              <w:t>Section 6; Section 9; D6-CTL-02; D6-CTL-03; D6-CTL-04; D6-CTL-05</w:t>
            </w:r>
          </w:p>
        </w:tc>
        <w:tc>
          <w:tcPr>
            <w:tcW w:type="dxa" w:w="1728"/>
            <w:vAlign w:val="center"/>
            <w:shd w:fill="EAF0F6"/>
          </w:tcPr>
          <w:p>
            <w:pPr>
              <w:spacing w:after="0"/>
            </w:pPr>
            <w:r/>
            <w:r>
              <w:rPr>
                <w:b w:val="0"/>
                <w:sz w:val="13"/>
              </w:rPr>
              <w:t>Direct and supporting</w:t>
            </w:r>
          </w:p>
        </w:tc>
        <w:tc>
          <w:tcPr>
            <w:tcW w:type="dxa" w:w="1728"/>
            <w:vAlign w:val="center"/>
            <w:shd w:fill="EAF0F6"/>
          </w:tcPr>
          <w:p>
            <w:pPr>
              <w:spacing w:after="0"/>
            </w:pPr>
            <w:r/>
            <w:r>
              <w:rPr>
                <w:b w:val="0"/>
                <w:sz w:val="13"/>
              </w:rPr>
              <w:t>Mapped</w:t>
            </w:r>
          </w:p>
        </w:tc>
        <w:tc>
          <w:tcPr>
            <w:tcW w:type="dxa" w:w="1728"/>
            <w:vAlign w:val="center"/>
            <w:shd w:fill="EAF0F6"/>
          </w:tcPr>
          <w:p>
            <w:pPr>
              <w:spacing w:after="0"/>
            </w:pPr>
            <w:r/>
            <w:r>
              <w:rPr>
                <w:b w:val="0"/>
                <w:sz w:val="13"/>
              </w:rPr>
              <w:t>Evidence traceability, audit trails, model cards, incidents, change and decommissioning records.</w:t>
            </w:r>
          </w:p>
        </w:tc>
      </w:tr>
    </w:tbl>
    <w:p>
      <w:pPr>
        <w:pStyle w:val="Heading1"/>
      </w:pPr>
      <w:r>
        <w:t>External source register</w:t>
      </w:r>
    </w:p>
    <w:p>
      <w:r>
        <w:t>Bibliographic metadata and official locations were checked for this pre-release build. Applicability, interpretation, article-level mapping, and legal conclusions remain subject to qualified review. The register is illustrative and not exhaustive.</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1481"/>
            <w:vAlign w:val="center"/>
            <w:shd w:fill="17365D"/>
          </w:tcPr>
          <w:p>
            <w:pPr>
              <w:spacing w:after="0"/>
            </w:pPr>
            <w:r/>
            <w:r>
              <w:rPr>
                <w:b/>
                <w:color w:val="FFFFFF"/>
                <w:sz w:val="12"/>
              </w:rPr>
              <w:t>ID</w:t>
            </w:r>
          </w:p>
        </w:tc>
        <w:tc>
          <w:tcPr>
            <w:tcW w:type="dxa" w:w="1481"/>
            <w:vAlign w:val="center"/>
            <w:shd w:fill="17365D"/>
          </w:tcPr>
          <w:p>
            <w:pPr>
              <w:spacing w:after="0"/>
            </w:pPr>
            <w:r/>
            <w:r>
              <w:rPr>
                <w:b/>
                <w:color w:val="FFFFFF"/>
                <w:sz w:val="12"/>
              </w:rPr>
              <w:t>Source</w:t>
            </w:r>
          </w:p>
        </w:tc>
        <w:tc>
          <w:tcPr>
            <w:tcW w:type="dxa" w:w="1481"/>
            <w:vAlign w:val="center"/>
            <w:shd w:fill="17365D"/>
          </w:tcPr>
          <w:p>
            <w:pPr>
              <w:spacing w:after="0"/>
            </w:pPr>
            <w:r/>
            <w:r>
              <w:rPr>
                <w:b/>
                <w:color w:val="FFFFFF"/>
                <w:sz w:val="12"/>
              </w:rPr>
              <w:t>Issuer</w:t>
            </w:r>
          </w:p>
        </w:tc>
        <w:tc>
          <w:tcPr>
            <w:tcW w:type="dxa" w:w="1481"/>
            <w:vAlign w:val="center"/>
            <w:shd w:fill="17365D"/>
          </w:tcPr>
          <w:p>
            <w:pPr>
              <w:spacing w:after="0"/>
            </w:pPr>
            <w:r/>
            <w:r>
              <w:rPr>
                <w:b/>
                <w:color w:val="FFFFFF"/>
                <w:sz w:val="12"/>
              </w:rPr>
              <w:t>Edition/status</w:t>
            </w:r>
          </w:p>
        </w:tc>
        <w:tc>
          <w:tcPr>
            <w:tcW w:type="dxa" w:w="1481"/>
            <w:vAlign w:val="center"/>
            <w:shd w:fill="17365D"/>
          </w:tcPr>
          <w:p>
            <w:pPr>
              <w:spacing w:after="0"/>
            </w:pPr>
            <w:r/>
            <w:r>
              <w:rPr>
                <w:b/>
                <w:color w:val="FFFFFF"/>
                <w:sz w:val="12"/>
              </w:rPr>
              <w:t>Applicability note</w:t>
            </w:r>
          </w:p>
        </w:tc>
        <w:tc>
          <w:tcPr>
            <w:tcW w:type="dxa" w:w="1481"/>
            <w:vAlign w:val="center"/>
            <w:shd w:fill="17365D"/>
          </w:tcPr>
          <w:p>
            <w:pPr>
              <w:spacing w:after="0"/>
            </w:pPr>
            <w:r/>
            <w:r>
              <w:rPr>
                <w:b/>
                <w:color w:val="FFFFFF"/>
                <w:sz w:val="12"/>
              </w:rPr>
              <w:t>Use in SEC-038</w:t>
            </w:r>
          </w:p>
        </w:tc>
        <w:tc>
          <w:tcPr>
            <w:tcW w:type="dxa" w:w="1481"/>
            <w:vAlign w:val="center"/>
            <w:shd w:fill="17365D"/>
          </w:tcPr>
          <w:p>
            <w:pPr>
              <w:spacing w:after="0"/>
            </w:pPr>
            <w:r/>
            <w:r>
              <w:rPr>
                <w:b/>
                <w:color w:val="FFFFFF"/>
                <w:sz w:val="12"/>
              </w:rPr>
              <w:t>Official location</w:t>
            </w:r>
          </w:p>
        </w:tc>
      </w:tr>
      <w:tr>
        <w:trPr>
          <w:cantSplit/>
        </w:trPr>
        <w:tc>
          <w:tcPr>
            <w:tcW w:type="dxa" w:w="1481"/>
            <w:vAlign w:val="center"/>
          </w:tcPr>
          <w:p>
            <w:pPr>
              <w:spacing w:after="0"/>
            </w:pPr>
            <w:r/>
            <w:r>
              <w:rPr>
                <w:b w:val="0"/>
                <w:sz w:val="12"/>
              </w:rPr>
              <w:t>SRC-01</w:t>
            </w:r>
          </w:p>
        </w:tc>
        <w:tc>
          <w:tcPr>
            <w:tcW w:type="dxa" w:w="1481"/>
            <w:vAlign w:val="center"/>
          </w:tcPr>
          <w:p>
            <w:pPr>
              <w:spacing w:after="0"/>
            </w:pPr>
            <w:r/>
            <w:r>
              <w:rPr>
                <w:b w:val="0"/>
                <w:sz w:val="12"/>
              </w:rPr>
              <w:t>Regulation (EU) 2022/2554 - Digital Operational Resilience Act (DORA)</w:t>
            </w:r>
          </w:p>
        </w:tc>
        <w:tc>
          <w:tcPr>
            <w:tcW w:type="dxa" w:w="1481"/>
            <w:vAlign w:val="center"/>
          </w:tcPr>
          <w:p>
            <w:pPr>
              <w:spacing w:after="0"/>
            </w:pPr>
            <w:r/>
            <w:r>
              <w:rPr>
                <w:b w:val="0"/>
                <w:sz w:val="12"/>
              </w:rPr>
              <w:t>European Union</w:t>
            </w:r>
          </w:p>
        </w:tc>
        <w:tc>
          <w:tcPr>
            <w:tcW w:type="dxa" w:w="1481"/>
            <w:vAlign w:val="center"/>
          </w:tcPr>
          <w:p>
            <w:pPr>
              <w:spacing w:after="0"/>
            </w:pPr>
            <w:r/>
            <w:r>
              <w:rPr>
                <w:b w:val="0"/>
                <w:sz w:val="12"/>
              </w:rPr>
              <w:t>Adopted 14 Dec 2022; applies from 17 Jan 2025</w:t>
            </w:r>
          </w:p>
        </w:tc>
        <w:tc>
          <w:tcPr>
            <w:tcW w:type="dxa" w:w="1481"/>
            <w:vAlign w:val="center"/>
          </w:tcPr>
          <w:p>
            <w:pPr>
              <w:spacing w:after="0"/>
            </w:pPr>
            <w:r/>
            <w:r>
              <w:rPr>
                <w:b w:val="0"/>
                <w:sz w:val="12"/>
              </w:rPr>
              <w:t>EU financial entities and ICT third-party risk; verify entity scope</w:t>
            </w:r>
          </w:p>
        </w:tc>
        <w:tc>
          <w:tcPr>
            <w:tcW w:type="dxa" w:w="1481"/>
            <w:vAlign w:val="center"/>
          </w:tcPr>
          <w:p>
            <w:pPr>
              <w:spacing w:after="0"/>
            </w:pPr>
            <w:r/>
            <w:r>
              <w:rPr>
                <w:b w:val="0"/>
                <w:sz w:val="12"/>
              </w:rPr>
              <w:t>Operational resilience, ICT risk, incidents, testing, third-party risk</w:t>
            </w:r>
          </w:p>
        </w:tc>
        <w:tc>
          <w:tcPr>
            <w:tcW w:type="dxa" w:w="1481"/>
            <w:vAlign w:val="center"/>
          </w:tcPr>
          <w:p>
            <w:pPr>
              <w:spacing w:after="0"/>
            </w:pPr>
            <w:r/>
            <w:r>
              <w:rPr>
                <w:b w:val="0"/>
                <w:sz w:val="12"/>
              </w:rPr>
              <w:t>https://eur-lex.europa.eu/eli/reg/2022/2554/oj</w:t>
            </w:r>
          </w:p>
        </w:tc>
      </w:tr>
      <w:tr>
        <w:trPr>
          <w:cantSplit/>
        </w:trPr>
        <w:tc>
          <w:tcPr>
            <w:tcW w:type="dxa" w:w="1481"/>
            <w:vAlign w:val="center"/>
            <w:shd w:fill="EAF0F6"/>
          </w:tcPr>
          <w:p>
            <w:pPr>
              <w:spacing w:after="0"/>
            </w:pPr>
            <w:r/>
            <w:r>
              <w:rPr>
                <w:b w:val="0"/>
                <w:sz w:val="12"/>
              </w:rPr>
              <w:t>SRC-02</w:t>
            </w:r>
          </w:p>
        </w:tc>
        <w:tc>
          <w:tcPr>
            <w:tcW w:type="dxa" w:w="1481"/>
            <w:vAlign w:val="center"/>
            <w:shd w:fill="EAF0F6"/>
          </w:tcPr>
          <w:p>
            <w:pPr>
              <w:spacing w:after="0"/>
            </w:pPr>
            <w:r/>
            <w:r>
              <w:rPr>
                <w:b w:val="0"/>
                <w:sz w:val="12"/>
              </w:rPr>
              <w:t>Regulation (EU) 2024/1689 - Artificial Intelligence Act</w:t>
            </w:r>
          </w:p>
        </w:tc>
        <w:tc>
          <w:tcPr>
            <w:tcW w:type="dxa" w:w="1481"/>
            <w:vAlign w:val="center"/>
            <w:shd w:fill="EAF0F6"/>
          </w:tcPr>
          <w:p>
            <w:pPr>
              <w:spacing w:after="0"/>
            </w:pPr>
            <w:r/>
            <w:r>
              <w:rPr>
                <w:b w:val="0"/>
                <w:sz w:val="12"/>
              </w:rPr>
              <w:t>European Union</w:t>
            </w:r>
          </w:p>
        </w:tc>
        <w:tc>
          <w:tcPr>
            <w:tcW w:type="dxa" w:w="1481"/>
            <w:vAlign w:val="center"/>
            <w:shd w:fill="EAF0F6"/>
          </w:tcPr>
          <w:p>
            <w:pPr>
              <w:spacing w:after="0"/>
            </w:pPr>
            <w:r/>
            <w:r>
              <w:rPr>
                <w:b w:val="0"/>
                <w:sz w:val="12"/>
              </w:rPr>
              <w:t>Official Journal 12 Jul 2024; phased application</w:t>
            </w:r>
          </w:p>
        </w:tc>
        <w:tc>
          <w:tcPr>
            <w:tcW w:type="dxa" w:w="1481"/>
            <w:vAlign w:val="center"/>
            <w:shd w:fill="EAF0F6"/>
          </w:tcPr>
          <w:p>
            <w:pPr>
              <w:spacing w:after="0"/>
            </w:pPr>
            <w:r/>
            <w:r>
              <w:rPr>
                <w:b w:val="0"/>
                <w:sz w:val="12"/>
              </w:rPr>
              <w:t>EU and extraterritorial applicability requires legal analysis</w:t>
            </w:r>
          </w:p>
        </w:tc>
        <w:tc>
          <w:tcPr>
            <w:tcW w:type="dxa" w:w="1481"/>
            <w:vAlign w:val="center"/>
            <w:shd w:fill="EAF0F6"/>
          </w:tcPr>
          <w:p>
            <w:pPr>
              <w:spacing w:after="0"/>
            </w:pPr>
            <w:r/>
            <w:r>
              <w:rPr>
                <w:b w:val="0"/>
                <w:sz w:val="12"/>
              </w:rPr>
              <w:t>AI risk, high-risk systems, governance, literacy, transparency</w:t>
            </w:r>
          </w:p>
        </w:tc>
        <w:tc>
          <w:tcPr>
            <w:tcW w:type="dxa" w:w="1481"/>
            <w:vAlign w:val="center"/>
            <w:shd w:fill="EAF0F6"/>
          </w:tcPr>
          <w:p>
            <w:pPr>
              <w:spacing w:after="0"/>
            </w:pPr>
            <w:r/>
            <w:r>
              <w:rPr>
                <w:b w:val="0"/>
                <w:sz w:val="12"/>
              </w:rPr>
              <w:t>https://eur-lex.europa.eu/eli/reg/2024/1689/oj</w:t>
            </w:r>
          </w:p>
        </w:tc>
      </w:tr>
      <w:tr>
        <w:trPr>
          <w:cantSplit/>
        </w:trPr>
        <w:tc>
          <w:tcPr>
            <w:tcW w:type="dxa" w:w="1481"/>
            <w:vAlign w:val="center"/>
          </w:tcPr>
          <w:p>
            <w:pPr>
              <w:spacing w:after="0"/>
            </w:pPr>
            <w:r/>
            <w:r>
              <w:rPr>
                <w:b w:val="0"/>
                <w:sz w:val="12"/>
              </w:rPr>
              <w:t>SRC-03</w:t>
            </w:r>
          </w:p>
        </w:tc>
        <w:tc>
          <w:tcPr>
            <w:tcW w:type="dxa" w:w="1481"/>
            <w:vAlign w:val="center"/>
          </w:tcPr>
          <w:p>
            <w:pPr>
              <w:spacing w:after="0"/>
            </w:pPr>
            <w:r/>
            <w:r>
              <w:rPr>
                <w:b w:val="0"/>
                <w:sz w:val="12"/>
              </w:rPr>
              <w:t>Regulation (EU) 2016/679 - General Data Protection Regulation</w:t>
            </w:r>
          </w:p>
        </w:tc>
        <w:tc>
          <w:tcPr>
            <w:tcW w:type="dxa" w:w="1481"/>
            <w:vAlign w:val="center"/>
          </w:tcPr>
          <w:p>
            <w:pPr>
              <w:spacing w:after="0"/>
            </w:pPr>
            <w:r/>
            <w:r>
              <w:rPr>
                <w:b w:val="0"/>
                <w:sz w:val="12"/>
              </w:rPr>
              <w:t>European Union</w:t>
            </w:r>
          </w:p>
        </w:tc>
        <w:tc>
          <w:tcPr>
            <w:tcW w:type="dxa" w:w="1481"/>
            <w:vAlign w:val="center"/>
          </w:tcPr>
          <w:p>
            <w:pPr>
              <w:spacing w:after="0"/>
            </w:pPr>
            <w:r/>
            <w:r>
              <w:rPr>
                <w:b w:val="0"/>
                <w:sz w:val="12"/>
              </w:rPr>
              <w:t>Applicable since 25 May 2018</w:t>
            </w:r>
          </w:p>
        </w:tc>
        <w:tc>
          <w:tcPr>
            <w:tcW w:type="dxa" w:w="1481"/>
            <w:vAlign w:val="center"/>
          </w:tcPr>
          <w:p>
            <w:pPr>
              <w:spacing w:after="0"/>
            </w:pPr>
            <w:r/>
            <w:r>
              <w:rPr>
                <w:b w:val="0"/>
                <w:sz w:val="12"/>
              </w:rPr>
              <w:t>Personal data processing in EU/EEA and applicable extraterritorial cases</w:t>
            </w:r>
          </w:p>
        </w:tc>
        <w:tc>
          <w:tcPr>
            <w:tcW w:type="dxa" w:w="1481"/>
            <w:vAlign w:val="center"/>
          </w:tcPr>
          <w:p>
            <w:pPr>
              <w:spacing w:after="0"/>
            </w:pPr>
            <w:r/>
            <w:r>
              <w:rPr>
                <w:b w:val="0"/>
                <w:sz w:val="12"/>
              </w:rPr>
              <w:t>Privacy, lawful basis, rights, minimisation, automated decisions</w:t>
            </w:r>
          </w:p>
        </w:tc>
        <w:tc>
          <w:tcPr>
            <w:tcW w:type="dxa" w:w="1481"/>
            <w:vAlign w:val="center"/>
          </w:tcPr>
          <w:p>
            <w:pPr>
              <w:spacing w:after="0"/>
            </w:pPr>
            <w:r/>
            <w:r>
              <w:rPr>
                <w:b w:val="0"/>
                <w:sz w:val="12"/>
              </w:rPr>
              <w:t>https://eur-lex.europa.eu/eli/reg/2016/679/oj</w:t>
            </w:r>
          </w:p>
        </w:tc>
      </w:tr>
      <w:tr>
        <w:trPr>
          <w:cantSplit/>
        </w:trPr>
        <w:tc>
          <w:tcPr>
            <w:tcW w:type="dxa" w:w="1481"/>
            <w:vAlign w:val="center"/>
            <w:shd w:fill="EAF0F6"/>
          </w:tcPr>
          <w:p>
            <w:pPr>
              <w:spacing w:after="0"/>
            </w:pPr>
            <w:r/>
            <w:r>
              <w:rPr>
                <w:b w:val="0"/>
                <w:sz w:val="12"/>
              </w:rPr>
              <w:t>SRC-04</w:t>
            </w:r>
          </w:p>
        </w:tc>
        <w:tc>
          <w:tcPr>
            <w:tcW w:type="dxa" w:w="1481"/>
            <w:vAlign w:val="center"/>
            <w:shd w:fill="EAF0F6"/>
          </w:tcPr>
          <w:p>
            <w:pPr>
              <w:spacing w:after="0"/>
            </w:pPr>
            <w:r/>
            <w:r>
              <w:rPr>
                <w:b w:val="0"/>
                <w:sz w:val="12"/>
              </w:rPr>
              <w:t>Directive 2014/65/EU - MiFID II</w:t>
            </w:r>
          </w:p>
        </w:tc>
        <w:tc>
          <w:tcPr>
            <w:tcW w:type="dxa" w:w="1481"/>
            <w:vAlign w:val="center"/>
            <w:shd w:fill="EAF0F6"/>
          </w:tcPr>
          <w:p>
            <w:pPr>
              <w:spacing w:after="0"/>
            </w:pPr>
            <w:r/>
            <w:r>
              <w:rPr>
                <w:b w:val="0"/>
                <w:sz w:val="12"/>
              </w:rPr>
              <w:t>European Union</w:t>
            </w:r>
          </w:p>
        </w:tc>
        <w:tc>
          <w:tcPr>
            <w:tcW w:type="dxa" w:w="1481"/>
            <w:vAlign w:val="center"/>
            <w:shd w:fill="EAF0F6"/>
          </w:tcPr>
          <w:p>
            <w:pPr>
              <w:spacing w:after="0"/>
            </w:pPr>
            <w:r/>
            <w:r>
              <w:rPr>
                <w:b w:val="0"/>
                <w:sz w:val="12"/>
              </w:rPr>
              <w:t>Applicable framework; verify consolidated text and national implementation</w:t>
            </w:r>
          </w:p>
        </w:tc>
        <w:tc>
          <w:tcPr>
            <w:tcW w:type="dxa" w:w="1481"/>
            <w:vAlign w:val="center"/>
            <w:shd w:fill="EAF0F6"/>
          </w:tcPr>
          <w:p>
            <w:pPr>
              <w:spacing w:after="0"/>
            </w:pPr>
            <w:r/>
            <w:r>
              <w:rPr>
                <w:b w:val="0"/>
                <w:sz w:val="12"/>
              </w:rPr>
              <w:t>Investment services and markets</w:t>
            </w:r>
          </w:p>
        </w:tc>
        <w:tc>
          <w:tcPr>
            <w:tcW w:type="dxa" w:w="1481"/>
            <w:vAlign w:val="center"/>
            <w:shd w:fill="EAF0F6"/>
          </w:tcPr>
          <w:p>
            <w:pPr>
              <w:spacing w:after="0"/>
            </w:pPr>
            <w:r/>
            <w:r>
              <w:rPr>
                <w:b w:val="0"/>
                <w:sz w:val="12"/>
              </w:rPr>
              <w:t>Suitability, conduct, governance, records, algorithmic trading context</w:t>
            </w:r>
          </w:p>
        </w:tc>
        <w:tc>
          <w:tcPr>
            <w:tcW w:type="dxa" w:w="1481"/>
            <w:vAlign w:val="center"/>
            <w:shd w:fill="EAF0F6"/>
          </w:tcPr>
          <w:p>
            <w:pPr>
              <w:spacing w:after="0"/>
            </w:pPr>
            <w:r/>
            <w:r>
              <w:rPr>
                <w:b w:val="0"/>
                <w:sz w:val="12"/>
              </w:rPr>
              <w:t>https://eur-lex.europa.eu/eli/dir/2014/65/oj</w:t>
            </w:r>
          </w:p>
        </w:tc>
      </w:tr>
      <w:tr>
        <w:trPr>
          <w:cantSplit/>
        </w:trPr>
        <w:tc>
          <w:tcPr>
            <w:tcW w:type="dxa" w:w="1481"/>
            <w:vAlign w:val="center"/>
          </w:tcPr>
          <w:p>
            <w:pPr>
              <w:spacing w:after="0"/>
            </w:pPr>
            <w:r/>
            <w:r>
              <w:rPr>
                <w:b w:val="0"/>
                <w:sz w:val="12"/>
              </w:rPr>
              <w:t>SRC-05</w:t>
            </w:r>
          </w:p>
        </w:tc>
        <w:tc>
          <w:tcPr>
            <w:tcW w:type="dxa" w:w="1481"/>
            <w:vAlign w:val="center"/>
          </w:tcPr>
          <w:p>
            <w:pPr>
              <w:spacing w:after="0"/>
            </w:pPr>
            <w:r/>
            <w:r>
              <w:rPr>
                <w:b w:val="0"/>
                <w:sz w:val="12"/>
              </w:rPr>
              <w:t>Artificial Intelligence Risk Management Framework (AI RMF 1.0), NIST AI 100-1</w:t>
            </w:r>
          </w:p>
        </w:tc>
        <w:tc>
          <w:tcPr>
            <w:tcW w:type="dxa" w:w="1481"/>
            <w:vAlign w:val="center"/>
          </w:tcPr>
          <w:p>
            <w:pPr>
              <w:spacing w:after="0"/>
            </w:pPr>
            <w:r/>
            <w:r>
              <w:rPr>
                <w:b w:val="0"/>
                <w:sz w:val="12"/>
              </w:rPr>
              <w:t>NIST</w:t>
            </w:r>
          </w:p>
        </w:tc>
        <w:tc>
          <w:tcPr>
            <w:tcW w:type="dxa" w:w="1481"/>
            <w:vAlign w:val="center"/>
          </w:tcPr>
          <w:p>
            <w:pPr>
              <w:spacing w:after="0"/>
            </w:pPr>
            <w:r/>
            <w:r>
              <w:rPr>
                <w:b w:val="0"/>
                <w:sz w:val="12"/>
              </w:rPr>
              <w:t>January 2023</w:t>
            </w:r>
          </w:p>
        </w:tc>
        <w:tc>
          <w:tcPr>
            <w:tcW w:type="dxa" w:w="1481"/>
            <w:vAlign w:val="center"/>
          </w:tcPr>
          <w:p>
            <w:pPr>
              <w:spacing w:after="0"/>
            </w:pPr>
            <w:r/>
            <w:r>
              <w:rPr>
                <w:b w:val="0"/>
                <w:sz w:val="12"/>
              </w:rPr>
              <w:t>Voluntary cross-sector framework</w:t>
            </w:r>
          </w:p>
        </w:tc>
        <w:tc>
          <w:tcPr>
            <w:tcW w:type="dxa" w:w="1481"/>
            <w:vAlign w:val="center"/>
          </w:tcPr>
          <w:p>
            <w:pPr>
              <w:spacing w:after="0"/>
            </w:pPr>
            <w:r/>
            <w:r>
              <w:rPr>
                <w:b w:val="0"/>
                <w:sz w:val="12"/>
              </w:rPr>
              <w:t>AI lifecycle risk-management concepts</w:t>
            </w:r>
          </w:p>
        </w:tc>
        <w:tc>
          <w:tcPr>
            <w:tcW w:type="dxa" w:w="1481"/>
            <w:vAlign w:val="center"/>
          </w:tcPr>
          <w:p>
            <w:pPr>
              <w:spacing w:after="0"/>
            </w:pPr>
            <w:r/>
            <w:r>
              <w:rPr>
                <w:b w:val="0"/>
                <w:sz w:val="12"/>
              </w:rPr>
              <w:t>https://www.nist.gov/publications/artificial-intelligence-risk-management-framework-ai-rmf-10</w:t>
            </w:r>
          </w:p>
        </w:tc>
      </w:tr>
      <w:tr>
        <w:trPr>
          <w:cantSplit/>
        </w:trPr>
        <w:tc>
          <w:tcPr>
            <w:tcW w:type="dxa" w:w="1481"/>
            <w:vAlign w:val="center"/>
            <w:shd w:fill="EAF0F6"/>
          </w:tcPr>
          <w:p>
            <w:pPr>
              <w:spacing w:after="0"/>
            </w:pPr>
            <w:r/>
            <w:r>
              <w:rPr>
                <w:b w:val="0"/>
                <w:sz w:val="12"/>
              </w:rPr>
              <w:t>SRC-06</w:t>
            </w:r>
          </w:p>
        </w:tc>
        <w:tc>
          <w:tcPr>
            <w:tcW w:type="dxa" w:w="1481"/>
            <w:vAlign w:val="center"/>
            <w:shd w:fill="EAF0F6"/>
          </w:tcPr>
          <w:p>
            <w:pPr>
              <w:spacing w:after="0"/>
            </w:pPr>
            <w:r/>
            <w:r>
              <w:rPr>
                <w:b w:val="0"/>
                <w:sz w:val="12"/>
              </w:rPr>
              <w:t>Generative AI Profile, NIST AI 600-1</w:t>
            </w:r>
          </w:p>
        </w:tc>
        <w:tc>
          <w:tcPr>
            <w:tcW w:type="dxa" w:w="1481"/>
            <w:vAlign w:val="center"/>
            <w:shd w:fill="EAF0F6"/>
          </w:tcPr>
          <w:p>
            <w:pPr>
              <w:spacing w:after="0"/>
            </w:pPr>
            <w:r/>
            <w:r>
              <w:rPr>
                <w:b w:val="0"/>
                <w:sz w:val="12"/>
              </w:rPr>
              <w:t>NIST</w:t>
            </w:r>
          </w:p>
        </w:tc>
        <w:tc>
          <w:tcPr>
            <w:tcW w:type="dxa" w:w="1481"/>
            <w:vAlign w:val="center"/>
            <w:shd w:fill="EAF0F6"/>
          </w:tcPr>
          <w:p>
            <w:pPr>
              <w:spacing w:after="0"/>
            </w:pPr>
            <w:r/>
            <w:r>
              <w:rPr>
                <w:b w:val="0"/>
                <w:sz w:val="12"/>
              </w:rPr>
              <w:t>July 2024</w:t>
            </w:r>
          </w:p>
        </w:tc>
        <w:tc>
          <w:tcPr>
            <w:tcW w:type="dxa" w:w="1481"/>
            <w:vAlign w:val="center"/>
            <w:shd w:fill="EAF0F6"/>
          </w:tcPr>
          <w:p>
            <w:pPr>
              <w:spacing w:after="0"/>
            </w:pPr>
            <w:r/>
            <w:r>
              <w:rPr>
                <w:b w:val="0"/>
                <w:sz w:val="12"/>
              </w:rPr>
              <w:t>Voluntary profile</w:t>
            </w:r>
          </w:p>
        </w:tc>
        <w:tc>
          <w:tcPr>
            <w:tcW w:type="dxa" w:w="1481"/>
            <w:vAlign w:val="center"/>
            <w:shd w:fill="EAF0F6"/>
          </w:tcPr>
          <w:p>
            <w:pPr>
              <w:spacing w:after="0"/>
            </w:pPr>
            <w:r/>
            <w:r>
              <w:rPr>
                <w:b w:val="0"/>
                <w:sz w:val="12"/>
              </w:rPr>
              <w:t>Generative-AI risk and action context</w:t>
            </w:r>
          </w:p>
        </w:tc>
        <w:tc>
          <w:tcPr>
            <w:tcW w:type="dxa" w:w="1481"/>
            <w:vAlign w:val="center"/>
            <w:shd w:fill="EAF0F6"/>
          </w:tcPr>
          <w:p>
            <w:pPr>
              <w:spacing w:after="0"/>
            </w:pPr>
            <w:r/>
            <w:r>
              <w:rPr>
                <w:b w:val="0"/>
                <w:sz w:val="12"/>
              </w:rPr>
              <w:t>https://www.nist.gov/publications/artificial-intelligence-risk-management-framework-generative-artificial-intelligence</w:t>
            </w:r>
          </w:p>
        </w:tc>
      </w:tr>
      <w:tr>
        <w:trPr>
          <w:cantSplit/>
        </w:trPr>
        <w:tc>
          <w:tcPr>
            <w:tcW w:type="dxa" w:w="1481"/>
            <w:vAlign w:val="center"/>
          </w:tcPr>
          <w:p>
            <w:pPr>
              <w:spacing w:after="0"/>
            </w:pPr>
            <w:r/>
            <w:r>
              <w:rPr>
                <w:b w:val="0"/>
                <w:sz w:val="12"/>
              </w:rPr>
              <w:t>SRC-07</w:t>
            </w:r>
          </w:p>
        </w:tc>
        <w:tc>
          <w:tcPr>
            <w:tcW w:type="dxa" w:w="1481"/>
            <w:vAlign w:val="center"/>
          </w:tcPr>
          <w:p>
            <w:pPr>
              <w:spacing w:after="0"/>
            </w:pPr>
            <w:r/>
            <w:r>
              <w:rPr>
                <w:b w:val="0"/>
                <w:sz w:val="12"/>
              </w:rPr>
              <w:t>Principles for operational resilience</w:t>
            </w:r>
          </w:p>
        </w:tc>
        <w:tc>
          <w:tcPr>
            <w:tcW w:type="dxa" w:w="1481"/>
            <w:vAlign w:val="center"/>
          </w:tcPr>
          <w:p>
            <w:pPr>
              <w:spacing w:after="0"/>
            </w:pPr>
            <w:r/>
            <w:r>
              <w:rPr>
                <w:b w:val="0"/>
                <w:sz w:val="12"/>
              </w:rPr>
              <w:t>Basel Committee on Banking Supervision</w:t>
            </w:r>
          </w:p>
        </w:tc>
        <w:tc>
          <w:tcPr>
            <w:tcW w:type="dxa" w:w="1481"/>
            <w:vAlign w:val="center"/>
          </w:tcPr>
          <w:p>
            <w:pPr>
              <w:spacing w:after="0"/>
            </w:pPr>
            <w:r/>
            <w:r>
              <w:rPr>
                <w:b w:val="0"/>
                <w:sz w:val="12"/>
              </w:rPr>
              <w:t>31 March 2021</w:t>
            </w:r>
          </w:p>
        </w:tc>
        <w:tc>
          <w:tcPr>
            <w:tcW w:type="dxa" w:w="1481"/>
            <w:vAlign w:val="center"/>
          </w:tcPr>
          <w:p>
            <w:pPr>
              <w:spacing w:after="0"/>
            </w:pPr>
            <w:r/>
            <w:r>
              <w:rPr>
                <w:b w:val="0"/>
                <w:sz w:val="12"/>
              </w:rPr>
              <w:t>Banks; implementation depends on jurisdiction and supervisor</w:t>
            </w:r>
          </w:p>
        </w:tc>
        <w:tc>
          <w:tcPr>
            <w:tcW w:type="dxa" w:w="1481"/>
            <w:vAlign w:val="center"/>
          </w:tcPr>
          <w:p>
            <w:pPr>
              <w:spacing w:after="0"/>
            </w:pPr>
            <w:r/>
            <w:r>
              <w:rPr>
                <w:b w:val="0"/>
                <w:sz w:val="12"/>
              </w:rPr>
              <w:t>Operational resilience and critical operations</w:t>
            </w:r>
          </w:p>
        </w:tc>
        <w:tc>
          <w:tcPr>
            <w:tcW w:type="dxa" w:w="1481"/>
            <w:vAlign w:val="center"/>
          </w:tcPr>
          <w:p>
            <w:pPr>
              <w:spacing w:after="0"/>
            </w:pPr>
            <w:r/>
            <w:r>
              <w:rPr>
                <w:b w:val="0"/>
                <w:sz w:val="12"/>
              </w:rPr>
              <w:t>https://www.bis.org/bcbs/publ/d516.htm</w:t>
            </w:r>
          </w:p>
        </w:tc>
      </w:tr>
      <w:tr>
        <w:trPr>
          <w:cantSplit/>
        </w:trPr>
        <w:tc>
          <w:tcPr>
            <w:tcW w:type="dxa" w:w="1481"/>
            <w:vAlign w:val="center"/>
            <w:shd w:fill="EAF0F6"/>
          </w:tcPr>
          <w:p>
            <w:pPr>
              <w:spacing w:after="0"/>
            </w:pPr>
            <w:r/>
            <w:r>
              <w:rPr>
                <w:b w:val="0"/>
                <w:sz w:val="12"/>
              </w:rPr>
              <w:t>SRC-08</w:t>
            </w:r>
          </w:p>
        </w:tc>
        <w:tc>
          <w:tcPr>
            <w:tcW w:type="dxa" w:w="1481"/>
            <w:vAlign w:val="center"/>
            <w:shd w:fill="EAF0F6"/>
          </w:tcPr>
          <w:p>
            <w:pPr>
              <w:spacing w:after="0"/>
            </w:pPr>
            <w:r/>
            <w:r>
              <w:rPr>
                <w:b w:val="0"/>
                <w:sz w:val="12"/>
              </w:rPr>
              <w:t>Principles for the sound management of operational risk</w:t>
            </w:r>
          </w:p>
        </w:tc>
        <w:tc>
          <w:tcPr>
            <w:tcW w:type="dxa" w:w="1481"/>
            <w:vAlign w:val="center"/>
            <w:shd w:fill="EAF0F6"/>
          </w:tcPr>
          <w:p>
            <w:pPr>
              <w:spacing w:after="0"/>
            </w:pPr>
            <w:r/>
            <w:r>
              <w:rPr>
                <w:b w:val="0"/>
                <w:sz w:val="12"/>
              </w:rPr>
              <w:t>Basel Committee on Banking Supervision</w:t>
            </w:r>
          </w:p>
        </w:tc>
        <w:tc>
          <w:tcPr>
            <w:tcW w:type="dxa" w:w="1481"/>
            <w:vAlign w:val="center"/>
            <w:shd w:fill="EAF0F6"/>
          </w:tcPr>
          <w:p>
            <w:pPr>
              <w:spacing w:after="0"/>
            </w:pPr>
            <w:r/>
            <w:r>
              <w:rPr>
                <w:b w:val="0"/>
                <w:sz w:val="12"/>
              </w:rPr>
              <w:t>Revised March 2021</w:t>
            </w:r>
          </w:p>
        </w:tc>
        <w:tc>
          <w:tcPr>
            <w:tcW w:type="dxa" w:w="1481"/>
            <w:vAlign w:val="center"/>
            <w:shd w:fill="EAF0F6"/>
          </w:tcPr>
          <w:p>
            <w:pPr>
              <w:spacing w:after="0"/>
            </w:pPr>
            <w:r/>
            <w:r>
              <w:rPr>
                <w:b w:val="0"/>
                <w:sz w:val="12"/>
              </w:rPr>
              <w:t>Banks; implementation depends on jurisdiction and supervisor</w:t>
            </w:r>
          </w:p>
        </w:tc>
        <w:tc>
          <w:tcPr>
            <w:tcW w:type="dxa" w:w="1481"/>
            <w:vAlign w:val="center"/>
            <w:shd w:fill="EAF0F6"/>
          </w:tcPr>
          <w:p>
            <w:pPr>
              <w:spacing w:after="0"/>
            </w:pPr>
            <w:r/>
            <w:r>
              <w:rPr>
                <w:b w:val="0"/>
                <w:sz w:val="12"/>
              </w:rPr>
              <w:t>Operational risk governance and control environment</w:t>
            </w:r>
          </w:p>
        </w:tc>
        <w:tc>
          <w:tcPr>
            <w:tcW w:type="dxa" w:w="1481"/>
            <w:vAlign w:val="center"/>
            <w:shd w:fill="EAF0F6"/>
          </w:tcPr>
          <w:p>
            <w:pPr>
              <w:spacing w:after="0"/>
            </w:pPr>
            <w:r/>
            <w:r>
              <w:rPr>
                <w:b w:val="0"/>
                <w:sz w:val="12"/>
              </w:rPr>
              <w:t>https://www.bis.org/bcbs/publ/d515.htm</w:t>
            </w:r>
          </w:p>
        </w:tc>
      </w:tr>
      <w:tr>
        <w:trPr>
          <w:cantSplit/>
        </w:trPr>
        <w:tc>
          <w:tcPr>
            <w:tcW w:type="dxa" w:w="1481"/>
            <w:vAlign w:val="center"/>
          </w:tcPr>
          <w:p>
            <w:pPr>
              <w:spacing w:after="0"/>
            </w:pPr>
            <w:r/>
            <w:r>
              <w:rPr>
                <w:b w:val="0"/>
                <w:sz w:val="12"/>
              </w:rPr>
              <w:t>SRC-09</w:t>
            </w:r>
          </w:p>
        </w:tc>
        <w:tc>
          <w:tcPr>
            <w:tcW w:type="dxa" w:w="1481"/>
            <w:vAlign w:val="center"/>
          </w:tcPr>
          <w:p>
            <w:pPr>
              <w:spacing w:after="0"/>
            </w:pPr>
            <w:r/>
            <w:r>
              <w:rPr>
                <w:b w:val="0"/>
                <w:sz w:val="12"/>
              </w:rPr>
              <w:t>PCI Data Security Standard</w:t>
            </w:r>
          </w:p>
        </w:tc>
        <w:tc>
          <w:tcPr>
            <w:tcW w:type="dxa" w:w="1481"/>
            <w:vAlign w:val="center"/>
          </w:tcPr>
          <w:p>
            <w:pPr>
              <w:spacing w:after="0"/>
            </w:pPr>
            <w:r/>
            <w:r>
              <w:rPr>
                <w:b w:val="0"/>
                <w:sz w:val="12"/>
              </w:rPr>
              <w:t>PCI Security Standards Council</w:t>
            </w:r>
          </w:p>
        </w:tc>
        <w:tc>
          <w:tcPr>
            <w:tcW w:type="dxa" w:w="1481"/>
            <w:vAlign w:val="center"/>
          </w:tcPr>
          <w:p>
            <w:pPr>
              <w:spacing w:after="0"/>
            </w:pPr>
            <w:r/>
            <w:r>
              <w:rPr>
                <w:b w:val="0"/>
                <w:sz w:val="12"/>
              </w:rPr>
              <w:t>Verify currently applicable edition and transition dates</w:t>
            </w:r>
          </w:p>
        </w:tc>
        <w:tc>
          <w:tcPr>
            <w:tcW w:type="dxa" w:w="1481"/>
            <w:vAlign w:val="center"/>
          </w:tcPr>
          <w:p>
            <w:pPr>
              <w:spacing w:after="0"/>
            </w:pPr>
            <w:r/>
            <w:r>
              <w:rPr>
                <w:b w:val="0"/>
                <w:sz w:val="12"/>
              </w:rPr>
              <w:t>Entities within PCI DSS scope</w:t>
            </w:r>
          </w:p>
        </w:tc>
        <w:tc>
          <w:tcPr>
            <w:tcW w:type="dxa" w:w="1481"/>
            <w:vAlign w:val="center"/>
          </w:tcPr>
          <w:p>
            <w:pPr>
              <w:spacing w:after="0"/>
            </w:pPr>
            <w:r/>
            <w:r>
              <w:rPr>
                <w:b w:val="0"/>
                <w:sz w:val="12"/>
              </w:rPr>
              <w:t>Payment-card data security</w:t>
            </w:r>
          </w:p>
        </w:tc>
        <w:tc>
          <w:tcPr>
            <w:tcW w:type="dxa" w:w="1481"/>
            <w:vAlign w:val="center"/>
          </w:tcPr>
          <w:p>
            <w:pPr>
              <w:spacing w:after="0"/>
            </w:pPr>
            <w:r/>
            <w:r>
              <w:rPr>
                <w:b w:val="0"/>
                <w:sz w:val="12"/>
              </w:rPr>
              <w:t>https://www.pcisecuritystandards.org/standards/pci-dss/</w:t>
            </w:r>
          </w:p>
        </w:tc>
      </w:tr>
      <w:tr>
        <w:trPr>
          <w:cantSplit/>
        </w:trPr>
        <w:tc>
          <w:tcPr>
            <w:tcW w:type="dxa" w:w="1481"/>
            <w:vAlign w:val="center"/>
            <w:shd w:fill="EAF0F6"/>
          </w:tcPr>
          <w:p>
            <w:pPr>
              <w:spacing w:after="0"/>
            </w:pPr>
            <w:r/>
            <w:r>
              <w:rPr>
                <w:b w:val="0"/>
                <w:sz w:val="12"/>
              </w:rPr>
              <w:t>SRC-10</w:t>
            </w:r>
          </w:p>
        </w:tc>
        <w:tc>
          <w:tcPr>
            <w:tcW w:type="dxa" w:w="1481"/>
            <w:vAlign w:val="center"/>
            <w:shd w:fill="EAF0F6"/>
          </w:tcPr>
          <w:p>
            <w:pPr>
              <w:spacing w:after="0"/>
            </w:pPr>
            <w:r/>
            <w:r>
              <w:rPr>
                <w:b w:val="0"/>
                <w:sz w:val="12"/>
              </w:rPr>
              <w:t>ISO/IEC 42001 - Artificial intelligence management system</w:t>
            </w:r>
          </w:p>
        </w:tc>
        <w:tc>
          <w:tcPr>
            <w:tcW w:type="dxa" w:w="1481"/>
            <w:vAlign w:val="center"/>
            <w:shd w:fill="EAF0F6"/>
          </w:tcPr>
          <w:p>
            <w:pPr>
              <w:spacing w:after="0"/>
            </w:pPr>
            <w:r/>
            <w:r>
              <w:rPr>
                <w:b w:val="0"/>
                <w:sz w:val="12"/>
              </w:rPr>
              <w:t>ISO/IEC</w:t>
            </w:r>
          </w:p>
        </w:tc>
        <w:tc>
          <w:tcPr>
            <w:tcW w:type="dxa" w:w="1481"/>
            <w:vAlign w:val="center"/>
            <w:shd w:fill="EAF0F6"/>
          </w:tcPr>
          <w:p>
            <w:pPr>
              <w:spacing w:after="0"/>
            </w:pPr>
            <w:r/>
            <w:r>
              <w:rPr>
                <w:b w:val="0"/>
                <w:sz w:val="12"/>
              </w:rPr>
              <w:t>Verify current edition and corrigenda</w:t>
            </w:r>
          </w:p>
        </w:tc>
        <w:tc>
          <w:tcPr>
            <w:tcW w:type="dxa" w:w="1481"/>
            <w:vAlign w:val="center"/>
            <w:shd w:fill="EAF0F6"/>
          </w:tcPr>
          <w:p>
            <w:pPr>
              <w:spacing w:after="0"/>
            </w:pPr>
            <w:r/>
            <w:r>
              <w:rPr>
                <w:b w:val="0"/>
                <w:sz w:val="12"/>
              </w:rPr>
              <w:t>Voluntary/certification use as applicable</w:t>
            </w:r>
          </w:p>
        </w:tc>
        <w:tc>
          <w:tcPr>
            <w:tcW w:type="dxa" w:w="1481"/>
            <w:vAlign w:val="center"/>
            <w:shd w:fill="EAF0F6"/>
          </w:tcPr>
          <w:p>
            <w:pPr>
              <w:spacing w:after="0"/>
            </w:pPr>
            <w:r/>
            <w:r>
              <w:rPr>
                <w:b w:val="0"/>
                <w:sz w:val="12"/>
              </w:rPr>
              <w:t>AI management-system context</w:t>
            </w:r>
          </w:p>
        </w:tc>
        <w:tc>
          <w:tcPr>
            <w:tcW w:type="dxa" w:w="1481"/>
            <w:vAlign w:val="center"/>
            <w:shd w:fill="EAF0F6"/>
          </w:tcPr>
          <w:p>
            <w:pPr>
              <w:spacing w:after="0"/>
            </w:pPr>
            <w:r/>
            <w:r>
              <w:rPr>
                <w:b w:val="0"/>
                <w:sz w:val="12"/>
              </w:rPr>
              <w:t>https://www.iso.org/standard/81230.html</w:t>
            </w:r>
          </w:p>
        </w:tc>
      </w:tr>
      <w:tr>
        <w:trPr>
          <w:cantSplit/>
        </w:trPr>
        <w:tc>
          <w:tcPr>
            <w:tcW w:type="dxa" w:w="1481"/>
            <w:vAlign w:val="center"/>
          </w:tcPr>
          <w:p>
            <w:pPr>
              <w:spacing w:after="0"/>
            </w:pPr>
            <w:r/>
            <w:r>
              <w:rPr>
                <w:b w:val="0"/>
                <w:sz w:val="12"/>
              </w:rPr>
              <w:t>SRC-11</w:t>
            </w:r>
          </w:p>
        </w:tc>
        <w:tc>
          <w:tcPr>
            <w:tcW w:type="dxa" w:w="1481"/>
            <w:vAlign w:val="center"/>
          </w:tcPr>
          <w:p>
            <w:pPr>
              <w:spacing w:after="0"/>
            </w:pPr>
            <w:r/>
            <w:r>
              <w:rPr>
                <w:b w:val="0"/>
                <w:sz w:val="12"/>
              </w:rPr>
              <w:t>ISO/IEC 23894 - Artificial intelligence - Guidance on risk management</w:t>
            </w:r>
          </w:p>
        </w:tc>
        <w:tc>
          <w:tcPr>
            <w:tcW w:type="dxa" w:w="1481"/>
            <w:vAlign w:val="center"/>
          </w:tcPr>
          <w:p>
            <w:pPr>
              <w:spacing w:after="0"/>
            </w:pPr>
            <w:r/>
            <w:r>
              <w:rPr>
                <w:b w:val="0"/>
                <w:sz w:val="12"/>
              </w:rPr>
              <w:t>ISO/IEC</w:t>
            </w:r>
          </w:p>
        </w:tc>
        <w:tc>
          <w:tcPr>
            <w:tcW w:type="dxa" w:w="1481"/>
            <w:vAlign w:val="center"/>
          </w:tcPr>
          <w:p>
            <w:pPr>
              <w:spacing w:after="0"/>
            </w:pPr>
            <w:r/>
            <w:r>
              <w:rPr>
                <w:b w:val="0"/>
                <w:sz w:val="12"/>
              </w:rPr>
              <w:t>Verify current edition and corrigenda</w:t>
            </w:r>
          </w:p>
        </w:tc>
        <w:tc>
          <w:tcPr>
            <w:tcW w:type="dxa" w:w="1481"/>
            <w:vAlign w:val="center"/>
          </w:tcPr>
          <w:p>
            <w:pPr>
              <w:spacing w:after="0"/>
            </w:pPr>
            <w:r/>
            <w:r>
              <w:rPr>
                <w:b w:val="0"/>
                <w:sz w:val="12"/>
              </w:rPr>
              <w:t>Voluntary guidance</w:t>
            </w:r>
          </w:p>
        </w:tc>
        <w:tc>
          <w:tcPr>
            <w:tcW w:type="dxa" w:w="1481"/>
            <w:vAlign w:val="center"/>
          </w:tcPr>
          <w:p>
            <w:pPr>
              <w:spacing w:after="0"/>
            </w:pPr>
            <w:r/>
            <w:r>
              <w:rPr>
                <w:b w:val="0"/>
                <w:sz w:val="12"/>
              </w:rPr>
              <w:t>AI risk-management context</w:t>
            </w:r>
          </w:p>
        </w:tc>
        <w:tc>
          <w:tcPr>
            <w:tcW w:type="dxa" w:w="1481"/>
            <w:vAlign w:val="center"/>
          </w:tcPr>
          <w:p>
            <w:pPr>
              <w:spacing w:after="0"/>
            </w:pPr>
            <w:r/>
            <w:r>
              <w:rPr>
                <w:b w:val="0"/>
                <w:sz w:val="12"/>
              </w:rPr>
              <w:t>https://www.iso.org/standard/77304.html</w:t>
            </w:r>
          </w:p>
        </w:tc>
      </w:tr>
      <w:tr>
        <w:trPr>
          <w:cantSplit/>
        </w:trPr>
        <w:tc>
          <w:tcPr>
            <w:tcW w:type="dxa" w:w="1481"/>
            <w:vAlign w:val="center"/>
            <w:shd w:fill="EAF0F6"/>
          </w:tcPr>
          <w:p>
            <w:pPr>
              <w:spacing w:after="0"/>
            </w:pPr>
            <w:r/>
            <w:r>
              <w:rPr>
                <w:b w:val="0"/>
                <w:sz w:val="12"/>
              </w:rPr>
              <w:t>SRC-12</w:t>
            </w:r>
          </w:p>
        </w:tc>
        <w:tc>
          <w:tcPr>
            <w:tcW w:type="dxa" w:w="1481"/>
            <w:vAlign w:val="center"/>
            <w:shd w:fill="EAF0F6"/>
          </w:tcPr>
          <w:p>
            <w:pPr>
              <w:spacing w:after="0"/>
            </w:pPr>
            <w:r/>
            <w:r>
              <w:rPr>
                <w:b w:val="0"/>
                <w:sz w:val="12"/>
              </w:rPr>
              <w:t>OECD AI Incidents Monitor</w:t>
            </w:r>
          </w:p>
        </w:tc>
        <w:tc>
          <w:tcPr>
            <w:tcW w:type="dxa" w:w="1481"/>
            <w:vAlign w:val="center"/>
            <w:shd w:fill="EAF0F6"/>
          </w:tcPr>
          <w:p>
            <w:pPr>
              <w:spacing w:after="0"/>
            </w:pPr>
            <w:r/>
            <w:r>
              <w:rPr>
                <w:b w:val="0"/>
                <w:sz w:val="12"/>
              </w:rPr>
              <w:t>OECD</w:t>
            </w:r>
          </w:p>
        </w:tc>
        <w:tc>
          <w:tcPr>
            <w:tcW w:type="dxa" w:w="1481"/>
            <w:vAlign w:val="center"/>
            <w:shd w:fill="EAF0F6"/>
          </w:tcPr>
          <w:p>
            <w:pPr>
              <w:spacing w:after="0"/>
            </w:pPr>
            <w:r/>
            <w:r>
              <w:rPr>
                <w:b w:val="0"/>
                <w:sz w:val="12"/>
              </w:rPr>
              <w:t>Living resource; verify current taxonomy and usage terms</w:t>
            </w:r>
          </w:p>
        </w:tc>
        <w:tc>
          <w:tcPr>
            <w:tcW w:type="dxa" w:w="1481"/>
            <w:vAlign w:val="center"/>
            <w:shd w:fill="EAF0F6"/>
          </w:tcPr>
          <w:p>
            <w:pPr>
              <w:spacing w:after="0"/>
            </w:pPr>
            <w:r/>
            <w:r>
              <w:rPr>
                <w:b w:val="0"/>
                <w:sz w:val="12"/>
              </w:rPr>
              <w:t>Illustrative incident-learning resource</w:t>
            </w:r>
          </w:p>
        </w:tc>
        <w:tc>
          <w:tcPr>
            <w:tcW w:type="dxa" w:w="1481"/>
            <w:vAlign w:val="center"/>
            <w:shd w:fill="EAF0F6"/>
          </w:tcPr>
          <w:p>
            <w:pPr>
              <w:spacing w:after="0"/>
            </w:pPr>
            <w:r/>
            <w:r>
              <w:rPr>
                <w:b w:val="0"/>
                <w:sz w:val="12"/>
              </w:rPr>
              <w:t>Incident examples and taxonomy context</w:t>
            </w:r>
          </w:p>
        </w:tc>
        <w:tc>
          <w:tcPr>
            <w:tcW w:type="dxa" w:w="1481"/>
            <w:vAlign w:val="center"/>
            <w:shd w:fill="EAF0F6"/>
          </w:tcPr>
          <w:p>
            <w:pPr>
              <w:spacing w:after="0"/>
            </w:pPr>
            <w:r/>
            <w:r>
              <w:rPr>
                <w:b w:val="0"/>
                <w:sz w:val="12"/>
              </w:rPr>
              <w:t>https://oecd.ai/en/incidents</w:t>
            </w:r>
          </w:p>
        </w:tc>
      </w:tr>
    </w:tbl>
    <w:p>
      <w:pPr>
        <w:pStyle w:val="Heading1"/>
      </w:pPr>
      <w:r>
        <w:t>Versioning, maintenance and feedback</w:t>
      </w:r>
    </w:p>
    <w:p>
      <w:pPr>
        <w:pStyle w:val="ListBullet"/>
      </w:pPr>
      <w:r>
        <w:t>Patch releases correct non-substantive errors, broken links, formatting, or clarifications that do not change implementation meaning.</w:t>
      </w:r>
    </w:p>
    <w:p>
      <w:pPr>
        <w:pStyle w:val="ListBullet"/>
      </w:pPr>
      <w:r>
        <w:t>Minor releases add substantive guidance, examples, mappings, or appendices without breaking the core structure.</w:t>
      </w:r>
    </w:p>
    <w:p>
      <w:pPr>
        <w:pStyle w:val="ListBullet"/>
      </w:pPr>
      <w:r>
        <w:t>Major releases introduce breaking changes to scope, control interpretation, structure, or conformance relationship.</w:t>
      </w:r>
    </w:p>
    <w:p>
      <w:pPr>
        <w:pStyle w:val="ListBullet"/>
      </w:pPr>
      <w:r>
        <w:t>This guide should be reviewed at least annually and earlier when GAISSF, material financial-services AI regulation, supervisory expectations, threat conditions, or industry practice change materially.</w:t>
      </w:r>
    </w:p>
    <w:p>
      <w:pPr>
        <w:pStyle w:val="ListBullet"/>
      </w:pPr>
      <w:r>
        <w:t>Public feedback and clarification requests should be submitted through the ODA3 Institute website or the designated GitHub issue process once publication channels are activated. Placeholder URLs must not be published as live CTAs.</w:t>
      </w:r>
    </w:p>
    <w:p>
      <w:pPr>
        <w:pStyle w:val="Heading1"/>
      </w:pPr>
      <w:r>
        <w:t>Publication verification and gate status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17365D"/>
          </w:tcPr>
          <w:p>
            <w:pPr>
              <w:spacing w:after="0"/>
            </w:pPr>
            <w:r/>
            <w:r>
              <w:rPr>
                <w:b/>
                <w:color w:val="FFFFFF"/>
                <w:sz w:val="15"/>
              </w:rPr>
              <w:t>Gate</w:t>
            </w:r>
          </w:p>
        </w:tc>
        <w:tc>
          <w:tcPr>
            <w:tcW w:type="dxa" w:w="3456"/>
            <w:vAlign w:val="center"/>
            <w:shd w:fill="17365D"/>
          </w:tcPr>
          <w:p>
            <w:pPr>
              <w:spacing w:after="0"/>
            </w:pPr>
            <w:r/>
            <w:r>
              <w:rPr>
                <w:b/>
                <w:color w:val="FFFFFF"/>
                <w:sz w:val="15"/>
              </w:rPr>
              <w:t>Status</w:t>
            </w:r>
          </w:p>
        </w:tc>
        <w:tc>
          <w:tcPr>
            <w:tcW w:type="dxa" w:w="3456"/>
            <w:vAlign w:val="center"/>
            <w:shd w:fill="17365D"/>
          </w:tcPr>
          <w:p>
            <w:pPr>
              <w:spacing w:after="0"/>
            </w:pPr>
            <w:r/>
            <w:r>
              <w:rPr>
                <w:b/>
                <w:color w:val="FFFFFF"/>
                <w:sz w:val="15"/>
              </w:rPr>
              <w:t>Evidence / limitation</w:t>
            </w:r>
          </w:p>
        </w:tc>
      </w:tr>
      <w:tr>
        <w:trPr>
          <w:cantSplit/>
        </w:trPr>
        <w:tc>
          <w:tcPr>
            <w:tcW w:type="dxa" w:w="3456"/>
            <w:vAlign w:val="center"/>
          </w:tcPr>
          <w:p>
            <w:pPr>
              <w:spacing w:after="0"/>
            </w:pPr>
            <w:r/>
            <w:r>
              <w:rPr>
                <w:b w:val="0"/>
                <w:sz w:val="15"/>
              </w:rPr>
              <w:t>Artifact consistency</w:t>
            </w:r>
          </w:p>
        </w:tc>
        <w:tc>
          <w:tcPr>
            <w:tcW w:type="dxa" w:w="3456"/>
            <w:vAlign w:val="center"/>
          </w:tcPr>
          <w:p>
            <w:pPr>
              <w:spacing w:after="0"/>
            </w:pPr>
            <w:r/>
            <w:r>
              <w:rPr>
                <w:b w:val="0"/>
                <w:sz w:val="15"/>
              </w:rPr>
              <w:t>Closed / Verified</w:t>
            </w:r>
          </w:p>
        </w:tc>
        <w:tc>
          <w:tcPr>
            <w:tcW w:type="dxa" w:w="3456"/>
            <w:vAlign w:val="center"/>
          </w:tcPr>
          <w:p>
            <w:pPr>
              <w:spacing w:after="0"/>
            </w:pPr>
            <w:r/>
            <w:r>
              <w:rPr>
                <w:b w:val="0"/>
                <w:sz w:val="15"/>
              </w:rPr>
              <w:t>DOCX, PDF, Markdown, JSON, workbook, and website summary regenerated from one controlled content model; visual and formula QA completed.</w:t>
            </w:r>
          </w:p>
        </w:tc>
      </w:tr>
      <w:tr>
        <w:trPr>
          <w:cantSplit/>
        </w:trPr>
        <w:tc>
          <w:tcPr>
            <w:tcW w:type="dxa" w:w="3456"/>
            <w:vAlign w:val="center"/>
            <w:shd w:fill="EAF0F6"/>
          </w:tcPr>
          <w:p>
            <w:pPr>
              <w:spacing w:after="0"/>
            </w:pPr>
            <w:r/>
            <w:r>
              <w:rPr>
                <w:b w:val="0"/>
                <w:sz w:val="15"/>
              </w:rPr>
              <w:t>External source bibliographic verification</w:t>
            </w:r>
          </w:p>
        </w:tc>
        <w:tc>
          <w:tcPr>
            <w:tcW w:type="dxa" w:w="3456"/>
            <w:vAlign w:val="center"/>
            <w:shd w:fill="EAF0F6"/>
          </w:tcPr>
          <w:p>
            <w:pPr>
              <w:spacing w:after="0"/>
            </w:pPr>
            <w:r/>
            <w:r>
              <w:rPr>
                <w:b w:val="0"/>
                <w:sz w:val="15"/>
              </w:rPr>
              <w:t>Closed / Verified</w:t>
            </w:r>
          </w:p>
        </w:tc>
        <w:tc>
          <w:tcPr>
            <w:tcW w:type="dxa" w:w="3456"/>
            <w:vAlign w:val="center"/>
            <w:shd w:fill="EAF0F6"/>
          </w:tcPr>
          <w:p>
            <w:pPr>
              <w:spacing w:after="0"/>
            </w:pPr>
            <w:r/>
            <w:r>
              <w:rPr>
                <w:b w:val="0"/>
                <w:sz w:val="15"/>
              </w:rPr>
              <w:t>Official titles, issuers, dates/status descriptions, and official locations checked; applicability and legal interpretation remain outside this gate.</w:t>
            </w:r>
          </w:p>
        </w:tc>
      </w:tr>
      <w:tr>
        <w:trPr>
          <w:cantSplit/>
        </w:trPr>
        <w:tc>
          <w:tcPr>
            <w:tcW w:type="dxa" w:w="3456"/>
            <w:vAlign w:val="center"/>
          </w:tcPr>
          <w:p>
            <w:pPr>
              <w:spacing w:after="0"/>
            </w:pPr>
            <w:r/>
            <w:r>
              <w:rPr>
                <w:b w:val="0"/>
                <w:sz w:val="15"/>
              </w:rPr>
              <w:t>GAISSF cross-reference verification</w:t>
            </w:r>
          </w:p>
        </w:tc>
        <w:tc>
          <w:tcPr>
            <w:tcW w:type="dxa" w:w="3456"/>
            <w:vAlign w:val="center"/>
          </w:tcPr>
          <w:p>
            <w:pPr>
              <w:spacing w:after="0"/>
            </w:pPr>
            <w:r/>
            <w:r>
              <w:rPr>
                <w:b w:val="0"/>
                <w:sz w:val="15"/>
              </w:rPr>
              <w:t>Closed / Verified</w:t>
            </w:r>
          </w:p>
        </w:tc>
        <w:tc>
          <w:tcPr>
            <w:tcW w:type="dxa" w:w="3456"/>
            <w:vAlign w:val="center"/>
          </w:tcPr>
          <w:p>
            <w:pPr>
              <w:spacing w:after="0"/>
            </w:pPr>
            <w:r/>
            <w:r>
              <w:rPr>
                <w:b w:val="0"/>
                <w:sz w:val="15"/>
              </w:rPr>
              <w:t>Mapped against GAISSF-NOR-001 v1.0 authoritative 59-control baseline supplied by the publisher; mappings preserve canonical identifiers and titles.</w:t>
            </w:r>
          </w:p>
        </w:tc>
      </w:tr>
      <w:tr>
        <w:trPr>
          <w:cantSplit/>
        </w:trPr>
        <w:tc>
          <w:tcPr>
            <w:tcW w:type="dxa" w:w="3456"/>
            <w:vAlign w:val="center"/>
            <w:shd w:fill="EAF0F6"/>
          </w:tcPr>
          <w:p>
            <w:pPr>
              <w:spacing w:after="0"/>
            </w:pPr>
            <w:r/>
            <w:r>
              <w:rPr>
                <w:b w:val="0"/>
                <w:sz w:val="15"/>
              </w:rPr>
              <w:t>Qualified legal and regulatory review</w:t>
            </w:r>
          </w:p>
        </w:tc>
        <w:tc>
          <w:tcPr>
            <w:tcW w:type="dxa" w:w="3456"/>
            <w:vAlign w:val="center"/>
            <w:shd w:fill="EAF0F6"/>
          </w:tcPr>
          <w:p>
            <w:pPr>
              <w:spacing w:after="0"/>
            </w:pPr>
            <w:r/>
            <w:r>
              <w:rPr>
                <w:b w:val="0"/>
                <w:sz w:val="15"/>
              </w:rPr>
              <w:t>Open</w:t>
            </w:r>
          </w:p>
        </w:tc>
        <w:tc>
          <w:tcPr>
            <w:tcW w:type="dxa" w:w="3456"/>
            <w:vAlign w:val="center"/>
            <w:shd w:fill="EAF0F6"/>
          </w:tcPr>
          <w:p>
            <w:pPr>
              <w:spacing w:after="0"/>
            </w:pPr>
            <w:r/>
            <w:r>
              <w:rPr>
                <w:b w:val="0"/>
                <w:sz w:val="15"/>
              </w:rPr>
              <w:t>Jurisdiction-specific applicability, legal conclusions, reporting duties, and article-level mappings require qualified review.</w:t>
            </w:r>
          </w:p>
        </w:tc>
      </w:tr>
      <w:tr>
        <w:trPr>
          <w:cantSplit/>
        </w:trPr>
        <w:tc>
          <w:tcPr>
            <w:tcW w:type="dxa" w:w="3456"/>
            <w:vAlign w:val="center"/>
          </w:tcPr>
          <w:p>
            <w:pPr>
              <w:spacing w:after="0"/>
            </w:pPr>
            <w:r/>
            <w:r>
              <w:rPr>
                <w:b w:val="0"/>
                <w:sz w:val="15"/>
              </w:rPr>
              <w:t>Cybersecurity and model-risk peer review</w:t>
            </w:r>
          </w:p>
        </w:tc>
        <w:tc>
          <w:tcPr>
            <w:tcW w:type="dxa" w:w="3456"/>
            <w:vAlign w:val="center"/>
          </w:tcPr>
          <w:p>
            <w:pPr>
              <w:spacing w:after="0"/>
            </w:pPr>
            <w:r/>
            <w:r>
              <w:rPr>
                <w:b w:val="0"/>
                <w:sz w:val="15"/>
              </w:rPr>
              <w:t>Open</w:t>
            </w:r>
          </w:p>
        </w:tc>
        <w:tc>
          <w:tcPr>
            <w:tcW w:type="dxa" w:w="3456"/>
            <w:vAlign w:val="center"/>
          </w:tcPr>
          <w:p>
            <w:pPr>
              <w:spacing w:after="0"/>
            </w:pPr>
            <w:r/>
            <w:r>
              <w:rPr>
                <w:b w:val="0"/>
                <w:sz w:val="15"/>
              </w:rPr>
              <w:t>Substantive peer review and named approval remain required before final publication.</w:t>
            </w:r>
          </w:p>
        </w:tc>
      </w:tr>
      <w:tr>
        <w:trPr>
          <w:cantSplit/>
        </w:trPr>
        <w:tc>
          <w:tcPr>
            <w:tcW w:type="dxa" w:w="3456"/>
            <w:vAlign w:val="center"/>
            <w:shd w:fill="EAF0F6"/>
          </w:tcPr>
          <w:p>
            <w:pPr>
              <w:spacing w:after="0"/>
            </w:pPr>
            <w:r/>
            <w:r>
              <w:rPr>
                <w:b w:val="0"/>
                <w:sz w:val="15"/>
              </w:rPr>
              <w:t>Financial-crime, conduct, privacy and resilience peer review</w:t>
            </w:r>
          </w:p>
        </w:tc>
        <w:tc>
          <w:tcPr>
            <w:tcW w:type="dxa" w:w="3456"/>
            <w:vAlign w:val="center"/>
            <w:shd w:fill="EAF0F6"/>
          </w:tcPr>
          <w:p>
            <w:pPr>
              <w:spacing w:after="0"/>
            </w:pPr>
            <w:r/>
            <w:r>
              <w:rPr>
                <w:b w:val="0"/>
                <w:sz w:val="15"/>
              </w:rPr>
              <w:t>Open</w:t>
            </w:r>
          </w:p>
        </w:tc>
        <w:tc>
          <w:tcPr>
            <w:tcW w:type="dxa" w:w="3456"/>
            <w:vAlign w:val="center"/>
            <w:shd w:fill="EAF0F6"/>
          </w:tcPr>
          <w:p>
            <w:pPr>
              <w:spacing w:after="0"/>
            </w:pPr>
            <w:r/>
            <w:r>
              <w:rPr>
                <w:b w:val="0"/>
                <w:sz w:val="15"/>
              </w:rPr>
              <w:t>Named specialist review and disposition of comments remain required.</w:t>
            </w:r>
          </w:p>
        </w:tc>
      </w:tr>
      <w:tr>
        <w:trPr>
          <w:cantSplit/>
        </w:trPr>
        <w:tc>
          <w:tcPr>
            <w:tcW w:type="dxa" w:w="3456"/>
            <w:vAlign w:val="center"/>
          </w:tcPr>
          <w:p>
            <w:pPr>
              <w:spacing w:after="0"/>
            </w:pPr>
            <w:r/>
            <w:r>
              <w:rPr>
                <w:b w:val="0"/>
                <w:sz w:val="15"/>
              </w:rPr>
              <w:t>Publication approval</w:t>
            </w:r>
          </w:p>
        </w:tc>
        <w:tc>
          <w:tcPr>
            <w:tcW w:type="dxa" w:w="3456"/>
            <w:vAlign w:val="center"/>
          </w:tcPr>
          <w:p>
            <w:pPr>
              <w:spacing w:after="0"/>
            </w:pPr>
            <w:r/>
            <w:r>
              <w:rPr>
                <w:b w:val="0"/>
                <w:sz w:val="15"/>
              </w:rPr>
              <w:t>Open</w:t>
            </w:r>
          </w:p>
        </w:tc>
        <w:tc>
          <w:tcPr>
            <w:tcW w:type="dxa" w:w="3456"/>
            <w:vAlign w:val="center"/>
          </w:tcPr>
          <w:p>
            <w:pPr>
              <w:spacing w:after="0"/>
            </w:pPr>
            <w:r/>
            <w:r>
              <w:rPr>
                <w:b w:val="0"/>
                <w:sz w:val="15"/>
              </w:rPr>
              <w:t>Release decision must be recorded after all mandatory gates are closed or expressly accepted by authorized governance.</w:t>
            </w:r>
          </w:p>
        </w:tc>
      </w:tr>
    </w:tbl>
    <w:p>
      <w:pPr>
        <w:pStyle w:val="Heading1"/>
      </w:pPr>
      <w:r>
        <w:t>Change log</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trPr>
        <w:tc>
          <w:tcPr>
            <w:tcW w:type="dxa" w:w="2592"/>
            <w:vAlign w:val="center"/>
            <w:shd w:fill="17365D"/>
          </w:tcPr>
          <w:p>
            <w:pPr>
              <w:spacing w:after="0"/>
            </w:pPr>
            <w:r/>
            <w:r>
              <w:rPr>
                <w:b/>
                <w:color w:val="FFFFFF"/>
                <w:sz w:val="15"/>
              </w:rPr>
              <w:t>Version</w:t>
            </w:r>
          </w:p>
        </w:tc>
        <w:tc>
          <w:tcPr>
            <w:tcW w:type="dxa" w:w="2592"/>
            <w:vAlign w:val="center"/>
            <w:shd w:fill="17365D"/>
          </w:tcPr>
          <w:p>
            <w:pPr>
              <w:spacing w:after="0"/>
            </w:pPr>
            <w:r/>
            <w:r>
              <w:rPr>
                <w:b/>
                <w:color w:val="FFFFFF"/>
                <w:sz w:val="15"/>
              </w:rPr>
              <w:t>Date</w:t>
            </w:r>
          </w:p>
        </w:tc>
        <w:tc>
          <w:tcPr>
            <w:tcW w:type="dxa" w:w="2592"/>
            <w:vAlign w:val="center"/>
            <w:shd w:fill="17365D"/>
          </w:tcPr>
          <w:p>
            <w:pPr>
              <w:spacing w:after="0"/>
            </w:pPr>
            <w:r/>
            <w:r>
              <w:rPr>
                <w:b/>
                <w:color w:val="FFFFFF"/>
                <w:sz w:val="15"/>
              </w:rPr>
              <w:t>Change</w:t>
            </w:r>
          </w:p>
        </w:tc>
        <w:tc>
          <w:tcPr>
            <w:tcW w:type="dxa" w:w="2592"/>
            <w:vAlign w:val="center"/>
            <w:shd w:fill="17365D"/>
          </w:tcPr>
          <w:p>
            <w:pPr>
              <w:spacing w:after="0"/>
            </w:pPr>
            <w:r/>
            <w:r>
              <w:rPr>
                <w:b/>
                <w:color w:val="FFFFFF"/>
                <w:sz w:val="15"/>
              </w:rPr>
              <w:t>Owner</w:t>
            </w:r>
          </w:p>
        </w:tc>
      </w:tr>
      <w:tr>
        <w:trPr>
          <w:cantSplit/>
        </w:trPr>
        <w:tc>
          <w:tcPr>
            <w:tcW w:type="dxa" w:w="2592"/>
            <w:vAlign w:val="center"/>
          </w:tcPr>
          <w:p>
            <w:pPr>
              <w:spacing w:after="0"/>
            </w:pPr>
            <w:r/>
            <w:r>
              <w:rPr>
                <w:b w:val="0"/>
                <w:sz w:val="15"/>
              </w:rPr>
              <w:t>1.0</w:t>
            </w:r>
          </w:p>
        </w:tc>
        <w:tc>
          <w:tcPr>
            <w:tcW w:type="dxa" w:w="2592"/>
            <w:vAlign w:val="center"/>
          </w:tcPr>
          <w:p>
            <w:pPr>
              <w:spacing w:after="0"/>
            </w:pPr>
            <w:r/>
            <w:r>
              <w:rPr>
                <w:b w:val="0"/>
                <w:sz w:val="15"/>
              </w:rPr>
              <w:t>1 May 2026</w:t>
            </w:r>
          </w:p>
        </w:tc>
        <w:tc>
          <w:tcPr>
            <w:tcW w:type="dxa" w:w="2592"/>
            <w:vAlign w:val="center"/>
          </w:tcPr>
          <w:p>
            <w:pPr>
              <w:spacing w:after="0"/>
            </w:pPr>
            <w:r/>
            <w:r>
              <w:rPr>
                <w:b w:val="0"/>
                <w:sz w:val="15"/>
              </w:rPr>
              <w:t>Final publication-candidate update: authoritative GAISSF v1.0 control mapping completed, substantive sector guidance retained, and artifact consistency verified.</w:t>
            </w:r>
          </w:p>
        </w:tc>
        <w:tc>
          <w:tcPr>
            <w:tcW w:type="dxa" w:w="2592"/>
            <w:vAlign w:val="center"/>
          </w:tcPr>
          <w:p>
            <w:pPr>
              <w:spacing w:after="0"/>
            </w:pPr>
            <w:r/>
            <w:r>
              <w:rPr>
                <w:b w:val="0"/>
                <w:sz w:val="15"/>
              </w:rPr>
              <w:t>ODA3 Institute</w:t>
            </w:r>
          </w:p>
        </w:tc>
      </w:tr>
    </w:tbl>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 2026 ODA3 Pvt Ltd. Published under GEL v1.0. GAISSF™ and ODA3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SEC-038 | Financial Services Sector Implementation Guide | v1.0 | FINAL PUBLICATION CANDIDATE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4546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SEC-038 GAISSF Financial Services Sector Implementation Guide v1.0</dc:title>
  <dc:subject>Final Publication Candidate</dc:subject>
  <dc:creator>ODA3 Institute</dc:creator>
  <cp:keywords>GAISSF, financial services, AI security, AI governance, operational resilience</cp:keywords>
  <dc:description>Controlled pre-release draft for peer review. No internal build identifier.</dc:description>
  <cp:lastModifiedBy/>
  <cp:revision>1</cp:revision>
  <dcterms:created xsi:type="dcterms:W3CDTF">2013-12-23T23:15:00Z</dcterms:created>
  <dcterms:modified xsi:type="dcterms:W3CDTF">2013-12-23T23:15:00Z</dcterms:modified>
  <cp:category/>
</cp:coreProperties>
</file>