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vAlign w:val="center"/>
            <w:shd w:fill="7F6000"/>
          </w:tcPr>
          <w:p>
            <w:pPr>
              <w:spacing w:after="0"/>
            </w:pPr>
            <w:r>
              <w:t>FINAL PUBLICATION CANDIDATE - GAISSF v1.0 CONTROL MAPPING COMPLETED</w:t>
            </w:r>
          </w:p>
        </w:tc>
      </w:tr>
    </w:tbl>
    <w:p>
      <w:pPr>
        <w:pStyle w:val="Title"/>
      </w:pPr>
      <w:r>
        <w:t>SEC-038 — Financial Services Sector Implementation Guide</w:t>
      </w:r>
    </w:p>
    <w:p>
      <w:pPr>
        <w:pStyle w:val="Heading1"/>
      </w:pPr>
      <w:r>
        <w:t>Why this guide matters</w:t>
      </w:r>
    </w:p>
    <w:p>
      <w:r>
        <w:t>Financial-services AI is not merely a technology challenge; it is a balance-sheet, resilience, financial-crime, customer-outcome, and market-integrity imperative. SEC-038 translates the GAISSF™ normative standard into the operational realities of banks, insurers, payment firms, investment firms, fintechs, and market infrastructures.</w:t>
      </w:r>
    </w:p>
    <w:p>
      <w:pPr>
        <w:pStyle w:val="Heading1"/>
      </w:pPr>
      <w:r>
        <w:t>What the package provides</w:t>
      </w:r>
    </w:p>
    <w:p>
      <w:pPr>
        <w:pStyle w:val="ListBullet"/>
      </w:pPr>
      <w:r>
        <w:t>Main Guide (PDF/DOCX): financial-impact framing, 17 risk domains, materiality method, lifecycle guidance, evidence tiers, metrics, taxonomy, and patterns.</w:t>
      </w:r>
    </w:p>
    <w:p>
      <w:pPr>
        <w:pStyle w:val="ListBullet"/>
      </w:pPr>
      <w:r>
        <w:t>Implementation Workbook (XLSX): 49 tailored controls with owners, evidence, maturity, risk baselines, use cases, sources, and publication gates.</w:t>
      </w:r>
    </w:p>
    <w:p>
      <w:pPr>
        <w:pStyle w:val="ListBullet"/>
      </w:pPr>
      <w:r>
        <w:t>Markdown: full-content GitHub and documentation-platform edition.</w:t>
      </w:r>
    </w:p>
    <w:p>
      <w:pPr>
        <w:pStyle w:val="ListBullet"/>
      </w:pPr>
      <w:r>
        <w:t>JSON: structured content for GRC and compliance-tool integration.</w:t>
      </w:r>
    </w:p>
    <w:p>
      <w:pPr>
        <w:pStyle w:val="Heading1"/>
      </w:pPr>
      <w:r>
        <w:t>Who should read it</w:t>
      </w:r>
    </w:p>
    <w:p>
      <w:r>
        <w:t>Boards and risk committees; CISOs and security architects; CROs and model-risk teams; AI governance leads; compliance, MLRO, conduct and privacy functions; technology, data, procurement, operations, internal audit, and accountable product owners.</w:t>
      </w:r>
    </w:p>
    <w:p>
      <w:pPr>
        <w:pStyle w:val="Heading1"/>
      </w:pPr>
      <w:r>
        <w:t>Getting started</w:t>
      </w:r>
    </w:p>
    <w:p>
      <w:pPr>
        <w:pStyle w:val="ListBullet"/>
      </w:pPr>
      <w:r>
        <w:t>Inventory AI-enabled systems and dependencies.</w:t>
      </w:r>
    </w:p>
    <w:p>
      <w:pPr>
        <w:pStyle w:val="ListBullet"/>
      </w:pPr>
      <w:r>
        <w:t>Apply the materiality factors and identify critical actions.</w:t>
      </w:r>
    </w:p>
    <w:p>
      <w:pPr>
        <w:pStyle w:val="ListBullet"/>
      </w:pPr>
      <w:r>
        <w:t>Use the workbook to assign ownership and collect evidence.</w:t>
      </w:r>
    </w:p>
    <w:p>
      <w:pPr>
        <w:pStyle w:val="ListBullet"/>
      </w:pPr>
      <w:r>
        <w:t>Prioritise validation, resilience, customer-outcome, and agent-control gaps.</w:t>
      </w:r>
    </w:p>
    <w:p>
      <w:pPr>
        <w:pStyle w:val="ListBullet"/>
      </w:pPr>
      <w:r>
        <w:t>Use the completed GAISSF mapping register together with the organization’s Statement of Applicability.</w:t>
      </w:r>
    </w:p>
    <w:p>
      <w:pPr>
        <w:pStyle w:val="Heading1"/>
      </w:pPr>
      <w:r>
        <w:t>Calls to action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rPr>
          <w:tblHeader w:val="true"/>
        </w:trPr>
        <w:tc>
          <w:tcPr>
            <w:tcW w:type="dxa" w:w="4320"/>
            <w:vAlign w:val="center"/>
            <w:shd w:fill="17365D"/>
          </w:tcPr>
          <w:p>
            <w:pPr>
              <w:spacing w:after="0"/>
            </w:pPr>
            <w:r/>
            <w:r>
              <w:rPr>
                <w:b/>
                <w:color w:val="FFFFFF"/>
                <w:sz w:val="18"/>
              </w:rPr>
              <w:t>Action</w:t>
            </w:r>
          </w:p>
        </w:tc>
        <w:tc>
          <w:tcPr>
            <w:tcW w:type="dxa" w:w="4320"/>
            <w:vAlign w:val="center"/>
            <w:shd w:fill="17365D"/>
          </w:tcPr>
          <w:p>
            <w:pPr>
              <w:spacing w:after="0"/>
            </w:pPr>
            <w:r/>
            <w:r>
              <w:rPr>
                <w:b/>
                <w:color w:val="FFFFFF"/>
                <w:sz w:val="18"/>
              </w:rPr>
              <w:t>Publication value</w:t>
            </w:r>
          </w:p>
        </w:tc>
      </w:tr>
      <w:tr>
        <w:trPr>
          <w:cantSplit/>
        </w:trPr>
        <w:tc>
          <w:tcPr>
            <w:tcW w:type="dxa" w:w="4320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Download package</w:t>
            </w:r>
          </w:p>
        </w:tc>
        <w:tc>
          <w:tcPr>
            <w:tcW w:type="dxa" w:w="4320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[INSERT VERIFIED DOWNLOAD URL]</w:t>
            </w:r>
          </w:p>
        </w:tc>
      </w:tr>
      <w:tr>
        <w:trPr>
          <w:cantSplit/>
        </w:trPr>
        <w:tc>
          <w:tcPr>
            <w:tcW w:type="dxa" w:w="4320"/>
            <w:vAlign w:val="center"/>
            <w:shd w:fill="EAF0F6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View repository</w:t>
            </w:r>
          </w:p>
        </w:tc>
        <w:tc>
          <w:tcPr>
            <w:tcW w:type="dxa" w:w="4320"/>
            <w:vAlign w:val="center"/>
            <w:shd w:fill="EAF0F6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[INSERT VERIFIED REPOSITORY URL]</w:t>
            </w:r>
          </w:p>
        </w:tc>
      </w:tr>
      <w:tr>
        <w:trPr>
          <w:cantSplit/>
        </w:trPr>
        <w:tc>
          <w:tcPr>
            <w:tcW w:type="dxa" w:w="4320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Submit peer review / certification enquiry</w:t>
            </w:r>
          </w:p>
        </w:tc>
        <w:tc>
          <w:tcPr>
            <w:tcW w:type="dxa" w:w="4320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[INSERT VERIFIED CONTACT CHANNEL]</w:t>
            </w:r>
          </w:p>
        </w:tc>
      </w:tr>
    </w:tbl>
    <w:p>
      <w:r>
        <w:t>CTA placeholders must be replaced with verified destinations before publication.</w:t>
      </w:r>
    </w:p>
    <w:p>
      <w:r>
        <w:t>Version 1.0 · Publication date 1 May 2026 · Owner ODA3 Institute · GEL v1.0</w:t>
        <w:br/>
        <w:t>© 2026 ODA3 Pvt Ltd. GAISSF™ and ODA3 Institute™.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