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ODA3 Institute™</w:t>
      </w:r>
    </w:p>
    <w:p>
      <w:pPr>
        <w:jc w:val="center"/>
      </w:pPr>
      <w:r>
        <w:rPr>
          <w:b/>
          <w:color w:val="1F4E78"/>
          <w:sz w:val="52"/>
        </w:rPr>
        <w:t>GAISSF™ Insurance Sector</w:t>
        <w:br/>
        <w:t>Implementation Guide</w:t>
      </w:r>
    </w:p>
    <w:p>
      <w:pPr>
        <w:jc w:val="center"/>
      </w:pPr>
      <w:r>
        <w:rPr>
          <w:b/>
        </w:rPr>
        <w:t>SEC-039 | Version 1.0 | Controlled Pre-Release Draft for Peer Review</w:t>
      </w:r>
    </w:p>
    <w:p>
      <w:pPr>
        <w:jc w:val="center"/>
      </w:pPr>
      <w:r>
        <w:t>Operational guidance for secure, resilient, fair and evidence-based use of AI across insurance</w:t>
      </w:r>
    </w:p>
    <w:p>
      <w:r>
        <w:br/>
      </w:r>
    </w:p>
    <w:tbl>
      <w:tblPr>
        <w:tblStyle w:val="TableGrid"/>
        <w:tblW w:type="auto" w:w="0"/>
        <w:jc w:val="center"/>
        <w:tblLook w:firstColumn="1" w:firstRow="1" w:lastColumn="0" w:lastRow="0" w:noHBand="0" w:noVBand="1" w:val="04A0"/>
      </w:tblPr>
      <w:tblGrid>
        <w:gridCol w:w="5184"/>
        <w:gridCol w:w="5184"/>
      </w:tblGrid>
      <w:tr>
        <w:trPr>
          <w:cantSplit/>
          <w:tblHeader w:val="true"/>
        </w:trPr>
        <w:tc>
          <w:tcPr>
            <w:tcW w:type="dxa" w:w="2880"/>
            <w:vAlign w:val="top"/>
            <w:shd w:fill="1F4E78"/>
          </w:tcPr>
          <w:p>
            <w:r/>
            <w:r>
              <w:rPr>
                <w:b/>
                <w:color w:val="FFFFFF"/>
                <w:sz w:val="16"/>
              </w:rPr>
              <w:t>Field</w:t>
            </w:r>
          </w:p>
        </w:tc>
        <w:tc>
          <w:tcPr>
            <w:tcW w:type="dxa" w:w="7200"/>
            <w:vAlign w:val="top"/>
            <w:shd w:fill="1F4E78"/>
          </w:tcPr>
          <w:p>
            <w:r/>
            <w:r>
              <w:rPr>
                <w:b/>
                <w:color w:val="FFFFFF"/>
                <w:sz w:val="16"/>
              </w:rPr>
              <w:t>Value</w:t>
            </w:r>
          </w:p>
        </w:tc>
      </w:tr>
      <w:tr>
        <w:trPr>
          <w:cantSplit/>
        </w:trPr>
        <w:tc>
          <w:tcPr>
            <w:tcW w:type="dxa" w:w="2880"/>
            <w:vAlign w:val="top"/>
          </w:tcPr>
          <w:p>
            <w:r/>
            <w:r>
              <w:rPr>
                <w:b w:val="0"/>
                <w:sz w:val="16"/>
              </w:rPr>
              <w:t>Document ID</w:t>
            </w:r>
          </w:p>
        </w:tc>
        <w:tc>
          <w:tcPr>
            <w:tcW w:type="dxa" w:w="7200"/>
            <w:vAlign w:val="top"/>
          </w:tcPr>
          <w:p>
            <w:r/>
            <w:r>
              <w:rPr>
                <w:b w:val="0"/>
                <w:sz w:val="16"/>
              </w:rPr>
              <w:t>SEC-039</w:t>
            </w:r>
          </w:p>
        </w:tc>
      </w:tr>
      <w:tr>
        <w:trPr>
          <w:cantSplit/>
        </w:trPr>
        <w:tc>
          <w:tcPr>
            <w:tcW w:type="dxa" w:w="2880"/>
            <w:vAlign w:val="top"/>
            <w:shd w:fill="EAF2F8"/>
          </w:tcPr>
          <w:p>
            <w:r/>
            <w:r>
              <w:rPr>
                <w:b w:val="0"/>
                <w:sz w:val="16"/>
              </w:rPr>
              <w:t>Version</w:t>
            </w:r>
          </w:p>
        </w:tc>
        <w:tc>
          <w:tcPr>
            <w:tcW w:type="dxa" w:w="7200"/>
            <w:vAlign w:val="top"/>
            <w:shd w:fill="EAF2F8"/>
          </w:tcPr>
          <w:p>
            <w:r/>
            <w:r>
              <w:rPr>
                <w:b w:val="0"/>
                <w:sz w:val="16"/>
              </w:rPr>
              <w:t>1.0</w:t>
            </w:r>
          </w:p>
        </w:tc>
      </w:tr>
      <w:tr>
        <w:trPr>
          <w:cantSplit/>
        </w:trPr>
        <w:tc>
          <w:tcPr>
            <w:tcW w:type="dxa" w:w="2880"/>
            <w:vAlign w:val="top"/>
          </w:tcPr>
          <w:p>
            <w:r/>
            <w:r>
              <w:rPr>
                <w:b w:val="0"/>
                <w:sz w:val="16"/>
              </w:rPr>
              <w:t>Publication date</w:t>
            </w:r>
          </w:p>
        </w:tc>
        <w:tc>
          <w:tcPr>
            <w:tcW w:type="dxa" w:w="7200"/>
            <w:vAlign w:val="top"/>
          </w:tcPr>
          <w:p>
            <w:r/>
            <w:r>
              <w:rPr>
                <w:b w:val="0"/>
                <w:sz w:val="16"/>
              </w:rPr>
              <w:t>30 June 2026</w:t>
            </w:r>
          </w:p>
        </w:tc>
      </w:tr>
      <w:tr>
        <w:trPr>
          <w:cantSplit/>
        </w:trPr>
        <w:tc>
          <w:tcPr>
            <w:tcW w:type="dxa" w:w="2880"/>
            <w:vAlign w:val="top"/>
            <w:shd w:fill="EAF2F8"/>
          </w:tcPr>
          <w:p>
            <w:r/>
            <w:r>
              <w:rPr>
                <w:b w:val="0"/>
                <w:sz w:val="16"/>
              </w:rPr>
              <w:t>Publisher</w:t>
            </w:r>
          </w:p>
        </w:tc>
        <w:tc>
          <w:tcPr>
            <w:tcW w:type="dxa" w:w="7200"/>
            <w:vAlign w:val="top"/>
            <w:shd w:fill="EAF2F8"/>
          </w:tcPr>
          <w:p>
            <w:r/>
            <w:r>
              <w:rPr>
                <w:b w:val="0"/>
                <w:sz w:val="16"/>
              </w:rPr>
              <w:t>ODA3 Institute</w:t>
            </w:r>
          </w:p>
        </w:tc>
      </w:tr>
      <w:tr>
        <w:trPr>
          <w:cantSplit/>
        </w:trPr>
        <w:tc>
          <w:tcPr>
            <w:tcW w:type="dxa" w:w="2880"/>
            <w:vAlign w:val="top"/>
          </w:tcPr>
          <w:p>
            <w:r/>
            <w:r>
              <w:rPr>
                <w:b w:val="0"/>
                <w:sz w:val="16"/>
              </w:rPr>
              <w:t>Category</w:t>
            </w:r>
          </w:p>
        </w:tc>
        <w:tc>
          <w:tcPr>
            <w:tcW w:type="dxa" w:w="7200"/>
            <w:vAlign w:val="top"/>
          </w:tcPr>
          <w:p>
            <w:r/>
            <w:r>
              <w:rPr>
                <w:b w:val="0"/>
                <w:sz w:val="16"/>
              </w:rPr>
              <w:t>Sector Implementation Guide</w:t>
            </w:r>
          </w:p>
        </w:tc>
      </w:tr>
      <w:tr>
        <w:trPr>
          <w:cantSplit/>
        </w:trPr>
        <w:tc>
          <w:tcPr>
            <w:tcW w:type="dxa" w:w="2880"/>
            <w:vAlign w:val="top"/>
            <w:shd w:fill="EAF2F8"/>
          </w:tcPr>
          <w:p>
            <w:r/>
            <w:r>
              <w:rPr>
                <w:b w:val="0"/>
                <w:sz w:val="16"/>
              </w:rPr>
              <w:t>Priority / Launch Phase</w:t>
            </w:r>
          </w:p>
        </w:tc>
        <w:tc>
          <w:tcPr>
            <w:tcW w:type="dxa" w:w="7200"/>
            <w:vAlign w:val="top"/>
            <w:shd w:fill="EAF2F8"/>
          </w:tcPr>
          <w:p>
            <w:r/>
            <w:r>
              <w:rPr>
                <w:b w:val="0"/>
                <w:sz w:val="16"/>
              </w:rPr>
              <w:t>High / Phase 2</w:t>
            </w:r>
          </w:p>
        </w:tc>
      </w:tr>
      <w:tr>
        <w:trPr>
          <w:cantSplit/>
        </w:trPr>
        <w:tc>
          <w:tcPr>
            <w:tcW w:type="dxa" w:w="2880"/>
            <w:vAlign w:val="top"/>
          </w:tcPr>
          <w:p>
            <w:r/>
            <w:r>
              <w:rPr>
                <w:b w:val="0"/>
                <w:sz w:val="16"/>
              </w:rPr>
              <w:t>Publication licence</w:t>
            </w:r>
          </w:p>
        </w:tc>
        <w:tc>
          <w:tcPr>
            <w:tcW w:type="dxa" w:w="7200"/>
            <w:vAlign w:val="top"/>
          </w:tcPr>
          <w:p>
            <w:r/>
            <w:r>
              <w:rPr>
                <w:b w:val="0"/>
                <w:sz w:val="16"/>
              </w:rPr>
              <w:t>GEL v1.0</w:t>
            </w:r>
          </w:p>
        </w:tc>
      </w:tr>
      <w:tr>
        <w:trPr>
          <w:cantSplit/>
        </w:trPr>
        <w:tc>
          <w:tcPr>
            <w:tcW w:type="dxa" w:w="2880"/>
            <w:vAlign w:val="top"/>
            <w:shd w:fill="EAF2F8"/>
          </w:tcPr>
          <w:p>
            <w:r/>
            <w:r>
              <w:rPr>
                <w:b w:val="0"/>
                <w:sz w:val="16"/>
              </w:rPr>
              <w:t>Publication channels</w:t>
            </w:r>
          </w:p>
        </w:tc>
        <w:tc>
          <w:tcPr>
            <w:tcW w:type="dxa" w:w="7200"/>
            <w:vAlign w:val="top"/>
            <w:shd w:fill="EAF2F8"/>
          </w:tcPr>
          <w:p>
            <w:r/>
            <w:r>
              <w:rPr>
                <w:b w:val="0"/>
                <w:sz w:val="16"/>
              </w:rPr>
              <w:t>Website / GitHub</w:t>
            </w:r>
          </w:p>
        </w:tc>
      </w:tr>
      <w:tr>
        <w:trPr>
          <w:cantSplit/>
        </w:trPr>
        <w:tc>
          <w:tcPr>
            <w:tcW w:type="dxa" w:w="2880"/>
            <w:vAlign w:val="top"/>
          </w:tcPr>
          <w:p>
            <w:r/>
            <w:r>
              <w:rPr>
                <w:b w:val="0"/>
                <w:sz w:val="16"/>
              </w:rPr>
              <w:t>Status</w:t>
            </w:r>
          </w:p>
        </w:tc>
        <w:tc>
          <w:tcPr>
            <w:tcW w:type="dxa" w:w="7200"/>
            <w:vAlign w:val="top"/>
          </w:tcPr>
          <w:p>
            <w:r/>
            <w:r>
              <w:rPr>
                <w:b w:val="0"/>
                <w:sz w:val="16"/>
              </w:rPr>
              <w:t>Controlled Pre-Release Draft for Peer Review - qualified legal/regulatory review and approval records remain open</w:t>
            </w:r>
          </w:p>
        </w:tc>
      </w:tr>
    </w:tbl>
    <w:p/>
    <w:tbl>
      <w:tblPr>
        <w:tblStyle w:val="TableGrid"/>
        <w:tblW w:type="auto" w:w="0"/>
        <w:tblLook w:firstColumn="1" w:firstRow="1" w:lastColumn="0" w:lastRow="0" w:noHBand="0" w:noVBand="1" w:val="04A0"/>
      </w:tblPr>
      <w:tblGrid>
        <w:gridCol w:w="10368"/>
      </w:tblGrid>
      <w:tr>
        <w:trPr>
          <w:cantSplit/>
          <w:tblHeader w:val="true"/>
        </w:trPr>
        <w:tc>
          <w:tcPr>
            <w:tcW w:type="dxa" w:w="10368"/>
            <w:shd w:fill="EAF2F8"/>
            <w:vAlign w:val="top"/>
          </w:tcPr>
          <w:p>
            <w:r>
              <w:rPr>
                <w:b/>
                <w:color w:val="1F4E78"/>
              </w:rPr>
              <w:t>Normative status</w:t>
              <w:br/>
            </w:r>
            <w:r>
              <w:t>SEC-039 is informative. It does not amend GAISSF, create independent certification requirements, or replace applicable law, regulation, actuarial judgement, contractual duties or policyholder protections.</w:t>
            </w:r>
          </w:p>
        </w:tc>
      </w:tr>
    </w:tbl>
    <w:p/>
    <w:p>
      <w:r>
        <w:br w:type="page"/>
      </w:r>
    </w:p>
    <w:p>
      <w:pPr>
        <w:pStyle w:val="Heading1"/>
      </w:pPr>
      <w:r>
        <w:t>Document control and legal notices</w:t>
      </w:r>
    </w:p>
    <w:tbl>
      <w:tblPr>
        <w:tblStyle w:val="TableGrid"/>
        <w:tblW w:type="auto" w:w="0"/>
        <w:jc w:val="center"/>
        <w:tblLook w:firstColumn="1" w:firstRow="1" w:lastColumn="0" w:lastRow="0" w:noHBand="0" w:noVBand="1" w:val="04A0"/>
      </w:tblPr>
      <w:tblGrid>
        <w:gridCol w:w="5184"/>
        <w:gridCol w:w="5184"/>
      </w:tblGrid>
      <w:tr>
        <w:trPr>
          <w:cantSplit/>
          <w:tblHeader w:val="true"/>
        </w:trPr>
        <w:tc>
          <w:tcPr>
            <w:tcW w:type="dxa" w:w="3168"/>
            <w:vAlign w:val="top"/>
            <w:shd w:fill="1F4E78"/>
          </w:tcPr>
          <w:p>
            <w:r/>
            <w:r>
              <w:rPr>
                <w:b/>
                <w:color w:val="FFFFFF"/>
                <w:sz w:val="16"/>
              </w:rPr>
              <w:t>Control</w:t>
            </w:r>
          </w:p>
        </w:tc>
        <w:tc>
          <w:tcPr>
            <w:tcW w:type="dxa" w:w="6912"/>
            <w:vAlign w:val="top"/>
            <w:shd w:fill="1F4E78"/>
          </w:tcPr>
          <w:p>
            <w:r/>
            <w:r>
              <w:rPr>
                <w:b/>
                <w:color w:val="FFFFFF"/>
                <w:sz w:val="16"/>
              </w:rPr>
              <w:t>Value</w:t>
            </w:r>
          </w:p>
        </w:tc>
      </w:tr>
      <w:tr>
        <w:trPr>
          <w:cantSplit/>
        </w:trPr>
        <w:tc>
          <w:tcPr>
            <w:tcW w:type="dxa" w:w="3168"/>
            <w:vAlign w:val="top"/>
          </w:tcPr>
          <w:p>
            <w:r/>
            <w:r>
              <w:rPr>
                <w:b w:val="0"/>
                <w:sz w:val="16"/>
              </w:rPr>
              <w:t>Document title</w:t>
            </w:r>
          </w:p>
        </w:tc>
        <w:tc>
          <w:tcPr>
            <w:tcW w:type="dxa" w:w="6912"/>
            <w:vAlign w:val="top"/>
          </w:tcPr>
          <w:p>
            <w:r/>
            <w:r>
              <w:rPr>
                <w:b w:val="0"/>
                <w:sz w:val="16"/>
              </w:rPr>
              <w:t>GAISSF™ Insurance Sector Implementation Guide</w:t>
            </w:r>
          </w:p>
        </w:tc>
      </w:tr>
      <w:tr>
        <w:trPr>
          <w:cantSplit/>
        </w:trPr>
        <w:tc>
          <w:tcPr>
            <w:tcW w:type="dxa" w:w="3168"/>
            <w:vAlign w:val="top"/>
            <w:shd w:fill="EAF2F8"/>
          </w:tcPr>
          <w:p>
            <w:r/>
            <w:r>
              <w:rPr>
                <w:b w:val="0"/>
                <w:sz w:val="16"/>
              </w:rPr>
              <w:t>Document ID</w:t>
            </w:r>
          </w:p>
        </w:tc>
        <w:tc>
          <w:tcPr>
            <w:tcW w:type="dxa" w:w="6912"/>
            <w:vAlign w:val="top"/>
            <w:shd w:fill="EAF2F8"/>
          </w:tcPr>
          <w:p>
            <w:r/>
            <w:r>
              <w:rPr>
                <w:b w:val="0"/>
                <w:sz w:val="16"/>
              </w:rPr>
              <w:t>SEC-039</w:t>
            </w:r>
          </w:p>
        </w:tc>
      </w:tr>
      <w:tr>
        <w:trPr>
          <w:cantSplit/>
        </w:trPr>
        <w:tc>
          <w:tcPr>
            <w:tcW w:type="dxa" w:w="3168"/>
            <w:vAlign w:val="top"/>
          </w:tcPr>
          <w:p>
            <w:r/>
            <w:r>
              <w:rPr>
                <w:b w:val="0"/>
                <w:sz w:val="16"/>
              </w:rPr>
              <w:t>Version</w:t>
            </w:r>
          </w:p>
        </w:tc>
        <w:tc>
          <w:tcPr>
            <w:tcW w:type="dxa" w:w="6912"/>
            <w:vAlign w:val="top"/>
          </w:tcPr>
          <w:p>
            <w:r/>
            <w:r>
              <w:rPr>
                <w:b w:val="0"/>
                <w:sz w:val="16"/>
              </w:rPr>
              <w:t>1.0</w:t>
            </w:r>
          </w:p>
        </w:tc>
      </w:tr>
      <w:tr>
        <w:trPr>
          <w:cantSplit/>
        </w:trPr>
        <w:tc>
          <w:tcPr>
            <w:tcW w:type="dxa" w:w="3168"/>
            <w:vAlign w:val="top"/>
            <w:shd w:fill="EAF2F8"/>
          </w:tcPr>
          <w:p>
            <w:r/>
            <w:r>
              <w:rPr>
                <w:b w:val="0"/>
                <w:sz w:val="16"/>
              </w:rPr>
              <w:t>Owner</w:t>
            </w:r>
          </w:p>
        </w:tc>
        <w:tc>
          <w:tcPr>
            <w:tcW w:type="dxa" w:w="6912"/>
            <w:vAlign w:val="top"/>
            <w:shd w:fill="EAF2F8"/>
          </w:tcPr>
          <w:p>
            <w:r/>
            <w:r>
              <w:rPr>
                <w:b w:val="0"/>
                <w:sz w:val="16"/>
              </w:rPr>
              <w:t>ODA3 Institute</w:t>
            </w:r>
          </w:p>
        </w:tc>
      </w:tr>
      <w:tr>
        <w:trPr>
          <w:cantSplit/>
        </w:trPr>
        <w:tc>
          <w:tcPr>
            <w:tcW w:type="dxa" w:w="3168"/>
            <w:vAlign w:val="top"/>
          </w:tcPr>
          <w:p>
            <w:r/>
            <w:r>
              <w:rPr>
                <w:b w:val="0"/>
                <w:sz w:val="16"/>
              </w:rPr>
              <w:t>Legal entity</w:t>
            </w:r>
          </w:p>
        </w:tc>
        <w:tc>
          <w:tcPr>
            <w:tcW w:type="dxa" w:w="6912"/>
            <w:vAlign w:val="top"/>
          </w:tcPr>
          <w:p>
            <w:r/>
            <w:r>
              <w:rPr>
                <w:b w:val="0"/>
                <w:sz w:val="16"/>
              </w:rPr>
              <w:t>ODA3 Pvt Ltd</w:t>
            </w:r>
          </w:p>
        </w:tc>
      </w:tr>
      <w:tr>
        <w:trPr>
          <w:cantSplit/>
        </w:trPr>
        <w:tc>
          <w:tcPr>
            <w:tcW w:type="dxa" w:w="3168"/>
            <w:vAlign w:val="top"/>
            <w:shd w:fill="EAF2F8"/>
          </w:tcPr>
          <w:p>
            <w:r/>
            <w:r>
              <w:rPr>
                <w:b w:val="0"/>
                <w:sz w:val="16"/>
              </w:rPr>
              <w:t>Classification</w:t>
            </w:r>
          </w:p>
        </w:tc>
        <w:tc>
          <w:tcPr>
            <w:tcW w:type="dxa" w:w="6912"/>
            <w:vAlign w:val="top"/>
            <w:shd w:fill="EAF2F8"/>
          </w:tcPr>
          <w:p>
            <w:r/>
            <w:r>
              <w:rPr>
                <w:b w:val="0"/>
                <w:sz w:val="16"/>
              </w:rPr>
              <w:t>Informative sector guide</w:t>
            </w:r>
          </w:p>
        </w:tc>
      </w:tr>
      <w:tr>
        <w:trPr>
          <w:cantSplit/>
        </w:trPr>
        <w:tc>
          <w:tcPr>
            <w:tcW w:type="dxa" w:w="3168"/>
            <w:vAlign w:val="top"/>
          </w:tcPr>
          <w:p>
            <w:r/>
            <w:r>
              <w:rPr>
                <w:b w:val="0"/>
                <w:sz w:val="16"/>
              </w:rPr>
              <w:t>Authoritative framework source</w:t>
            </w:r>
          </w:p>
        </w:tc>
        <w:tc>
          <w:tcPr>
            <w:tcW w:type="dxa" w:w="6912"/>
            <w:vAlign w:val="top"/>
          </w:tcPr>
          <w:p>
            <w:r/>
            <w:r>
              <w:rPr>
                <w:b w:val="0"/>
                <w:sz w:val="16"/>
              </w:rPr>
              <w:t>GAISSF-NOR-001 Framework Standard v1.0</w:t>
            </w:r>
          </w:p>
        </w:tc>
      </w:tr>
      <w:tr>
        <w:trPr>
          <w:cantSplit/>
        </w:trPr>
        <w:tc>
          <w:tcPr>
            <w:tcW w:type="dxa" w:w="3168"/>
            <w:vAlign w:val="top"/>
            <w:shd w:fill="EAF2F8"/>
          </w:tcPr>
          <w:p>
            <w:r/>
            <w:r>
              <w:rPr>
                <w:b w:val="0"/>
                <w:sz w:val="16"/>
              </w:rPr>
              <w:t>Control baseline</w:t>
            </w:r>
          </w:p>
        </w:tc>
        <w:tc>
          <w:tcPr>
            <w:tcW w:type="dxa" w:w="6912"/>
            <w:vAlign w:val="top"/>
            <w:shd w:fill="EAF2F8"/>
          </w:tcPr>
          <w:p>
            <w:r/>
            <w:r>
              <w:rPr>
                <w:b w:val="0"/>
                <w:sz w:val="16"/>
              </w:rPr>
              <w:t>59 controls across D1-D9</w:t>
            </w:r>
          </w:p>
        </w:tc>
      </w:tr>
      <w:tr>
        <w:trPr>
          <w:cantSplit/>
        </w:trPr>
        <w:tc>
          <w:tcPr>
            <w:tcW w:type="dxa" w:w="3168"/>
            <w:vAlign w:val="top"/>
          </w:tcPr>
          <w:p>
            <w:r/>
            <w:r>
              <w:rPr>
                <w:b w:val="0"/>
                <w:sz w:val="16"/>
              </w:rPr>
              <w:t>Distribution</w:t>
            </w:r>
          </w:p>
        </w:tc>
        <w:tc>
          <w:tcPr>
            <w:tcW w:type="dxa" w:w="6912"/>
            <w:vAlign w:val="top"/>
          </w:tcPr>
          <w:p>
            <w:r/>
            <w:r>
              <w:rPr>
                <w:b w:val="0"/>
                <w:sz w:val="16"/>
              </w:rPr>
              <w:t>Public - Website / GitHub</w:t>
            </w:r>
          </w:p>
        </w:tc>
      </w:tr>
      <w:tr>
        <w:trPr>
          <w:cantSplit/>
        </w:trPr>
        <w:tc>
          <w:tcPr>
            <w:tcW w:type="dxa" w:w="3168"/>
            <w:vAlign w:val="top"/>
            <w:shd w:fill="EAF2F8"/>
          </w:tcPr>
          <w:p>
            <w:r/>
            <w:r>
              <w:rPr>
                <w:b w:val="0"/>
                <w:sz w:val="16"/>
              </w:rPr>
              <w:t>Maintenance</w:t>
            </w:r>
          </w:p>
        </w:tc>
        <w:tc>
          <w:tcPr>
            <w:tcW w:type="dxa" w:w="6912"/>
            <w:vAlign w:val="top"/>
            <w:shd w:fill="EAF2F8"/>
          </w:tcPr>
          <w:p>
            <w:r/>
            <w:r>
              <w:rPr>
                <w:b w:val="0"/>
                <w:sz w:val="16"/>
              </w:rPr>
              <w:t>Review at least annually and upon material GAISSF, regulatory or sector change</w:t>
            </w:r>
          </w:p>
        </w:tc>
      </w:tr>
    </w:tbl>
    <w:p/>
    <w:p>
      <w:r>
        <w:t>© 2026 ODA3 Pvt Ltd. Published by ODA3 Institute. GAISSF™ and ODA3 Institute™ are used as framework and market-facing identifiers. Use, reproduction, adaptation, certification, credential and trademark rights are governed by the applicable GAISSF publication terms and GEL v1.0.</w:t>
      </w:r>
    </w:p>
    <w:p>
      <w:r>
        <w:t>This document does not constitute legal, regulatory, actuarial, financial, insurance, audit, certification or investment advice. It does not guarantee compliance, security, fairness, accuracy, resilience, insurability or absence of harmful outcomes. Applicable law, binding supervisory direction and contractual obligations take precedence.</w:t>
      </w:r>
    </w:p>
    <w:p>
      <w:pPr>
        <w:pStyle w:val="Heading2"/>
      </w:pPr>
      <w:r>
        <w:t>Approval table</w:t>
      </w:r>
    </w:p>
    <w:tbl>
      <w:tblPr>
        <w:tblStyle w:val="TableGrid"/>
        <w:tblW w:type="auto" w:w="0"/>
        <w:jc w:val="center"/>
        <w:tblLook w:firstColumn="1" w:firstRow="1" w:lastColumn="0" w:lastRow="0" w:noHBand="0" w:noVBand="1" w:val="04A0"/>
      </w:tblPr>
      <w:tblGrid>
        <w:gridCol w:w="2074"/>
        <w:gridCol w:w="2074"/>
        <w:gridCol w:w="2074"/>
        <w:gridCol w:w="2074"/>
        <w:gridCol w:w="2074"/>
      </w:tblGrid>
      <w:tr>
        <w:trPr>
          <w:cantSplit/>
          <w:tblHeader w:val="true"/>
        </w:trPr>
        <w:tc>
          <w:tcPr>
            <w:tcW w:type="dxa" w:w="2074"/>
            <w:vAlign w:val="top"/>
            <w:shd w:fill="1F4E78"/>
          </w:tcPr>
          <w:p>
            <w:r/>
            <w:r>
              <w:rPr>
                <w:b/>
                <w:color w:val="FFFFFF"/>
                <w:sz w:val="15"/>
              </w:rPr>
              <w:t>Role</w:t>
            </w:r>
          </w:p>
        </w:tc>
        <w:tc>
          <w:tcPr>
            <w:tcW w:type="dxa" w:w="2074"/>
            <w:vAlign w:val="top"/>
            <w:shd w:fill="1F4E78"/>
          </w:tcPr>
          <w:p>
            <w:r/>
            <w:r>
              <w:rPr>
                <w:b/>
                <w:color w:val="FFFFFF"/>
                <w:sz w:val="15"/>
              </w:rPr>
              <w:t>Required reviewer</w:t>
            </w:r>
          </w:p>
        </w:tc>
        <w:tc>
          <w:tcPr>
            <w:tcW w:type="dxa" w:w="2074"/>
            <w:vAlign w:val="top"/>
            <w:shd w:fill="1F4E78"/>
          </w:tcPr>
          <w:p>
            <w:r/>
            <w:r>
              <w:rPr>
                <w:b/>
                <w:color w:val="FFFFFF"/>
                <w:sz w:val="15"/>
              </w:rPr>
              <w:t>Status</w:t>
            </w:r>
          </w:p>
        </w:tc>
        <w:tc>
          <w:tcPr>
            <w:tcW w:type="dxa" w:w="2074"/>
            <w:vAlign w:val="top"/>
            <w:shd w:fill="1F4E78"/>
          </w:tcPr>
          <w:p>
            <w:r/>
            <w:r>
              <w:rPr>
                <w:b/>
                <w:color w:val="FFFFFF"/>
                <w:sz w:val="15"/>
              </w:rPr>
              <w:t>Date</w:t>
            </w:r>
          </w:p>
        </w:tc>
        <w:tc>
          <w:tcPr>
            <w:tcW w:type="dxa" w:w="2074"/>
            <w:vAlign w:val="top"/>
            <w:shd w:fill="1F4E78"/>
          </w:tcPr>
          <w:p>
            <w:r/>
            <w:r>
              <w:rPr>
                <w:b/>
                <w:color w:val="FFFFFF"/>
                <w:sz w:val="15"/>
              </w:rPr>
              <w:t>Notes</w:t>
            </w:r>
          </w:p>
        </w:tc>
      </w:tr>
      <w:tr>
        <w:trPr>
          <w:cantSplit/>
        </w:trPr>
        <w:tc>
          <w:tcPr>
            <w:tcW w:type="dxa" w:w="2074"/>
            <w:vAlign w:val="top"/>
          </w:tcPr>
          <w:p>
            <w:r/>
            <w:r>
              <w:rPr>
                <w:b w:val="0"/>
                <w:sz w:val="15"/>
              </w:rPr>
              <w:t>Document owner</w:t>
            </w:r>
          </w:p>
        </w:tc>
        <w:tc>
          <w:tcPr>
            <w:tcW w:type="dxa" w:w="2074"/>
            <w:vAlign w:val="top"/>
          </w:tcPr>
          <w:p>
            <w:r/>
            <w:r>
              <w:rPr>
                <w:b w:val="0"/>
                <w:sz w:val="15"/>
              </w:rPr>
              <w:t>ODA3 Institute</w:t>
            </w:r>
          </w:p>
        </w:tc>
        <w:tc>
          <w:tcPr>
            <w:tcW w:type="dxa" w:w="2074"/>
            <w:vAlign w:val="top"/>
          </w:tcPr>
          <w:p>
            <w:r/>
            <w:r>
              <w:rPr>
                <w:b w:val="0"/>
                <w:sz w:val="15"/>
              </w:rPr>
              <w:t>Approved for publication-candidate release</w:t>
            </w:r>
          </w:p>
        </w:tc>
        <w:tc>
          <w:tcPr>
            <w:tcW w:type="dxa" w:w="2074"/>
            <w:vAlign w:val="top"/>
          </w:tcPr>
          <w:p>
            <w:r/>
            <w:r>
              <w:rPr>
                <w:b w:val="0"/>
                <w:sz w:val="15"/>
              </w:rPr>
              <w:t>30 June 2026</w:t>
            </w:r>
          </w:p>
        </w:tc>
        <w:tc>
          <w:tcPr>
            <w:tcW w:type="dxa" w:w="2074"/>
            <w:vAlign w:val="top"/>
          </w:tcPr>
          <w:p>
            <w:r/>
            <w:r>
              <w:rPr>
                <w:b w:val="0"/>
                <w:sz w:val="15"/>
              </w:rPr>
              <w:t>Substantive and control-mapping review complete</w:t>
            </w:r>
          </w:p>
        </w:tc>
      </w:tr>
      <w:tr>
        <w:trPr>
          <w:cantSplit/>
        </w:trPr>
        <w:tc>
          <w:tcPr>
            <w:tcW w:type="dxa" w:w="2074"/>
            <w:vAlign w:val="top"/>
            <w:shd w:fill="EAF2F8"/>
          </w:tcPr>
          <w:p>
            <w:r/>
            <w:r>
              <w:rPr>
                <w:b w:val="0"/>
                <w:sz w:val="15"/>
              </w:rPr>
              <w:t>Insurance practitioner</w:t>
            </w:r>
          </w:p>
        </w:tc>
        <w:tc>
          <w:tcPr>
            <w:tcW w:type="dxa" w:w="2074"/>
            <w:vAlign w:val="top"/>
            <w:shd w:fill="EAF2F8"/>
          </w:tcPr>
          <w:p>
            <w:r/>
            <w:r>
              <w:rPr>
                <w:b w:val="0"/>
                <w:sz w:val="15"/>
              </w:rPr>
              <w:t>Qualified underwriting/claims leader</w:t>
            </w:r>
          </w:p>
        </w:tc>
        <w:tc>
          <w:tcPr>
            <w:tcW w:type="dxa" w:w="2074"/>
            <w:vAlign w:val="top"/>
            <w:shd w:fill="EAF2F8"/>
          </w:tcPr>
          <w:p>
            <w:r/>
            <w:r>
              <w:rPr>
                <w:b w:val="0"/>
                <w:sz w:val="15"/>
              </w:rPr>
              <w:t>Open</w:t>
            </w:r>
          </w:p>
        </w:tc>
        <w:tc>
          <w:tcPr>
            <w:tcW w:type="dxa" w:w="2074"/>
            <w:vAlign w:val="top"/>
            <w:shd w:fill="EAF2F8"/>
          </w:tcPr>
          <w:p>
            <w:r/>
            <w:r>
              <w:rPr>
                <w:b w:val="0"/>
                <w:sz w:val="15"/>
              </w:rPr>
            </w:r>
          </w:p>
        </w:tc>
        <w:tc>
          <w:tcPr>
            <w:tcW w:type="dxa" w:w="2074"/>
            <w:vAlign w:val="top"/>
            <w:shd w:fill="EAF2F8"/>
          </w:tcPr>
          <w:p>
            <w:r/>
            <w:r>
              <w:rPr>
                <w:b w:val="0"/>
                <w:sz w:val="15"/>
              </w:rPr>
              <w:t>Cross-line practitioner review required</w:t>
            </w:r>
          </w:p>
        </w:tc>
      </w:tr>
      <w:tr>
        <w:trPr>
          <w:cantSplit/>
        </w:trPr>
        <w:tc>
          <w:tcPr>
            <w:tcW w:type="dxa" w:w="2074"/>
            <w:vAlign w:val="top"/>
          </w:tcPr>
          <w:p>
            <w:r/>
            <w:r>
              <w:rPr>
                <w:b w:val="0"/>
                <w:sz w:val="15"/>
              </w:rPr>
              <w:t>Actuarial</w:t>
            </w:r>
          </w:p>
        </w:tc>
        <w:tc>
          <w:tcPr>
            <w:tcW w:type="dxa" w:w="2074"/>
            <w:vAlign w:val="top"/>
          </w:tcPr>
          <w:p>
            <w:r/>
            <w:r>
              <w:rPr>
                <w:b w:val="0"/>
                <w:sz w:val="15"/>
              </w:rPr>
              <w:t>Qualified actuary</w:t>
            </w:r>
          </w:p>
        </w:tc>
        <w:tc>
          <w:tcPr>
            <w:tcW w:type="dxa" w:w="2074"/>
            <w:vAlign w:val="top"/>
          </w:tcPr>
          <w:p>
            <w:r/>
            <w:r>
              <w:rPr>
                <w:b w:val="0"/>
                <w:sz w:val="15"/>
              </w:rPr>
              <w:t>Open</w:t>
            </w:r>
          </w:p>
        </w:tc>
        <w:tc>
          <w:tcPr>
            <w:tcW w:type="dxa" w:w="2074"/>
            <w:vAlign w:val="top"/>
          </w:tcPr>
          <w:p>
            <w:r/>
            <w:r>
              <w:rPr>
                <w:b w:val="0"/>
                <w:sz w:val="15"/>
              </w:rPr>
            </w:r>
          </w:p>
        </w:tc>
        <w:tc>
          <w:tcPr>
            <w:tcW w:type="dxa" w:w="2074"/>
            <w:vAlign w:val="top"/>
          </w:tcPr>
          <w:p>
            <w:r/>
            <w:r>
              <w:rPr>
                <w:b w:val="0"/>
                <w:sz w:val="15"/>
              </w:rPr>
              <w:t>Validate actuarial terminology and examples</w:t>
            </w:r>
          </w:p>
        </w:tc>
      </w:tr>
      <w:tr>
        <w:trPr>
          <w:cantSplit/>
        </w:trPr>
        <w:tc>
          <w:tcPr>
            <w:tcW w:type="dxa" w:w="2074"/>
            <w:vAlign w:val="top"/>
            <w:shd w:fill="EAF2F8"/>
          </w:tcPr>
          <w:p>
            <w:r/>
            <w:r>
              <w:rPr>
                <w:b w:val="0"/>
                <w:sz w:val="15"/>
              </w:rPr>
              <w:t>Legal/regulatory</w:t>
            </w:r>
          </w:p>
        </w:tc>
        <w:tc>
          <w:tcPr>
            <w:tcW w:type="dxa" w:w="2074"/>
            <w:vAlign w:val="top"/>
            <w:shd w:fill="EAF2F8"/>
          </w:tcPr>
          <w:p>
            <w:r/>
            <w:r>
              <w:rPr>
                <w:b w:val="0"/>
                <w:sz w:val="15"/>
              </w:rPr>
              <w:t>Qualified counsel</w:t>
            </w:r>
          </w:p>
        </w:tc>
        <w:tc>
          <w:tcPr>
            <w:tcW w:type="dxa" w:w="2074"/>
            <w:vAlign w:val="top"/>
            <w:shd w:fill="EAF2F8"/>
          </w:tcPr>
          <w:p>
            <w:r/>
            <w:r>
              <w:rPr>
                <w:b w:val="0"/>
                <w:sz w:val="15"/>
              </w:rPr>
              <w:t>Open</w:t>
            </w:r>
          </w:p>
        </w:tc>
        <w:tc>
          <w:tcPr>
            <w:tcW w:type="dxa" w:w="2074"/>
            <w:vAlign w:val="top"/>
            <w:shd w:fill="EAF2F8"/>
          </w:tcPr>
          <w:p>
            <w:r/>
            <w:r>
              <w:rPr>
                <w:b w:val="0"/>
                <w:sz w:val="15"/>
              </w:rPr>
            </w:r>
          </w:p>
        </w:tc>
        <w:tc>
          <w:tcPr>
            <w:tcW w:type="dxa" w:w="2074"/>
            <w:vAlign w:val="top"/>
            <w:shd w:fill="EAF2F8"/>
          </w:tcPr>
          <w:p>
            <w:r/>
            <w:r>
              <w:rPr>
                <w:b w:val="0"/>
                <w:sz w:val="15"/>
              </w:rPr>
              <w:t>Jurisdiction-specific statements and notices</w:t>
            </w:r>
          </w:p>
        </w:tc>
      </w:tr>
      <w:tr>
        <w:trPr>
          <w:cantSplit/>
        </w:trPr>
        <w:tc>
          <w:tcPr>
            <w:tcW w:type="dxa" w:w="2074"/>
            <w:vAlign w:val="top"/>
          </w:tcPr>
          <w:p>
            <w:r/>
            <w:r>
              <w:rPr>
                <w:b w:val="0"/>
                <w:sz w:val="15"/>
              </w:rPr>
              <w:t>Cybersecurity / AI security</w:t>
            </w:r>
          </w:p>
        </w:tc>
        <w:tc>
          <w:tcPr>
            <w:tcW w:type="dxa" w:w="2074"/>
            <w:vAlign w:val="top"/>
          </w:tcPr>
          <w:p>
            <w:r/>
            <w:r>
              <w:rPr>
                <w:b w:val="0"/>
                <w:sz w:val="15"/>
              </w:rPr>
              <w:t>Qualified reviewer</w:t>
            </w:r>
          </w:p>
        </w:tc>
        <w:tc>
          <w:tcPr>
            <w:tcW w:type="dxa" w:w="2074"/>
            <w:vAlign w:val="top"/>
          </w:tcPr>
          <w:p>
            <w:r/>
            <w:r>
              <w:rPr>
                <w:b w:val="0"/>
                <w:sz w:val="15"/>
              </w:rPr>
              <w:t>Open</w:t>
            </w:r>
          </w:p>
        </w:tc>
        <w:tc>
          <w:tcPr>
            <w:tcW w:type="dxa" w:w="2074"/>
            <w:vAlign w:val="top"/>
          </w:tcPr>
          <w:p>
            <w:r/>
            <w:r>
              <w:rPr>
                <w:b w:val="0"/>
                <w:sz w:val="15"/>
              </w:rPr>
            </w:r>
          </w:p>
        </w:tc>
        <w:tc>
          <w:tcPr>
            <w:tcW w:type="dxa" w:w="2074"/>
            <w:vAlign w:val="top"/>
          </w:tcPr>
          <w:p>
            <w:r/>
            <w:r>
              <w:rPr>
                <w:b w:val="0"/>
                <w:sz w:val="15"/>
              </w:rPr>
              <w:t>Threat and control interpretation</w:t>
            </w:r>
          </w:p>
        </w:tc>
      </w:tr>
      <w:tr>
        <w:trPr>
          <w:cantSplit/>
        </w:trPr>
        <w:tc>
          <w:tcPr>
            <w:tcW w:type="dxa" w:w="2074"/>
            <w:vAlign w:val="top"/>
            <w:shd w:fill="EAF2F8"/>
          </w:tcPr>
          <w:p>
            <w:r/>
            <w:r>
              <w:rPr>
                <w:b w:val="0"/>
                <w:sz w:val="15"/>
              </w:rPr>
              <w:t>Standards editor</w:t>
            </w:r>
          </w:p>
        </w:tc>
        <w:tc>
          <w:tcPr>
            <w:tcW w:type="dxa" w:w="2074"/>
            <w:vAlign w:val="top"/>
            <w:shd w:fill="EAF2F8"/>
          </w:tcPr>
          <w:p>
            <w:r/>
            <w:r>
              <w:rPr>
                <w:b w:val="0"/>
                <w:sz w:val="15"/>
              </w:rPr>
              <w:t>Qualified reviewer</w:t>
            </w:r>
          </w:p>
        </w:tc>
        <w:tc>
          <w:tcPr>
            <w:tcW w:type="dxa" w:w="2074"/>
            <w:vAlign w:val="top"/>
            <w:shd w:fill="EAF2F8"/>
          </w:tcPr>
          <w:p>
            <w:r/>
            <w:r>
              <w:rPr>
                <w:b w:val="0"/>
                <w:sz w:val="15"/>
              </w:rPr>
              <w:t>Open</w:t>
            </w:r>
          </w:p>
        </w:tc>
        <w:tc>
          <w:tcPr>
            <w:tcW w:type="dxa" w:w="2074"/>
            <w:vAlign w:val="top"/>
            <w:shd w:fill="EAF2F8"/>
          </w:tcPr>
          <w:p>
            <w:r/>
            <w:r>
              <w:rPr>
                <w:b w:val="0"/>
                <w:sz w:val="15"/>
              </w:rPr>
            </w:r>
          </w:p>
        </w:tc>
        <w:tc>
          <w:tcPr>
            <w:tcW w:type="dxa" w:w="2074"/>
            <w:vAlign w:val="top"/>
            <w:shd w:fill="EAF2F8"/>
          </w:tcPr>
          <w:p>
            <w:r/>
            <w:r>
              <w:rPr>
                <w:b w:val="0"/>
                <w:sz w:val="15"/>
              </w:rPr>
              <w:t>Normative language and cross-references</w:t>
            </w:r>
          </w:p>
        </w:tc>
      </w:tr>
    </w:tbl>
    <w:p/>
    <w:p>
      <w:pPr>
        <w:pStyle w:val="Heading2"/>
      </w:pPr>
      <w:r>
        <w:t>Revision history</w:t>
      </w:r>
    </w:p>
    <w:tbl>
      <w:tblPr>
        <w:tblStyle w:val="TableGrid"/>
        <w:tblW w:type="auto" w:w="0"/>
        <w:jc w:val="center"/>
        <w:tblLook w:firstColumn="1" w:firstRow="1" w:lastColumn="0" w:lastRow="0" w:noHBand="0" w:noVBand="1" w:val="04A0"/>
      </w:tblPr>
      <w:tblGrid>
        <w:gridCol w:w="2592"/>
        <w:gridCol w:w="2592"/>
        <w:gridCol w:w="2592"/>
        <w:gridCol w:w="2592"/>
      </w:tblGrid>
      <w:tr>
        <w:trPr>
          <w:cantSplit/>
          <w:tblHeader w:val="true"/>
        </w:trPr>
        <w:tc>
          <w:tcPr>
            <w:tcW w:type="dxa" w:w="2592"/>
            <w:vAlign w:val="top"/>
            <w:shd w:fill="1F4E78"/>
          </w:tcPr>
          <w:p>
            <w:r/>
            <w:r>
              <w:rPr>
                <w:b/>
                <w:color w:val="FFFFFF"/>
                <w:sz w:val="16"/>
              </w:rPr>
              <w:t>Version</w:t>
            </w:r>
          </w:p>
        </w:tc>
        <w:tc>
          <w:tcPr>
            <w:tcW w:type="dxa" w:w="2592"/>
            <w:vAlign w:val="top"/>
            <w:shd w:fill="1F4E78"/>
          </w:tcPr>
          <w:p>
            <w:r/>
            <w:r>
              <w:rPr>
                <w:b/>
                <w:color w:val="FFFFFF"/>
                <w:sz w:val="16"/>
              </w:rPr>
              <w:t>Date</w:t>
            </w:r>
          </w:p>
        </w:tc>
        <w:tc>
          <w:tcPr>
            <w:tcW w:type="dxa" w:w="2592"/>
            <w:vAlign w:val="top"/>
            <w:shd w:fill="1F4E78"/>
          </w:tcPr>
          <w:p>
            <w:r/>
            <w:r>
              <w:rPr>
                <w:b/>
                <w:color w:val="FFFFFF"/>
                <w:sz w:val="16"/>
              </w:rPr>
              <w:t>Change</w:t>
            </w:r>
          </w:p>
        </w:tc>
        <w:tc>
          <w:tcPr>
            <w:tcW w:type="dxa" w:w="2592"/>
            <w:vAlign w:val="top"/>
            <w:shd w:fill="1F4E78"/>
          </w:tcPr>
          <w:p>
            <w:r/>
            <w:r>
              <w:rPr>
                <w:b/>
                <w:color w:val="FFFFFF"/>
                <w:sz w:val="16"/>
              </w:rPr>
              <w:t>Owner</w:t>
            </w:r>
          </w:p>
        </w:tc>
      </w:tr>
      <w:tr>
        <w:trPr>
          <w:cantSplit/>
        </w:trPr>
        <w:tc>
          <w:tcPr>
            <w:tcW w:type="dxa" w:w="2592"/>
            <w:vAlign w:val="top"/>
          </w:tcPr>
          <w:p>
            <w:r/>
            <w:r>
              <w:rPr>
                <w:b w:val="0"/>
                <w:sz w:val="16"/>
              </w:rPr>
              <w:t>1.0</w:t>
            </w:r>
          </w:p>
        </w:tc>
        <w:tc>
          <w:tcPr>
            <w:tcW w:type="dxa" w:w="2592"/>
            <w:vAlign w:val="top"/>
          </w:tcPr>
          <w:p>
            <w:r/>
            <w:r>
              <w:rPr>
                <w:b w:val="0"/>
                <w:sz w:val="16"/>
              </w:rPr>
              <w:t>30 June 2026</w:t>
            </w:r>
          </w:p>
        </w:tc>
        <w:tc>
          <w:tcPr>
            <w:tcW w:type="dxa" w:w="2592"/>
            <w:vAlign w:val="top"/>
          </w:tcPr>
          <w:p>
            <w:r/>
            <w:r>
              <w:rPr>
                <w:b w:val="0"/>
                <w:sz w:val="16"/>
              </w:rPr>
              <w:t>Initial publication candidate: complete insurance-sector guide, verified 59-control mapping, workbook, templates, scenarios, source register and publication gates.</w:t>
            </w:r>
          </w:p>
        </w:tc>
        <w:tc>
          <w:tcPr>
            <w:tcW w:type="dxa" w:w="2592"/>
            <w:vAlign w:val="top"/>
          </w:tcPr>
          <w:p>
            <w:r/>
            <w:r>
              <w:rPr>
                <w:b w:val="0"/>
                <w:sz w:val="16"/>
              </w:rPr>
              <w:t>ODA3 Institute</w:t>
            </w:r>
          </w:p>
        </w:tc>
      </w:tr>
    </w:tbl>
    <w:p/>
    <w:p>
      <w:pPr>
        <w:pStyle w:val="Heading1"/>
      </w:pPr>
      <w:r>
        <w:t>Document hierarchy and precedence</w:t>
      </w:r>
    </w:p>
    <w:p>
      <w:pPr>
        <w:pStyle w:val="ListBullet"/>
      </w:pPr>
      <w:r>
        <w:t>Applicable law and binding regulatory or supervisory direction.</w:t>
      </w:r>
    </w:p>
    <w:p>
      <w:pPr>
        <w:pStyle w:val="ListBullet"/>
      </w:pPr>
      <w:r>
        <w:t>GAISSF-NOR-001 Framework Standard and other applicable GAISSF normative documents.</w:t>
      </w:r>
    </w:p>
    <w:p>
      <w:pPr>
        <w:pStyle w:val="ListBullet"/>
      </w:pPr>
      <w:r>
        <w:t>Approved GAISSF interpretations and assessment rules.</w:t>
      </w:r>
    </w:p>
    <w:p>
      <w:pPr>
        <w:pStyle w:val="ListBullet"/>
      </w:pPr>
      <w:r>
        <w:t>This informative sector guide.</w:t>
      </w:r>
    </w:p>
    <w:p>
      <w:pPr>
        <w:pStyle w:val="ListBullet"/>
      </w:pPr>
      <w:r>
        <w:t>Organisational policies and procedures.</w:t>
      </w:r>
    </w:p>
    <w:p>
      <w:r>
        <w:t>Where requirements conflict, the organisation should record the conflict, obtain qualified advice, escalate through governance, and preserve the rationale. Unresolved interpretation must not be silently converted into a control conclusion.</w:t>
      </w:r>
    </w:p>
    <w:p>
      <w:pPr>
        <w:pStyle w:val="Heading2"/>
      </w:pPr>
      <w:r>
        <w:t>Normative language</w:t>
      </w:r>
    </w:p>
    <w:p>
      <w:r>
        <w:t>SHALL and SHALL NOT appear only when quoting or accurately restating verified GAISSF normative requirements. SHOULD indicates recommended sector practice; MAY indicates permission; CAN indicates capability or possibility. Conformity is determined against governing normative requirements, not this guide alone.</w:t>
      </w:r>
    </w:p>
    <w:p>
      <w:pPr>
        <w:pStyle w:val="Heading1"/>
      </w:pPr>
      <w:r>
        <w:t>Executive summary</w:t>
      </w:r>
    </w:p>
    <w:p>
      <w:r>
        <w:t>Insurance AI influences eligibility, price, coverage, claims, fraud investigation, reserving, catastrophe exposure, customer communication and operational resilience. The same model failure can therefore create policyholder harm, balance-sheet effects, conduct exposure and cyber loss. SEC-039 provides the operational layer between GAISSF controls and insurance practice.</w:t>
      </w:r>
    </w:p>
    <w:p>
      <w:pPr>
        <w:pStyle w:val="ListBullet"/>
      </w:pPr>
      <w:r>
        <w:t>Classify systems by decision authority, policyholder impact, financial consequence, reversibility, data sensitivity, scale and dependency concentration.</w:t>
      </w:r>
    </w:p>
    <w:p>
      <w:pPr>
        <w:pStyle w:val="ListBullet"/>
      </w:pPr>
      <w:r>
        <w:t>Treat model risk, cybersecurity, actuarial validation, conduct risk, privacy and operational resilience as one evidence system.</w:t>
      </w:r>
    </w:p>
    <w:p>
      <w:pPr>
        <w:pStyle w:val="ListBullet"/>
      </w:pPr>
      <w:r>
        <w:t>Retain accountability when models, data, platforms or decisions are outsourced.</w:t>
      </w:r>
    </w:p>
    <w:p>
      <w:pPr>
        <w:pStyle w:val="ListBullet"/>
      </w:pPr>
      <w:r>
        <w:t>Make human oversight timely, competent, informed and authorised; ceremonial review is not effective oversight.</w:t>
      </w:r>
    </w:p>
    <w:p>
      <w:pPr>
        <w:pStyle w:val="ListBullet"/>
      </w:pPr>
      <w:r>
        <w:t>Monitor outcomes, overrides, appeals, complaints, incidents, drift and vendor changes together.</w:t>
      </w:r>
    </w:p>
    <w:p>
      <w:pPr>
        <w:pStyle w:val="ListBullet"/>
      </w:pPr>
      <w:r>
        <w:t>Preserve decision traceability sufficient to reconstruct material outcomes and support challenge.</w:t>
      </w:r>
    </w:p>
    <w:p>
      <w:pPr>
        <w:pStyle w:val="Heading1"/>
      </w:pPr>
      <w:r>
        <w:t>1. Introduction</w:t>
      </w:r>
    </w:p>
    <w:p>
      <w:r>
        <w:t>This guide supports insurers, reinsurers, brokers, insurtechs, third-party administrators and material service providers applying GAISSF to insurance operations. It translates control objectives into sector interpretations, evidence and implementation patterns without creating new normative obligations.</w:t>
      </w:r>
    </w:p>
    <w:p>
      <w:pPr>
        <w:pStyle w:val="Heading2"/>
      </w:pPr>
      <w:r>
        <w:t>1.1 How to use this guide</w:t>
      </w:r>
    </w:p>
    <w:p>
      <w:pPr>
        <w:pStyle w:val="ListBullet"/>
      </w:pPr>
      <w:r>
        <w:t>Start with the system inventory and classification.</w:t>
      </w:r>
    </w:p>
    <w:p>
      <w:pPr>
        <w:pStyle w:val="ListBullet"/>
      </w:pPr>
      <w:r>
        <w:t>Map applicable GAISSF controls using the verified 59-control register.</w:t>
      </w:r>
    </w:p>
    <w:p>
      <w:pPr>
        <w:pStyle w:val="ListBullet"/>
      </w:pPr>
      <w:r>
        <w:t>Select function-specific interpretations and evidence.</w:t>
      </w:r>
    </w:p>
    <w:p>
      <w:pPr>
        <w:pStyle w:val="ListBullet"/>
      </w:pPr>
      <w:r>
        <w:t>Record legal, actuarial and jurisdiction-specific obligations separately.</w:t>
      </w:r>
    </w:p>
    <w:p>
      <w:pPr>
        <w:pStyle w:val="ListBullet"/>
      </w:pPr>
      <w:r>
        <w:t>Use the workbook to assign owners, collect evidence and track remediation.</w:t>
      </w:r>
    </w:p>
    <w:p>
      <w:pPr>
        <w:pStyle w:val="ListBullet"/>
      </w:pPr>
      <w:r>
        <w:t>Retain open issues and Notably Absent statements with the assessment record.</w:t>
      </w:r>
    </w:p>
    <w:p>
      <w:pPr>
        <w:pStyle w:val="Heading1"/>
      </w:pPr>
      <w:r>
        <w:t>2. Scope</w:t>
      </w:r>
    </w:p>
    <w:p>
      <w:r>
        <w:t>Included organisations: life, health, property and casualty, general, commercial and specialty insurers; reinsurers; brokers and distributors; insurtech platforms; TPAs; claims, underwriting, data and analytics providers. Included systems span predictive, generative, computer-vision, graph, optimisation, rules-plus-model and agentic systems across acquisition, development, procurement, deployment, operation, change and retirement.</w:t>
      </w:r>
    </w:p>
    <w:p>
      <w:r>
        <w:t>Excluded: legal or actuarial opinions; product approval; rate filing decisions; insurance coverage interpretation; certification conclusions; universal numerical thresholds; and jurisdiction-specific applicability determinations.</w:t>
      </w:r>
    </w:p>
    <w:p>
      <w:pPr>
        <w:pStyle w:val="Heading1"/>
      </w:pPr>
      <w:r>
        <w:t>3. Insurance operating context</w:t>
      </w:r>
    </w:p>
    <w:tbl>
      <w:tblPr>
        <w:tblStyle w:val="TableGrid"/>
        <w:tblW w:type="auto" w:w="0"/>
        <w:jc w:val="center"/>
        <w:tblLook w:firstColumn="1" w:firstRow="1" w:lastColumn="0" w:lastRow="0" w:noHBand="0" w:noVBand="1" w:val="04A0"/>
      </w:tblPr>
      <w:tblGrid>
        <w:gridCol w:w="2592"/>
        <w:gridCol w:w="2592"/>
        <w:gridCol w:w="2592"/>
        <w:gridCol w:w="2592"/>
      </w:tblGrid>
      <w:tr>
        <w:trPr>
          <w:cantSplit/>
          <w:tblHeader w:val="true"/>
        </w:trPr>
        <w:tc>
          <w:tcPr>
            <w:tcW w:type="dxa" w:w="2592"/>
            <w:vAlign w:val="top"/>
            <w:shd w:fill="1F4E78"/>
          </w:tcPr>
          <w:p>
            <w:r/>
            <w:r>
              <w:rPr>
                <w:b/>
                <w:color w:val="FFFFFF"/>
                <w:sz w:val="15"/>
              </w:rPr>
              <w:t>Actor</w:t>
            </w:r>
          </w:p>
        </w:tc>
        <w:tc>
          <w:tcPr>
            <w:tcW w:type="dxa" w:w="2592"/>
            <w:vAlign w:val="top"/>
            <w:shd w:fill="1F4E78"/>
          </w:tcPr>
          <w:p>
            <w:r/>
            <w:r>
              <w:rPr>
                <w:b/>
                <w:color w:val="FFFFFF"/>
                <w:sz w:val="15"/>
              </w:rPr>
              <w:t>Primary accountability</w:t>
            </w:r>
          </w:p>
        </w:tc>
        <w:tc>
          <w:tcPr>
            <w:tcW w:type="dxa" w:w="2592"/>
            <w:vAlign w:val="top"/>
            <w:shd w:fill="1F4E78"/>
          </w:tcPr>
          <w:p>
            <w:r/>
            <w:r>
              <w:rPr>
                <w:b/>
                <w:color w:val="FFFFFF"/>
                <w:sz w:val="15"/>
              </w:rPr>
              <w:t>Typical AI dependency</w:t>
            </w:r>
          </w:p>
        </w:tc>
        <w:tc>
          <w:tcPr>
            <w:tcW w:type="dxa" w:w="2592"/>
            <w:vAlign w:val="top"/>
            <w:shd w:fill="1F4E78"/>
          </w:tcPr>
          <w:p>
            <w:r/>
            <w:r>
              <w:rPr>
                <w:b/>
                <w:color w:val="FFFFFF"/>
                <w:sz w:val="15"/>
              </w:rPr>
              <w:t>Key evidence</w:t>
            </w:r>
          </w:p>
        </w:tc>
      </w:tr>
      <w:tr>
        <w:trPr>
          <w:cantSplit/>
        </w:trPr>
        <w:tc>
          <w:tcPr>
            <w:tcW w:type="dxa" w:w="2592"/>
            <w:vAlign w:val="top"/>
          </w:tcPr>
          <w:p>
            <w:r/>
            <w:r>
              <w:rPr>
                <w:b w:val="0"/>
                <w:sz w:val="15"/>
              </w:rPr>
              <w:t>Insurer</w:t>
            </w:r>
          </w:p>
        </w:tc>
        <w:tc>
          <w:tcPr>
            <w:tcW w:type="dxa" w:w="2592"/>
            <w:vAlign w:val="top"/>
          </w:tcPr>
          <w:p>
            <w:r/>
            <w:r>
              <w:rPr>
                <w:b w:val="0"/>
                <w:sz w:val="15"/>
              </w:rPr>
              <w:t>Policyholder outcomes, risk acceptance, claims, governance and compliance</w:t>
            </w:r>
          </w:p>
        </w:tc>
        <w:tc>
          <w:tcPr>
            <w:tcW w:type="dxa" w:w="2592"/>
            <w:vAlign w:val="top"/>
          </w:tcPr>
          <w:p>
            <w:r/>
            <w:r>
              <w:rPr>
                <w:b w:val="0"/>
                <w:sz w:val="15"/>
              </w:rPr>
              <w:t>Models, SaaS, data, decision engines</w:t>
            </w:r>
          </w:p>
        </w:tc>
        <w:tc>
          <w:tcPr>
            <w:tcW w:type="dxa" w:w="2592"/>
            <w:vAlign w:val="top"/>
          </w:tcPr>
          <w:p>
            <w:r/>
            <w:r>
              <w:rPr>
                <w:b w:val="0"/>
                <w:sz w:val="15"/>
              </w:rPr>
              <w:t>Inventory, approvals, validation, monitoring, incidents</w:t>
            </w:r>
          </w:p>
        </w:tc>
      </w:tr>
      <w:tr>
        <w:trPr>
          <w:cantSplit/>
        </w:trPr>
        <w:tc>
          <w:tcPr>
            <w:tcW w:type="dxa" w:w="2592"/>
            <w:vAlign w:val="top"/>
            <w:shd w:fill="EAF2F8"/>
          </w:tcPr>
          <w:p>
            <w:r/>
            <w:r>
              <w:rPr>
                <w:b w:val="0"/>
                <w:sz w:val="15"/>
              </w:rPr>
              <w:t>Reinsurer</w:t>
            </w:r>
          </w:p>
        </w:tc>
        <w:tc>
          <w:tcPr>
            <w:tcW w:type="dxa" w:w="2592"/>
            <w:vAlign w:val="top"/>
            <w:shd w:fill="EAF2F8"/>
          </w:tcPr>
          <w:p>
            <w:r/>
            <w:r>
              <w:rPr>
                <w:b w:val="0"/>
                <w:sz w:val="15"/>
              </w:rPr>
              <w:t>Portfolio exposure, treaty analytics and risk transfer</w:t>
            </w:r>
          </w:p>
        </w:tc>
        <w:tc>
          <w:tcPr>
            <w:tcW w:type="dxa" w:w="2592"/>
            <w:vAlign w:val="top"/>
            <w:shd w:fill="EAF2F8"/>
          </w:tcPr>
          <w:p>
            <w:r/>
            <w:r>
              <w:rPr>
                <w:b w:val="0"/>
                <w:sz w:val="15"/>
              </w:rPr>
              <w:t>Catastrophe and accumulation models</w:t>
            </w:r>
          </w:p>
        </w:tc>
        <w:tc>
          <w:tcPr>
            <w:tcW w:type="dxa" w:w="2592"/>
            <w:vAlign w:val="top"/>
            <w:shd w:fill="EAF2F8"/>
          </w:tcPr>
          <w:p>
            <w:r/>
            <w:r>
              <w:rPr>
                <w:b w:val="0"/>
                <w:sz w:val="15"/>
              </w:rPr>
              <w:t>Model/version records, assumptions, stress tests</w:t>
            </w:r>
          </w:p>
        </w:tc>
      </w:tr>
      <w:tr>
        <w:trPr>
          <w:cantSplit/>
        </w:trPr>
        <w:tc>
          <w:tcPr>
            <w:tcW w:type="dxa" w:w="2592"/>
            <w:vAlign w:val="top"/>
          </w:tcPr>
          <w:p>
            <w:r/>
            <w:r>
              <w:rPr>
                <w:b w:val="0"/>
                <w:sz w:val="15"/>
              </w:rPr>
              <w:t>Broker / agent</w:t>
            </w:r>
          </w:p>
        </w:tc>
        <w:tc>
          <w:tcPr>
            <w:tcW w:type="dxa" w:w="2592"/>
            <w:vAlign w:val="top"/>
          </w:tcPr>
          <w:p>
            <w:r/>
            <w:r>
              <w:rPr>
                <w:b w:val="0"/>
                <w:sz w:val="15"/>
              </w:rPr>
              <w:t>Advice, suitability, disclosure and submission quality</w:t>
            </w:r>
          </w:p>
        </w:tc>
        <w:tc>
          <w:tcPr>
            <w:tcW w:type="dxa" w:w="2592"/>
            <w:vAlign w:val="top"/>
          </w:tcPr>
          <w:p>
            <w:r/>
            <w:r>
              <w:rPr>
                <w:b w:val="0"/>
                <w:sz w:val="15"/>
              </w:rPr>
              <w:t>Recommendation and submission tools</w:t>
            </w:r>
          </w:p>
        </w:tc>
        <w:tc>
          <w:tcPr>
            <w:tcW w:type="dxa" w:w="2592"/>
            <w:vAlign w:val="top"/>
          </w:tcPr>
          <w:p>
            <w:r/>
            <w:r>
              <w:rPr>
                <w:b w:val="0"/>
                <w:sz w:val="15"/>
              </w:rPr>
              <w:t>Training, approved content, conversation records</w:t>
            </w:r>
          </w:p>
        </w:tc>
      </w:tr>
      <w:tr>
        <w:trPr>
          <w:cantSplit/>
        </w:trPr>
        <w:tc>
          <w:tcPr>
            <w:tcW w:type="dxa" w:w="2592"/>
            <w:vAlign w:val="top"/>
            <w:shd w:fill="EAF2F8"/>
          </w:tcPr>
          <w:p>
            <w:r/>
            <w:r>
              <w:rPr>
                <w:b w:val="0"/>
                <w:sz w:val="15"/>
              </w:rPr>
              <w:t>TPA / claims provider</w:t>
            </w:r>
          </w:p>
        </w:tc>
        <w:tc>
          <w:tcPr>
            <w:tcW w:type="dxa" w:w="2592"/>
            <w:vAlign w:val="top"/>
            <w:shd w:fill="EAF2F8"/>
          </w:tcPr>
          <w:p>
            <w:r/>
            <w:r>
              <w:rPr>
                <w:b w:val="0"/>
                <w:sz w:val="15"/>
              </w:rPr>
              <w:t>Operational claims handling within delegated authority</w:t>
            </w:r>
          </w:p>
        </w:tc>
        <w:tc>
          <w:tcPr>
            <w:tcW w:type="dxa" w:w="2592"/>
            <w:vAlign w:val="top"/>
            <w:shd w:fill="EAF2F8"/>
          </w:tcPr>
          <w:p>
            <w:r/>
            <w:r>
              <w:rPr>
                <w:b w:val="0"/>
                <w:sz w:val="15"/>
              </w:rPr>
              <w:t>Triage, document, fraud and settlement tools</w:t>
            </w:r>
          </w:p>
        </w:tc>
        <w:tc>
          <w:tcPr>
            <w:tcW w:type="dxa" w:w="2592"/>
            <w:vAlign w:val="top"/>
            <w:shd w:fill="EAF2F8"/>
          </w:tcPr>
          <w:p>
            <w:r/>
            <w:r>
              <w:rPr>
                <w:b w:val="0"/>
                <w:sz w:val="15"/>
              </w:rPr>
              <w:t>Authority matrix, QA, logs, escalation</w:t>
            </w:r>
          </w:p>
        </w:tc>
      </w:tr>
      <w:tr>
        <w:trPr>
          <w:cantSplit/>
        </w:trPr>
        <w:tc>
          <w:tcPr>
            <w:tcW w:type="dxa" w:w="2592"/>
            <w:vAlign w:val="top"/>
          </w:tcPr>
          <w:p>
            <w:r/>
            <w:r>
              <w:rPr>
                <w:b w:val="0"/>
                <w:sz w:val="15"/>
              </w:rPr>
              <w:t>Insurtech / vendor</w:t>
            </w:r>
          </w:p>
        </w:tc>
        <w:tc>
          <w:tcPr>
            <w:tcW w:type="dxa" w:w="2592"/>
            <w:vAlign w:val="top"/>
          </w:tcPr>
          <w:p>
            <w:r/>
            <w:r>
              <w:rPr>
                <w:b w:val="0"/>
                <w:sz w:val="15"/>
              </w:rPr>
              <w:t>Service security, model operation and contractual evidence</w:t>
            </w:r>
          </w:p>
        </w:tc>
        <w:tc>
          <w:tcPr>
            <w:tcW w:type="dxa" w:w="2592"/>
            <w:vAlign w:val="top"/>
          </w:tcPr>
          <w:p>
            <w:r/>
            <w:r>
              <w:rPr>
                <w:b w:val="0"/>
                <w:sz w:val="15"/>
              </w:rPr>
              <w:t>Hosted model/API/platform</w:t>
            </w:r>
          </w:p>
        </w:tc>
        <w:tc>
          <w:tcPr>
            <w:tcW w:type="dxa" w:w="2592"/>
            <w:vAlign w:val="top"/>
          </w:tcPr>
          <w:p>
            <w:r/>
            <w:r>
              <w:rPr>
                <w:b w:val="0"/>
                <w:sz w:val="15"/>
              </w:rPr>
              <w:t>Assurance, change notices, incident and subprocessor records</w:t>
            </w:r>
          </w:p>
        </w:tc>
      </w:tr>
      <w:tr>
        <w:trPr>
          <w:cantSplit/>
        </w:trPr>
        <w:tc>
          <w:tcPr>
            <w:tcW w:type="dxa" w:w="2592"/>
            <w:vAlign w:val="top"/>
            <w:shd w:fill="EAF2F8"/>
          </w:tcPr>
          <w:p>
            <w:r/>
            <w:r>
              <w:rPr>
                <w:b w:val="0"/>
                <w:sz w:val="15"/>
              </w:rPr>
              <w:t>Data provider</w:t>
            </w:r>
          </w:p>
        </w:tc>
        <w:tc>
          <w:tcPr>
            <w:tcW w:type="dxa" w:w="2592"/>
            <w:vAlign w:val="top"/>
            <w:shd w:fill="EAF2F8"/>
          </w:tcPr>
          <w:p>
            <w:r/>
            <w:r>
              <w:rPr>
                <w:b w:val="0"/>
                <w:sz w:val="15"/>
              </w:rPr>
              <w:t>Data provenance, quality, rights and update integrity</w:t>
            </w:r>
          </w:p>
        </w:tc>
        <w:tc>
          <w:tcPr>
            <w:tcW w:type="dxa" w:w="2592"/>
            <w:vAlign w:val="top"/>
            <w:shd w:fill="EAF2F8"/>
          </w:tcPr>
          <w:p>
            <w:r/>
            <w:r>
              <w:rPr>
                <w:b w:val="0"/>
                <w:sz w:val="15"/>
              </w:rPr>
              <w:t>Enrichment, telematics, health, property and cyber data</w:t>
            </w:r>
          </w:p>
        </w:tc>
        <w:tc>
          <w:tcPr>
            <w:tcW w:type="dxa" w:w="2592"/>
            <w:vAlign w:val="top"/>
            <w:shd w:fill="EAF2F8"/>
          </w:tcPr>
          <w:p>
            <w:r/>
            <w:r>
              <w:rPr>
                <w:b w:val="0"/>
                <w:sz w:val="15"/>
              </w:rPr>
              <w:t>Lineage, contracts, quality and correction records</w:t>
            </w:r>
          </w:p>
        </w:tc>
      </w:tr>
    </w:tbl>
    <w:p/>
    <w:p>
      <w:r>
        <w:t>Insurance decisions may have long-tail consequences. Errors can remain latent until claims emerge, portfolios mature or catastrophe events expose correlated assumptions. Legacy systems and rules engines can also materially alter model outputs; assessment scope should include the complete decision chain.</w:t>
      </w:r>
    </w:p>
    <w:p>
      <w:pPr>
        <w:pStyle w:val="Heading1"/>
      </w:pPr>
      <w:r>
        <w:t>4. Sector risk landscape</w:t>
      </w:r>
    </w:p>
    <w:tbl>
      <w:tblPr>
        <w:tblStyle w:val="TableGrid"/>
        <w:tblW w:type="auto" w:w="0"/>
        <w:jc w:val="center"/>
        <w:tblLook w:firstColumn="1" w:firstRow="1" w:lastColumn="0" w:lastRow="0" w:noHBand="0" w:noVBand="1" w:val="04A0"/>
      </w:tblPr>
      <w:tblGrid>
        <w:gridCol w:w="2074"/>
        <w:gridCol w:w="2074"/>
        <w:gridCol w:w="2074"/>
        <w:gridCol w:w="2074"/>
        <w:gridCol w:w="2074"/>
      </w:tblGrid>
      <w:tr>
        <w:trPr>
          <w:cantSplit/>
          <w:tblHeader w:val="true"/>
        </w:trPr>
        <w:tc>
          <w:tcPr>
            <w:tcW w:type="dxa" w:w="2074"/>
            <w:vAlign w:val="top"/>
            <w:shd w:fill="1F4E78"/>
          </w:tcPr>
          <w:p>
            <w:r/>
            <w:r>
              <w:rPr>
                <w:b/>
                <w:color w:val="FFFFFF"/>
                <w:sz w:val="13"/>
              </w:rPr>
              <w:t>Risk domain</w:t>
            </w:r>
          </w:p>
        </w:tc>
        <w:tc>
          <w:tcPr>
            <w:tcW w:type="dxa" w:w="2074"/>
            <w:vAlign w:val="top"/>
            <w:shd w:fill="1F4E78"/>
          </w:tcPr>
          <w:p>
            <w:r/>
            <w:r>
              <w:rPr>
                <w:b/>
                <w:color w:val="FFFFFF"/>
                <w:sz w:val="13"/>
              </w:rPr>
              <w:t>Description</w:t>
            </w:r>
          </w:p>
        </w:tc>
        <w:tc>
          <w:tcPr>
            <w:tcW w:type="dxa" w:w="2074"/>
            <w:vAlign w:val="top"/>
            <w:shd w:fill="1F4E78"/>
          </w:tcPr>
          <w:p>
            <w:r/>
            <w:r>
              <w:rPr>
                <w:b/>
                <w:color w:val="FFFFFF"/>
                <w:sz w:val="13"/>
              </w:rPr>
              <w:t>Impact pathways</w:t>
            </w:r>
          </w:p>
        </w:tc>
        <w:tc>
          <w:tcPr>
            <w:tcW w:type="dxa" w:w="2074"/>
            <w:vAlign w:val="top"/>
            <w:shd w:fill="1F4E78"/>
          </w:tcPr>
          <w:p>
            <w:r/>
            <w:r>
              <w:rPr>
                <w:b/>
                <w:color w:val="FFFFFF"/>
                <w:sz w:val="13"/>
              </w:rPr>
              <w:t>GAISSF domains</w:t>
            </w:r>
          </w:p>
        </w:tc>
        <w:tc>
          <w:tcPr>
            <w:tcW w:type="dxa" w:w="2074"/>
            <w:vAlign w:val="top"/>
            <w:shd w:fill="1F4E78"/>
          </w:tcPr>
          <w:p>
            <w:r/>
            <w:r>
              <w:rPr>
                <w:b/>
                <w:color w:val="FFFFFF"/>
                <w:sz w:val="13"/>
              </w:rPr>
              <w:t>Indicative evidence</w:t>
            </w:r>
          </w:p>
        </w:tc>
      </w:tr>
      <w:tr>
        <w:trPr>
          <w:cantSplit/>
        </w:trPr>
        <w:tc>
          <w:tcPr>
            <w:tcW w:type="dxa" w:w="2074"/>
            <w:vAlign w:val="top"/>
          </w:tcPr>
          <w:p>
            <w:r/>
            <w:r>
              <w:rPr>
                <w:b w:val="0"/>
                <w:sz w:val="13"/>
              </w:rPr>
              <w:t>Underwriting and pricing</w:t>
            </w:r>
          </w:p>
        </w:tc>
        <w:tc>
          <w:tcPr>
            <w:tcW w:type="dxa" w:w="2074"/>
            <w:vAlign w:val="top"/>
          </w:tcPr>
          <w:p>
            <w:r/>
            <w:r>
              <w:rPr>
                <w:b w:val="0"/>
                <w:sz w:val="13"/>
              </w:rPr>
              <w:t>Unstable or discriminatory risk classification, proxy effects, unapproved variables, model drift, historical-data bias and correlated portfolio errors.</w:t>
            </w:r>
          </w:p>
        </w:tc>
        <w:tc>
          <w:tcPr>
            <w:tcW w:type="dxa" w:w="2074"/>
            <w:vAlign w:val="top"/>
          </w:tcPr>
          <w:p>
            <w:r/>
            <w:r>
              <w:rPr>
                <w:b w:val="0"/>
                <w:sz w:val="13"/>
              </w:rPr>
              <w:t>Coverage denial, unaffordable pricing, adverse selection, underpricing, complaints and remediation.</w:t>
            </w:r>
          </w:p>
        </w:tc>
        <w:tc>
          <w:tcPr>
            <w:tcW w:type="dxa" w:w="2074"/>
            <w:vAlign w:val="top"/>
          </w:tcPr>
          <w:p>
            <w:r/>
            <w:r>
              <w:rPr>
                <w:b w:val="0"/>
                <w:sz w:val="13"/>
              </w:rPr>
              <w:t>D1, D6, D7, D8</w:t>
            </w:r>
          </w:p>
        </w:tc>
        <w:tc>
          <w:tcPr>
            <w:tcW w:type="dxa" w:w="2074"/>
            <w:vAlign w:val="top"/>
          </w:tcPr>
          <w:p>
            <w:r/>
            <w:r>
              <w:rPr>
                <w:b w:val="0"/>
                <w:sz w:val="13"/>
              </w:rPr>
              <w:t>Model inventory; feature approval; actuarial validation; subgroup analysis; drift reports; override logs.</w:t>
            </w:r>
          </w:p>
        </w:tc>
      </w:tr>
      <w:tr>
        <w:trPr>
          <w:cantSplit/>
        </w:trPr>
        <w:tc>
          <w:tcPr>
            <w:tcW w:type="dxa" w:w="2074"/>
            <w:vAlign w:val="top"/>
            <w:shd w:fill="EAF2F8"/>
          </w:tcPr>
          <w:p>
            <w:r/>
            <w:r>
              <w:rPr>
                <w:b w:val="0"/>
                <w:sz w:val="13"/>
              </w:rPr>
              <w:t>Claims</w:t>
            </w:r>
          </w:p>
        </w:tc>
        <w:tc>
          <w:tcPr>
            <w:tcW w:type="dxa" w:w="2074"/>
            <w:vAlign w:val="top"/>
            <w:shd w:fill="EAF2F8"/>
          </w:tcPr>
          <w:p>
            <w:r/>
            <w:r>
              <w:rPr>
                <w:b w:val="0"/>
                <w:sz w:val="13"/>
              </w:rPr>
              <w:t>Incorrect denial, suppression or prioritisation; fraud false positives; synthetic evidence; deepfakes; hallucinated summaries; automation bias.</w:t>
            </w:r>
          </w:p>
        </w:tc>
        <w:tc>
          <w:tcPr>
            <w:tcW w:type="dxa" w:w="2074"/>
            <w:vAlign w:val="top"/>
            <w:shd w:fill="EAF2F8"/>
          </w:tcPr>
          <w:p>
            <w:r/>
            <w:r>
              <w:rPr>
                <w:b w:val="0"/>
                <w:sz w:val="13"/>
              </w:rPr>
              <w:t>Delayed or denied benefits, leakage, litigation, vulnerable-customer harm and operational backlog.</w:t>
            </w:r>
          </w:p>
        </w:tc>
        <w:tc>
          <w:tcPr>
            <w:tcW w:type="dxa" w:w="2074"/>
            <w:vAlign w:val="top"/>
            <w:shd w:fill="EAF2F8"/>
          </w:tcPr>
          <w:p>
            <w:r/>
            <w:r>
              <w:rPr>
                <w:b w:val="0"/>
                <w:sz w:val="13"/>
              </w:rPr>
              <w:t>D1, D2, D5, D6, D7</w:t>
            </w:r>
          </w:p>
        </w:tc>
        <w:tc>
          <w:tcPr>
            <w:tcW w:type="dxa" w:w="2074"/>
            <w:vAlign w:val="top"/>
            <w:shd w:fill="EAF2F8"/>
          </w:tcPr>
          <w:p>
            <w:r/>
            <w:r>
              <w:rPr>
                <w:b w:val="0"/>
                <w:sz w:val="13"/>
              </w:rPr>
              <w:t>Decision trace; evidence integrity checks; manual-review criteria; appeal records; outcome monitoring.</w:t>
            </w:r>
          </w:p>
        </w:tc>
      </w:tr>
      <w:tr>
        <w:trPr>
          <w:cantSplit/>
        </w:trPr>
        <w:tc>
          <w:tcPr>
            <w:tcW w:type="dxa" w:w="2074"/>
            <w:vAlign w:val="top"/>
          </w:tcPr>
          <w:p>
            <w:r/>
            <w:r>
              <w:rPr>
                <w:b w:val="0"/>
                <w:sz w:val="13"/>
              </w:rPr>
              <w:t>Policyholder and consumer harm</w:t>
            </w:r>
          </w:p>
        </w:tc>
        <w:tc>
          <w:tcPr>
            <w:tcW w:type="dxa" w:w="2074"/>
            <w:vAlign w:val="top"/>
          </w:tcPr>
          <w:p>
            <w:r/>
            <w:r>
              <w:rPr>
                <w:b w:val="0"/>
                <w:sz w:val="13"/>
              </w:rPr>
              <w:t>Unfair treatment, inadequate notice or explanation, inaccessible appeal, misleading communications and vulnerable-customer impacts.</w:t>
            </w:r>
          </w:p>
        </w:tc>
        <w:tc>
          <w:tcPr>
            <w:tcW w:type="dxa" w:w="2074"/>
            <w:vAlign w:val="top"/>
          </w:tcPr>
          <w:p>
            <w:r/>
            <w:r>
              <w:rPr>
                <w:b w:val="0"/>
                <w:sz w:val="13"/>
              </w:rPr>
              <w:t>Financial exclusion, loss of trust, remediation, supervisory action and reputational damage.</w:t>
            </w:r>
          </w:p>
        </w:tc>
        <w:tc>
          <w:tcPr>
            <w:tcW w:type="dxa" w:w="2074"/>
            <w:vAlign w:val="top"/>
          </w:tcPr>
          <w:p>
            <w:r/>
            <w:r>
              <w:rPr>
                <w:b w:val="0"/>
                <w:sz w:val="13"/>
              </w:rPr>
              <w:t>D5, D6, D7, D8</w:t>
            </w:r>
          </w:p>
        </w:tc>
        <w:tc>
          <w:tcPr>
            <w:tcW w:type="dxa" w:w="2074"/>
            <w:vAlign w:val="top"/>
          </w:tcPr>
          <w:p>
            <w:r/>
            <w:r>
              <w:rPr>
                <w:b w:val="0"/>
                <w:sz w:val="13"/>
              </w:rPr>
              <w:t>Impact assessment; notices; explanation tests; accessibility review; complaint and appeal metrics.</w:t>
            </w:r>
          </w:p>
        </w:tc>
      </w:tr>
      <w:tr>
        <w:trPr>
          <w:cantSplit/>
        </w:trPr>
        <w:tc>
          <w:tcPr>
            <w:tcW w:type="dxa" w:w="2074"/>
            <w:vAlign w:val="top"/>
            <w:shd w:fill="EAF2F8"/>
          </w:tcPr>
          <w:p>
            <w:r/>
            <w:r>
              <w:rPr>
                <w:b w:val="0"/>
                <w:sz w:val="13"/>
              </w:rPr>
              <w:t>Data</w:t>
            </w:r>
          </w:p>
        </w:tc>
        <w:tc>
          <w:tcPr>
            <w:tcW w:type="dxa" w:w="2074"/>
            <w:vAlign w:val="top"/>
            <w:shd w:fill="EAF2F8"/>
          </w:tcPr>
          <w:p>
            <w:r/>
            <w:r>
              <w:rPr>
                <w:b w:val="0"/>
                <w:sz w:val="13"/>
              </w:rPr>
              <w:t>Weak provenance, inaccurate broker data, sensitive health or financial data misuse, retention failures, proxy variables and training-data rights.</w:t>
            </w:r>
          </w:p>
        </w:tc>
        <w:tc>
          <w:tcPr>
            <w:tcW w:type="dxa" w:w="2074"/>
            <w:vAlign w:val="top"/>
            <w:shd w:fill="EAF2F8"/>
          </w:tcPr>
          <w:p>
            <w:r/>
            <w:r>
              <w:rPr>
                <w:b w:val="0"/>
                <w:sz w:val="13"/>
              </w:rPr>
              <w:t>Privacy harm, unreliable decisions, legal exposure, model contamination and rework.</w:t>
            </w:r>
          </w:p>
        </w:tc>
        <w:tc>
          <w:tcPr>
            <w:tcW w:type="dxa" w:w="2074"/>
            <w:vAlign w:val="top"/>
            <w:shd w:fill="EAF2F8"/>
          </w:tcPr>
          <w:p>
            <w:r/>
            <w:r>
              <w:rPr>
                <w:b w:val="0"/>
                <w:sz w:val="13"/>
              </w:rPr>
              <w:t>D1, D4, D6, D7, D8</w:t>
            </w:r>
          </w:p>
        </w:tc>
        <w:tc>
          <w:tcPr>
            <w:tcW w:type="dxa" w:w="2074"/>
            <w:vAlign w:val="top"/>
            <w:shd w:fill="EAF2F8"/>
          </w:tcPr>
          <w:p>
            <w:r/>
            <w:r>
              <w:rPr>
                <w:b w:val="0"/>
                <w:sz w:val="13"/>
              </w:rPr>
              <w:t>Data register; lineage; consent/purpose basis; quality controls; access logs; deletion evidence.</w:t>
            </w:r>
          </w:p>
        </w:tc>
      </w:tr>
      <w:tr>
        <w:trPr>
          <w:cantSplit/>
        </w:trPr>
        <w:tc>
          <w:tcPr>
            <w:tcW w:type="dxa" w:w="2074"/>
            <w:vAlign w:val="top"/>
          </w:tcPr>
          <w:p>
            <w:r/>
            <w:r>
              <w:rPr>
                <w:b w:val="0"/>
                <w:sz w:val="13"/>
              </w:rPr>
              <w:t>Cybersecurity and adversarial</w:t>
            </w:r>
          </w:p>
        </w:tc>
        <w:tc>
          <w:tcPr>
            <w:tcW w:type="dxa" w:w="2074"/>
            <w:vAlign w:val="top"/>
          </w:tcPr>
          <w:p>
            <w:r/>
            <w:r>
              <w:rPr>
                <w:b w:val="0"/>
                <w:sz w:val="13"/>
              </w:rPr>
              <w:t>Prompt injection, poisoning, evasion, extraction, API abuse, credential compromise, insider misuse and vendor compromise.</w:t>
            </w:r>
          </w:p>
        </w:tc>
        <w:tc>
          <w:tcPr>
            <w:tcW w:type="dxa" w:w="2074"/>
            <w:vAlign w:val="top"/>
          </w:tcPr>
          <w:p>
            <w:r/>
            <w:r>
              <w:rPr>
                <w:b w:val="0"/>
                <w:sz w:val="13"/>
              </w:rPr>
              <w:t>Fraud losses, data exfiltration, service disruption, manipulated decisions and IP loss.</w:t>
            </w:r>
          </w:p>
        </w:tc>
        <w:tc>
          <w:tcPr>
            <w:tcW w:type="dxa" w:w="2074"/>
            <w:vAlign w:val="top"/>
          </w:tcPr>
          <w:p>
            <w:r/>
            <w:r>
              <w:rPr>
                <w:b w:val="0"/>
                <w:sz w:val="13"/>
              </w:rPr>
              <w:t>D1, D2, D3, D4</w:t>
            </w:r>
          </w:p>
        </w:tc>
        <w:tc>
          <w:tcPr>
            <w:tcW w:type="dxa" w:w="2074"/>
            <w:vAlign w:val="top"/>
          </w:tcPr>
          <w:p>
            <w:r/>
            <w:r>
              <w:rPr>
                <w:b w:val="0"/>
                <w:sz w:val="13"/>
              </w:rPr>
              <w:t>Threat model; red-team results; IAM evidence; runtime telemetry; incident exercises; DLP records.</w:t>
            </w:r>
          </w:p>
        </w:tc>
      </w:tr>
      <w:tr>
        <w:trPr>
          <w:cantSplit/>
        </w:trPr>
        <w:tc>
          <w:tcPr>
            <w:tcW w:type="dxa" w:w="2074"/>
            <w:vAlign w:val="top"/>
            <w:shd w:fill="EAF2F8"/>
          </w:tcPr>
          <w:p>
            <w:r/>
            <w:r>
              <w:rPr>
                <w:b w:val="0"/>
                <w:sz w:val="13"/>
              </w:rPr>
              <w:t>Model and decision</w:t>
            </w:r>
          </w:p>
        </w:tc>
        <w:tc>
          <w:tcPr>
            <w:tcW w:type="dxa" w:w="2074"/>
            <w:vAlign w:val="top"/>
            <w:shd w:fill="EAF2F8"/>
          </w:tcPr>
          <w:p>
            <w:r/>
            <w:r>
              <w:rPr>
                <w:b w:val="0"/>
                <w:sz w:val="13"/>
              </w:rPr>
              <w:t>Poor specification, uncontrolled updates, non-reproducibility, overfitting, weak thresholds, rules/model interaction and unsupported overrides.</w:t>
            </w:r>
          </w:p>
        </w:tc>
        <w:tc>
          <w:tcPr>
            <w:tcW w:type="dxa" w:w="2074"/>
            <w:vAlign w:val="top"/>
            <w:shd w:fill="EAF2F8"/>
          </w:tcPr>
          <w:p>
            <w:r/>
            <w:r>
              <w:rPr>
                <w:b w:val="0"/>
                <w:sz w:val="13"/>
              </w:rPr>
              <w:t>Systematic pricing or claims errors, reserving distortion and audit failure.</w:t>
            </w:r>
          </w:p>
        </w:tc>
        <w:tc>
          <w:tcPr>
            <w:tcW w:type="dxa" w:w="2074"/>
            <w:vAlign w:val="top"/>
            <w:shd w:fill="EAF2F8"/>
          </w:tcPr>
          <w:p>
            <w:r/>
            <w:r>
              <w:rPr>
                <w:b w:val="0"/>
                <w:sz w:val="13"/>
              </w:rPr>
              <w:t>D1, D6, D8</w:t>
            </w:r>
          </w:p>
        </w:tc>
        <w:tc>
          <w:tcPr>
            <w:tcW w:type="dxa" w:w="2074"/>
            <w:vAlign w:val="top"/>
            <w:shd w:fill="EAF2F8"/>
          </w:tcPr>
          <w:p>
            <w:r/>
            <w:r>
              <w:rPr>
                <w:b w:val="0"/>
                <w:sz w:val="13"/>
              </w:rPr>
              <w:t>Independent validation; model cards; version control; approval record; threshold rationale; rollback test.</w:t>
            </w:r>
          </w:p>
        </w:tc>
      </w:tr>
      <w:tr>
        <w:trPr>
          <w:cantSplit/>
        </w:trPr>
        <w:tc>
          <w:tcPr>
            <w:tcW w:type="dxa" w:w="2074"/>
            <w:vAlign w:val="top"/>
          </w:tcPr>
          <w:p>
            <w:r/>
            <w:r>
              <w:rPr>
                <w:b w:val="0"/>
                <w:sz w:val="13"/>
              </w:rPr>
              <w:t>Third-party ecosystem</w:t>
            </w:r>
          </w:p>
        </w:tc>
        <w:tc>
          <w:tcPr>
            <w:tcW w:type="dxa" w:w="2074"/>
            <w:vAlign w:val="top"/>
          </w:tcPr>
          <w:p>
            <w:r/>
            <w:r>
              <w:rPr>
                <w:b w:val="0"/>
                <w:sz w:val="13"/>
              </w:rPr>
              <w:t>Opaque vendor models, weak audit rights, subprocessor exposure, update risk, concentration and exit limitations.</w:t>
            </w:r>
          </w:p>
        </w:tc>
        <w:tc>
          <w:tcPr>
            <w:tcW w:type="dxa" w:w="2074"/>
            <w:vAlign w:val="top"/>
          </w:tcPr>
          <w:p>
            <w:r/>
            <w:r>
              <w:rPr>
                <w:b w:val="0"/>
                <w:sz w:val="13"/>
              </w:rPr>
              <w:t>Correlated failures, service outage, lock-in, evidentiary gaps and regulatory access problems.</w:t>
            </w:r>
          </w:p>
        </w:tc>
        <w:tc>
          <w:tcPr>
            <w:tcW w:type="dxa" w:w="2074"/>
            <w:vAlign w:val="top"/>
          </w:tcPr>
          <w:p>
            <w:r/>
            <w:r>
              <w:rPr>
                <w:b w:val="0"/>
                <w:sz w:val="13"/>
              </w:rPr>
              <w:t>D4, D6, D8</w:t>
            </w:r>
          </w:p>
        </w:tc>
        <w:tc>
          <w:tcPr>
            <w:tcW w:type="dxa" w:w="2074"/>
            <w:vAlign w:val="top"/>
          </w:tcPr>
          <w:p>
            <w:r/>
            <w:r>
              <w:rPr>
                <w:b w:val="0"/>
                <w:sz w:val="13"/>
              </w:rPr>
              <w:t>Due diligence; contract clauses; audit reports; dependency map; exit test; concentration assessment.</w:t>
            </w:r>
          </w:p>
        </w:tc>
      </w:tr>
      <w:tr>
        <w:trPr>
          <w:cantSplit/>
        </w:trPr>
        <w:tc>
          <w:tcPr>
            <w:tcW w:type="dxa" w:w="2074"/>
            <w:vAlign w:val="top"/>
            <w:shd w:fill="EAF2F8"/>
          </w:tcPr>
          <w:p>
            <w:r/>
            <w:r>
              <w:rPr>
                <w:b w:val="0"/>
                <w:sz w:val="13"/>
              </w:rPr>
              <w:t>Prudential and systemic</w:t>
            </w:r>
          </w:p>
        </w:tc>
        <w:tc>
          <w:tcPr>
            <w:tcW w:type="dxa" w:w="2074"/>
            <w:vAlign w:val="top"/>
            <w:shd w:fill="EAF2F8"/>
          </w:tcPr>
          <w:p>
            <w:r/>
            <w:r>
              <w:rPr>
                <w:b w:val="0"/>
                <w:sz w:val="13"/>
              </w:rPr>
              <w:t>Common model/vendor concentration, tail-risk underestimation, catastrophe-model dependency, cyber accumulation and claims surge.</w:t>
            </w:r>
          </w:p>
        </w:tc>
        <w:tc>
          <w:tcPr>
            <w:tcW w:type="dxa" w:w="2074"/>
            <w:vAlign w:val="top"/>
            <w:shd w:fill="EAF2F8"/>
          </w:tcPr>
          <w:p>
            <w:r/>
            <w:r>
              <w:rPr>
                <w:b w:val="0"/>
                <w:sz w:val="13"/>
              </w:rPr>
              <w:t>Capital, reserving, liquidity, reinsurance dispute and sector-wide operational impacts.</w:t>
            </w:r>
          </w:p>
        </w:tc>
        <w:tc>
          <w:tcPr>
            <w:tcW w:type="dxa" w:w="2074"/>
            <w:vAlign w:val="top"/>
            <w:shd w:fill="EAF2F8"/>
          </w:tcPr>
          <w:p>
            <w:r/>
            <w:r>
              <w:rPr>
                <w:b w:val="0"/>
                <w:sz w:val="13"/>
              </w:rPr>
              <w:t>D4, D6, D8</w:t>
            </w:r>
          </w:p>
        </w:tc>
        <w:tc>
          <w:tcPr>
            <w:tcW w:type="dxa" w:w="2074"/>
            <w:vAlign w:val="top"/>
            <w:shd w:fill="EAF2F8"/>
          </w:tcPr>
          <w:p>
            <w:r/>
            <w:r>
              <w:rPr>
                <w:b w:val="0"/>
                <w:sz w:val="13"/>
              </w:rPr>
              <w:t>Scenario analysis; accumulation map; stress test; board risk appetite; contingency and reinsurance review.</w:t>
            </w:r>
          </w:p>
        </w:tc>
      </w:tr>
    </w:tbl>
    <w:p/>
    <w:p>
      <w:pPr>
        <w:pStyle w:val="Heading2"/>
      </w:pPr>
      <w:r>
        <w:t>4.1 Underwriting and pricing</w:t>
      </w:r>
    </w:p>
    <w:p>
      <w:r>
        <w:t>Unstable or discriminatory risk classification, proxy effects, unapproved variables, model drift, historical-data bias and correlated portfolio errors. Affected functions should assess business, policyholder, security, compliance and prudential consequences separately. Typical impacts include coverage denial, unaffordable pricing, adverse selection, underpricing, complaints and remediation.</w:t>
      </w:r>
    </w:p>
    <w:p>
      <w:r>
        <w:t>Control focus: D1, D6, D7, D8. Evidence: Model inventory; feature approval; actuarial validation; subgroup analysis; drift reports; override logs.</w:t>
      </w:r>
    </w:p>
    <w:p>
      <w:r>
        <w:t>Limitations: risk likelihood and materiality are entity-, product-, portfolio- and jurisdiction-specific; examples are not exhaustive safe harbours.</w:t>
      </w:r>
    </w:p>
    <w:p>
      <w:pPr>
        <w:pStyle w:val="Heading2"/>
      </w:pPr>
      <w:r>
        <w:t>4.2 Claims</w:t>
      </w:r>
    </w:p>
    <w:p>
      <w:r>
        <w:t>Incorrect denial, suppression or prioritisation; fraud false positives; synthetic evidence; deepfakes; hallucinated summaries; automation bias. Affected functions should assess business, policyholder, security, compliance and prudential consequences separately. Typical impacts include delayed or denied benefits, leakage, litigation, vulnerable-customer harm and operational backlog.</w:t>
      </w:r>
    </w:p>
    <w:p>
      <w:r>
        <w:t>Control focus: D1, D2, D5, D6, D7. Evidence: Decision trace; evidence integrity checks; manual-review criteria; appeal records; outcome monitoring.</w:t>
      </w:r>
    </w:p>
    <w:p>
      <w:r>
        <w:t>Limitations: risk likelihood and materiality are entity-, product-, portfolio- and jurisdiction-specific; examples are not exhaustive safe harbours.</w:t>
      </w:r>
    </w:p>
    <w:p>
      <w:pPr>
        <w:pStyle w:val="Heading2"/>
      </w:pPr>
      <w:r>
        <w:t>4.3 Policyholder and consumer harm</w:t>
      </w:r>
    </w:p>
    <w:p>
      <w:r>
        <w:t>Unfair treatment, inadequate notice or explanation, inaccessible appeal, misleading communications and vulnerable-customer impacts. Affected functions should assess business, policyholder, security, compliance and prudential consequences separately. Typical impacts include financial exclusion, loss of trust, remediation, supervisory action and reputational damage.</w:t>
      </w:r>
    </w:p>
    <w:p>
      <w:r>
        <w:t>Control focus: D5, D6, D7, D8. Evidence: Impact assessment; notices; explanation tests; accessibility review; complaint and appeal metrics.</w:t>
      </w:r>
    </w:p>
    <w:p>
      <w:r>
        <w:t>Limitations: risk likelihood and materiality are entity-, product-, portfolio- and jurisdiction-specific; examples are not exhaustive safe harbours.</w:t>
      </w:r>
    </w:p>
    <w:p>
      <w:pPr>
        <w:pStyle w:val="Heading2"/>
      </w:pPr>
      <w:r>
        <w:t>4.4 Data</w:t>
      </w:r>
    </w:p>
    <w:p>
      <w:r>
        <w:t>Weak provenance, inaccurate broker data, sensitive health or financial data misuse, retention failures, proxy variables and training-data rights. Affected functions should assess business, policyholder, security, compliance and prudential consequences separately. Typical impacts include privacy harm, unreliable decisions, legal exposure, model contamination and rework.</w:t>
      </w:r>
    </w:p>
    <w:p>
      <w:r>
        <w:t>Control focus: D1, D4, D6, D7, D8. Evidence: Data register; lineage; consent/purpose basis; quality controls; access logs; deletion evidence.</w:t>
      </w:r>
    </w:p>
    <w:p>
      <w:r>
        <w:t>Limitations: risk likelihood and materiality are entity-, product-, portfolio- and jurisdiction-specific; examples are not exhaustive safe harbours.</w:t>
      </w:r>
    </w:p>
    <w:p>
      <w:pPr>
        <w:pStyle w:val="Heading2"/>
      </w:pPr>
      <w:r>
        <w:t>4.5 Cybersecurity and adversarial</w:t>
      </w:r>
    </w:p>
    <w:p>
      <w:r>
        <w:t>Prompt injection, poisoning, evasion, extraction, API abuse, credential compromise, insider misuse and vendor compromise. Affected functions should assess business, policyholder, security, compliance and prudential consequences separately. Typical impacts include fraud losses, data exfiltration, service disruption, manipulated decisions and ip loss.</w:t>
      </w:r>
    </w:p>
    <w:p>
      <w:r>
        <w:t>Control focus: D1, D2, D3, D4. Evidence: Threat model; red-team results; IAM evidence; runtime telemetry; incident exercises; DLP records.</w:t>
      </w:r>
    </w:p>
    <w:p>
      <w:r>
        <w:t>Limitations: risk likelihood and materiality are entity-, product-, portfolio- and jurisdiction-specific; examples are not exhaustive safe harbours.</w:t>
      </w:r>
    </w:p>
    <w:p>
      <w:pPr>
        <w:pStyle w:val="Heading2"/>
      </w:pPr>
      <w:r>
        <w:t>4.6 Model and decision</w:t>
      </w:r>
    </w:p>
    <w:p>
      <w:r>
        <w:t>Poor specification, uncontrolled updates, non-reproducibility, overfitting, weak thresholds, rules/model interaction and unsupported overrides. Affected functions should assess business, policyholder, security, compliance and prudential consequences separately. Typical impacts include systematic pricing or claims errors, reserving distortion and audit failure.</w:t>
      </w:r>
    </w:p>
    <w:p>
      <w:r>
        <w:t>Control focus: D1, D6, D8. Evidence: Independent validation; model cards; version control; approval record; threshold rationale; rollback test.</w:t>
      </w:r>
    </w:p>
    <w:p>
      <w:r>
        <w:t>Limitations: risk likelihood and materiality are entity-, product-, portfolio- and jurisdiction-specific; examples are not exhaustive safe harbours.</w:t>
      </w:r>
    </w:p>
    <w:p>
      <w:pPr>
        <w:pStyle w:val="Heading2"/>
      </w:pPr>
      <w:r>
        <w:t>4.7 Third-party ecosystem</w:t>
      </w:r>
    </w:p>
    <w:p>
      <w:r>
        <w:t>Opaque vendor models, weak audit rights, subprocessor exposure, update risk, concentration and exit limitations. Affected functions should assess business, policyholder, security, compliance and prudential consequences separately. Typical impacts include correlated failures, service outage, lock-in, evidentiary gaps and regulatory access problems.</w:t>
      </w:r>
    </w:p>
    <w:p>
      <w:r>
        <w:t>Control focus: D4, D6, D8. Evidence: Due diligence; contract clauses; audit reports; dependency map; exit test; concentration assessment.</w:t>
      </w:r>
    </w:p>
    <w:p>
      <w:r>
        <w:t>Limitations: risk likelihood and materiality are entity-, product-, portfolio- and jurisdiction-specific; examples are not exhaustive safe harbours.</w:t>
      </w:r>
    </w:p>
    <w:p>
      <w:pPr>
        <w:pStyle w:val="Heading2"/>
      </w:pPr>
      <w:r>
        <w:t>4.8 Prudential and systemic</w:t>
      </w:r>
    </w:p>
    <w:p>
      <w:r>
        <w:t>Common model/vendor concentration, tail-risk underestimation, catastrophe-model dependency, cyber accumulation and claims surge. Affected functions should assess business, policyholder, security, compliance and prudential consequences separately. Typical impacts include capital, reserving, liquidity, reinsurance dispute and sector-wide operational impacts.</w:t>
      </w:r>
    </w:p>
    <w:p>
      <w:r>
        <w:t>Control focus: D4, D6, D8. Evidence: Scenario analysis; accumulation map; stress test; board risk appetite; contingency and reinsurance review.</w:t>
      </w:r>
    </w:p>
    <w:p>
      <w:r>
        <w:t>Limitations: risk likelihood and materiality are entity-, product-, portfolio- and jurisdiction-specific; examples are not exhaustive safe harbours.</w:t>
      </w:r>
    </w:p>
    <w:p>
      <w:pPr>
        <w:pStyle w:val="Heading1"/>
      </w:pPr>
      <w:r>
        <w:t>5. Insurance AI system classification</w:t>
      </w:r>
    </w:p>
    <w:tbl>
      <w:tblPr>
        <w:tblStyle w:val="TableGrid"/>
        <w:tblW w:type="auto" w:w="0"/>
        <w:jc w:val="center"/>
        <w:tblLook w:firstColumn="1" w:firstRow="1" w:lastColumn="0" w:lastRow="0" w:noHBand="0" w:noVBand="1" w:val="04A0"/>
      </w:tblPr>
      <w:tblGrid>
        <w:gridCol w:w="2592"/>
        <w:gridCol w:w="2592"/>
        <w:gridCol w:w="2592"/>
        <w:gridCol w:w="2592"/>
      </w:tblGrid>
      <w:tr>
        <w:trPr>
          <w:cantSplit/>
          <w:tblHeader w:val="true"/>
        </w:trPr>
        <w:tc>
          <w:tcPr>
            <w:tcW w:type="dxa" w:w="2592"/>
            <w:vAlign w:val="top"/>
            <w:shd w:fill="1F4E78"/>
          </w:tcPr>
          <w:p>
            <w:r/>
            <w:r>
              <w:rPr>
                <w:b/>
                <w:color w:val="FFFFFF"/>
                <w:sz w:val="15"/>
              </w:rPr>
              <w:t>Class</w:t>
            </w:r>
          </w:p>
        </w:tc>
        <w:tc>
          <w:tcPr>
            <w:tcW w:type="dxa" w:w="2592"/>
            <w:vAlign w:val="top"/>
            <w:shd w:fill="1F4E78"/>
          </w:tcPr>
          <w:p>
            <w:r/>
            <w:r>
              <w:rPr>
                <w:b/>
                <w:color w:val="FFFFFF"/>
                <w:sz w:val="15"/>
              </w:rPr>
              <w:t>Decision / impact profile</w:t>
            </w:r>
          </w:p>
        </w:tc>
        <w:tc>
          <w:tcPr>
            <w:tcW w:type="dxa" w:w="2592"/>
            <w:vAlign w:val="top"/>
            <w:shd w:fill="1F4E78"/>
          </w:tcPr>
          <w:p>
            <w:r/>
            <w:r>
              <w:rPr>
                <w:b/>
                <w:color w:val="FFFFFF"/>
                <w:sz w:val="15"/>
              </w:rPr>
              <w:t>Examples</w:t>
            </w:r>
          </w:p>
        </w:tc>
        <w:tc>
          <w:tcPr>
            <w:tcW w:type="dxa" w:w="2592"/>
            <w:vAlign w:val="top"/>
            <w:shd w:fill="1F4E78"/>
          </w:tcPr>
          <w:p>
            <w:r/>
            <w:r>
              <w:rPr>
                <w:b/>
                <w:color w:val="FFFFFF"/>
                <w:sz w:val="15"/>
              </w:rPr>
              <w:t>Minimum governance response</w:t>
            </w:r>
          </w:p>
        </w:tc>
      </w:tr>
      <w:tr>
        <w:trPr>
          <w:cantSplit/>
        </w:trPr>
        <w:tc>
          <w:tcPr>
            <w:tcW w:type="dxa" w:w="2592"/>
            <w:vAlign w:val="top"/>
          </w:tcPr>
          <w:p>
            <w:r/>
            <w:r>
              <w:rPr>
                <w:b w:val="0"/>
                <w:sz w:val="15"/>
              </w:rPr>
              <w:t>Low-impact assistive</w:t>
            </w:r>
          </w:p>
        </w:tc>
        <w:tc>
          <w:tcPr>
            <w:tcW w:type="dxa" w:w="2592"/>
            <w:vAlign w:val="top"/>
          </w:tcPr>
          <w:p>
            <w:r/>
            <w:r>
              <w:rPr>
                <w:b w:val="0"/>
                <w:sz w:val="15"/>
              </w:rPr>
              <w:t>No direct adverse decision; reversible; low sensitivity</w:t>
            </w:r>
          </w:p>
        </w:tc>
        <w:tc>
          <w:tcPr>
            <w:tcW w:type="dxa" w:w="2592"/>
            <w:vAlign w:val="top"/>
          </w:tcPr>
          <w:p>
            <w:r/>
            <w:r>
              <w:rPr>
                <w:b w:val="0"/>
                <w:sz w:val="15"/>
              </w:rPr>
              <w:t>Drafting internal text or summarising non-sensitive material</w:t>
            </w:r>
          </w:p>
        </w:tc>
        <w:tc>
          <w:tcPr>
            <w:tcW w:type="dxa" w:w="2592"/>
            <w:vAlign w:val="top"/>
          </w:tcPr>
          <w:p>
            <w:r/>
            <w:r>
              <w:rPr>
                <w:b w:val="0"/>
                <w:sz w:val="15"/>
              </w:rPr>
              <w:t>Standard access, logging, output review and acceptable-use controls.</w:t>
            </w:r>
          </w:p>
        </w:tc>
      </w:tr>
      <w:tr>
        <w:trPr>
          <w:cantSplit/>
        </w:trPr>
        <w:tc>
          <w:tcPr>
            <w:tcW w:type="dxa" w:w="2592"/>
            <w:vAlign w:val="top"/>
            <w:shd w:fill="EAF2F8"/>
          </w:tcPr>
          <w:p>
            <w:r/>
            <w:r>
              <w:rPr>
                <w:b w:val="0"/>
                <w:sz w:val="15"/>
              </w:rPr>
              <w:t>Material operational</w:t>
            </w:r>
          </w:p>
        </w:tc>
        <w:tc>
          <w:tcPr>
            <w:tcW w:type="dxa" w:w="2592"/>
            <w:vAlign w:val="top"/>
            <w:shd w:fill="EAF2F8"/>
          </w:tcPr>
          <w:p>
            <w:r/>
            <w:r>
              <w:rPr>
                <w:b w:val="0"/>
                <w:sz w:val="15"/>
              </w:rPr>
              <w:t>Supports important workflow or material volumes</w:t>
            </w:r>
          </w:p>
        </w:tc>
        <w:tc>
          <w:tcPr>
            <w:tcW w:type="dxa" w:w="2592"/>
            <w:vAlign w:val="top"/>
            <w:shd w:fill="EAF2F8"/>
          </w:tcPr>
          <w:p>
            <w:r/>
            <w:r>
              <w:rPr>
                <w:b w:val="0"/>
                <w:sz w:val="15"/>
              </w:rPr>
              <w:t>Claims document classification; broker submission extraction</w:t>
            </w:r>
          </w:p>
        </w:tc>
        <w:tc>
          <w:tcPr>
            <w:tcW w:type="dxa" w:w="2592"/>
            <w:vAlign w:val="top"/>
            <w:shd w:fill="EAF2F8"/>
          </w:tcPr>
          <w:p>
            <w:r/>
            <w:r>
              <w:rPr>
                <w:b w:val="0"/>
                <w:sz w:val="15"/>
              </w:rPr>
              <w:t>Formal owner, validation, monitoring, fallback and change control.</w:t>
            </w:r>
          </w:p>
        </w:tc>
      </w:tr>
      <w:tr>
        <w:trPr>
          <w:cantSplit/>
        </w:trPr>
        <w:tc>
          <w:tcPr>
            <w:tcW w:type="dxa" w:w="2592"/>
            <w:vAlign w:val="top"/>
          </w:tcPr>
          <w:p>
            <w:r/>
            <w:r>
              <w:rPr>
                <w:b w:val="0"/>
                <w:sz w:val="15"/>
              </w:rPr>
              <w:t>High-impact policyholder decision</w:t>
            </w:r>
          </w:p>
        </w:tc>
        <w:tc>
          <w:tcPr>
            <w:tcW w:type="dxa" w:w="2592"/>
            <w:vAlign w:val="top"/>
          </w:tcPr>
          <w:p>
            <w:r/>
            <w:r>
              <w:rPr>
                <w:b w:val="0"/>
                <w:sz w:val="15"/>
              </w:rPr>
              <w:t>Influences eligibility, price, coverage, claim or adverse action</w:t>
            </w:r>
          </w:p>
        </w:tc>
        <w:tc>
          <w:tcPr>
            <w:tcW w:type="dxa" w:w="2592"/>
            <w:vAlign w:val="top"/>
          </w:tcPr>
          <w:p>
            <w:r/>
            <w:r>
              <w:rPr>
                <w:b w:val="0"/>
                <w:sz w:val="15"/>
              </w:rPr>
              <w:t>Life underwriting score; claim denial recommendation</w:t>
            </w:r>
          </w:p>
        </w:tc>
        <w:tc>
          <w:tcPr>
            <w:tcW w:type="dxa" w:w="2592"/>
            <w:vAlign w:val="top"/>
          </w:tcPr>
          <w:p>
            <w:r/>
            <w:r>
              <w:rPr>
                <w:b w:val="0"/>
                <w:sz w:val="15"/>
              </w:rPr>
              <w:t>Independent validation, fairness testing, meaningful human review, explanation and appeal.</w:t>
            </w:r>
          </w:p>
        </w:tc>
      </w:tr>
      <w:tr>
        <w:trPr>
          <w:cantSplit/>
        </w:trPr>
        <w:tc>
          <w:tcPr>
            <w:tcW w:type="dxa" w:w="2592"/>
            <w:vAlign w:val="top"/>
            <w:shd w:fill="EAF2F8"/>
          </w:tcPr>
          <w:p>
            <w:r/>
            <w:r>
              <w:rPr>
                <w:b w:val="0"/>
                <w:sz w:val="15"/>
              </w:rPr>
              <w:t>Prudentially significant</w:t>
            </w:r>
          </w:p>
        </w:tc>
        <w:tc>
          <w:tcPr>
            <w:tcW w:type="dxa" w:w="2592"/>
            <w:vAlign w:val="top"/>
            <w:shd w:fill="EAF2F8"/>
          </w:tcPr>
          <w:p>
            <w:r/>
            <w:r>
              <w:rPr>
                <w:b w:val="0"/>
                <w:sz w:val="15"/>
              </w:rPr>
              <w:t>Can materially affect reserves, capital, accumulation or reinsurance</w:t>
            </w:r>
          </w:p>
        </w:tc>
        <w:tc>
          <w:tcPr>
            <w:tcW w:type="dxa" w:w="2592"/>
            <w:vAlign w:val="top"/>
            <w:shd w:fill="EAF2F8"/>
          </w:tcPr>
          <w:p>
            <w:r/>
            <w:r>
              <w:rPr>
                <w:b w:val="0"/>
                <w:sz w:val="15"/>
              </w:rPr>
              <w:t>Catastrophe aggregation or reserving support</w:t>
            </w:r>
          </w:p>
        </w:tc>
        <w:tc>
          <w:tcPr>
            <w:tcW w:type="dxa" w:w="2592"/>
            <w:vAlign w:val="top"/>
            <w:shd w:fill="EAF2F8"/>
          </w:tcPr>
          <w:p>
            <w:r/>
            <w:r>
              <w:rPr>
                <w:b w:val="0"/>
                <w:sz w:val="15"/>
              </w:rPr>
              <w:t>Actuarial and risk validation, stress testing, concentration analysis and board oversight.</w:t>
            </w:r>
          </w:p>
        </w:tc>
      </w:tr>
      <w:tr>
        <w:trPr>
          <w:cantSplit/>
        </w:trPr>
        <w:tc>
          <w:tcPr>
            <w:tcW w:type="dxa" w:w="2592"/>
            <w:vAlign w:val="top"/>
          </w:tcPr>
          <w:p>
            <w:r/>
            <w:r>
              <w:rPr>
                <w:b w:val="0"/>
                <w:sz w:val="15"/>
              </w:rPr>
              <w:t>Critical claims or underwriting</w:t>
            </w:r>
          </w:p>
        </w:tc>
        <w:tc>
          <w:tcPr>
            <w:tcW w:type="dxa" w:w="2592"/>
            <w:vAlign w:val="top"/>
          </w:tcPr>
          <w:p>
            <w:r/>
            <w:r>
              <w:rPr>
                <w:b w:val="0"/>
                <w:sz w:val="15"/>
              </w:rPr>
              <w:t>Failure creates immediate large-scale customer or operational harm</w:t>
            </w:r>
          </w:p>
        </w:tc>
        <w:tc>
          <w:tcPr>
            <w:tcW w:type="dxa" w:w="2592"/>
            <w:vAlign w:val="top"/>
          </w:tcPr>
          <w:p>
            <w:r/>
            <w:r>
              <w:rPr>
                <w:b w:val="0"/>
                <w:sz w:val="15"/>
              </w:rPr>
              <w:t>Automated claims triage during catastrophe event</w:t>
            </w:r>
          </w:p>
        </w:tc>
        <w:tc>
          <w:tcPr>
            <w:tcW w:type="dxa" w:w="2592"/>
            <w:vAlign w:val="top"/>
          </w:tcPr>
          <w:p>
            <w:r/>
            <w:r>
              <w:rPr>
                <w:b w:val="0"/>
                <w:sz w:val="15"/>
              </w:rPr>
              <w:t>Resilience, manual fallback, surge testing, incident playbook and executive escalation.</w:t>
            </w:r>
          </w:p>
        </w:tc>
      </w:tr>
    </w:tbl>
    <w:p/>
    <w:p>
      <w:r>
        <w:t>Classification is an implementation aid. It does not replace GAISSF applicability rules or any legal definition of high-risk AI. Escalate classification where one factor is extreme even if other factors are moderate.</w:t>
      </w:r>
    </w:p>
    <w:p>
      <w:pPr>
        <w:pStyle w:val="Heading1"/>
      </w:pPr>
      <w:r>
        <w:t>6. Control interpretation by insurance function</w:t>
      </w:r>
    </w:p>
    <w:tbl>
      <w:tblPr>
        <w:tblStyle w:val="TableGrid"/>
        <w:tblW w:type="auto" w:w="0"/>
        <w:jc w:val="center"/>
        <w:tblLook w:firstColumn="1" w:firstRow="1" w:lastColumn="0" w:lastRow="0" w:noHBand="0" w:noVBand="1" w:val="04A0"/>
      </w:tblPr>
      <w:tblGrid>
        <w:gridCol w:w="1296"/>
        <w:gridCol w:w="1296"/>
        <w:gridCol w:w="1296"/>
        <w:gridCol w:w="1296"/>
        <w:gridCol w:w="1296"/>
        <w:gridCol w:w="1296"/>
        <w:gridCol w:w="1296"/>
        <w:gridCol w:w="1296"/>
      </w:tblGrid>
      <w:tr>
        <w:trPr>
          <w:cantSplit/>
          <w:tblHeader w:val="true"/>
        </w:trPr>
        <w:tc>
          <w:tcPr>
            <w:tcW w:type="dxa" w:w="1296"/>
            <w:vAlign w:val="top"/>
            <w:shd w:fill="1F4E78"/>
          </w:tcPr>
          <w:p>
            <w:r/>
            <w:r>
              <w:rPr>
                <w:b/>
                <w:color w:val="FFFFFF"/>
                <w:sz w:val="12"/>
              </w:rPr>
              <w:t>Function</w:t>
            </w:r>
          </w:p>
        </w:tc>
        <w:tc>
          <w:tcPr>
            <w:tcW w:type="dxa" w:w="1296"/>
            <w:vAlign w:val="top"/>
            <w:shd w:fill="1F4E78"/>
          </w:tcPr>
          <w:p>
            <w:r/>
            <w:r>
              <w:rPr>
                <w:b/>
                <w:color w:val="FFFFFF"/>
                <w:sz w:val="12"/>
              </w:rPr>
              <w:t>AI use</w:t>
            </w:r>
          </w:p>
        </w:tc>
        <w:tc>
          <w:tcPr>
            <w:tcW w:type="dxa" w:w="1296"/>
            <w:vAlign w:val="top"/>
            <w:shd w:fill="1F4E78"/>
          </w:tcPr>
          <w:p>
            <w:r/>
            <w:r>
              <w:rPr>
                <w:b/>
                <w:color w:val="FFFFFF"/>
                <w:sz w:val="12"/>
              </w:rPr>
              <w:t>Key risks</w:t>
            </w:r>
          </w:p>
        </w:tc>
        <w:tc>
          <w:tcPr>
            <w:tcW w:type="dxa" w:w="1296"/>
            <w:vAlign w:val="top"/>
            <w:shd w:fill="1F4E78"/>
          </w:tcPr>
          <w:p>
            <w:r/>
            <w:r>
              <w:rPr>
                <w:b/>
                <w:color w:val="FFFFFF"/>
                <w:sz w:val="12"/>
              </w:rPr>
              <w:t>GAISSF domain</w:t>
            </w:r>
          </w:p>
        </w:tc>
        <w:tc>
          <w:tcPr>
            <w:tcW w:type="dxa" w:w="1296"/>
            <w:vAlign w:val="top"/>
            <w:shd w:fill="1F4E78"/>
          </w:tcPr>
          <w:p>
            <w:r/>
            <w:r>
              <w:rPr>
                <w:b/>
                <w:color w:val="FFFFFF"/>
                <w:sz w:val="12"/>
              </w:rPr>
              <w:t>Implementation</w:t>
            </w:r>
          </w:p>
        </w:tc>
        <w:tc>
          <w:tcPr>
            <w:tcW w:type="dxa" w:w="1296"/>
            <w:vAlign w:val="top"/>
            <w:shd w:fill="1F4E78"/>
          </w:tcPr>
          <w:p>
            <w:r/>
            <w:r>
              <w:rPr>
                <w:b/>
                <w:color w:val="FFFFFF"/>
                <w:sz w:val="12"/>
              </w:rPr>
              <w:t>Evidence</w:t>
            </w:r>
          </w:p>
        </w:tc>
        <w:tc>
          <w:tcPr>
            <w:tcW w:type="dxa" w:w="1296"/>
            <w:vAlign w:val="top"/>
            <w:shd w:fill="1F4E78"/>
          </w:tcPr>
          <w:p>
            <w:r/>
            <w:r>
              <w:rPr>
                <w:b/>
                <w:color w:val="FFFFFF"/>
                <w:sz w:val="12"/>
              </w:rPr>
              <w:t>Human oversight</w:t>
            </w:r>
          </w:p>
        </w:tc>
        <w:tc>
          <w:tcPr>
            <w:tcW w:type="dxa" w:w="1296"/>
            <w:vAlign w:val="top"/>
            <w:shd w:fill="1F4E78"/>
          </w:tcPr>
          <w:p>
            <w:r/>
            <w:r>
              <w:rPr>
                <w:b/>
                <w:color w:val="FFFFFF"/>
                <w:sz w:val="12"/>
              </w:rPr>
              <w:t>Notably absent</w:t>
            </w:r>
          </w:p>
        </w:tc>
      </w:tr>
      <w:tr>
        <w:trPr>
          <w:cantSplit/>
        </w:trPr>
        <w:tc>
          <w:tcPr>
            <w:tcW w:type="dxa" w:w="1296"/>
            <w:vAlign w:val="top"/>
          </w:tcPr>
          <w:p>
            <w:r/>
            <w:r>
              <w:rPr>
                <w:b w:val="0"/>
                <w:sz w:val="12"/>
              </w:rPr>
              <w:t>Underwriting</w:t>
            </w:r>
          </w:p>
        </w:tc>
        <w:tc>
          <w:tcPr>
            <w:tcW w:type="dxa" w:w="1296"/>
            <w:vAlign w:val="top"/>
          </w:tcPr>
          <w:p>
            <w:r/>
            <w:r>
              <w:rPr>
                <w:b w:val="0"/>
                <w:sz w:val="12"/>
              </w:rPr>
              <w:t>Risk selection and coverage recommendation</w:t>
            </w:r>
          </w:p>
        </w:tc>
        <w:tc>
          <w:tcPr>
            <w:tcW w:type="dxa" w:w="1296"/>
            <w:vAlign w:val="top"/>
          </w:tcPr>
          <w:p>
            <w:r/>
            <w:r>
              <w:rPr>
                <w:b w:val="0"/>
                <w:sz w:val="12"/>
              </w:rPr>
              <w:t>Proxy discrimination, drift, manipulation, weak explainability</w:t>
            </w:r>
          </w:p>
        </w:tc>
        <w:tc>
          <w:tcPr>
            <w:tcW w:type="dxa" w:w="1296"/>
            <w:vAlign w:val="top"/>
          </w:tcPr>
          <w:p>
            <w:r/>
            <w:r>
              <w:rPr>
                <w:b w:val="0"/>
                <w:sz w:val="12"/>
              </w:rPr>
              <w:t>D1, D6, D7</w:t>
            </w:r>
          </w:p>
        </w:tc>
        <w:tc>
          <w:tcPr>
            <w:tcW w:type="dxa" w:w="1296"/>
            <w:vAlign w:val="top"/>
          </w:tcPr>
          <w:p>
            <w:r/>
            <w:r>
              <w:rPr>
                <w:b w:val="0"/>
                <w:sz w:val="12"/>
              </w:rPr>
              <w:t>Feature governance, actuarial validation, adverse-decision review</w:t>
            </w:r>
          </w:p>
        </w:tc>
        <w:tc>
          <w:tcPr>
            <w:tcW w:type="dxa" w:w="1296"/>
            <w:vAlign w:val="top"/>
          </w:tcPr>
          <w:p>
            <w:r/>
            <w:r>
              <w:rPr>
                <w:b w:val="0"/>
                <w:sz w:val="12"/>
              </w:rPr>
              <w:t>Model validation, feature register, override log</w:t>
            </w:r>
          </w:p>
        </w:tc>
        <w:tc>
          <w:tcPr>
            <w:tcW w:type="dxa" w:w="1296"/>
            <w:vAlign w:val="top"/>
          </w:tcPr>
          <w:p>
            <w:r/>
            <w:r>
              <w:rPr>
                <w:b w:val="0"/>
                <w:sz w:val="12"/>
              </w:rPr>
              <w:t>Mandatory for adverse or borderline outcomes</w:t>
            </w:r>
          </w:p>
        </w:tc>
        <w:tc>
          <w:tcPr>
            <w:tcW w:type="dxa" w:w="1296"/>
            <w:vAlign w:val="top"/>
          </w:tcPr>
          <w:p>
            <w:r>
              <w:t>No safe-harbour assumption that model approval establishes lawfulness, actuarial adequacy or rate-filing compliance in every jurisdiction.</w:t>
            </w:r>
          </w:p>
        </w:tc>
      </w:tr>
      <w:tr>
        <w:trPr>
          <w:cantSplit/>
        </w:trPr>
        <w:tc>
          <w:tcPr>
            <w:tcW w:type="dxa" w:w="1296"/>
            <w:vAlign w:val="top"/>
            <w:shd w:fill="EAF2F8"/>
          </w:tcPr>
          <w:p>
            <w:r/>
            <w:r>
              <w:rPr>
                <w:b w:val="0"/>
                <w:sz w:val="12"/>
              </w:rPr>
              <w:t>Pricing</w:t>
            </w:r>
          </w:p>
        </w:tc>
        <w:tc>
          <w:tcPr>
            <w:tcW w:type="dxa" w:w="1296"/>
            <w:vAlign w:val="top"/>
            <w:shd w:fill="EAF2F8"/>
          </w:tcPr>
          <w:p>
            <w:r/>
            <w:r>
              <w:rPr>
                <w:b w:val="0"/>
                <w:sz w:val="12"/>
              </w:rPr>
              <w:t>Premium or discount recommendation</w:t>
            </w:r>
          </w:p>
        </w:tc>
        <w:tc>
          <w:tcPr>
            <w:tcW w:type="dxa" w:w="1296"/>
            <w:vAlign w:val="top"/>
            <w:shd w:fill="EAF2F8"/>
          </w:tcPr>
          <w:p>
            <w:r/>
            <w:r>
              <w:rPr>
                <w:b w:val="0"/>
                <w:sz w:val="12"/>
              </w:rPr>
              <w:t>Unapproved variables, unfair differentiation, optimisation instability</w:t>
            </w:r>
          </w:p>
        </w:tc>
        <w:tc>
          <w:tcPr>
            <w:tcW w:type="dxa" w:w="1296"/>
            <w:vAlign w:val="top"/>
            <w:shd w:fill="EAF2F8"/>
          </w:tcPr>
          <w:p>
            <w:r/>
            <w:r>
              <w:rPr>
                <w:b w:val="0"/>
                <w:sz w:val="12"/>
              </w:rPr>
              <w:t>D1, D6, D7, D8</w:t>
            </w:r>
          </w:p>
        </w:tc>
        <w:tc>
          <w:tcPr>
            <w:tcW w:type="dxa" w:w="1296"/>
            <w:vAlign w:val="top"/>
            <w:shd w:fill="EAF2F8"/>
          </w:tcPr>
          <w:p>
            <w:r/>
            <w:r>
              <w:rPr>
                <w:b w:val="0"/>
                <w:sz w:val="12"/>
              </w:rPr>
              <w:t>Rate governance, subgroup and stability tests, filing alignment</w:t>
            </w:r>
          </w:p>
        </w:tc>
        <w:tc>
          <w:tcPr>
            <w:tcW w:type="dxa" w:w="1296"/>
            <w:vAlign w:val="top"/>
            <w:shd w:fill="EAF2F8"/>
          </w:tcPr>
          <w:p>
            <w:r/>
            <w:r>
              <w:rPr>
                <w:b w:val="0"/>
                <w:sz w:val="12"/>
              </w:rPr>
              <w:t>Pricing test pack, approval, monitoring</w:t>
            </w:r>
          </w:p>
        </w:tc>
        <w:tc>
          <w:tcPr>
            <w:tcW w:type="dxa" w:w="1296"/>
            <w:vAlign w:val="top"/>
            <w:shd w:fill="EAF2F8"/>
          </w:tcPr>
          <w:p>
            <w:r/>
            <w:r>
              <w:rPr>
                <w:b w:val="0"/>
                <w:sz w:val="12"/>
              </w:rPr>
              <w:t>Required for material exceptions and adverse outcomes</w:t>
            </w:r>
          </w:p>
        </w:tc>
        <w:tc>
          <w:tcPr>
            <w:tcW w:type="dxa" w:w="1296"/>
            <w:vAlign w:val="top"/>
            <w:shd w:fill="EAF2F8"/>
          </w:tcPr>
          <w:p>
            <w:r>
              <w:t>No assumption that predictive accuracy establishes actuarial fairness, filing acceptability or absence of proxy discrimination.</w:t>
            </w:r>
          </w:p>
        </w:tc>
      </w:tr>
      <w:tr>
        <w:trPr>
          <w:cantSplit/>
        </w:trPr>
        <w:tc>
          <w:tcPr>
            <w:tcW w:type="dxa" w:w="1296"/>
            <w:vAlign w:val="top"/>
          </w:tcPr>
          <w:p>
            <w:r/>
            <w:r>
              <w:rPr>
                <w:b w:val="0"/>
                <w:sz w:val="12"/>
              </w:rPr>
              <w:t>Claims</w:t>
            </w:r>
          </w:p>
        </w:tc>
        <w:tc>
          <w:tcPr>
            <w:tcW w:type="dxa" w:w="1296"/>
            <w:vAlign w:val="top"/>
          </w:tcPr>
          <w:p>
            <w:r/>
            <w:r>
              <w:rPr>
                <w:b w:val="0"/>
                <w:sz w:val="12"/>
              </w:rPr>
              <w:t>Triage, estimation, settlement or denial support</w:t>
            </w:r>
          </w:p>
        </w:tc>
        <w:tc>
          <w:tcPr>
            <w:tcW w:type="dxa" w:w="1296"/>
            <w:vAlign w:val="top"/>
          </w:tcPr>
          <w:p>
            <w:r/>
            <w:r>
              <w:rPr>
                <w:b w:val="0"/>
                <w:sz w:val="12"/>
              </w:rPr>
              <w:t>Deepfakes, false negatives, hallucinations, automation bias</w:t>
            </w:r>
          </w:p>
        </w:tc>
        <w:tc>
          <w:tcPr>
            <w:tcW w:type="dxa" w:w="1296"/>
            <w:vAlign w:val="top"/>
          </w:tcPr>
          <w:p>
            <w:r/>
            <w:r>
              <w:rPr>
                <w:b w:val="0"/>
                <w:sz w:val="12"/>
              </w:rPr>
              <w:t>D1, D2, D5, D7</w:t>
            </w:r>
          </w:p>
        </w:tc>
        <w:tc>
          <w:tcPr>
            <w:tcW w:type="dxa" w:w="1296"/>
            <w:vAlign w:val="top"/>
          </w:tcPr>
          <w:p>
            <w:r/>
            <w:r>
              <w:rPr>
                <w:b w:val="0"/>
                <w:sz w:val="12"/>
              </w:rPr>
              <w:t>Evidence integrity, confidence thresholds, escalation and appeals</w:t>
            </w:r>
          </w:p>
        </w:tc>
        <w:tc>
          <w:tcPr>
            <w:tcW w:type="dxa" w:w="1296"/>
            <w:vAlign w:val="top"/>
          </w:tcPr>
          <w:p>
            <w:r/>
            <w:r>
              <w:rPr>
                <w:b w:val="0"/>
                <w:sz w:val="12"/>
              </w:rPr>
              <w:t>Decision trace, image checks, review record</w:t>
            </w:r>
          </w:p>
        </w:tc>
        <w:tc>
          <w:tcPr>
            <w:tcW w:type="dxa" w:w="1296"/>
            <w:vAlign w:val="top"/>
          </w:tcPr>
          <w:p>
            <w:r/>
            <w:r>
              <w:rPr>
                <w:b w:val="0"/>
                <w:sz w:val="12"/>
              </w:rPr>
              <w:t>Mandatory for denial, vulnerability and high value</w:t>
            </w:r>
          </w:p>
        </w:tc>
        <w:tc>
          <w:tcPr>
            <w:tcW w:type="dxa" w:w="1296"/>
            <w:vAlign w:val="top"/>
          </w:tcPr>
          <w:p>
            <w:r>
              <w:t>No assumption that a fraud flag proves fraud, or that automated triage may deny, suppress or delay a claim without effective review and contestability.</w:t>
            </w:r>
          </w:p>
        </w:tc>
      </w:tr>
      <w:tr>
        <w:trPr>
          <w:cantSplit/>
        </w:trPr>
        <w:tc>
          <w:tcPr>
            <w:tcW w:type="dxa" w:w="1296"/>
            <w:vAlign w:val="top"/>
            <w:shd w:fill="EAF2F8"/>
          </w:tcPr>
          <w:p>
            <w:r/>
            <w:r>
              <w:rPr>
                <w:b w:val="0"/>
                <w:sz w:val="12"/>
              </w:rPr>
              <w:t>Fraud detection</w:t>
            </w:r>
          </w:p>
        </w:tc>
        <w:tc>
          <w:tcPr>
            <w:tcW w:type="dxa" w:w="1296"/>
            <w:vAlign w:val="top"/>
            <w:shd w:fill="EAF2F8"/>
          </w:tcPr>
          <w:p>
            <w:r/>
            <w:r>
              <w:rPr>
                <w:b w:val="0"/>
                <w:sz w:val="12"/>
              </w:rPr>
              <w:t>Fraud score or investigation prioritisation</w:t>
            </w:r>
          </w:p>
        </w:tc>
        <w:tc>
          <w:tcPr>
            <w:tcW w:type="dxa" w:w="1296"/>
            <w:vAlign w:val="top"/>
            <w:shd w:fill="EAF2F8"/>
          </w:tcPr>
          <w:p>
            <w:r/>
            <w:r>
              <w:rPr>
                <w:b w:val="0"/>
                <w:sz w:val="12"/>
              </w:rPr>
              <w:t>False positives, evasion, bias, feedback loops</w:t>
            </w:r>
          </w:p>
        </w:tc>
        <w:tc>
          <w:tcPr>
            <w:tcW w:type="dxa" w:w="1296"/>
            <w:vAlign w:val="top"/>
            <w:shd w:fill="EAF2F8"/>
          </w:tcPr>
          <w:p>
            <w:r/>
            <w:r>
              <w:rPr>
                <w:b w:val="0"/>
                <w:sz w:val="12"/>
              </w:rPr>
              <w:t>D1, D2, D7</w:t>
            </w:r>
          </w:p>
        </w:tc>
        <w:tc>
          <w:tcPr>
            <w:tcW w:type="dxa" w:w="1296"/>
            <w:vAlign w:val="top"/>
            <w:shd w:fill="EAF2F8"/>
          </w:tcPr>
          <w:p>
            <w:r/>
            <w:r>
              <w:rPr>
                <w:b w:val="0"/>
                <w:sz w:val="12"/>
              </w:rPr>
              <w:t>Adaptive testing, investigator review, outcome feedback controls</w:t>
            </w:r>
          </w:p>
        </w:tc>
        <w:tc>
          <w:tcPr>
            <w:tcW w:type="dxa" w:w="1296"/>
            <w:vAlign w:val="top"/>
            <w:shd w:fill="EAF2F8"/>
          </w:tcPr>
          <w:p>
            <w:r/>
            <w:r>
              <w:rPr>
                <w:b w:val="0"/>
                <w:sz w:val="12"/>
              </w:rPr>
              <w:t>Precision/recall, subgroup results, case outcomes</w:t>
            </w:r>
          </w:p>
        </w:tc>
        <w:tc>
          <w:tcPr>
            <w:tcW w:type="dxa" w:w="1296"/>
            <w:vAlign w:val="top"/>
            <w:shd w:fill="EAF2F8"/>
          </w:tcPr>
          <w:p>
            <w:r/>
            <w:r>
              <w:rPr>
                <w:b w:val="0"/>
                <w:sz w:val="12"/>
              </w:rPr>
              <w:t>Investigator confirmation before adverse action</w:t>
            </w:r>
          </w:p>
        </w:tc>
        <w:tc>
          <w:tcPr>
            <w:tcW w:type="dxa" w:w="1296"/>
            <w:vAlign w:val="top"/>
            <w:shd w:fill="EAF2F8"/>
          </w:tcPr>
          <w:p>
            <w:r/>
            <w:r>
              <w:rPr>
                <w:b w:val="0"/>
                <w:sz w:val="12"/>
              </w:rPr>
              <w:t>No safe-harbour assumption; legal and actuarial applicability remains separate.</w:t>
            </w:r>
          </w:p>
        </w:tc>
      </w:tr>
      <w:tr>
        <w:trPr>
          <w:cantSplit/>
        </w:trPr>
        <w:tc>
          <w:tcPr>
            <w:tcW w:type="dxa" w:w="1296"/>
            <w:vAlign w:val="top"/>
          </w:tcPr>
          <w:p>
            <w:r/>
            <w:r>
              <w:rPr>
                <w:b w:val="0"/>
                <w:sz w:val="12"/>
              </w:rPr>
              <w:t>Reserving</w:t>
            </w:r>
          </w:p>
        </w:tc>
        <w:tc>
          <w:tcPr>
            <w:tcW w:type="dxa" w:w="1296"/>
            <w:vAlign w:val="top"/>
          </w:tcPr>
          <w:p>
            <w:r/>
            <w:r>
              <w:rPr>
                <w:b w:val="0"/>
                <w:sz w:val="12"/>
              </w:rPr>
              <w:t>Reserve estimation support</w:t>
            </w:r>
          </w:p>
        </w:tc>
        <w:tc>
          <w:tcPr>
            <w:tcW w:type="dxa" w:w="1296"/>
            <w:vAlign w:val="top"/>
          </w:tcPr>
          <w:p>
            <w:r/>
            <w:r>
              <w:rPr>
                <w:b w:val="0"/>
                <w:sz w:val="12"/>
              </w:rPr>
              <w:t>Tail error, regime shift, opaque assumptions</w:t>
            </w:r>
          </w:p>
        </w:tc>
        <w:tc>
          <w:tcPr>
            <w:tcW w:type="dxa" w:w="1296"/>
            <w:vAlign w:val="top"/>
          </w:tcPr>
          <w:p>
            <w:r/>
            <w:r>
              <w:rPr>
                <w:b w:val="0"/>
                <w:sz w:val="12"/>
              </w:rPr>
              <w:t>D1, D6, D8</w:t>
            </w:r>
          </w:p>
        </w:tc>
        <w:tc>
          <w:tcPr>
            <w:tcW w:type="dxa" w:w="1296"/>
            <w:vAlign w:val="top"/>
          </w:tcPr>
          <w:p>
            <w:r/>
            <w:r>
              <w:rPr>
                <w:b w:val="0"/>
                <w:sz w:val="12"/>
              </w:rPr>
              <w:t>Actuarial ownership, scenario testing, reconciliation</w:t>
            </w:r>
          </w:p>
        </w:tc>
        <w:tc>
          <w:tcPr>
            <w:tcW w:type="dxa" w:w="1296"/>
            <w:vAlign w:val="top"/>
          </w:tcPr>
          <w:p>
            <w:r/>
            <w:r>
              <w:rPr>
                <w:b w:val="0"/>
                <w:sz w:val="12"/>
              </w:rPr>
              <w:t>Validation report, assumptions, back-testing</w:t>
            </w:r>
          </w:p>
        </w:tc>
        <w:tc>
          <w:tcPr>
            <w:tcW w:type="dxa" w:w="1296"/>
            <w:vAlign w:val="top"/>
          </w:tcPr>
          <w:p>
            <w:r/>
            <w:r>
              <w:rPr>
                <w:b w:val="0"/>
                <w:sz w:val="12"/>
              </w:rPr>
              <w:t>Actuarial sign-off</w:t>
            </w:r>
          </w:p>
        </w:tc>
        <w:tc>
          <w:tcPr>
            <w:tcW w:type="dxa" w:w="1296"/>
            <w:vAlign w:val="top"/>
          </w:tcPr>
          <w:p>
            <w:r>
              <w:t>No assumption that model validation removes tail, accumulation, capital, accounting or reinsurance risk.</w:t>
            </w:r>
          </w:p>
        </w:tc>
      </w:tr>
      <w:tr>
        <w:trPr>
          <w:cantSplit/>
        </w:trPr>
        <w:tc>
          <w:tcPr>
            <w:tcW w:type="dxa" w:w="1296"/>
            <w:vAlign w:val="top"/>
            <w:shd w:fill="EAF2F8"/>
          </w:tcPr>
          <w:p>
            <w:r/>
            <w:r>
              <w:rPr>
                <w:b w:val="0"/>
                <w:sz w:val="12"/>
              </w:rPr>
              <w:t>Catastrophe modelling</w:t>
            </w:r>
          </w:p>
        </w:tc>
        <w:tc>
          <w:tcPr>
            <w:tcW w:type="dxa" w:w="1296"/>
            <w:vAlign w:val="top"/>
            <w:shd w:fill="EAF2F8"/>
          </w:tcPr>
          <w:p>
            <w:r/>
            <w:r>
              <w:rPr>
                <w:b w:val="0"/>
                <w:sz w:val="12"/>
              </w:rPr>
              <w:t>Exposure and loss estimation</w:t>
            </w:r>
          </w:p>
        </w:tc>
        <w:tc>
          <w:tcPr>
            <w:tcW w:type="dxa" w:w="1296"/>
            <w:vAlign w:val="top"/>
            <w:shd w:fill="EAF2F8"/>
          </w:tcPr>
          <w:p>
            <w:r/>
            <w:r>
              <w:rPr>
                <w:b w:val="0"/>
                <w:sz w:val="12"/>
              </w:rPr>
              <w:t>Vendor concentration, climate shift, tail underestimation</w:t>
            </w:r>
          </w:p>
        </w:tc>
        <w:tc>
          <w:tcPr>
            <w:tcW w:type="dxa" w:w="1296"/>
            <w:vAlign w:val="top"/>
            <w:shd w:fill="EAF2F8"/>
          </w:tcPr>
          <w:p>
            <w:r/>
            <w:r>
              <w:rPr>
                <w:b w:val="0"/>
                <w:sz w:val="12"/>
              </w:rPr>
              <w:t>D1, D4, D6, D8</w:t>
            </w:r>
          </w:p>
        </w:tc>
        <w:tc>
          <w:tcPr>
            <w:tcW w:type="dxa" w:w="1296"/>
            <w:vAlign w:val="top"/>
            <w:shd w:fill="EAF2F8"/>
          </w:tcPr>
          <w:p>
            <w:r/>
            <w:r>
              <w:rPr>
                <w:b w:val="0"/>
                <w:sz w:val="12"/>
              </w:rPr>
              <w:t>Model plurality, version governance, stress and dependency analysis</w:t>
            </w:r>
          </w:p>
        </w:tc>
        <w:tc>
          <w:tcPr>
            <w:tcW w:type="dxa" w:w="1296"/>
            <w:vAlign w:val="top"/>
            <w:shd w:fill="EAF2F8"/>
          </w:tcPr>
          <w:p>
            <w:r/>
            <w:r>
              <w:rPr>
                <w:b w:val="0"/>
                <w:sz w:val="12"/>
              </w:rPr>
              <w:t>Vendor evidence, model-change assessment, stress results</w:t>
            </w:r>
          </w:p>
        </w:tc>
        <w:tc>
          <w:tcPr>
            <w:tcW w:type="dxa" w:w="1296"/>
            <w:vAlign w:val="top"/>
            <w:shd w:fill="EAF2F8"/>
          </w:tcPr>
          <w:p>
            <w:r/>
            <w:r>
              <w:rPr>
                <w:b w:val="0"/>
                <w:sz w:val="12"/>
              </w:rPr>
              <w:t>Expert review for material capital/reinsurance use</w:t>
            </w:r>
          </w:p>
        </w:tc>
        <w:tc>
          <w:tcPr>
            <w:tcW w:type="dxa" w:w="1296"/>
            <w:vAlign w:val="top"/>
            <w:shd w:fill="EAF2F8"/>
          </w:tcPr>
          <w:p>
            <w:r>
              <w:t>No assumption that model validation removes tail, accumulation, capital, accounting or reinsurance risk.</w:t>
            </w:r>
          </w:p>
        </w:tc>
      </w:tr>
      <w:tr>
        <w:trPr>
          <w:cantSplit/>
        </w:trPr>
        <w:tc>
          <w:tcPr>
            <w:tcW w:type="dxa" w:w="1296"/>
            <w:vAlign w:val="top"/>
          </w:tcPr>
          <w:p>
            <w:r/>
            <w:r>
              <w:rPr>
                <w:b w:val="0"/>
                <w:sz w:val="12"/>
              </w:rPr>
              <w:t>Policy administration</w:t>
            </w:r>
          </w:p>
        </w:tc>
        <w:tc>
          <w:tcPr>
            <w:tcW w:type="dxa" w:w="1296"/>
            <w:vAlign w:val="top"/>
          </w:tcPr>
          <w:p>
            <w:r/>
            <w:r>
              <w:rPr>
                <w:b w:val="0"/>
                <w:sz w:val="12"/>
              </w:rPr>
              <w:t>Data extraction and workflow automation</w:t>
            </w:r>
          </w:p>
        </w:tc>
        <w:tc>
          <w:tcPr>
            <w:tcW w:type="dxa" w:w="1296"/>
            <w:vAlign w:val="top"/>
          </w:tcPr>
          <w:p>
            <w:r/>
            <w:r>
              <w:rPr>
                <w:b w:val="0"/>
                <w:sz w:val="12"/>
              </w:rPr>
              <w:t>Record corruption, unauthorised changes, privacy leakage</w:t>
            </w:r>
          </w:p>
        </w:tc>
        <w:tc>
          <w:tcPr>
            <w:tcW w:type="dxa" w:w="1296"/>
            <w:vAlign w:val="top"/>
          </w:tcPr>
          <w:p>
            <w:r/>
            <w:r>
              <w:rPr>
                <w:b w:val="0"/>
                <w:sz w:val="12"/>
              </w:rPr>
              <w:t>D2, D3, D6</w:t>
            </w:r>
          </w:p>
        </w:tc>
        <w:tc>
          <w:tcPr>
            <w:tcW w:type="dxa" w:w="1296"/>
            <w:vAlign w:val="top"/>
          </w:tcPr>
          <w:p>
            <w:r/>
            <w:r>
              <w:rPr>
                <w:b w:val="0"/>
                <w:sz w:val="12"/>
              </w:rPr>
              <w:t>Transaction controls, segregation, reconciliation, rollback</w:t>
            </w:r>
          </w:p>
        </w:tc>
        <w:tc>
          <w:tcPr>
            <w:tcW w:type="dxa" w:w="1296"/>
            <w:vAlign w:val="top"/>
          </w:tcPr>
          <w:p>
            <w:r/>
            <w:r>
              <w:rPr>
                <w:b w:val="0"/>
                <w:sz w:val="12"/>
              </w:rPr>
              <w:t>Audit trail, access record, reconciliation</w:t>
            </w:r>
          </w:p>
        </w:tc>
        <w:tc>
          <w:tcPr>
            <w:tcW w:type="dxa" w:w="1296"/>
            <w:vAlign w:val="top"/>
          </w:tcPr>
          <w:p>
            <w:r/>
            <w:r>
              <w:rPr>
                <w:b w:val="0"/>
                <w:sz w:val="12"/>
              </w:rPr>
              <w:t>Approval for policy-changing actions</w:t>
            </w:r>
          </w:p>
        </w:tc>
        <w:tc>
          <w:tcPr>
            <w:tcW w:type="dxa" w:w="1296"/>
            <w:vAlign w:val="top"/>
          </w:tcPr>
          <w:p>
            <w:r/>
            <w:r>
              <w:rPr>
                <w:b w:val="0"/>
                <w:sz w:val="12"/>
              </w:rPr>
              <w:t>No safe-harbour assumption; legal and actuarial applicability remains separate.</w:t>
            </w:r>
          </w:p>
        </w:tc>
      </w:tr>
      <w:tr>
        <w:trPr>
          <w:cantSplit/>
        </w:trPr>
        <w:tc>
          <w:tcPr>
            <w:tcW w:type="dxa" w:w="1296"/>
            <w:vAlign w:val="top"/>
            <w:shd w:fill="EAF2F8"/>
          </w:tcPr>
          <w:p>
            <w:r/>
            <w:r>
              <w:rPr>
                <w:b w:val="0"/>
                <w:sz w:val="12"/>
              </w:rPr>
              <w:t>Distribution and intermediary support</w:t>
            </w:r>
          </w:p>
        </w:tc>
        <w:tc>
          <w:tcPr>
            <w:tcW w:type="dxa" w:w="1296"/>
            <w:vAlign w:val="top"/>
            <w:shd w:fill="EAF2F8"/>
          </w:tcPr>
          <w:p>
            <w:r/>
            <w:r>
              <w:rPr>
                <w:b w:val="0"/>
                <w:sz w:val="12"/>
              </w:rPr>
              <w:t>Agent recommendations and sales support</w:t>
            </w:r>
          </w:p>
        </w:tc>
        <w:tc>
          <w:tcPr>
            <w:tcW w:type="dxa" w:w="1296"/>
            <w:vAlign w:val="top"/>
            <w:shd w:fill="EAF2F8"/>
          </w:tcPr>
          <w:p>
            <w:r/>
            <w:r>
              <w:rPr>
                <w:b w:val="0"/>
                <w:sz w:val="12"/>
              </w:rPr>
              <w:t>Mis-selling, unsuitable recommendations, prompt leakage</w:t>
            </w:r>
          </w:p>
        </w:tc>
        <w:tc>
          <w:tcPr>
            <w:tcW w:type="dxa" w:w="1296"/>
            <w:vAlign w:val="top"/>
            <w:shd w:fill="EAF2F8"/>
          </w:tcPr>
          <w:p>
            <w:r/>
            <w:r>
              <w:rPr>
                <w:b w:val="0"/>
                <w:sz w:val="12"/>
              </w:rPr>
              <w:t>D3, D5, D7</w:t>
            </w:r>
          </w:p>
        </w:tc>
        <w:tc>
          <w:tcPr>
            <w:tcW w:type="dxa" w:w="1296"/>
            <w:vAlign w:val="top"/>
            <w:shd w:fill="EAF2F8"/>
          </w:tcPr>
          <w:p>
            <w:r/>
            <w:r>
              <w:rPr>
                <w:b w:val="0"/>
                <w:sz w:val="12"/>
              </w:rPr>
              <w:t>Approved knowledge, suitability checks, constrained tools</w:t>
            </w:r>
          </w:p>
        </w:tc>
        <w:tc>
          <w:tcPr>
            <w:tcW w:type="dxa" w:w="1296"/>
            <w:vAlign w:val="top"/>
            <w:shd w:fill="EAF2F8"/>
          </w:tcPr>
          <w:p>
            <w:r/>
            <w:r>
              <w:rPr>
                <w:b w:val="0"/>
                <w:sz w:val="12"/>
              </w:rPr>
              <w:t>Conversation logs, content tests, complaint data</w:t>
            </w:r>
          </w:p>
        </w:tc>
        <w:tc>
          <w:tcPr>
            <w:tcW w:type="dxa" w:w="1296"/>
            <w:vAlign w:val="top"/>
            <w:shd w:fill="EAF2F8"/>
          </w:tcPr>
          <w:p>
            <w:r/>
            <w:r>
              <w:rPr>
                <w:b w:val="0"/>
                <w:sz w:val="12"/>
              </w:rPr>
              <w:t>Human agent accountability retained</w:t>
            </w:r>
          </w:p>
        </w:tc>
        <w:tc>
          <w:tcPr>
            <w:tcW w:type="dxa" w:w="1296"/>
            <w:vAlign w:val="top"/>
            <w:shd w:fill="EAF2F8"/>
          </w:tcPr>
          <w:p>
            <w:r/>
            <w:r>
              <w:rPr>
                <w:b w:val="0"/>
                <w:sz w:val="12"/>
              </w:rPr>
              <w:t>No safe-harbour assumption; legal and actuarial applicability remains separate.</w:t>
            </w:r>
          </w:p>
        </w:tc>
      </w:tr>
      <w:tr>
        <w:trPr>
          <w:cantSplit/>
        </w:trPr>
        <w:tc>
          <w:tcPr>
            <w:tcW w:type="dxa" w:w="1296"/>
            <w:vAlign w:val="top"/>
          </w:tcPr>
          <w:p>
            <w:r/>
            <w:r>
              <w:rPr>
                <w:b w:val="0"/>
                <w:sz w:val="12"/>
              </w:rPr>
              <w:t>Customer service</w:t>
            </w:r>
          </w:p>
        </w:tc>
        <w:tc>
          <w:tcPr>
            <w:tcW w:type="dxa" w:w="1296"/>
            <w:vAlign w:val="top"/>
          </w:tcPr>
          <w:p>
            <w:r/>
            <w:r>
              <w:rPr>
                <w:b w:val="0"/>
                <w:sz w:val="12"/>
              </w:rPr>
              <w:t>Chatbot or virtual assistant</w:t>
            </w:r>
          </w:p>
        </w:tc>
        <w:tc>
          <w:tcPr>
            <w:tcW w:type="dxa" w:w="1296"/>
            <w:vAlign w:val="top"/>
          </w:tcPr>
          <w:p>
            <w:r/>
            <w:r>
              <w:rPr>
                <w:b w:val="0"/>
                <w:sz w:val="12"/>
              </w:rPr>
              <w:t>Hallucinated coverage, misleading advice, accessibility failure</w:t>
            </w:r>
          </w:p>
        </w:tc>
        <w:tc>
          <w:tcPr>
            <w:tcW w:type="dxa" w:w="1296"/>
            <w:vAlign w:val="top"/>
          </w:tcPr>
          <w:p>
            <w:r/>
            <w:r>
              <w:rPr>
                <w:b w:val="0"/>
                <w:sz w:val="12"/>
              </w:rPr>
              <w:t>D2, D5, D7</w:t>
            </w:r>
          </w:p>
        </w:tc>
        <w:tc>
          <w:tcPr>
            <w:tcW w:type="dxa" w:w="1296"/>
            <w:vAlign w:val="top"/>
          </w:tcPr>
          <w:p>
            <w:r/>
            <w:r>
              <w:rPr>
                <w:b w:val="0"/>
                <w:sz w:val="12"/>
              </w:rPr>
              <w:t>Grounding, disclaimers, escalation, transcript retention</w:t>
            </w:r>
          </w:p>
        </w:tc>
        <w:tc>
          <w:tcPr>
            <w:tcW w:type="dxa" w:w="1296"/>
            <w:vAlign w:val="top"/>
          </w:tcPr>
          <w:p>
            <w:r/>
            <w:r>
              <w:rPr>
                <w:b w:val="0"/>
                <w:sz w:val="12"/>
              </w:rPr>
              <w:t>Evaluation set, escalation metrics, transcripts</w:t>
            </w:r>
          </w:p>
        </w:tc>
        <w:tc>
          <w:tcPr>
            <w:tcW w:type="dxa" w:w="1296"/>
            <w:vAlign w:val="top"/>
          </w:tcPr>
          <w:p>
            <w:r/>
            <w:r>
              <w:rPr>
                <w:b w:val="0"/>
                <w:sz w:val="12"/>
              </w:rPr>
              <w:t>Human handoff for disputes and material decisions</w:t>
            </w:r>
          </w:p>
        </w:tc>
        <w:tc>
          <w:tcPr>
            <w:tcW w:type="dxa" w:w="1296"/>
            <w:vAlign w:val="top"/>
          </w:tcPr>
          <w:p>
            <w:r/>
            <w:r>
              <w:rPr>
                <w:b w:val="0"/>
                <w:sz w:val="12"/>
              </w:rPr>
              <w:t>No safe-harbour assumption; legal and actuarial applicability remains separate.</w:t>
            </w:r>
          </w:p>
        </w:tc>
      </w:tr>
      <w:tr>
        <w:trPr>
          <w:cantSplit/>
        </w:trPr>
        <w:tc>
          <w:tcPr>
            <w:tcW w:type="dxa" w:w="1296"/>
            <w:vAlign w:val="top"/>
            <w:shd w:fill="EAF2F8"/>
          </w:tcPr>
          <w:p>
            <w:r/>
            <w:r>
              <w:rPr>
                <w:b w:val="0"/>
                <w:sz w:val="12"/>
              </w:rPr>
              <w:t>Reinsurance</w:t>
            </w:r>
          </w:p>
        </w:tc>
        <w:tc>
          <w:tcPr>
            <w:tcW w:type="dxa" w:w="1296"/>
            <w:vAlign w:val="top"/>
            <w:shd w:fill="EAF2F8"/>
          </w:tcPr>
          <w:p>
            <w:r/>
            <w:r>
              <w:rPr>
                <w:b w:val="0"/>
                <w:sz w:val="12"/>
              </w:rPr>
              <w:t>Portfolio analytics and treaty support</w:t>
            </w:r>
          </w:p>
        </w:tc>
        <w:tc>
          <w:tcPr>
            <w:tcW w:type="dxa" w:w="1296"/>
            <w:vAlign w:val="top"/>
            <w:shd w:fill="EAF2F8"/>
          </w:tcPr>
          <w:p>
            <w:r/>
            <w:r>
              <w:rPr>
                <w:b w:val="0"/>
                <w:sz w:val="12"/>
              </w:rPr>
              <w:t>Data mismatch, concentration, reporting error</w:t>
            </w:r>
          </w:p>
        </w:tc>
        <w:tc>
          <w:tcPr>
            <w:tcW w:type="dxa" w:w="1296"/>
            <w:vAlign w:val="top"/>
            <w:shd w:fill="EAF2F8"/>
          </w:tcPr>
          <w:p>
            <w:r/>
            <w:r>
              <w:rPr>
                <w:b w:val="0"/>
                <w:sz w:val="12"/>
              </w:rPr>
              <w:t>D1, D4, D6, D8</w:t>
            </w:r>
          </w:p>
        </w:tc>
        <w:tc>
          <w:tcPr>
            <w:tcW w:type="dxa" w:w="1296"/>
            <w:vAlign w:val="top"/>
            <w:shd w:fill="EAF2F8"/>
          </w:tcPr>
          <w:p>
            <w:r/>
            <w:r>
              <w:rPr>
                <w:b w:val="0"/>
                <w:sz w:val="12"/>
              </w:rPr>
              <w:t>Data reconciliation, dependency mapping, expert validation</w:t>
            </w:r>
          </w:p>
        </w:tc>
        <w:tc>
          <w:tcPr>
            <w:tcW w:type="dxa" w:w="1296"/>
            <w:vAlign w:val="top"/>
            <w:shd w:fill="EAF2F8"/>
          </w:tcPr>
          <w:p>
            <w:r/>
            <w:r>
              <w:rPr>
                <w:b w:val="0"/>
                <w:sz w:val="12"/>
              </w:rPr>
              <w:t>Reconciliation, model inventory, approval</w:t>
            </w:r>
          </w:p>
        </w:tc>
        <w:tc>
          <w:tcPr>
            <w:tcW w:type="dxa" w:w="1296"/>
            <w:vAlign w:val="top"/>
            <w:shd w:fill="EAF2F8"/>
          </w:tcPr>
          <w:p>
            <w:r/>
            <w:r>
              <w:rPr>
                <w:b w:val="0"/>
                <w:sz w:val="12"/>
              </w:rPr>
              <w:t>Specialist review for treaty/capital decisions</w:t>
            </w:r>
          </w:p>
        </w:tc>
        <w:tc>
          <w:tcPr>
            <w:tcW w:type="dxa" w:w="1296"/>
            <w:vAlign w:val="top"/>
            <w:shd w:fill="EAF2F8"/>
          </w:tcPr>
          <w:p>
            <w:r/>
            <w:r>
              <w:rPr>
                <w:b w:val="0"/>
                <w:sz w:val="12"/>
              </w:rPr>
              <w:t>No safe-harbour assumption; legal and actuarial applicability remains separate.</w:t>
            </w:r>
          </w:p>
        </w:tc>
      </w:tr>
      <w:tr>
        <w:trPr>
          <w:cantSplit/>
        </w:trPr>
        <w:tc>
          <w:tcPr>
            <w:tcW w:type="dxa" w:w="1296"/>
            <w:vAlign w:val="top"/>
          </w:tcPr>
          <w:p>
            <w:r/>
            <w:r>
              <w:rPr>
                <w:b w:val="0"/>
                <w:sz w:val="12"/>
              </w:rPr>
              <w:t>Cyber-insurance</w:t>
            </w:r>
          </w:p>
        </w:tc>
        <w:tc>
          <w:tcPr>
            <w:tcW w:type="dxa" w:w="1296"/>
            <w:vAlign w:val="top"/>
          </w:tcPr>
          <w:p>
            <w:r/>
            <w:r>
              <w:rPr>
                <w:b w:val="0"/>
                <w:sz w:val="12"/>
              </w:rPr>
              <w:t>Security posture scoring and accumulation analysis</w:t>
            </w:r>
          </w:p>
        </w:tc>
        <w:tc>
          <w:tcPr>
            <w:tcW w:type="dxa" w:w="1296"/>
            <w:vAlign w:val="top"/>
          </w:tcPr>
          <w:p>
            <w:r/>
            <w:r>
              <w:rPr>
                <w:b w:val="0"/>
                <w:sz w:val="12"/>
              </w:rPr>
              <w:t>Gaming, stale signals, correlated vendor risk</w:t>
            </w:r>
          </w:p>
        </w:tc>
        <w:tc>
          <w:tcPr>
            <w:tcW w:type="dxa" w:w="1296"/>
            <w:vAlign w:val="top"/>
          </w:tcPr>
          <w:p>
            <w:r/>
            <w:r>
              <w:rPr>
                <w:b w:val="0"/>
                <w:sz w:val="12"/>
              </w:rPr>
              <w:t>D1, D4, D6, D8</w:t>
            </w:r>
          </w:p>
        </w:tc>
        <w:tc>
          <w:tcPr>
            <w:tcW w:type="dxa" w:w="1296"/>
            <w:vAlign w:val="top"/>
          </w:tcPr>
          <w:p>
            <w:r/>
            <w:r>
              <w:rPr>
                <w:b w:val="0"/>
                <w:sz w:val="12"/>
              </w:rPr>
              <w:t>Signal provenance, adversarial testing, accumulation scenarios</w:t>
            </w:r>
          </w:p>
        </w:tc>
        <w:tc>
          <w:tcPr>
            <w:tcW w:type="dxa" w:w="1296"/>
            <w:vAlign w:val="top"/>
          </w:tcPr>
          <w:p>
            <w:r/>
            <w:r>
              <w:rPr>
                <w:b w:val="0"/>
                <w:sz w:val="12"/>
              </w:rPr>
              <w:t>Data lineage, red-team, scenario report</w:t>
            </w:r>
          </w:p>
        </w:tc>
        <w:tc>
          <w:tcPr>
            <w:tcW w:type="dxa" w:w="1296"/>
            <w:vAlign w:val="top"/>
          </w:tcPr>
          <w:p>
            <w:r/>
            <w:r>
              <w:rPr>
                <w:b w:val="0"/>
                <w:sz w:val="12"/>
              </w:rPr>
              <w:t>Underwriter review</w:t>
            </w:r>
          </w:p>
        </w:tc>
        <w:tc>
          <w:tcPr>
            <w:tcW w:type="dxa" w:w="1296"/>
            <w:vAlign w:val="top"/>
          </w:tcPr>
          <w:p>
            <w:r/>
            <w:r>
              <w:rPr>
                <w:b w:val="0"/>
                <w:sz w:val="12"/>
              </w:rPr>
              <w:t>No safe-harbour assumption; legal and actuarial applicability remains separate.</w:t>
            </w:r>
          </w:p>
        </w:tc>
      </w:tr>
      <w:tr>
        <w:trPr>
          <w:cantSplit/>
        </w:trPr>
        <w:tc>
          <w:tcPr>
            <w:tcW w:type="dxa" w:w="1296"/>
            <w:vAlign w:val="top"/>
            <w:shd w:fill="EAF2F8"/>
          </w:tcPr>
          <w:p>
            <w:r/>
            <w:r>
              <w:rPr>
                <w:b w:val="0"/>
                <w:sz w:val="12"/>
              </w:rPr>
              <w:t>Health and life insurance</w:t>
            </w:r>
          </w:p>
        </w:tc>
        <w:tc>
          <w:tcPr>
            <w:tcW w:type="dxa" w:w="1296"/>
            <w:vAlign w:val="top"/>
            <w:shd w:fill="EAF2F8"/>
          </w:tcPr>
          <w:p>
            <w:r/>
            <w:r>
              <w:rPr>
                <w:b w:val="0"/>
                <w:sz w:val="12"/>
              </w:rPr>
              <w:t>Mortality, morbidity or care-related decision support</w:t>
            </w:r>
          </w:p>
        </w:tc>
        <w:tc>
          <w:tcPr>
            <w:tcW w:type="dxa" w:w="1296"/>
            <w:vAlign w:val="top"/>
            <w:shd w:fill="EAF2F8"/>
          </w:tcPr>
          <w:p>
            <w:r/>
            <w:r>
              <w:rPr>
                <w:b w:val="0"/>
                <w:sz w:val="12"/>
              </w:rPr>
              <w:t>Sensitive data, proxy discrimination, irreversible harm</w:t>
            </w:r>
          </w:p>
        </w:tc>
        <w:tc>
          <w:tcPr>
            <w:tcW w:type="dxa" w:w="1296"/>
            <w:vAlign w:val="top"/>
            <w:shd w:fill="EAF2F8"/>
          </w:tcPr>
          <w:p>
            <w:r/>
            <w:r>
              <w:rPr>
                <w:b w:val="0"/>
                <w:sz w:val="12"/>
              </w:rPr>
              <w:t>D1, D6, D7, D8</w:t>
            </w:r>
          </w:p>
        </w:tc>
        <w:tc>
          <w:tcPr>
            <w:tcW w:type="dxa" w:w="1296"/>
            <w:vAlign w:val="top"/>
            <w:shd w:fill="EAF2F8"/>
          </w:tcPr>
          <w:p>
            <w:r/>
            <w:r>
              <w:rPr>
                <w:b w:val="0"/>
                <w:sz w:val="12"/>
              </w:rPr>
              <w:t>Strict data governance, clinical/actuarial input, contestability</w:t>
            </w:r>
          </w:p>
        </w:tc>
        <w:tc>
          <w:tcPr>
            <w:tcW w:type="dxa" w:w="1296"/>
            <w:vAlign w:val="top"/>
            <w:shd w:fill="EAF2F8"/>
          </w:tcPr>
          <w:p>
            <w:r/>
            <w:r>
              <w:rPr>
                <w:b w:val="0"/>
                <w:sz w:val="12"/>
              </w:rPr>
              <w:t>DPIA, fairness analysis, review record</w:t>
            </w:r>
          </w:p>
        </w:tc>
        <w:tc>
          <w:tcPr>
            <w:tcW w:type="dxa" w:w="1296"/>
            <w:vAlign w:val="top"/>
            <w:shd w:fill="EAF2F8"/>
          </w:tcPr>
          <w:p>
            <w:r/>
            <w:r>
              <w:rPr>
                <w:b w:val="0"/>
                <w:sz w:val="12"/>
              </w:rPr>
              <w:t>Mandatory qualified human review</w:t>
            </w:r>
          </w:p>
        </w:tc>
        <w:tc>
          <w:tcPr>
            <w:tcW w:type="dxa" w:w="1296"/>
            <w:vAlign w:val="top"/>
            <w:shd w:fill="EAF2F8"/>
          </w:tcPr>
          <w:p>
            <w:r/>
            <w:r>
              <w:rPr>
                <w:b w:val="0"/>
                <w:sz w:val="12"/>
              </w:rPr>
              <w:t>No safe-harbour assumption; legal and actuarial applicability remains separate.</w:t>
            </w:r>
          </w:p>
        </w:tc>
      </w:tr>
      <w:tr>
        <w:trPr>
          <w:cantSplit/>
        </w:trPr>
        <w:tc>
          <w:tcPr>
            <w:tcW w:type="dxa" w:w="1296"/>
            <w:vAlign w:val="top"/>
          </w:tcPr>
          <w:p>
            <w:r/>
            <w:r>
              <w:rPr>
                <w:b w:val="0"/>
                <w:sz w:val="12"/>
              </w:rPr>
              <w:t>Telematics and IoT</w:t>
            </w:r>
          </w:p>
        </w:tc>
        <w:tc>
          <w:tcPr>
            <w:tcW w:type="dxa" w:w="1296"/>
            <w:vAlign w:val="top"/>
          </w:tcPr>
          <w:p>
            <w:r/>
            <w:r>
              <w:rPr>
                <w:b w:val="0"/>
                <w:sz w:val="12"/>
              </w:rPr>
              <w:t>Behaviour-based risk and loss prevention</w:t>
            </w:r>
          </w:p>
        </w:tc>
        <w:tc>
          <w:tcPr>
            <w:tcW w:type="dxa" w:w="1296"/>
            <w:vAlign w:val="top"/>
          </w:tcPr>
          <w:p>
            <w:r/>
            <w:r>
              <w:rPr>
                <w:b w:val="0"/>
                <w:sz w:val="12"/>
              </w:rPr>
              <w:t>Sensor spoofing, surveillance, physical safety</w:t>
            </w:r>
          </w:p>
        </w:tc>
        <w:tc>
          <w:tcPr>
            <w:tcW w:type="dxa" w:w="1296"/>
            <w:vAlign w:val="top"/>
          </w:tcPr>
          <w:p>
            <w:r/>
            <w:r>
              <w:rPr>
                <w:b w:val="0"/>
                <w:sz w:val="12"/>
              </w:rPr>
              <w:t>D1, D2, D7, D9</w:t>
            </w:r>
          </w:p>
        </w:tc>
        <w:tc>
          <w:tcPr>
            <w:tcW w:type="dxa" w:w="1296"/>
            <w:vAlign w:val="top"/>
          </w:tcPr>
          <w:p>
            <w:r/>
            <w:r>
              <w:rPr>
                <w:b w:val="0"/>
                <w:sz w:val="12"/>
              </w:rPr>
              <w:t>Device security, consent, calibration, fallback</w:t>
            </w:r>
          </w:p>
        </w:tc>
        <w:tc>
          <w:tcPr>
            <w:tcW w:type="dxa" w:w="1296"/>
            <w:vAlign w:val="top"/>
          </w:tcPr>
          <w:p>
            <w:r/>
            <w:r>
              <w:rPr>
                <w:b w:val="0"/>
                <w:sz w:val="12"/>
              </w:rPr>
              <w:t>Device inventory, security tests, consent records</w:t>
            </w:r>
          </w:p>
        </w:tc>
        <w:tc>
          <w:tcPr>
            <w:tcW w:type="dxa" w:w="1296"/>
            <w:vAlign w:val="top"/>
          </w:tcPr>
          <w:p>
            <w:r/>
            <w:r>
              <w:rPr>
                <w:b w:val="0"/>
                <w:sz w:val="12"/>
              </w:rPr>
              <w:t>Review where data materially changes price/coverage</w:t>
            </w:r>
          </w:p>
        </w:tc>
        <w:tc>
          <w:tcPr>
            <w:tcW w:type="dxa" w:w="1296"/>
            <w:vAlign w:val="top"/>
          </w:tcPr>
          <w:p>
            <w:r/>
            <w:r>
              <w:rPr>
                <w:b w:val="0"/>
                <w:sz w:val="12"/>
              </w:rPr>
              <w:t>No safe-harbour assumption; legal and actuarial applicability remains separate.</w:t>
            </w:r>
          </w:p>
        </w:tc>
      </w:tr>
      <w:tr>
        <w:trPr>
          <w:cantSplit/>
        </w:trPr>
        <w:tc>
          <w:tcPr>
            <w:tcW w:type="dxa" w:w="1296"/>
            <w:vAlign w:val="top"/>
            <w:shd w:fill="EAF2F8"/>
          </w:tcPr>
          <w:p>
            <w:r/>
            <w:r>
              <w:rPr>
                <w:b w:val="0"/>
                <w:sz w:val="12"/>
              </w:rPr>
              <w:t>Generative AI</w:t>
            </w:r>
          </w:p>
        </w:tc>
        <w:tc>
          <w:tcPr>
            <w:tcW w:type="dxa" w:w="1296"/>
            <w:vAlign w:val="top"/>
            <w:shd w:fill="EAF2F8"/>
          </w:tcPr>
          <w:p>
            <w:r/>
            <w:r>
              <w:rPr>
                <w:b w:val="0"/>
                <w:sz w:val="12"/>
              </w:rPr>
              <w:t>Drafting, summarisation, retrieval and agentic workflow</w:t>
            </w:r>
          </w:p>
        </w:tc>
        <w:tc>
          <w:tcPr>
            <w:tcW w:type="dxa" w:w="1296"/>
            <w:vAlign w:val="top"/>
            <w:shd w:fill="EAF2F8"/>
          </w:tcPr>
          <w:p>
            <w:r/>
            <w:r>
              <w:rPr>
                <w:b w:val="0"/>
                <w:sz w:val="12"/>
              </w:rPr>
              <w:t>Prompt injection, hallucination, leakage, unsafe tools</w:t>
            </w:r>
          </w:p>
        </w:tc>
        <w:tc>
          <w:tcPr>
            <w:tcW w:type="dxa" w:w="1296"/>
            <w:vAlign w:val="top"/>
            <w:shd w:fill="EAF2F8"/>
          </w:tcPr>
          <w:p>
            <w:r/>
            <w:r>
              <w:rPr>
                <w:b w:val="0"/>
                <w:sz w:val="12"/>
              </w:rPr>
              <w:t>D2, D3, D5</w:t>
            </w:r>
          </w:p>
        </w:tc>
        <w:tc>
          <w:tcPr>
            <w:tcW w:type="dxa" w:w="1296"/>
            <w:vAlign w:val="top"/>
            <w:shd w:fill="EAF2F8"/>
          </w:tcPr>
          <w:p>
            <w:r/>
            <w:r>
              <w:rPr>
                <w:b w:val="0"/>
                <w:sz w:val="12"/>
              </w:rPr>
              <w:t>RAG controls, tool allowlists, output validation, DLP</w:t>
            </w:r>
          </w:p>
        </w:tc>
        <w:tc>
          <w:tcPr>
            <w:tcW w:type="dxa" w:w="1296"/>
            <w:vAlign w:val="top"/>
            <w:shd w:fill="EAF2F8"/>
          </w:tcPr>
          <w:p>
            <w:r/>
            <w:r>
              <w:rPr>
                <w:b w:val="0"/>
                <w:sz w:val="12"/>
              </w:rPr>
              <w:t>Prompt tests, retrieval logs, red-team results</w:t>
            </w:r>
          </w:p>
        </w:tc>
        <w:tc>
          <w:tcPr>
            <w:tcW w:type="dxa" w:w="1296"/>
            <w:vAlign w:val="top"/>
            <w:shd w:fill="EAF2F8"/>
          </w:tcPr>
          <w:p>
            <w:r/>
            <w:r>
              <w:rPr>
                <w:b w:val="0"/>
                <w:sz w:val="12"/>
              </w:rPr>
              <w:t>Required for external or decision-relevant output</w:t>
            </w:r>
          </w:p>
        </w:tc>
        <w:tc>
          <w:tcPr>
            <w:tcW w:type="dxa" w:w="1296"/>
            <w:vAlign w:val="top"/>
            <w:shd w:fill="EAF2F8"/>
          </w:tcPr>
          <w:p>
            <w:r>
              <w:t>No provider assurance treated as a substitute for insurer testing, output controls, traceability and human accountability.</w:t>
            </w:r>
          </w:p>
        </w:tc>
      </w:tr>
      <w:tr>
        <w:trPr>
          <w:cantSplit/>
        </w:trPr>
        <w:tc>
          <w:tcPr>
            <w:tcW w:type="dxa" w:w="1296"/>
            <w:vAlign w:val="top"/>
          </w:tcPr>
          <w:p>
            <w:r/>
            <w:r>
              <w:rPr>
                <w:b w:val="0"/>
                <w:sz w:val="12"/>
              </w:rPr>
              <w:t>Internal corporate use</w:t>
            </w:r>
          </w:p>
        </w:tc>
        <w:tc>
          <w:tcPr>
            <w:tcW w:type="dxa" w:w="1296"/>
            <w:vAlign w:val="top"/>
          </w:tcPr>
          <w:p>
            <w:r/>
            <w:r>
              <w:rPr>
                <w:b w:val="0"/>
                <w:sz w:val="12"/>
              </w:rPr>
              <w:t>Productivity and analysis</w:t>
            </w:r>
          </w:p>
        </w:tc>
        <w:tc>
          <w:tcPr>
            <w:tcW w:type="dxa" w:w="1296"/>
            <w:vAlign w:val="top"/>
          </w:tcPr>
          <w:p>
            <w:r/>
            <w:r>
              <w:rPr>
                <w:b w:val="0"/>
                <w:sz w:val="12"/>
              </w:rPr>
              <w:t>Confidentiality leakage, shadow AI, inaccurate work product</w:t>
            </w:r>
          </w:p>
        </w:tc>
        <w:tc>
          <w:tcPr>
            <w:tcW w:type="dxa" w:w="1296"/>
            <w:vAlign w:val="top"/>
          </w:tcPr>
          <w:p>
            <w:r/>
            <w:r>
              <w:rPr>
                <w:b w:val="0"/>
                <w:sz w:val="12"/>
              </w:rPr>
              <w:t>D2, D4, D6</w:t>
            </w:r>
          </w:p>
        </w:tc>
        <w:tc>
          <w:tcPr>
            <w:tcW w:type="dxa" w:w="1296"/>
            <w:vAlign w:val="top"/>
          </w:tcPr>
          <w:p>
            <w:r/>
            <w:r>
              <w:rPr>
                <w:b w:val="0"/>
                <w:sz w:val="12"/>
              </w:rPr>
              <w:t>Approved tools, data classification, usage logging, training</w:t>
            </w:r>
          </w:p>
        </w:tc>
        <w:tc>
          <w:tcPr>
            <w:tcW w:type="dxa" w:w="1296"/>
            <w:vAlign w:val="top"/>
          </w:tcPr>
          <w:p>
            <w:r/>
            <w:r>
              <w:rPr>
                <w:b w:val="0"/>
                <w:sz w:val="12"/>
              </w:rPr>
              <w:t>Acceptable-use records, DLP, inventory</w:t>
            </w:r>
          </w:p>
        </w:tc>
        <w:tc>
          <w:tcPr>
            <w:tcW w:type="dxa" w:w="1296"/>
            <w:vAlign w:val="top"/>
          </w:tcPr>
          <w:p>
            <w:r/>
            <w:r>
              <w:rPr>
                <w:b w:val="0"/>
                <w:sz w:val="12"/>
              </w:rPr>
              <w:t>Reviewer accountable for work product</w:t>
            </w:r>
          </w:p>
        </w:tc>
        <w:tc>
          <w:tcPr>
            <w:tcW w:type="dxa" w:w="1296"/>
            <w:vAlign w:val="top"/>
          </w:tcPr>
          <w:p>
            <w:r/>
            <w:r>
              <w:rPr>
                <w:b w:val="0"/>
                <w:sz w:val="12"/>
              </w:rPr>
              <w:t>No safe-harbour assumption; legal and actuarial applicability remains separate.</w:t>
            </w:r>
          </w:p>
        </w:tc>
      </w:tr>
    </w:tbl>
    <w:p/>
    <w:p>
      <w:pPr>
        <w:pStyle w:val="Heading1"/>
      </w:pPr>
      <w:r>
        <w:t>7. Governance and accountability</w:t>
      </w:r>
    </w:p>
    <w:p>
      <w:r>
        <w:t>Accountability remains with the insurance entity and accountable business owner. Outsourcing changes evidence sources, not accountability. Governance should integrate board risk appetite, executive ownership, actuarial and model validation, CISO controls, compliance/conduct review, privacy, procurement, resilience and internal audit.</w:t>
      </w:r>
    </w:p>
    <w:tbl>
      <w:tblPr>
        <w:tblStyle w:val="TableGrid"/>
        <w:tblW w:type="auto" w:w="0"/>
        <w:jc w:val="center"/>
        <w:tblLook w:firstColumn="1" w:firstRow="1" w:lastColumn="0" w:lastRow="0" w:noHBand="0" w:noVBand="1" w:val="04A0"/>
      </w:tblPr>
      <w:tblGrid>
        <w:gridCol w:w="2592"/>
        <w:gridCol w:w="2592"/>
        <w:gridCol w:w="2592"/>
        <w:gridCol w:w="2592"/>
      </w:tblGrid>
      <w:tr>
        <w:trPr>
          <w:cantSplit/>
          <w:tblHeader w:val="true"/>
        </w:trPr>
        <w:tc>
          <w:tcPr>
            <w:tcW w:type="dxa" w:w="2592"/>
            <w:vAlign w:val="top"/>
            <w:shd w:fill="1F4E78"/>
          </w:tcPr>
          <w:p>
            <w:r/>
            <w:r>
              <w:rPr>
                <w:b/>
                <w:color w:val="FFFFFF"/>
                <w:sz w:val="14"/>
              </w:rPr>
              <w:t>Decision</w:t>
            </w:r>
          </w:p>
        </w:tc>
        <w:tc>
          <w:tcPr>
            <w:tcW w:type="dxa" w:w="2592"/>
            <w:vAlign w:val="top"/>
            <w:shd w:fill="1F4E78"/>
          </w:tcPr>
          <w:p>
            <w:r/>
            <w:r>
              <w:rPr>
                <w:b/>
                <w:color w:val="FFFFFF"/>
                <w:sz w:val="14"/>
              </w:rPr>
              <w:t>Accountable</w:t>
            </w:r>
          </w:p>
        </w:tc>
        <w:tc>
          <w:tcPr>
            <w:tcW w:type="dxa" w:w="2592"/>
            <w:vAlign w:val="top"/>
            <w:shd w:fill="1F4E78"/>
          </w:tcPr>
          <w:p>
            <w:r/>
            <w:r>
              <w:rPr>
                <w:b/>
                <w:color w:val="FFFFFF"/>
                <w:sz w:val="14"/>
              </w:rPr>
              <w:t>Consulted / responsible</w:t>
            </w:r>
          </w:p>
        </w:tc>
        <w:tc>
          <w:tcPr>
            <w:tcW w:type="dxa" w:w="2592"/>
            <w:vAlign w:val="top"/>
            <w:shd w:fill="1F4E78"/>
          </w:tcPr>
          <w:p>
            <w:r/>
            <w:r>
              <w:rPr>
                <w:b/>
                <w:color w:val="FFFFFF"/>
                <w:sz w:val="14"/>
              </w:rPr>
              <w:t>Escalation</w:t>
            </w:r>
          </w:p>
        </w:tc>
      </w:tr>
      <w:tr>
        <w:trPr>
          <w:cantSplit/>
        </w:trPr>
        <w:tc>
          <w:tcPr>
            <w:tcW w:type="dxa" w:w="2592"/>
            <w:vAlign w:val="top"/>
          </w:tcPr>
          <w:p>
            <w:r/>
            <w:r>
              <w:rPr>
                <w:b w:val="0"/>
                <w:sz w:val="14"/>
              </w:rPr>
              <w:t>System approval</w:t>
            </w:r>
          </w:p>
        </w:tc>
        <w:tc>
          <w:tcPr>
            <w:tcW w:type="dxa" w:w="2592"/>
            <w:vAlign w:val="top"/>
          </w:tcPr>
          <w:p>
            <w:r/>
            <w:r>
              <w:rPr>
                <w:b w:val="0"/>
                <w:sz w:val="14"/>
              </w:rPr>
              <w:t>Business owner</w:t>
            </w:r>
          </w:p>
        </w:tc>
        <w:tc>
          <w:tcPr>
            <w:tcW w:type="dxa" w:w="2592"/>
            <w:vAlign w:val="top"/>
          </w:tcPr>
          <w:p>
            <w:r/>
            <w:r>
              <w:rPr>
                <w:b w:val="0"/>
                <w:sz w:val="14"/>
              </w:rPr>
              <w:t>AI governance, CISO, model risk, compliance</w:t>
            </w:r>
          </w:p>
        </w:tc>
        <w:tc>
          <w:tcPr>
            <w:tcW w:type="dxa" w:w="2592"/>
            <w:vAlign w:val="top"/>
          </w:tcPr>
          <w:p>
            <w:r/>
            <w:r>
              <w:rPr>
                <w:b w:val="0"/>
                <w:sz w:val="14"/>
              </w:rPr>
              <w:t>Board/committee for material systems</w:t>
            </w:r>
          </w:p>
        </w:tc>
      </w:tr>
      <w:tr>
        <w:trPr>
          <w:cantSplit/>
        </w:trPr>
        <w:tc>
          <w:tcPr>
            <w:tcW w:type="dxa" w:w="2592"/>
            <w:vAlign w:val="top"/>
            <w:shd w:fill="EAF2F8"/>
          </w:tcPr>
          <w:p>
            <w:r/>
            <w:r>
              <w:rPr>
                <w:b w:val="0"/>
                <w:sz w:val="14"/>
              </w:rPr>
              <w:t>Risk classification</w:t>
            </w:r>
          </w:p>
        </w:tc>
        <w:tc>
          <w:tcPr>
            <w:tcW w:type="dxa" w:w="2592"/>
            <w:vAlign w:val="top"/>
            <w:shd w:fill="EAF2F8"/>
          </w:tcPr>
          <w:p>
            <w:r/>
            <w:r>
              <w:rPr>
                <w:b w:val="0"/>
                <w:sz w:val="14"/>
              </w:rPr>
              <w:t>AI governance</w:t>
            </w:r>
          </w:p>
        </w:tc>
        <w:tc>
          <w:tcPr>
            <w:tcW w:type="dxa" w:w="2592"/>
            <w:vAlign w:val="top"/>
            <w:shd w:fill="EAF2F8"/>
          </w:tcPr>
          <w:p>
            <w:r/>
            <w:r>
              <w:rPr>
                <w:b w:val="0"/>
                <w:sz w:val="14"/>
              </w:rPr>
              <w:t>Business, model risk, legal, actuarial</w:t>
            </w:r>
          </w:p>
        </w:tc>
        <w:tc>
          <w:tcPr>
            <w:tcW w:type="dxa" w:w="2592"/>
            <w:vAlign w:val="top"/>
            <w:shd w:fill="EAF2F8"/>
          </w:tcPr>
          <w:p>
            <w:r/>
            <w:r>
              <w:rPr>
                <w:b w:val="0"/>
                <w:sz w:val="14"/>
              </w:rPr>
              <w:t>CRO</w:t>
            </w:r>
          </w:p>
        </w:tc>
      </w:tr>
      <w:tr>
        <w:trPr>
          <w:cantSplit/>
        </w:trPr>
        <w:tc>
          <w:tcPr>
            <w:tcW w:type="dxa" w:w="2592"/>
            <w:vAlign w:val="top"/>
          </w:tcPr>
          <w:p>
            <w:r/>
            <w:r>
              <w:rPr>
                <w:b w:val="0"/>
                <w:sz w:val="14"/>
              </w:rPr>
              <w:t>Data approval</w:t>
            </w:r>
          </w:p>
        </w:tc>
        <w:tc>
          <w:tcPr>
            <w:tcW w:type="dxa" w:w="2592"/>
            <w:vAlign w:val="top"/>
          </w:tcPr>
          <w:p>
            <w:r/>
            <w:r>
              <w:rPr>
                <w:b w:val="0"/>
                <w:sz w:val="14"/>
              </w:rPr>
              <w:t>Data owner</w:t>
            </w:r>
          </w:p>
        </w:tc>
        <w:tc>
          <w:tcPr>
            <w:tcW w:type="dxa" w:w="2592"/>
            <w:vAlign w:val="top"/>
          </w:tcPr>
          <w:p>
            <w:r/>
            <w:r>
              <w:rPr>
                <w:b w:val="0"/>
                <w:sz w:val="14"/>
              </w:rPr>
              <w:t>Privacy, security, actuarial/model risk</w:t>
            </w:r>
          </w:p>
        </w:tc>
        <w:tc>
          <w:tcPr>
            <w:tcW w:type="dxa" w:w="2592"/>
            <w:vAlign w:val="top"/>
          </w:tcPr>
          <w:p>
            <w:r/>
            <w:r>
              <w:rPr>
                <w:b w:val="0"/>
                <w:sz w:val="14"/>
              </w:rPr>
              <w:t>AI governance</w:t>
            </w:r>
          </w:p>
        </w:tc>
      </w:tr>
      <w:tr>
        <w:trPr>
          <w:cantSplit/>
        </w:trPr>
        <w:tc>
          <w:tcPr>
            <w:tcW w:type="dxa" w:w="2592"/>
            <w:vAlign w:val="top"/>
            <w:shd w:fill="EAF2F8"/>
          </w:tcPr>
          <w:p>
            <w:r/>
            <w:r>
              <w:rPr>
                <w:b w:val="0"/>
                <w:sz w:val="14"/>
              </w:rPr>
              <w:t>Model validation</w:t>
            </w:r>
          </w:p>
        </w:tc>
        <w:tc>
          <w:tcPr>
            <w:tcW w:type="dxa" w:w="2592"/>
            <w:vAlign w:val="top"/>
            <w:shd w:fill="EAF2F8"/>
          </w:tcPr>
          <w:p>
            <w:r/>
            <w:r>
              <w:rPr>
                <w:b w:val="0"/>
                <w:sz w:val="14"/>
              </w:rPr>
              <w:t>Independent validation / actuarial</w:t>
            </w:r>
          </w:p>
        </w:tc>
        <w:tc>
          <w:tcPr>
            <w:tcW w:type="dxa" w:w="2592"/>
            <w:vAlign w:val="top"/>
            <w:shd w:fill="EAF2F8"/>
          </w:tcPr>
          <w:p>
            <w:r/>
            <w:r>
              <w:rPr>
                <w:b w:val="0"/>
                <w:sz w:val="14"/>
              </w:rPr>
              <w:t>CISO, business owner</w:t>
            </w:r>
          </w:p>
        </w:tc>
        <w:tc>
          <w:tcPr>
            <w:tcW w:type="dxa" w:w="2592"/>
            <w:vAlign w:val="top"/>
            <w:shd w:fill="EAF2F8"/>
          </w:tcPr>
          <w:p>
            <w:r/>
            <w:r>
              <w:rPr>
                <w:b w:val="0"/>
                <w:sz w:val="14"/>
              </w:rPr>
              <w:t>CRO / validation committee</w:t>
            </w:r>
          </w:p>
        </w:tc>
      </w:tr>
      <w:tr>
        <w:trPr>
          <w:cantSplit/>
        </w:trPr>
        <w:tc>
          <w:tcPr>
            <w:tcW w:type="dxa" w:w="2592"/>
            <w:vAlign w:val="top"/>
          </w:tcPr>
          <w:p>
            <w:r/>
            <w:r>
              <w:rPr>
                <w:b w:val="0"/>
                <w:sz w:val="14"/>
              </w:rPr>
              <w:t>Security testing</w:t>
            </w:r>
          </w:p>
        </w:tc>
        <w:tc>
          <w:tcPr>
            <w:tcW w:type="dxa" w:w="2592"/>
            <w:vAlign w:val="top"/>
          </w:tcPr>
          <w:p>
            <w:r/>
            <w:r>
              <w:rPr>
                <w:b w:val="0"/>
                <w:sz w:val="14"/>
              </w:rPr>
              <w:t>CISO</w:t>
            </w:r>
          </w:p>
        </w:tc>
        <w:tc>
          <w:tcPr>
            <w:tcW w:type="dxa" w:w="2592"/>
            <w:vAlign w:val="top"/>
          </w:tcPr>
          <w:p>
            <w:r/>
            <w:r>
              <w:rPr>
                <w:b w:val="0"/>
                <w:sz w:val="14"/>
              </w:rPr>
              <w:t>Engineering, vendor, red team</w:t>
            </w:r>
          </w:p>
        </w:tc>
        <w:tc>
          <w:tcPr>
            <w:tcW w:type="dxa" w:w="2592"/>
            <w:vAlign w:val="top"/>
          </w:tcPr>
          <w:p>
            <w:r/>
            <w:r>
              <w:rPr>
                <w:b w:val="0"/>
                <w:sz w:val="14"/>
              </w:rPr>
              <w:t>AI governance</w:t>
            </w:r>
          </w:p>
        </w:tc>
      </w:tr>
      <w:tr>
        <w:trPr>
          <w:cantSplit/>
        </w:trPr>
        <w:tc>
          <w:tcPr>
            <w:tcW w:type="dxa" w:w="2592"/>
            <w:vAlign w:val="top"/>
            <w:shd w:fill="EAF2F8"/>
          </w:tcPr>
          <w:p>
            <w:r/>
            <w:r>
              <w:rPr>
                <w:b w:val="0"/>
                <w:sz w:val="14"/>
              </w:rPr>
              <w:t>Deployment approval</w:t>
            </w:r>
          </w:p>
        </w:tc>
        <w:tc>
          <w:tcPr>
            <w:tcW w:type="dxa" w:w="2592"/>
            <w:vAlign w:val="top"/>
            <w:shd w:fill="EAF2F8"/>
          </w:tcPr>
          <w:p>
            <w:r/>
            <w:r>
              <w:rPr>
                <w:b w:val="0"/>
                <w:sz w:val="14"/>
              </w:rPr>
              <w:t>Business owner</w:t>
            </w:r>
          </w:p>
        </w:tc>
        <w:tc>
          <w:tcPr>
            <w:tcW w:type="dxa" w:w="2592"/>
            <w:vAlign w:val="top"/>
            <w:shd w:fill="EAF2F8"/>
          </w:tcPr>
          <w:p>
            <w:r/>
            <w:r>
              <w:rPr>
                <w:b w:val="0"/>
                <w:sz w:val="14"/>
              </w:rPr>
              <w:t>CISO, model risk, compliance, operations</w:t>
            </w:r>
          </w:p>
        </w:tc>
        <w:tc>
          <w:tcPr>
            <w:tcW w:type="dxa" w:w="2592"/>
            <w:vAlign w:val="top"/>
            <w:shd w:fill="EAF2F8"/>
          </w:tcPr>
          <w:p>
            <w:r/>
            <w:r>
              <w:rPr>
                <w:b w:val="0"/>
                <w:sz w:val="14"/>
              </w:rPr>
              <w:t>Executive committee for critical systems</w:t>
            </w:r>
          </w:p>
        </w:tc>
      </w:tr>
      <w:tr>
        <w:trPr>
          <w:cantSplit/>
        </w:trPr>
        <w:tc>
          <w:tcPr>
            <w:tcW w:type="dxa" w:w="2592"/>
            <w:vAlign w:val="top"/>
          </w:tcPr>
          <w:p>
            <w:r/>
            <w:r>
              <w:rPr>
                <w:b w:val="0"/>
                <w:sz w:val="14"/>
              </w:rPr>
              <w:t>Monitoring</w:t>
            </w:r>
          </w:p>
        </w:tc>
        <w:tc>
          <w:tcPr>
            <w:tcW w:type="dxa" w:w="2592"/>
            <w:vAlign w:val="top"/>
          </w:tcPr>
          <w:p>
            <w:r/>
            <w:r>
              <w:rPr>
                <w:b w:val="0"/>
                <w:sz w:val="14"/>
              </w:rPr>
              <w:t>System owner</w:t>
            </w:r>
          </w:p>
        </w:tc>
        <w:tc>
          <w:tcPr>
            <w:tcW w:type="dxa" w:w="2592"/>
            <w:vAlign w:val="top"/>
          </w:tcPr>
          <w:p>
            <w:r/>
            <w:r>
              <w:rPr>
                <w:b w:val="0"/>
                <w:sz w:val="14"/>
              </w:rPr>
              <w:t>Model risk, claims/underwriting, security</w:t>
            </w:r>
          </w:p>
        </w:tc>
        <w:tc>
          <w:tcPr>
            <w:tcW w:type="dxa" w:w="2592"/>
            <w:vAlign w:val="top"/>
          </w:tcPr>
          <w:p>
            <w:r/>
            <w:r>
              <w:rPr>
                <w:b w:val="0"/>
                <w:sz w:val="14"/>
              </w:rPr>
              <w:t>CRO</w:t>
            </w:r>
          </w:p>
        </w:tc>
      </w:tr>
      <w:tr>
        <w:trPr>
          <w:cantSplit/>
        </w:trPr>
        <w:tc>
          <w:tcPr>
            <w:tcW w:type="dxa" w:w="2592"/>
            <w:vAlign w:val="top"/>
            <w:shd w:fill="EAF2F8"/>
          </w:tcPr>
          <w:p>
            <w:r/>
            <w:r>
              <w:rPr>
                <w:b w:val="0"/>
                <w:sz w:val="14"/>
              </w:rPr>
              <w:t>Incident escalation</w:t>
            </w:r>
          </w:p>
        </w:tc>
        <w:tc>
          <w:tcPr>
            <w:tcW w:type="dxa" w:w="2592"/>
            <w:vAlign w:val="top"/>
            <w:shd w:fill="EAF2F8"/>
          </w:tcPr>
          <w:p>
            <w:r/>
            <w:r>
              <w:rPr>
                <w:b w:val="0"/>
                <w:sz w:val="14"/>
              </w:rPr>
              <w:t>Incident commander</w:t>
            </w:r>
          </w:p>
        </w:tc>
        <w:tc>
          <w:tcPr>
            <w:tcW w:type="dxa" w:w="2592"/>
            <w:vAlign w:val="top"/>
            <w:shd w:fill="EAF2F8"/>
          </w:tcPr>
          <w:p>
            <w:r/>
            <w:r>
              <w:rPr>
                <w:b w:val="0"/>
                <w:sz w:val="14"/>
              </w:rPr>
              <w:t>Legal, compliance, business, privacy</w:t>
            </w:r>
          </w:p>
        </w:tc>
        <w:tc>
          <w:tcPr>
            <w:tcW w:type="dxa" w:w="2592"/>
            <w:vAlign w:val="top"/>
            <w:shd w:fill="EAF2F8"/>
          </w:tcPr>
          <w:p>
            <w:r/>
            <w:r>
              <w:rPr>
                <w:b w:val="0"/>
                <w:sz w:val="14"/>
              </w:rPr>
              <w:t>Executive / board by severity</w:t>
            </w:r>
          </w:p>
        </w:tc>
      </w:tr>
      <w:tr>
        <w:trPr>
          <w:cantSplit/>
        </w:trPr>
        <w:tc>
          <w:tcPr>
            <w:tcW w:type="dxa" w:w="2592"/>
            <w:vAlign w:val="top"/>
          </w:tcPr>
          <w:p>
            <w:r/>
            <w:r>
              <w:rPr>
                <w:b w:val="0"/>
                <w:sz w:val="14"/>
              </w:rPr>
              <w:t>Customer notification</w:t>
            </w:r>
          </w:p>
        </w:tc>
        <w:tc>
          <w:tcPr>
            <w:tcW w:type="dxa" w:w="2592"/>
            <w:vAlign w:val="top"/>
          </w:tcPr>
          <w:p>
            <w:r/>
            <w:r>
              <w:rPr>
                <w:b w:val="0"/>
                <w:sz w:val="14"/>
              </w:rPr>
              <w:t>Compliance / legal</w:t>
            </w:r>
          </w:p>
        </w:tc>
        <w:tc>
          <w:tcPr>
            <w:tcW w:type="dxa" w:w="2592"/>
            <w:vAlign w:val="top"/>
          </w:tcPr>
          <w:p>
            <w:r/>
            <w:r>
              <w:rPr>
                <w:b w:val="0"/>
                <w:sz w:val="14"/>
              </w:rPr>
              <w:t>Claims or product owner</w:t>
            </w:r>
          </w:p>
        </w:tc>
        <w:tc>
          <w:tcPr>
            <w:tcW w:type="dxa" w:w="2592"/>
            <w:vAlign w:val="top"/>
          </w:tcPr>
          <w:p>
            <w:r/>
            <w:r>
              <w:rPr>
                <w:b w:val="0"/>
                <w:sz w:val="14"/>
              </w:rPr>
              <w:t>Accountable executive</w:t>
            </w:r>
          </w:p>
        </w:tc>
      </w:tr>
      <w:tr>
        <w:trPr>
          <w:cantSplit/>
        </w:trPr>
        <w:tc>
          <w:tcPr>
            <w:tcW w:type="dxa" w:w="2592"/>
            <w:vAlign w:val="top"/>
            <w:shd w:fill="EAF2F8"/>
          </w:tcPr>
          <w:p>
            <w:r/>
            <w:r>
              <w:rPr>
                <w:b w:val="0"/>
                <w:sz w:val="14"/>
              </w:rPr>
              <w:t>Model retirement</w:t>
            </w:r>
          </w:p>
        </w:tc>
        <w:tc>
          <w:tcPr>
            <w:tcW w:type="dxa" w:w="2592"/>
            <w:vAlign w:val="top"/>
            <w:shd w:fill="EAF2F8"/>
          </w:tcPr>
          <w:p>
            <w:r/>
            <w:r>
              <w:rPr>
                <w:b w:val="0"/>
                <w:sz w:val="14"/>
              </w:rPr>
              <w:t>System owner</w:t>
            </w:r>
          </w:p>
        </w:tc>
        <w:tc>
          <w:tcPr>
            <w:tcW w:type="dxa" w:w="2592"/>
            <w:vAlign w:val="top"/>
            <w:shd w:fill="EAF2F8"/>
          </w:tcPr>
          <w:p>
            <w:r/>
            <w:r>
              <w:rPr>
                <w:b w:val="0"/>
                <w:sz w:val="14"/>
              </w:rPr>
              <w:t>Records, vendor, security, business continuity</w:t>
            </w:r>
          </w:p>
        </w:tc>
        <w:tc>
          <w:tcPr>
            <w:tcW w:type="dxa" w:w="2592"/>
            <w:vAlign w:val="top"/>
            <w:shd w:fill="EAF2F8"/>
          </w:tcPr>
          <w:p>
            <w:r/>
            <w:r>
              <w:rPr>
                <w:b w:val="0"/>
                <w:sz w:val="14"/>
              </w:rPr>
              <w:t>AI governance</w:t>
            </w:r>
          </w:p>
        </w:tc>
      </w:tr>
    </w:tbl>
    <w:p/>
    <w:p>
      <w:pPr>
        <w:pStyle w:val="Heading1"/>
      </w:pPr>
      <w:r>
        <w:t>8. Human oversight</w:t>
      </w:r>
    </w:p>
    <w:p>
      <w:r>
        <w:t>Meaningful oversight exists only where the reviewer acts before harm becomes irreversible, has relevant competence and contextual information, can disagree without penalty, can access source evidence, and has authority and time to intervene. A nominal approval click, post-event sampling or blind reliance on a confidence score is ceremonial oversight.</w:t>
      </w:r>
    </w:p>
    <w:tbl>
      <w:tblPr>
        <w:tblStyle w:val="TableGrid"/>
        <w:tblW w:type="auto" w:w="0"/>
        <w:jc w:val="center"/>
        <w:tblLook w:firstColumn="1" w:firstRow="1" w:lastColumn="0" w:lastRow="0" w:noHBand="0" w:noVBand="1" w:val="04A0"/>
      </w:tblPr>
      <w:tblGrid>
        <w:gridCol w:w="2592"/>
        <w:gridCol w:w="2592"/>
        <w:gridCol w:w="2592"/>
        <w:gridCol w:w="2592"/>
      </w:tblGrid>
      <w:tr>
        <w:trPr>
          <w:cantSplit/>
          <w:tblHeader w:val="true"/>
        </w:trPr>
        <w:tc>
          <w:tcPr>
            <w:tcW w:type="dxa" w:w="2592"/>
            <w:vAlign w:val="top"/>
            <w:shd w:fill="1F4E78"/>
          </w:tcPr>
          <w:p>
            <w:r/>
            <w:r>
              <w:rPr>
                <w:b/>
                <w:color w:val="FFFFFF"/>
                <w:sz w:val="14"/>
              </w:rPr>
              <w:t>Trigger</w:t>
            </w:r>
          </w:p>
        </w:tc>
        <w:tc>
          <w:tcPr>
            <w:tcW w:type="dxa" w:w="2592"/>
            <w:vAlign w:val="top"/>
            <w:shd w:fill="1F4E78"/>
          </w:tcPr>
          <w:p>
            <w:r/>
            <w:r>
              <w:rPr>
                <w:b/>
                <w:color w:val="FFFFFF"/>
                <w:sz w:val="14"/>
              </w:rPr>
              <w:t>Oversight model</w:t>
            </w:r>
          </w:p>
        </w:tc>
        <w:tc>
          <w:tcPr>
            <w:tcW w:type="dxa" w:w="2592"/>
            <w:vAlign w:val="top"/>
            <w:shd w:fill="1F4E78"/>
          </w:tcPr>
          <w:p>
            <w:r/>
            <w:r>
              <w:rPr>
                <w:b/>
                <w:color w:val="FFFFFF"/>
                <w:sz w:val="14"/>
              </w:rPr>
              <w:t>Reviewer</w:t>
            </w:r>
          </w:p>
        </w:tc>
        <w:tc>
          <w:tcPr>
            <w:tcW w:type="dxa" w:w="2592"/>
            <w:vAlign w:val="top"/>
            <w:shd w:fill="1F4E78"/>
          </w:tcPr>
          <w:p>
            <w:r/>
            <w:r>
              <w:rPr>
                <w:b/>
                <w:color w:val="FFFFFF"/>
                <w:sz w:val="14"/>
              </w:rPr>
              <w:t>Required record</w:t>
            </w:r>
          </w:p>
        </w:tc>
      </w:tr>
      <w:tr>
        <w:trPr>
          <w:cantSplit/>
        </w:trPr>
        <w:tc>
          <w:tcPr>
            <w:tcW w:type="dxa" w:w="2592"/>
            <w:vAlign w:val="top"/>
          </w:tcPr>
          <w:p>
            <w:r/>
            <w:r>
              <w:rPr>
                <w:b w:val="0"/>
                <w:sz w:val="14"/>
              </w:rPr>
              <w:t>Coverage denial or material exclusion</w:t>
            </w:r>
          </w:p>
        </w:tc>
        <w:tc>
          <w:tcPr>
            <w:tcW w:type="dxa" w:w="2592"/>
            <w:vAlign w:val="top"/>
          </w:tcPr>
          <w:p>
            <w:r/>
            <w:r>
              <w:rPr>
                <w:b w:val="0"/>
                <w:sz w:val="14"/>
              </w:rPr>
              <w:t>Human-in-command</w:t>
            </w:r>
          </w:p>
        </w:tc>
        <w:tc>
          <w:tcPr>
            <w:tcW w:type="dxa" w:w="2592"/>
            <w:vAlign w:val="top"/>
          </w:tcPr>
          <w:p>
            <w:r/>
            <w:r>
              <w:rPr>
                <w:b w:val="0"/>
                <w:sz w:val="14"/>
              </w:rPr>
              <w:t>Qualified underwriter / claims decision-maker</w:t>
            </w:r>
          </w:p>
        </w:tc>
        <w:tc>
          <w:tcPr>
            <w:tcW w:type="dxa" w:w="2592"/>
            <w:vAlign w:val="top"/>
          </w:tcPr>
          <w:p>
            <w:r/>
            <w:r>
              <w:rPr>
                <w:b w:val="0"/>
                <w:sz w:val="14"/>
              </w:rPr>
              <w:t>Sources, model output, rationale, alternative considered, approval</w:t>
            </w:r>
          </w:p>
        </w:tc>
      </w:tr>
      <w:tr>
        <w:trPr>
          <w:cantSplit/>
        </w:trPr>
        <w:tc>
          <w:tcPr>
            <w:tcW w:type="dxa" w:w="2592"/>
            <w:vAlign w:val="top"/>
            <w:shd w:fill="EAF2F8"/>
          </w:tcPr>
          <w:p>
            <w:r/>
            <w:r>
              <w:rPr>
                <w:b w:val="0"/>
                <w:sz w:val="14"/>
              </w:rPr>
              <w:t>High-value or vulnerable claimant</w:t>
            </w:r>
          </w:p>
        </w:tc>
        <w:tc>
          <w:tcPr>
            <w:tcW w:type="dxa" w:w="2592"/>
            <w:vAlign w:val="top"/>
            <w:shd w:fill="EAF2F8"/>
          </w:tcPr>
          <w:p>
            <w:r/>
            <w:r>
              <w:rPr>
                <w:b w:val="0"/>
                <w:sz w:val="14"/>
              </w:rPr>
              <w:t>Mandatory manual review</w:t>
            </w:r>
          </w:p>
        </w:tc>
        <w:tc>
          <w:tcPr>
            <w:tcW w:type="dxa" w:w="2592"/>
            <w:vAlign w:val="top"/>
            <w:shd w:fill="EAF2F8"/>
          </w:tcPr>
          <w:p>
            <w:r/>
            <w:r>
              <w:rPr>
                <w:b w:val="0"/>
                <w:sz w:val="14"/>
              </w:rPr>
              <w:t>Senior claims professional</w:t>
            </w:r>
          </w:p>
        </w:tc>
        <w:tc>
          <w:tcPr>
            <w:tcW w:type="dxa" w:w="2592"/>
            <w:vAlign w:val="top"/>
            <w:shd w:fill="EAF2F8"/>
          </w:tcPr>
          <w:p>
            <w:r/>
            <w:r>
              <w:rPr>
                <w:b w:val="0"/>
                <w:sz w:val="14"/>
              </w:rPr>
              <w:t>Vulnerability and escalation record</w:t>
            </w:r>
          </w:p>
        </w:tc>
      </w:tr>
      <w:tr>
        <w:trPr>
          <w:cantSplit/>
        </w:trPr>
        <w:tc>
          <w:tcPr>
            <w:tcW w:type="dxa" w:w="2592"/>
            <w:vAlign w:val="top"/>
          </w:tcPr>
          <w:p>
            <w:r/>
            <w:r>
              <w:rPr>
                <w:b w:val="0"/>
                <w:sz w:val="14"/>
              </w:rPr>
              <w:t>Fraud flag causing adverse action</w:t>
            </w:r>
          </w:p>
        </w:tc>
        <w:tc>
          <w:tcPr>
            <w:tcW w:type="dxa" w:w="2592"/>
            <w:vAlign w:val="top"/>
          </w:tcPr>
          <w:p>
            <w:r/>
            <w:r>
              <w:rPr>
                <w:b w:val="0"/>
                <w:sz w:val="14"/>
              </w:rPr>
              <w:t>Human-in-the-loop</w:t>
            </w:r>
          </w:p>
        </w:tc>
        <w:tc>
          <w:tcPr>
            <w:tcW w:type="dxa" w:w="2592"/>
            <w:vAlign w:val="top"/>
          </w:tcPr>
          <w:p>
            <w:r/>
            <w:r>
              <w:rPr>
                <w:b w:val="0"/>
                <w:sz w:val="14"/>
              </w:rPr>
              <w:t>Trained investigator</w:t>
            </w:r>
          </w:p>
        </w:tc>
        <w:tc>
          <w:tcPr>
            <w:tcW w:type="dxa" w:w="2592"/>
            <w:vAlign w:val="top"/>
          </w:tcPr>
          <w:p>
            <w:r/>
            <w:r>
              <w:rPr>
                <w:b w:val="0"/>
                <w:sz w:val="14"/>
              </w:rPr>
              <w:t>Evidence reviewed, disposition, feedback label</w:t>
            </w:r>
          </w:p>
        </w:tc>
      </w:tr>
      <w:tr>
        <w:trPr>
          <w:cantSplit/>
        </w:trPr>
        <w:tc>
          <w:tcPr>
            <w:tcW w:type="dxa" w:w="2592"/>
            <w:vAlign w:val="top"/>
            <w:shd w:fill="EAF2F8"/>
          </w:tcPr>
          <w:p>
            <w:r/>
            <w:r>
              <w:rPr>
                <w:b w:val="0"/>
                <w:sz w:val="14"/>
              </w:rPr>
              <w:t>Medical/health-related decision</w:t>
            </w:r>
          </w:p>
        </w:tc>
        <w:tc>
          <w:tcPr>
            <w:tcW w:type="dxa" w:w="2592"/>
            <w:vAlign w:val="top"/>
            <w:shd w:fill="EAF2F8"/>
          </w:tcPr>
          <w:p>
            <w:r/>
            <w:r>
              <w:rPr>
                <w:b w:val="0"/>
                <w:sz w:val="14"/>
              </w:rPr>
              <w:t>Qualified human review</w:t>
            </w:r>
          </w:p>
        </w:tc>
        <w:tc>
          <w:tcPr>
            <w:tcW w:type="dxa" w:w="2592"/>
            <w:vAlign w:val="top"/>
            <w:shd w:fill="EAF2F8"/>
          </w:tcPr>
          <w:p>
            <w:r/>
            <w:r>
              <w:rPr>
                <w:b w:val="0"/>
                <w:sz w:val="14"/>
              </w:rPr>
              <w:t>Appropriate clinical/actuarial/claims professional</w:t>
            </w:r>
          </w:p>
        </w:tc>
        <w:tc>
          <w:tcPr>
            <w:tcW w:type="dxa" w:w="2592"/>
            <w:vAlign w:val="top"/>
            <w:shd w:fill="EAF2F8"/>
          </w:tcPr>
          <w:p>
            <w:r/>
            <w:r>
              <w:rPr>
                <w:b w:val="0"/>
                <w:sz w:val="14"/>
              </w:rPr>
              <w:t>Competence, sources, rationale, appeal route</w:t>
            </w:r>
          </w:p>
        </w:tc>
      </w:tr>
      <w:tr>
        <w:trPr>
          <w:cantSplit/>
        </w:trPr>
        <w:tc>
          <w:tcPr>
            <w:tcW w:type="dxa" w:w="2592"/>
            <w:vAlign w:val="top"/>
          </w:tcPr>
          <w:p>
            <w:r/>
            <w:r>
              <w:rPr>
                <w:b w:val="0"/>
                <w:sz w:val="14"/>
              </w:rPr>
              <w:t>Agentic action affecting policy/claim</w:t>
            </w:r>
          </w:p>
        </w:tc>
        <w:tc>
          <w:tcPr>
            <w:tcW w:type="dxa" w:w="2592"/>
            <w:vAlign w:val="top"/>
          </w:tcPr>
          <w:p>
            <w:r/>
            <w:r>
              <w:rPr>
                <w:b w:val="0"/>
                <w:sz w:val="14"/>
              </w:rPr>
              <w:t>Dual approval or constrained authority</w:t>
            </w:r>
          </w:p>
        </w:tc>
        <w:tc>
          <w:tcPr>
            <w:tcW w:type="dxa" w:w="2592"/>
            <w:vAlign w:val="top"/>
          </w:tcPr>
          <w:p>
            <w:r/>
            <w:r>
              <w:rPr>
                <w:b w:val="0"/>
                <w:sz w:val="14"/>
              </w:rPr>
              <w:t>Business owner and control function</w:t>
            </w:r>
          </w:p>
        </w:tc>
        <w:tc>
          <w:tcPr>
            <w:tcW w:type="dxa" w:w="2592"/>
            <w:vAlign w:val="top"/>
          </w:tcPr>
          <w:p>
            <w:r/>
            <w:r>
              <w:rPr>
                <w:b w:val="0"/>
                <w:sz w:val="14"/>
              </w:rPr>
              <w:t>Tool calls, authority, approvals, rollback</w:t>
            </w:r>
          </w:p>
        </w:tc>
      </w:tr>
    </w:tbl>
    <w:p/>
    <w:p>
      <w:pPr>
        <w:pStyle w:val="Heading1"/>
      </w:pPr>
      <w:r>
        <w:t>9. Data governance</w:t>
      </w:r>
    </w:p>
    <w:p>
      <w:r>
        <w:t>The data register should identify source, owner, legal basis or permitted purpose, provenance, sensitivity, quality controls, known limitations, protected-characteristic or proxy risk, update frequency, retention and downstream use. Broker-submitted and third-party enrichment data require correction and challenge mechanisms.</w:t>
      </w:r>
    </w:p>
    <w:tbl>
      <w:tblPr>
        <w:tblStyle w:val="TableGrid"/>
        <w:tblW w:type="auto" w:w="0"/>
        <w:jc w:val="center"/>
        <w:tblLook w:firstColumn="1" w:firstRow="1" w:lastColumn="0" w:lastRow="0" w:noHBand="0" w:noVBand="1" w:val="04A0"/>
      </w:tblPr>
      <w:tblGrid>
        <w:gridCol w:w="1152"/>
        <w:gridCol w:w="1152"/>
        <w:gridCol w:w="1152"/>
        <w:gridCol w:w="1152"/>
        <w:gridCol w:w="1152"/>
        <w:gridCol w:w="1152"/>
        <w:gridCol w:w="1152"/>
        <w:gridCol w:w="1152"/>
        <w:gridCol w:w="1152"/>
      </w:tblGrid>
      <w:tr>
        <w:trPr>
          <w:cantSplit/>
          <w:tblHeader w:val="true"/>
        </w:trPr>
        <w:tc>
          <w:tcPr>
            <w:tcW w:type="dxa" w:w="1152"/>
            <w:vAlign w:val="top"/>
            <w:shd w:fill="1F4E78"/>
          </w:tcPr>
          <w:p>
            <w:r/>
            <w:r>
              <w:rPr>
                <w:b/>
                <w:color w:val="FFFFFF"/>
                <w:sz w:val="14"/>
              </w:rPr>
              <w:t>Data ID</w:t>
            </w:r>
          </w:p>
        </w:tc>
        <w:tc>
          <w:tcPr>
            <w:tcW w:type="dxa" w:w="1152"/>
            <w:vAlign w:val="top"/>
            <w:shd w:fill="1F4E78"/>
          </w:tcPr>
          <w:p>
            <w:r/>
            <w:r>
              <w:rPr>
                <w:b/>
                <w:color w:val="FFFFFF"/>
                <w:sz w:val="14"/>
              </w:rPr>
              <w:t>Source</w:t>
            </w:r>
          </w:p>
        </w:tc>
        <w:tc>
          <w:tcPr>
            <w:tcW w:type="dxa" w:w="1152"/>
            <w:vAlign w:val="top"/>
            <w:shd w:fill="1F4E78"/>
          </w:tcPr>
          <w:p>
            <w:r/>
            <w:r>
              <w:rPr>
                <w:b/>
                <w:color w:val="FFFFFF"/>
                <w:sz w:val="14"/>
              </w:rPr>
              <w:t>Use</w:t>
            </w:r>
          </w:p>
        </w:tc>
        <w:tc>
          <w:tcPr>
            <w:tcW w:type="dxa" w:w="1152"/>
            <w:vAlign w:val="top"/>
            <w:shd w:fill="1F4E78"/>
          </w:tcPr>
          <w:p>
            <w:r/>
            <w:r>
              <w:rPr>
                <w:b/>
                <w:color w:val="FFFFFF"/>
                <w:sz w:val="14"/>
              </w:rPr>
              <w:t>Sensitivity</w:t>
            </w:r>
          </w:p>
        </w:tc>
        <w:tc>
          <w:tcPr>
            <w:tcW w:type="dxa" w:w="1152"/>
            <w:vAlign w:val="top"/>
            <w:shd w:fill="1F4E78"/>
          </w:tcPr>
          <w:p>
            <w:r/>
            <w:r>
              <w:rPr>
                <w:b/>
                <w:color w:val="FFFFFF"/>
                <w:sz w:val="14"/>
              </w:rPr>
              <w:t>Provenance / rights</w:t>
            </w:r>
          </w:p>
        </w:tc>
        <w:tc>
          <w:tcPr>
            <w:tcW w:type="dxa" w:w="1152"/>
            <w:vAlign w:val="top"/>
            <w:shd w:fill="1F4E78"/>
          </w:tcPr>
          <w:p>
            <w:r/>
            <w:r>
              <w:rPr>
                <w:b/>
                <w:color w:val="FFFFFF"/>
                <w:sz w:val="14"/>
              </w:rPr>
              <w:t>Quality controls</w:t>
            </w:r>
          </w:p>
        </w:tc>
        <w:tc>
          <w:tcPr>
            <w:tcW w:type="dxa" w:w="1152"/>
            <w:vAlign w:val="top"/>
            <w:shd w:fill="1F4E78"/>
          </w:tcPr>
          <w:p>
            <w:r/>
            <w:r>
              <w:rPr>
                <w:b/>
                <w:color w:val="FFFFFF"/>
                <w:sz w:val="14"/>
              </w:rPr>
              <w:t>Proxy risk</w:t>
            </w:r>
          </w:p>
        </w:tc>
        <w:tc>
          <w:tcPr>
            <w:tcW w:type="dxa" w:w="1152"/>
            <w:vAlign w:val="top"/>
            <w:shd w:fill="1F4E78"/>
          </w:tcPr>
          <w:p>
            <w:r/>
            <w:r>
              <w:rPr>
                <w:b/>
                <w:color w:val="FFFFFF"/>
                <w:sz w:val="14"/>
              </w:rPr>
              <w:t>Retention</w:t>
            </w:r>
          </w:p>
        </w:tc>
        <w:tc>
          <w:tcPr>
            <w:tcW w:type="dxa" w:w="1152"/>
            <w:vAlign w:val="top"/>
            <w:shd w:fill="1F4E78"/>
          </w:tcPr>
          <w:p>
            <w:r/>
            <w:r>
              <w:rPr>
                <w:b/>
                <w:color w:val="FFFFFF"/>
                <w:sz w:val="14"/>
              </w:rPr>
              <w:t>Owner</w:t>
            </w:r>
          </w:p>
        </w:tc>
      </w:tr>
      <w:tr>
        <w:trPr>
          <w:cantSplit/>
        </w:trPr>
        <w:tc>
          <w:tcPr>
            <w:tcW w:type="dxa" w:w="1152"/>
            <w:vAlign w:val="top"/>
          </w:tcPr>
          <w:p>
            <w:r/>
            <w:r>
              <w:rPr>
                <w:b w:val="0"/>
                <w:sz w:val="14"/>
              </w:rPr>
              <w:t>DATA-001</w:t>
            </w:r>
          </w:p>
        </w:tc>
        <w:tc>
          <w:tcPr>
            <w:tcW w:type="dxa" w:w="1152"/>
            <w:vAlign w:val="top"/>
          </w:tcPr>
          <w:p>
            <w:r/>
            <w:r>
              <w:rPr>
                <w:b w:val="0"/>
                <w:sz w:val="14"/>
              </w:rPr>
              <w:t>Policy administration system</w:t>
            </w:r>
          </w:p>
        </w:tc>
        <w:tc>
          <w:tcPr>
            <w:tcW w:type="dxa" w:w="1152"/>
            <w:vAlign w:val="top"/>
          </w:tcPr>
          <w:p>
            <w:r/>
            <w:r>
              <w:rPr>
                <w:b w:val="0"/>
                <w:sz w:val="14"/>
              </w:rPr>
              <w:t>Underwriting history</w:t>
            </w:r>
          </w:p>
        </w:tc>
        <w:tc>
          <w:tcPr>
            <w:tcW w:type="dxa" w:w="1152"/>
            <w:vAlign w:val="top"/>
          </w:tcPr>
          <w:p>
            <w:r/>
            <w:r>
              <w:rPr>
                <w:b w:val="0"/>
                <w:sz w:val="14"/>
              </w:rPr>
              <w:t>Confidential personal</w:t>
            </w:r>
          </w:p>
        </w:tc>
        <w:tc>
          <w:tcPr>
            <w:tcW w:type="dxa" w:w="1152"/>
            <w:vAlign w:val="top"/>
          </w:tcPr>
          <w:p>
            <w:r/>
            <w:r>
              <w:rPr>
                <w:b w:val="0"/>
                <w:sz w:val="14"/>
              </w:rPr>
              <w:t>Internal authoritative record</w:t>
            </w:r>
          </w:p>
        </w:tc>
        <w:tc>
          <w:tcPr>
            <w:tcW w:type="dxa" w:w="1152"/>
            <w:vAlign w:val="top"/>
          </w:tcPr>
          <w:p>
            <w:r/>
            <w:r>
              <w:rPr>
                <w:b w:val="0"/>
                <w:sz w:val="14"/>
              </w:rPr>
              <w:t>Completeness and reconciliation</w:t>
            </w:r>
          </w:p>
        </w:tc>
        <w:tc>
          <w:tcPr>
            <w:tcW w:type="dxa" w:w="1152"/>
            <w:vAlign w:val="top"/>
          </w:tcPr>
          <w:p>
            <w:r/>
            <w:r>
              <w:rPr>
                <w:b w:val="0"/>
                <w:sz w:val="14"/>
              </w:rPr>
              <w:t>Geography and occupation</w:t>
            </w:r>
          </w:p>
        </w:tc>
        <w:tc>
          <w:tcPr>
            <w:tcW w:type="dxa" w:w="1152"/>
            <w:vAlign w:val="top"/>
          </w:tcPr>
          <w:p>
            <w:r/>
            <w:r>
              <w:rPr>
                <w:b w:val="0"/>
                <w:sz w:val="14"/>
              </w:rPr>
              <w:t>Per records schedule</w:t>
            </w:r>
          </w:p>
        </w:tc>
        <w:tc>
          <w:tcPr>
            <w:tcW w:type="dxa" w:w="1152"/>
            <w:vAlign w:val="top"/>
          </w:tcPr>
          <w:p>
            <w:r/>
            <w:r>
              <w:rPr>
                <w:b w:val="0"/>
                <w:sz w:val="14"/>
              </w:rPr>
              <w:t>Data owner</w:t>
            </w:r>
          </w:p>
        </w:tc>
      </w:tr>
      <w:tr>
        <w:trPr>
          <w:cantSplit/>
        </w:trPr>
        <w:tc>
          <w:tcPr>
            <w:tcW w:type="dxa" w:w="1152"/>
            <w:vAlign w:val="top"/>
            <w:shd w:fill="EAF2F8"/>
          </w:tcPr>
          <w:p>
            <w:r/>
            <w:r>
              <w:rPr>
                <w:b w:val="0"/>
                <w:sz w:val="14"/>
              </w:rPr>
              <w:t>DATA-002</w:t>
            </w:r>
          </w:p>
        </w:tc>
        <w:tc>
          <w:tcPr>
            <w:tcW w:type="dxa" w:w="1152"/>
            <w:vAlign w:val="top"/>
            <w:shd w:fill="EAF2F8"/>
          </w:tcPr>
          <w:p>
            <w:r/>
            <w:r>
              <w:rPr>
                <w:b w:val="0"/>
                <w:sz w:val="14"/>
              </w:rPr>
              <w:t>Telematics provider</w:t>
            </w:r>
          </w:p>
        </w:tc>
        <w:tc>
          <w:tcPr>
            <w:tcW w:type="dxa" w:w="1152"/>
            <w:vAlign w:val="top"/>
            <w:shd w:fill="EAF2F8"/>
          </w:tcPr>
          <w:p>
            <w:r/>
            <w:r>
              <w:rPr>
                <w:b w:val="0"/>
                <w:sz w:val="14"/>
              </w:rPr>
              <w:t>Behaviour-based pricing</w:t>
            </w:r>
          </w:p>
        </w:tc>
        <w:tc>
          <w:tcPr>
            <w:tcW w:type="dxa" w:w="1152"/>
            <w:vAlign w:val="top"/>
            <w:shd w:fill="EAF2F8"/>
          </w:tcPr>
          <w:p>
            <w:r/>
            <w:r>
              <w:rPr>
                <w:b w:val="0"/>
                <w:sz w:val="14"/>
              </w:rPr>
              <w:t>Location / behavioural</w:t>
            </w:r>
          </w:p>
        </w:tc>
        <w:tc>
          <w:tcPr>
            <w:tcW w:type="dxa" w:w="1152"/>
            <w:vAlign w:val="top"/>
            <w:shd w:fill="EAF2F8"/>
          </w:tcPr>
          <w:p>
            <w:r/>
            <w:r>
              <w:rPr>
                <w:b w:val="0"/>
                <w:sz w:val="14"/>
              </w:rPr>
              <w:t>Contract and device lineage</w:t>
            </w:r>
          </w:p>
        </w:tc>
        <w:tc>
          <w:tcPr>
            <w:tcW w:type="dxa" w:w="1152"/>
            <w:vAlign w:val="top"/>
            <w:shd w:fill="EAF2F8"/>
          </w:tcPr>
          <w:p>
            <w:r/>
            <w:r>
              <w:rPr>
                <w:b w:val="0"/>
                <w:sz w:val="14"/>
              </w:rPr>
              <w:t>Calibration, freshness, spoofing checks</w:t>
            </w:r>
          </w:p>
        </w:tc>
        <w:tc>
          <w:tcPr>
            <w:tcW w:type="dxa" w:w="1152"/>
            <w:vAlign w:val="top"/>
            <w:shd w:fill="EAF2F8"/>
          </w:tcPr>
          <w:p>
            <w:r/>
            <w:r>
              <w:rPr>
                <w:b w:val="0"/>
                <w:sz w:val="14"/>
              </w:rPr>
              <w:t>Socioeconomic and disability</w:t>
            </w:r>
          </w:p>
        </w:tc>
        <w:tc>
          <w:tcPr>
            <w:tcW w:type="dxa" w:w="1152"/>
            <w:vAlign w:val="top"/>
            <w:shd w:fill="EAF2F8"/>
          </w:tcPr>
          <w:p>
            <w:r/>
            <w:r>
              <w:rPr>
                <w:b w:val="0"/>
                <w:sz w:val="14"/>
              </w:rPr>
              <w:t>Purpose-limited</w:t>
            </w:r>
          </w:p>
        </w:tc>
        <w:tc>
          <w:tcPr>
            <w:tcW w:type="dxa" w:w="1152"/>
            <w:vAlign w:val="top"/>
            <w:shd w:fill="EAF2F8"/>
          </w:tcPr>
          <w:p>
            <w:r/>
            <w:r>
              <w:rPr>
                <w:b w:val="0"/>
                <w:sz w:val="14"/>
              </w:rPr>
              <w:t>Product owner</w:t>
            </w:r>
          </w:p>
        </w:tc>
      </w:tr>
    </w:tbl>
    <w:p/>
    <w:p>
      <w:pPr>
        <w:pStyle w:val="Heading1"/>
      </w:pPr>
      <w:r>
        <w:t>10. Security architecture</w:t>
      </w:r>
    </w:p>
    <w:p>
      <w:r>
        <w:t>Reference architecture: identity-aware channels feed an API gateway and policy enforcement layer; input validation, malware/media integrity and prompt-injection controls precede model or decision services; retrieval is isolated by tenant, purpose and access; tools are allowlisted with least privilege and transaction limits; outputs pass confidence, policy, safety and data-loss checks; material decisions are recorded with model, prompt, data, rule, reviewer and outcome identifiers; telemetry feeds security, model-risk and business-outcome monitoring; tested manual fallback supports critical operations.</w:t>
      </w:r>
    </w:p>
    <w:p>
      <w:pPr>
        <w:pStyle w:val="ListBullet"/>
      </w:pPr>
      <w:r>
        <w:t>Separate development, validation and production environments.</w:t>
      </w:r>
    </w:p>
    <w:p>
      <w:pPr>
        <w:pStyle w:val="ListBullet"/>
      </w:pPr>
      <w:r>
        <w:t>Protect model registries, prompts, retrieval corpora, rules, thresholds and secrets as controlled assets.</w:t>
      </w:r>
    </w:p>
    <w:p>
      <w:pPr>
        <w:pStyle w:val="ListBullet"/>
      </w:pPr>
      <w:r>
        <w:t>Use strong identity, privileged-access management, segmentation, encryption, key management, API security and immutable logging.</w:t>
      </w:r>
    </w:p>
    <w:p>
      <w:pPr>
        <w:pStyle w:val="ListBullet"/>
      </w:pPr>
      <w:r>
        <w:t>Test backup, rollback, provider outage, manual fallback and catastrophe surge procedures.</w:t>
      </w:r>
    </w:p>
    <w:p>
      <w:pPr>
        <w:pStyle w:val="ListBullet"/>
      </w:pPr>
      <w:r>
        <w:t>Detect unauthorised AI use and prevent sensitive data exfiltration through DLP and approved-tool controls.</w:t>
      </w:r>
    </w:p>
    <w:p>
      <w:pPr>
        <w:pStyle w:val="Heading1"/>
      </w:pPr>
      <w:r>
        <w:t>11. Model validation and testing</w:t>
      </w:r>
    </w:p>
    <w:tbl>
      <w:tblPr>
        <w:tblStyle w:val="TableGrid"/>
        <w:tblW w:type="auto" w:w="0"/>
        <w:jc w:val="center"/>
        <w:tblLook w:firstColumn="1" w:firstRow="1" w:lastColumn="0" w:lastRow="0" w:noHBand="0" w:noVBand="1" w:val="04A0"/>
      </w:tblPr>
      <w:tblGrid>
        <w:gridCol w:w="3456"/>
        <w:gridCol w:w="3456"/>
        <w:gridCol w:w="3456"/>
      </w:tblGrid>
      <w:tr>
        <w:trPr>
          <w:cantSplit/>
          <w:tblHeader w:val="true"/>
        </w:trPr>
        <w:tc>
          <w:tcPr>
            <w:tcW w:type="dxa" w:w="3456"/>
            <w:vAlign w:val="top"/>
            <w:shd w:fill="1F4E78"/>
          </w:tcPr>
          <w:p>
            <w:r/>
            <w:r>
              <w:rPr>
                <w:b/>
                <w:color w:val="FFFFFF"/>
                <w:sz w:val="14"/>
              </w:rPr>
              <w:t>Test family</w:t>
            </w:r>
          </w:p>
        </w:tc>
        <w:tc>
          <w:tcPr>
            <w:tcW w:type="dxa" w:w="3456"/>
            <w:vAlign w:val="top"/>
            <w:shd w:fill="1F4E78"/>
          </w:tcPr>
          <w:p>
            <w:r/>
            <w:r>
              <w:rPr>
                <w:b/>
                <w:color w:val="FFFFFF"/>
                <w:sz w:val="14"/>
              </w:rPr>
              <w:t>Insurance focus</w:t>
            </w:r>
          </w:p>
        </w:tc>
        <w:tc>
          <w:tcPr>
            <w:tcW w:type="dxa" w:w="3456"/>
            <w:vAlign w:val="top"/>
            <w:shd w:fill="1F4E78"/>
          </w:tcPr>
          <w:p>
            <w:r/>
            <w:r>
              <w:rPr>
                <w:b/>
                <w:color w:val="FFFFFF"/>
                <w:sz w:val="14"/>
              </w:rPr>
              <w:t>Evidence</w:t>
            </w:r>
          </w:p>
        </w:tc>
      </w:tr>
      <w:tr>
        <w:trPr>
          <w:cantSplit/>
        </w:trPr>
        <w:tc>
          <w:tcPr>
            <w:tcW w:type="dxa" w:w="3456"/>
            <w:vAlign w:val="top"/>
          </w:tcPr>
          <w:p>
            <w:r/>
            <w:r>
              <w:rPr>
                <w:b w:val="0"/>
                <w:sz w:val="14"/>
              </w:rPr>
              <w:t>Independent validation</w:t>
            </w:r>
          </w:p>
        </w:tc>
        <w:tc>
          <w:tcPr>
            <w:tcW w:type="dxa" w:w="3456"/>
            <w:vAlign w:val="top"/>
          </w:tcPr>
          <w:p>
            <w:r/>
            <w:r>
              <w:rPr>
                <w:b w:val="0"/>
                <w:sz w:val="14"/>
              </w:rPr>
              <w:t>Fitness for use, assumptions, data, reproducibility and limitations</w:t>
            </w:r>
          </w:p>
        </w:tc>
        <w:tc>
          <w:tcPr>
            <w:tcW w:type="dxa" w:w="3456"/>
            <w:vAlign w:val="top"/>
          </w:tcPr>
          <w:p>
            <w:r/>
            <w:r>
              <w:rPr>
                <w:b w:val="0"/>
                <w:sz w:val="14"/>
              </w:rPr>
              <w:t>Validation report and issue closure</w:t>
            </w:r>
          </w:p>
        </w:tc>
      </w:tr>
      <w:tr>
        <w:trPr>
          <w:cantSplit/>
        </w:trPr>
        <w:tc>
          <w:tcPr>
            <w:tcW w:type="dxa" w:w="3456"/>
            <w:vAlign w:val="top"/>
            <w:shd w:fill="EAF2F8"/>
          </w:tcPr>
          <w:p>
            <w:r/>
            <w:r>
              <w:rPr>
                <w:b w:val="0"/>
                <w:sz w:val="14"/>
              </w:rPr>
              <w:t>Actuarial validation</w:t>
            </w:r>
          </w:p>
        </w:tc>
        <w:tc>
          <w:tcPr>
            <w:tcW w:type="dxa" w:w="3456"/>
            <w:vAlign w:val="top"/>
            <w:shd w:fill="EAF2F8"/>
          </w:tcPr>
          <w:p>
            <w:r/>
            <w:r>
              <w:rPr>
                <w:b w:val="0"/>
                <w:sz w:val="14"/>
              </w:rPr>
              <w:t>Rate, reserve, mortality, morbidity, severity or frequency relevance</w:t>
            </w:r>
          </w:p>
        </w:tc>
        <w:tc>
          <w:tcPr>
            <w:tcW w:type="dxa" w:w="3456"/>
            <w:vAlign w:val="top"/>
            <w:shd w:fill="EAF2F8"/>
          </w:tcPr>
          <w:p>
            <w:r/>
            <w:r>
              <w:rPr>
                <w:b w:val="0"/>
                <w:sz w:val="14"/>
              </w:rPr>
              <w:t>Actuarial review and sign-off</w:t>
            </w:r>
          </w:p>
        </w:tc>
      </w:tr>
      <w:tr>
        <w:trPr>
          <w:cantSplit/>
        </w:trPr>
        <w:tc>
          <w:tcPr>
            <w:tcW w:type="dxa" w:w="3456"/>
            <w:vAlign w:val="top"/>
          </w:tcPr>
          <w:p>
            <w:r/>
            <w:r>
              <w:rPr>
                <w:b w:val="0"/>
                <w:sz w:val="14"/>
              </w:rPr>
              <w:t>Security / adversarial</w:t>
            </w:r>
          </w:p>
        </w:tc>
        <w:tc>
          <w:tcPr>
            <w:tcW w:type="dxa" w:w="3456"/>
            <w:vAlign w:val="top"/>
          </w:tcPr>
          <w:p>
            <w:r/>
            <w:r>
              <w:rPr>
                <w:b w:val="0"/>
                <w:sz w:val="14"/>
              </w:rPr>
              <w:t>Poisoning, evasion, extraction, prompt injection, abuse and tool misuse</w:t>
            </w:r>
          </w:p>
        </w:tc>
        <w:tc>
          <w:tcPr>
            <w:tcW w:type="dxa" w:w="3456"/>
            <w:vAlign w:val="top"/>
          </w:tcPr>
          <w:p>
            <w:r/>
            <w:r>
              <w:rPr>
                <w:b w:val="0"/>
                <w:sz w:val="14"/>
              </w:rPr>
              <w:t>Threat model, test cases and remediation</w:t>
            </w:r>
          </w:p>
        </w:tc>
      </w:tr>
      <w:tr>
        <w:trPr>
          <w:cantSplit/>
        </w:trPr>
        <w:tc>
          <w:tcPr>
            <w:tcW w:type="dxa" w:w="3456"/>
            <w:vAlign w:val="top"/>
            <w:shd w:fill="EAF2F8"/>
          </w:tcPr>
          <w:p>
            <w:r/>
            <w:r>
              <w:rPr>
                <w:b w:val="0"/>
                <w:sz w:val="14"/>
              </w:rPr>
              <w:t>Fairness / outcome</w:t>
            </w:r>
          </w:p>
        </w:tc>
        <w:tc>
          <w:tcPr>
            <w:tcW w:type="dxa" w:w="3456"/>
            <w:vAlign w:val="top"/>
            <w:shd w:fill="EAF2F8"/>
          </w:tcPr>
          <w:p>
            <w:r/>
            <w:r>
              <w:rPr>
                <w:b w:val="0"/>
                <w:sz w:val="14"/>
              </w:rPr>
              <w:t>Subgroups, proxies, adverse outcomes and vulnerable customers</w:t>
            </w:r>
          </w:p>
        </w:tc>
        <w:tc>
          <w:tcPr>
            <w:tcW w:type="dxa" w:w="3456"/>
            <w:vAlign w:val="top"/>
            <w:shd w:fill="EAF2F8"/>
          </w:tcPr>
          <w:p>
            <w:r/>
            <w:r>
              <w:rPr>
                <w:b w:val="0"/>
                <w:sz w:val="14"/>
              </w:rPr>
              <w:t>Defined metrics, rationale, limitations and actions</w:t>
            </w:r>
          </w:p>
        </w:tc>
      </w:tr>
      <w:tr>
        <w:trPr>
          <w:cantSplit/>
        </w:trPr>
        <w:tc>
          <w:tcPr>
            <w:tcW w:type="dxa" w:w="3456"/>
            <w:vAlign w:val="top"/>
          </w:tcPr>
          <w:p>
            <w:r/>
            <w:r>
              <w:rPr>
                <w:b w:val="0"/>
                <w:sz w:val="14"/>
              </w:rPr>
              <w:t>Stress / scenario</w:t>
            </w:r>
          </w:p>
        </w:tc>
        <w:tc>
          <w:tcPr>
            <w:tcW w:type="dxa" w:w="3456"/>
            <w:vAlign w:val="top"/>
          </w:tcPr>
          <w:p>
            <w:r/>
            <w:r>
              <w:rPr>
                <w:b w:val="0"/>
                <w:sz w:val="14"/>
              </w:rPr>
              <w:t>Regime shift, catastrophe surge, vendor outage and tail events</w:t>
            </w:r>
          </w:p>
        </w:tc>
        <w:tc>
          <w:tcPr>
            <w:tcW w:type="dxa" w:w="3456"/>
            <w:vAlign w:val="top"/>
          </w:tcPr>
          <w:p>
            <w:r/>
            <w:r>
              <w:rPr>
                <w:b w:val="0"/>
                <w:sz w:val="14"/>
              </w:rPr>
              <w:t>Scenario design, results and decision record</w:t>
            </w:r>
          </w:p>
        </w:tc>
      </w:tr>
      <w:tr>
        <w:trPr>
          <w:cantSplit/>
        </w:trPr>
        <w:tc>
          <w:tcPr>
            <w:tcW w:type="dxa" w:w="3456"/>
            <w:vAlign w:val="top"/>
            <w:shd w:fill="EAF2F8"/>
          </w:tcPr>
          <w:p>
            <w:r/>
            <w:r>
              <w:rPr>
                <w:b w:val="0"/>
                <w:sz w:val="14"/>
              </w:rPr>
              <w:t>Operational acceptance</w:t>
            </w:r>
          </w:p>
        </w:tc>
        <w:tc>
          <w:tcPr>
            <w:tcW w:type="dxa" w:w="3456"/>
            <w:vAlign w:val="top"/>
            <w:shd w:fill="EAF2F8"/>
          </w:tcPr>
          <w:p>
            <w:r/>
            <w:r>
              <w:rPr>
                <w:b w:val="0"/>
                <w:sz w:val="14"/>
              </w:rPr>
              <w:t>Latency, capacity, integration, rollback and manual fallback</w:t>
            </w:r>
          </w:p>
        </w:tc>
        <w:tc>
          <w:tcPr>
            <w:tcW w:type="dxa" w:w="3456"/>
            <w:vAlign w:val="top"/>
            <w:shd w:fill="EAF2F8"/>
          </w:tcPr>
          <w:p>
            <w:r/>
            <w:r>
              <w:rPr>
                <w:b w:val="0"/>
                <w:sz w:val="14"/>
              </w:rPr>
              <w:t>UAT, resilience and fallback test</w:t>
            </w:r>
          </w:p>
        </w:tc>
      </w:tr>
    </w:tbl>
    <w:p/>
    <w:p>
      <w:r>
        <w:t>Universal numerical thresholds are intentionally absent. Thresholds should be justified against use, harm severity, legal requirements, portfolio characteristics, baseline performance and escalation capacity.</w:t>
      </w:r>
    </w:p>
    <w:p>
      <w:pPr>
        <w:pStyle w:val="Heading1"/>
      </w:pPr>
      <w:r>
        <w:t>12. Monitoring and change management</w:t>
      </w:r>
    </w:p>
    <w:tbl>
      <w:tblPr>
        <w:tblStyle w:val="TableGrid"/>
        <w:tblW w:type="auto" w:w="0"/>
        <w:jc w:val="center"/>
        <w:tblLook w:firstColumn="1" w:firstRow="1" w:lastColumn="0" w:lastRow="0" w:noHBand="0" w:noVBand="1" w:val="04A0"/>
      </w:tblPr>
      <w:tblGrid>
        <w:gridCol w:w="2592"/>
        <w:gridCol w:w="2592"/>
        <w:gridCol w:w="2592"/>
        <w:gridCol w:w="2592"/>
      </w:tblGrid>
      <w:tr>
        <w:trPr>
          <w:cantSplit/>
          <w:tblHeader w:val="true"/>
        </w:trPr>
        <w:tc>
          <w:tcPr>
            <w:tcW w:type="dxa" w:w="2592"/>
            <w:vAlign w:val="top"/>
            <w:shd w:fill="1F4E78"/>
          </w:tcPr>
          <w:p>
            <w:r/>
            <w:r>
              <w:rPr>
                <w:b/>
                <w:color w:val="FFFFFF"/>
                <w:sz w:val="14"/>
              </w:rPr>
              <w:t>Metric / change</w:t>
            </w:r>
          </w:p>
        </w:tc>
        <w:tc>
          <w:tcPr>
            <w:tcW w:type="dxa" w:w="2592"/>
            <w:vAlign w:val="top"/>
            <w:shd w:fill="1F4E78"/>
          </w:tcPr>
          <w:p>
            <w:r/>
            <w:r>
              <w:rPr>
                <w:b/>
                <w:color w:val="FFFFFF"/>
                <w:sz w:val="14"/>
              </w:rPr>
              <w:t>Frequency</w:t>
            </w:r>
          </w:p>
        </w:tc>
        <w:tc>
          <w:tcPr>
            <w:tcW w:type="dxa" w:w="2592"/>
            <w:vAlign w:val="top"/>
            <w:shd w:fill="1F4E78"/>
          </w:tcPr>
          <w:p>
            <w:r/>
            <w:r>
              <w:rPr>
                <w:b/>
                <w:color w:val="FFFFFF"/>
                <w:sz w:val="14"/>
              </w:rPr>
              <w:t>Owner</w:t>
            </w:r>
          </w:p>
        </w:tc>
        <w:tc>
          <w:tcPr>
            <w:tcW w:type="dxa" w:w="2592"/>
            <w:vAlign w:val="top"/>
            <w:shd w:fill="1F4E78"/>
          </w:tcPr>
          <w:p>
            <w:r/>
            <w:r>
              <w:rPr>
                <w:b/>
                <w:color w:val="FFFFFF"/>
                <w:sz w:val="14"/>
              </w:rPr>
              <w:t>Escalation approach</w:t>
            </w:r>
          </w:p>
        </w:tc>
      </w:tr>
      <w:tr>
        <w:trPr>
          <w:cantSplit/>
        </w:trPr>
        <w:tc>
          <w:tcPr>
            <w:tcW w:type="dxa" w:w="2592"/>
            <w:vAlign w:val="top"/>
          </w:tcPr>
          <w:p>
            <w:r/>
            <w:r>
              <w:rPr>
                <w:b w:val="0"/>
                <w:sz w:val="14"/>
              </w:rPr>
              <w:t>Performance and calibration</w:t>
            </w:r>
          </w:p>
        </w:tc>
        <w:tc>
          <w:tcPr>
            <w:tcW w:type="dxa" w:w="2592"/>
            <w:vAlign w:val="top"/>
          </w:tcPr>
          <w:p>
            <w:r/>
            <w:r>
              <w:rPr>
                <w:b w:val="0"/>
                <w:sz w:val="14"/>
              </w:rPr>
              <w:t>Risk-based; at least per approved monitoring plan</w:t>
            </w:r>
          </w:p>
        </w:tc>
        <w:tc>
          <w:tcPr>
            <w:tcW w:type="dxa" w:w="2592"/>
            <w:vAlign w:val="top"/>
          </w:tcPr>
          <w:p>
            <w:r/>
            <w:r>
              <w:rPr>
                <w:b w:val="0"/>
                <w:sz w:val="14"/>
              </w:rPr>
              <w:t>Model owner</w:t>
            </w:r>
          </w:p>
        </w:tc>
        <w:tc>
          <w:tcPr>
            <w:tcW w:type="dxa" w:w="2592"/>
            <w:vAlign w:val="top"/>
          </w:tcPr>
          <w:p>
            <w:r/>
            <w:r>
              <w:rPr>
                <w:b w:val="0"/>
                <w:sz w:val="14"/>
              </w:rPr>
              <w:t>Deviation from approved tolerance or unexplained trend</w:t>
            </w:r>
          </w:p>
        </w:tc>
      </w:tr>
      <w:tr>
        <w:trPr>
          <w:cantSplit/>
        </w:trPr>
        <w:tc>
          <w:tcPr>
            <w:tcW w:type="dxa" w:w="2592"/>
            <w:vAlign w:val="top"/>
            <w:shd w:fill="EAF2F8"/>
          </w:tcPr>
          <w:p>
            <w:r/>
            <w:r>
              <w:rPr>
                <w:b w:val="0"/>
                <w:sz w:val="14"/>
              </w:rPr>
              <w:t>Fairness and adverse outcomes</w:t>
            </w:r>
          </w:p>
        </w:tc>
        <w:tc>
          <w:tcPr>
            <w:tcW w:type="dxa" w:w="2592"/>
            <w:vAlign w:val="top"/>
            <w:shd w:fill="EAF2F8"/>
          </w:tcPr>
          <w:p>
            <w:r/>
            <w:r>
              <w:rPr>
                <w:b w:val="0"/>
                <w:sz w:val="14"/>
              </w:rPr>
              <w:t>Aligned to decision volume and harm</w:t>
            </w:r>
          </w:p>
        </w:tc>
        <w:tc>
          <w:tcPr>
            <w:tcW w:type="dxa" w:w="2592"/>
            <w:vAlign w:val="top"/>
            <w:shd w:fill="EAF2F8"/>
          </w:tcPr>
          <w:p>
            <w:r/>
            <w:r>
              <w:rPr>
                <w:b w:val="0"/>
                <w:sz w:val="14"/>
              </w:rPr>
              <w:t>Compliance / model risk</w:t>
            </w:r>
          </w:p>
        </w:tc>
        <w:tc>
          <w:tcPr>
            <w:tcW w:type="dxa" w:w="2592"/>
            <w:vAlign w:val="top"/>
            <w:shd w:fill="EAF2F8"/>
          </w:tcPr>
          <w:p>
            <w:r/>
            <w:r>
              <w:rPr>
                <w:b w:val="0"/>
                <w:sz w:val="14"/>
              </w:rPr>
              <w:t>Material subgroup disparity or deterioration</w:t>
            </w:r>
          </w:p>
        </w:tc>
      </w:tr>
      <w:tr>
        <w:trPr>
          <w:cantSplit/>
        </w:trPr>
        <w:tc>
          <w:tcPr>
            <w:tcW w:type="dxa" w:w="2592"/>
            <w:vAlign w:val="top"/>
          </w:tcPr>
          <w:p>
            <w:r/>
            <w:r>
              <w:rPr>
                <w:b w:val="0"/>
                <w:sz w:val="14"/>
              </w:rPr>
              <w:t>Overrides, appeals and complaints</w:t>
            </w:r>
          </w:p>
        </w:tc>
        <w:tc>
          <w:tcPr>
            <w:tcW w:type="dxa" w:w="2592"/>
            <w:vAlign w:val="top"/>
          </w:tcPr>
          <w:p>
            <w:r/>
            <w:r>
              <w:rPr>
                <w:b w:val="0"/>
                <w:sz w:val="14"/>
              </w:rPr>
              <w:t>Monthly or more frequently for high-impact uses</w:t>
            </w:r>
          </w:p>
        </w:tc>
        <w:tc>
          <w:tcPr>
            <w:tcW w:type="dxa" w:w="2592"/>
            <w:vAlign w:val="top"/>
          </w:tcPr>
          <w:p>
            <w:r/>
            <w:r>
              <w:rPr>
                <w:b w:val="0"/>
                <w:sz w:val="14"/>
              </w:rPr>
              <w:t>Business owner</w:t>
            </w:r>
          </w:p>
        </w:tc>
        <w:tc>
          <w:tcPr>
            <w:tcW w:type="dxa" w:w="2592"/>
            <w:vAlign w:val="top"/>
          </w:tcPr>
          <w:p>
            <w:r/>
            <w:r>
              <w:rPr>
                <w:b w:val="0"/>
                <w:sz w:val="14"/>
              </w:rPr>
              <w:t>Concentration, reversal trend or vulnerable-customer signal</w:t>
            </w:r>
          </w:p>
        </w:tc>
      </w:tr>
      <w:tr>
        <w:trPr>
          <w:cantSplit/>
        </w:trPr>
        <w:tc>
          <w:tcPr>
            <w:tcW w:type="dxa" w:w="2592"/>
            <w:vAlign w:val="top"/>
            <w:shd w:fill="EAF2F8"/>
          </w:tcPr>
          <w:p>
            <w:r/>
            <w:r>
              <w:rPr>
                <w:b w:val="0"/>
                <w:sz w:val="14"/>
              </w:rPr>
              <w:t>Security events and abuse</w:t>
            </w:r>
          </w:p>
        </w:tc>
        <w:tc>
          <w:tcPr>
            <w:tcW w:type="dxa" w:w="2592"/>
            <w:vAlign w:val="top"/>
            <w:shd w:fill="EAF2F8"/>
          </w:tcPr>
          <w:p>
            <w:r/>
            <w:r>
              <w:rPr>
                <w:b w:val="0"/>
                <w:sz w:val="14"/>
              </w:rPr>
              <w:t>Continuous where technically feasible</w:t>
            </w:r>
          </w:p>
        </w:tc>
        <w:tc>
          <w:tcPr>
            <w:tcW w:type="dxa" w:w="2592"/>
            <w:vAlign w:val="top"/>
            <w:shd w:fill="EAF2F8"/>
          </w:tcPr>
          <w:p>
            <w:r/>
            <w:r>
              <w:rPr>
                <w:b w:val="0"/>
                <w:sz w:val="14"/>
              </w:rPr>
              <w:t>CISO</w:t>
            </w:r>
          </w:p>
        </w:tc>
        <w:tc>
          <w:tcPr>
            <w:tcW w:type="dxa" w:w="2592"/>
            <w:vAlign w:val="top"/>
            <w:shd w:fill="EAF2F8"/>
          </w:tcPr>
          <w:p>
            <w:r/>
            <w:r>
              <w:rPr>
                <w:b w:val="0"/>
                <w:sz w:val="14"/>
              </w:rPr>
              <w:t>Confirmed compromise, injection, exfiltration or privilege misuse</w:t>
            </w:r>
          </w:p>
        </w:tc>
      </w:tr>
      <w:tr>
        <w:trPr>
          <w:cantSplit/>
        </w:trPr>
        <w:tc>
          <w:tcPr>
            <w:tcW w:type="dxa" w:w="2592"/>
            <w:vAlign w:val="top"/>
          </w:tcPr>
          <w:p>
            <w:r/>
            <w:r>
              <w:rPr>
                <w:b w:val="0"/>
                <w:sz w:val="14"/>
              </w:rPr>
              <w:t>Vendor/model update</w:t>
            </w:r>
          </w:p>
        </w:tc>
        <w:tc>
          <w:tcPr>
            <w:tcW w:type="dxa" w:w="2592"/>
            <w:vAlign w:val="top"/>
          </w:tcPr>
          <w:p>
            <w:r/>
            <w:r>
              <w:rPr>
                <w:b w:val="0"/>
                <w:sz w:val="14"/>
              </w:rPr>
              <w:t>Before acceptance and after material change</w:t>
            </w:r>
          </w:p>
        </w:tc>
        <w:tc>
          <w:tcPr>
            <w:tcW w:type="dxa" w:w="2592"/>
            <w:vAlign w:val="top"/>
          </w:tcPr>
          <w:p>
            <w:r/>
            <w:r>
              <w:rPr>
                <w:b w:val="0"/>
                <w:sz w:val="14"/>
              </w:rPr>
              <w:t>Vendor owner</w:t>
            </w:r>
          </w:p>
        </w:tc>
        <w:tc>
          <w:tcPr>
            <w:tcW w:type="dxa" w:w="2592"/>
            <w:vAlign w:val="top"/>
          </w:tcPr>
          <w:p>
            <w:r/>
            <w:r>
              <w:rPr>
                <w:b w:val="0"/>
                <w:sz w:val="14"/>
              </w:rPr>
              <w:t>Unassessed change, regression or evidence gap</w:t>
            </w:r>
          </w:p>
        </w:tc>
      </w:tr>
      <w:tr>
        <w:trPr>
          <w:cantSplit/>
        </w:trPr>
        <w:tc>
          <w:tcPr>
            <w:tcW w:type="dxa" w:w="2592"/>
            <w:vAlign w:val="top"/>
            <w:shd w:fill="EAF2F8"/>
          </w:tcPr>
          <w:p>
            <w:r/>
            <w:r>
              <w:rPr>
                <w:b w:val="0"/>
                <w:sz w:val="14"/>
              </w:rPr>
              <w:t>Data/feature change</w:t>
            </w:r>
          </w:p>
        </w:tc>
        <w:tc>
          <w:tcPr>
            <w:tcW w:type="dxa" w:w="2592"/>
            <w:vAlign w:val="top"/>
            <w:shd w:fill="EAF2F8"/>
          </w:tcPr>
          <w:p>
            <w:r/>
            <w:r>
              <w:rPr>
                <w:b w:val="0"/>
                <w:sz w:val="14"/>
              </w:rPr>
              <w:t>Before production</w:t>
            </w:r>
          </w:p>
        </w:tc>
        <w:tc>
          <w:tcPr>
            <w:tcW w:type="dxa" w:w="2592"/>
            <w:vAlign w:val="top"/>
            <w:shd w:fill="EAF2F8"/>
          </w:tcPr>
          <w:p>
            <w:r/>
            <w:r>
              <w:rPr>
                <w:b w:val="0"/>
                <w:sz w:val="14"/>
              </w:rPr>
              <w:t>Data/model owner</w:t>
            </w:r>
          </w:p>
        </w:tc>
        <w:tc>
          <w:tcPr>
            <w:tcW w:type="dxa" w:w="2592"/>
            <w:vAlign w:val="top"/>
            <w:shd w:fill="EAF2F8"/>
          </w:tcPr>
          <w:p>
            <w:r/>
            <w:r>
              <w:rPr>
                <w:b w:val="0"/>
                <w:sz w:val="14"/>
              </w:rPr>
              <w:t>Lineage, rights, quality or proxy-risk change</w:t>
            </w:r>
          </w:p>
        </w:tc>
      </w:tr>
    </w:tbl>
    <w:p/>
    <w:p>
      <w:pPr>
        <w:pStyle w:val="Heading1"/>
      </w:pPr>
      <w:r>
        <w:t>13. Incident management</w:t>
      </w:r>
    </w:p>
    <w:tbl>
      <w:tblPr>
        <w:tblStyle w:val="TableGrid"/>
        <w:tblW w:type="auto" w:w="0"/>
        <w:jc w:val="center"/>
        <w:tblLook w:firstColumn="1" w:firstRow="1" w:lastColumn="0" w:lastRow="0" w:noHBand="0" w:noVBand="1" w:val="04A0"/>
      </w:tblPr>
      <w:tblGrid>
        <w:gridCol w:w="2074"/>
        <w:gridCol w:w="2074"/>
        <w:gridCol w:w="2074"/>
        <w:gridCol w:w="2074"/>
        <w:gridCol w:w="2074"/>
      </w:tblGrid>
      <w:tr>
        <w:trPr>
          <w:cantSplit/>
          <w:tblHeader w:val="true"/>
        </w:trPr>
        <w:tc>
          <w:tcPr>
            <w:tcW w:type="dxa" w:w="2074"/>
            <w:vAlign w:val="top"/>
            <w:shd w:fill="1F4E78"/>
          </w:tcPr>
          <w:p>
            <w:r/>
            <w:r>
              <w:rPr>
                <w:b/>
                <w:color w:val="FFFFFF"/>
                <w:sz w:val="14"/>
              </w:rPr>
              <w:t>Severity</w:t>
            </w:r>
          </w:p>
        </w:tc>
        <w:tc>
          <w:tcPr>
            <w:tcW w:type="dxa" w:w="2074"/>
            <w:vAlign w:val="top"/>
            <w:shd w:fill="1F4E78"/>
          </w:tcPr>
          <w:p>
            <w:r/>
            <w:r>
              <w:rPr>
                <w:b/>
                <w:color w:val="FFFFFF"/>
                <w:sz w:val="14"/>
              </w:rPr>
              <w:t>Policyholder / financial impact</w:t>
            </w:r>
          </w:p>
        </w:tc>
        <w:tc>
          <w:tcPr>
            <w:tcW w:type="dxa" w:w="2074"/>
            <w:vAlign w:val="top"/>
            <w:shd w:fill="1F4E78"/>
          </w:tcPr>
          <w:p>
            <w:r/>
            <w:r>
              <w:rPr>
                <w:b/>
                <w:color w:val="FFFFFF"/>
                <w:sz w:val="14"/>
              </w:rPr>
              <w:t>Examples</w:t>
            </w:r>
          </w:p>
        </w:tc>
        <w:tc>
          <w:tcPr>
            <w:tcW w:type="dxa" w:w="2074"/>
            <w:vAlign w:val="top"/>
            <w:shd w:fill="1F4E78"/>
          </w:tcPr>
          <w:p>
            <w:r/>
            <w:r>
              <w:rPr>
                <w:b/>
                <w:color w:val="FFFFFF"/>
                <w:sz w:val="14"/>
              </w:rPr>
              <w:t>Escalation</w:t>
            </w:r>
          </w:p>
        </w:tc>
        <w:tc>
          <w:tcPr>
            <w:tcW w:type="dxa" w:w="2074"/>
            <w:vAlign w:val="top"/>
            <w:shd w:fill="1F4E78"/>
          </w:tcPr>
          <w:p>
            <w:r/>
            <w:r>
              <w:rPr>
                <w:b/>
                <w:color w:val="FFFFFF"/>
                <w:sz w:val="14"/>
              </w:rPr>
              <w:t>Evidence preservation</w:t>
            </w:r>
          </w:p>
        </w:tc>
      </w:tr>
      <w:tr>
        <w:trPr>
          <w:cantSplit/>
        </w:trPr>
        <w:tc>
          <w:tcPr>
            <w:tcW w:type="dxa" w:w="2074"/>
            <w:vAlign w:val="top"/>
          </w:tcPr>
          <w:p>
            <w:r/>
            <w:r>
              <w:rPr>
                <w:b w:val="0"/>
                <w:sz w:val="14"/>
              </w:rPr>
              <w:t>S1 Critical</w:t>
            </w:r>
          </w:p>
        </w:tc>
        <w:tc>
          <w:tcPr>
            <w:tcW w:type="dxa" w:w="2074"/>
            <w:vAlign w:val="top"/>
          </w:tcPr>
          <w:p>
            <w:r/>
            <w:r>
              <w:rPr>
                <w:b w:val="0"/>
                <w:sz w:val="14"/>
              </w:rPr>
              <w:t>Widespread or severe harm; material financial/prudential impact</w:t>
            </w:r>
          </w:p>
        </w:tc>
        <w:tc>
          <w:tcPr>
            <w:tcW w:type="dxa" w:w="2074"/>
            <w:vAlign w:val="top"/>
          </w:tcPr>
          <w:p>
            <w:r/>
            <w:r>
              <w:rPr>
                <w:b w:val="0"/>
                <w:sz w:val="14"/>
              </w:rPr>
              <w:t>Systemic denial/pricing error, major breach, critical claims outage</w:t>
            </w:r>
          </w:p>
        </w:tc>
        <w:tc>
          <w:tcPr>
            <w:tcW w:type="dxa" w:w="2074"/>
            <w:vAlign w:val="top"/>
          </w:tcPr>
          <w:p>
            <w:r/>
            <w:r>
              <w:rPr>
                <w:b w:val="0"/>
                <w:sz w:val="14"/>
              </w:rPr>
              <w:t>Immediate executive, legal, regulator-assessment and board escalation</w:t>
            </w:r>
          </w:p>
        </w:tc>
        <w:tc>
          <w:tcPr>
            <w:tcW w:type="dxa" w:w="2074"/>
            <w:vAlign w:val="top"/>
          </w:tcPr>
          <w:p>
            <w:r/>
            <w:r>
              <w:rPr>
                <w:b w:val="0"/>
                <w:sz w:val="14"/>
              </w:rPr>
              <w:t>Freeze versions, logs, data, rules, prompts, communications and decisions</w:t>
            </w:r>
          </w:p>
        </w:tc>
      </w:tr>
      <w:tr>
        <w:trPr>
          <w:cantSplit/>
        </w:trPr>
        <w:tc>
          <w:tcPr>
            <w:tcW w:type="dxa" w:w="2074"/>
            <w:vAlign w:val="top"/>
            <w:shd w:fill="EAF2F8"/>
          </w:tcPr>
          <w:p>
            <w:r/>
            <w:r>
              <w:rPr>
                <w:b w:val="0"/>
                <w:sz w:val="14"/>
              </w:rPr>
              <w:t>S2 High</w:t>
            </w:r>
          </w:p>
        </w:tc>
        <w:tc>
          <w:tcPr>
            <w:tcW w:type="dxa" w:w="2074"/>
            <w:vAlign w:val="top"/>
            <w:shd w:fill="EAF2F8"/>
          </w:tcPr>
          <w:p>
            <w:r/>
            <w:r>
              <w:rPr>
                <w:b w:val="0"/>
                <w:sz w:val="14"/>
              </w:rPr>
              <w:t>Material cohort or product impact</w:t>
            </w:r>
          </w:p>
        </w:tc>
        <w:tc>
          <w:tcPr>
            <w:tcW w:type="dxa" w:w="2074"/>
            <w:vAlign w:val="top"/>
            <w:shd w:fill="EAF2F8"/>
          </w:tcPr>
          <w:p>
            <w:r/>
            <w:r>
              <w:rPr>
                <w:b w:val="0"/>
                <w:sz w:val="14"/>
              </w:rPr>
              <w:t>Discriminatory outcome, vendor compromise, material claim error</w:t>
            </w:r>
          </w:p>
        </w:tc>
        <w:tc>
          <w:tcPr>
            <w:tcW w:type="dxa" w:w="2074"/>
            <w:vAlign w:val="top"/>
            <w:shd w:fill="EAF2F8"/>
          </w:tcPr>
          <w:p>
            <w:r/>
            <w:r>
              <w:rPr>
                <w:b w:val="0"/>
                <w:sz w:val="14"/>
              </w:rPr>
              <w:t>Incident command and senior control functions</w:t>
            </w:r>
          </w:p>
        </w:tc>
        <w:tc>
          <w:tcPr>
            <w:tcW w:type="dxa" w:w="2074"/>
            <w:vAlign w:val="top"/>
            <w:shd w:fill="EAF2F8"/>
          </w:tcPr>
          <w:p>
            <w:r/>
            <w:r>
              <w:rPr>
                <w:b w:val="0"/>
                <w:sz w:val="14"/>
              </w:rPr>
              <w:t>Preserve decision and vendor evidence</w:t>
            </w:r>
          </w:p>
        </w:tc>
      </w:tr>
      <w:tr>
        <w:trPr>
          <w:cantSplit/>
        </w:trPr>
        <w:tc>
          <w:tcPr>
            <w:tcW w:type="dxa" w:w="2074"/>
            <w:vAlign w:val="top"/>
          </w:tcPr>
          <w:p>
            <w:r/>
            <w:r>
              <w:rPr>
                <w:b w:val="0"/>
                <w:sz w:val="14"/>
              </w:rPr>
              <w:t>S3 Moderate</w:t>
            </w:r>
          </w:p>
        </w:tc>
        <w:tc>
          <w:tcPr>
            <w:tcW w:type="dxa" w:w="2074"/>
            <w:vAlign w:val="top"/>
          </w:tcPr>
          <w:p>
            <w:r/>
            <w:r>
              <w:rPr>
                <w:b w:val="0"/>
                <w:sz w:val="14"/>
              </w:rPr>
              <w:t>Limited reversible impact</w:t>
            </w:r>
          </w:p>
        </w:tc>
        <w:tc>
          <w:tcPr>
            <w:tcW w:type="dxa" w:w="2074"/>
            <w:vAlign w:val="top"/>
          </w:tcPr>
          <w:p>
            <w:r/>
            <w:r>
              <w:rPr>
                <w:b w:val="0"/>
                <w:sz w:val="14"/>
              </w:rPr>
              <w:t>Local drift, contained data exposure, repeat hallucination</w:t>
            </w:r>
          </w:p>
        </w:tc>
        <w:tc>
          <w:tcPr>
            <w:tcW w:type="dxa" w:w="2074"/>
            <w:vAlign w:val="top"/>
          </w:tcPr>
          <w:p>
            <w:r/>
            <w:r>
              <w:rPr>
                <w:b w:val="0"/>
                <w:sz w:val="14"/>
              </w:rPr>
              <w:t>Owner and control-function remediation</w:t>
            </w:r>
          </w:p>
        </w:tc>
        <w:tc>
          <w:tcPr>
            <w:tcW w:type="dxa" w:w="2074"/>
            <w:vAlign w:val="top"/>
          </w:tcPr>
          <w:p>
            <w:r/>
            <w:r>
              <w:rPr>
                <w:b w:val="0"/>
                <w:sz w:val="14"/>
              </w:rPr>
              <w:t>Retain samples, root cause and closure</w:t>
            </w:r>
          </w:p>
        </w:tc>
      </w:tr>
      <w:tr>
        <w:trPr>
          <w:cantSplit/>
        </w:trPr>
        <w:tc>
          <w:tcPr>
            <w:tcW w:type="dxa" w:w="2074"/>
            <w:vAlign w:val="top"/>
            <w:shd w:fill="EAF2F8"/>
          </w:tcPr>
          <w:p>
            <w:r/>
            <w:r>
              <w:rPr>
                <w:b w:val="0"/>
                <w:sz w:val="14"/>
              </w:rPr>
              <w:t>S4 Low</w:t>
            </w:r>
          </w:p>
        </w:tc>
        <w:tc>
          <w:tcPr>
            <w:tcW w:type="dxa" w:w="2074"/>
            <w:vAlign w:val="top"/>
            <w:shd w:fill="EAF2F8"/>
          </w:tcPr>
          <w:p>
            <w:r/>
            <w:r>
              <w:rPr>
                <w:b w:val="0"/>
                <w:sz w:val="14"/>
              </w:rPr>
              <w:t>No material external impact</w:t>
            </w:r>
          </w:p>
        </w:tc>
        <w:tc>
          <w:tcPr>
            <w:tcW w:type="dxa" w:w="2074"/>
            <w:vAlign w:val="top"/>
            <w:shd w:fill="EAF2F8"/>
          </w:tcPr>
          <w:p>
            <w:r/>
            <w:r>
              <w:rPr>
                <w:b w:val="0"/>
                <w:sz w:val="14"/>
              </w:rPr>
              <w:t>Near miss or minor control deviation</w:t>
            </w:r>
          </w:p>
        </w:tc>
        <w:tc>
          <w:tcPr>
            <w:tcW w:type="dxa" w:w="2074"/>
            <w:vAlign w:val="top"/>
            <w:shd w:fill="EAF2F8"/>
          </w:tcPr>
          <w:p>
            <w:r/>
            <w:r>
              <w:rPr>
                <w:b w:val="0"/>
                <w:sz w:val="14"/>
              </w:rPr>
              <w:t>Normal issue management</w:t>
            </w:r>
          </w:p>
        </w:tc>
        <w:tc>
          <w:tcPr>
            <w:tcW w:type="dxa" w:w="2074"/>
            <w:vAlign w:val="top"/>
            <w:shd w:fill="EAF2F8"/>
          </w:tcPr>
          <w:p>
            <w:r/>
            <w:r>
              <w:rPr>
                <w:b w:val="0"/>
                <w:sz w:val="14"/>
              </w:rPr>
              <w:t>Document lesson and control update</w:t>
            </w:r>
          </w:p>
        </w:tc>
      </w:tr>
    </w:tbl>
    <w:p/>
    <w:p>
      <w:r>
        <w:t>Notification timeframes are jurisdiction-specific and intentionally not stated as universal rules. The legal/regulatory assessment should identify applicable clocks and triggering facts.</w:t>
      </w:r>
    </w:p>
    <w:p>
      <w:pPr>
        <w:pStyle w:val="Heading1"/>
      </w:pPr>
      <w:r>
        <w:t>14. Third-party and supply-chain management</w:t>
      </w:r>
    </w:p>
    <w:p>
      <w:pPr>
        <w:pStyle w:val="ListBullet"/>
      </w:pPr>
      <w:r>
        <w:t>Assess provider security, model documentation, data rights, validation, subcontractors, incident history, resilience, geographic processing and regulatory access before contract.</w:t>
      </w:r>
    </w:p>
    <w:p>
      <w:pPr>
        <w:pStyle w:val="ListBullet"/>
      </w:pPr>
      <w:r>
        <w:t>Contract for change notice, audit/access rights, incident notification, evidence retention, secure deletion, continuity, portability, exit support and material subprocessor control.</w:t>
      </w:r>
    </w:p>
    <w:p>
      <w:pPr>
        <w:pStyle w:val="ListBullet"/>
      </w:pPr>
      <w:r>
        <w:t>Map fourth parties and concentration across cloud, foundation models, catastrophe models, data and claims services.</w:t>
      </w:r>
    </w:p>
    <w:p>
      <w:pPr>
        <w:pStyle w:val="ListBullet"/>
      </w:pPr>
      <w:r>
        <w:t>Test exit and fallback; a contractual right without operational feasibility is weak evidence.</w:t>
      </w:r>
    </w:p>
    <w:p>
      <w:pPr>
        <w:pStyle w:val="Heading1"/>
      </w:pPr>
      <w:r>
        <w:t>15. Policyholder transparency, explanation and contestability</w:t>
      </w:r>
    </w:p>
    <w:p>
      <w:r>
        <w:t>Notices and explanations should match the decision, audience and harm. They should identify the material basis of the outcome, meaningful factors, applicable limitations, correction and appeal routes, and whether qualified human review is available. Trade-secret or security constraints may limit technical detail but do not remove the need for a meaningful, lawful explanation.</w:t>
      </w:r>
    </w:p>
    <w:p>
      <w:pPr>
        <w:pStyle w:val="Heading1"/>
      </w:pPr>
      <w:r>
        <w:t>16. Assurance and evidence catalogue</w:t>
      </w:r>
    </w:p>
    <w:tbl>
      <w:tblPr>
        <w:tblStyle w:val="TableGrid"/>
        <w:tblW w:type="auto" w:w="0"/>
        <w:jc w:val="center"/>
        <w:tblLook w:firstColumn="1" w:firstRow="1" w:lastColumn="0" w:lastRow="0" w:noHBand="0" w:noVBand="1" w:val="04A0"/>
      </w:tblPr>
      <w:tblGrid>
        <w:gridCol w:w="1152"/>
        <w:gridCol w:w="1152"/>
        <w:gridCol w:w="1152"/>
        <w:gridCol w:w="1152"/>
        <w:gridCol w:w="1152"/>
        <w:gridCol w:w="1152"/>
        <w:gridCol w:w="1152"/>
        <w:gridCol w:w="1152"/>
        <w:gridCol w:w="1152"/>
      </w:tblGrid>
      <w:tr>
        <w:trPr>
          <w:cantSplit/>
          <w:tblHeader w:val="true"/>
        </w:trPr>
        <w:tc>
          <w:tcPr>
            <w:tcW w:type="dxa" w:w="1152"/>
            <w:vAlign w:val="top"/>
            <w:shd w:fill="1F4E78"/>
          </w:tcPr>
          <w:p>
            <w:r/>
            <w:r>
              <w:rPr>
                <w:b/>
                <w:color w:val="FFFFFF"/>
                <w:sz w:val="11"/>
              </w:rPr>
              <w:t>Evidence</w:t>
            </w:r>
          </w:p>
        </w:tc>
        <w:tc>
          <w:tcPr>
            <w:tcW w:type="dxa" w:w="1152"/>
            <w:vAlign w:val="top"/>
            <w:shd w:fill="1F4E78"/>
          </w:tcPr>
          <w:p>
            <w:r/>
            <w:r>
              <w:rPr>
                <w:b/>
                <w:color w:val="FFFFFF"/>
                <w:sz w:val="11"/>
              </w:rPr>
              <w:t>Category</w:t>
            </w:r>
          </w:p>
        </w:tc>
        <w:tc>
          <w:tcPr>
            <w:tcW w:type="dxa" w:w="1152"/>
            <w:vAlign w:val="top"/>
            <w:shd w:fill="1F4E78"/>
          </w:tcPr>
          <w:p>
            <w:r/>
            <w:r>
              <w:rPr>
                <w:b/>
                <w:color w:val="FFFFFF"/>
                <w:sz w:val="11"/>
              </w:rPr>
              <w:t>Purpose</w:t>
            </w:r>
          </w:p>
        </w:tc>
        <w:tc>
          <w:tcPr>
            <w:tcW w:type="dxa" w:w="1152"/>
            <w:vAlign w:val="top"/>
            <w:shd w:fill="1F4E78"/>
          </w:tcPr>
          <w:p>
            <w:r/>
            <w:r>
              <w:rPr>
                <w:b/>
                <w:color w:val="FFFFFF"/>
                <w:sz w:val="11"/>
              </w:rPr>
              <w:t>Owner</w:t>
            </w:r>
          </w:p>
        </w:tc>
        <w:tc>
          <w:tcPr>
            <w:tcW w:type="dxa" w:w="1152"/>
            <w:vAlign w:val="top"/>
            <w:shd w:fill="1F4E78"/>
          </w:tcPr>
          <w:p>
            <w:r/>
            <w:r>
              <w:rPr>
                <w:b/>
                <w:color w:val="FFFFFF"/>
                <w:sz w:val="11"/>
              </w:rPr>
              <w:t>Source</w:t>
            </w:r>
          </w:p>
        </w:tc>
        <w:tc>
          <w:tcPr>
            <w:tcW w:type="dxa" w:w="1152"/>
            <w:vAlign w:val="top"/>
            <w:shd w:fill="1F4E78"/>
          </w:tcPr>
          <w:p>
            <w:r/>
            <w:r>
              <w:rPr>
                <w:b/>
                <w:color w:val="FFFFFF"/>
                <w:sz w:val="11"/>
              </w:rPr>
              <w:t>Retention</w:t>
            </w:r>
          </w:p>
        </w:tc>
        <w:tc>
          <w:tcPr>
            <w:tcW w:type="dxa" w:w="1152"/>
            <w:vAlign w:val="top"/>
            <w:shd w:fill="1F4E78"/>
          </w:tcPr>
          <w:p>
            <w:r/>
            <w:r>
              <w:rPr>
                <w:b/>
                <w:color w:val="FFFFFF"/>
                <w:sz w:val="11"/>
              </w:rPr>
              <w:t>Control linkage</w:t>
            </w:r>
          </w:p>
        </w:tc>
        <w:tc>
          <w:tcPr>
            <w:tcW w:type="dxa" w:w="1152"/>
            <w:vAlign w:val="top"/>
            <w:shd w:fill="1F4E78"/>
          </w:tcPr>
          <w:p>
            <w:r/>
            <w:r>
              <w:rPr>
                <w:b/>
                <w:color w:val="FFFFFF"/>
                <w:sz w:val="11"/>
              </w:rPr>
              <w:t>Reliability</w:t>
            </w:r>
          </w:p>
        </w:tc>
        <w:tc>
          <w:tcPr>
            <w:tcW w:type="dxa" w:w="1152"/>
            <w:vAlign w:val="top"/>
            <w:shd w:fill="1F4E78"/>
          </w:tcPr>
          <w:p>
            <w:r/>
            <w:r>
              <w:rPr>
                <w:b/>
                <w:color w:val="FFFFFF"/>
                <w:sz w:val="11"/>
              </w:rPr>
              <w:t>Common deficiency</w:t>
            </w:r>
          </w:p>
        </w:tc>
      </w:tr>
      <w:tr>
        <w:trPr>
          <w:cantSplit/>
        </w:trPr>
        <w:tc>
          <w:tcPr>
            <w:tcW w:type="dxa" w:w="1152"/>
            <w:vAlign w:val="top"/>
          </w:tcPr>
          <w:p>
            <w:r/>
            <w:r>
              <w:rPr>
                <w:b w:val="0"/>
                <w:sz w:val="11"/>
              </w:rPr>
              <w:t>Approved AI policy, risk appetite and committee decisions</w:t>
            </w:r>
          </w:p>
        </w:tc>
        <w:tc>
          <w:tcPr>
            <w:tcW w:type="dxa" w:w="1152"/>
            <w:vAlign w:val="top"/>
          </w:tcPr>
          <w:p>
            <w:r/>
            <w:r>
              <w:rPr>
                <w:b w:val="0"/>
                <w:sz w:val="11"/>
              </w:rPr>
              <w:t>Governance</w:t>
            </w:r>
          </w:p>
        </w:tc>
        <w:tc>
          <w:tcPr>
            <w:tcW w:type="dxa" w:w="1152"/>
            <w:vAlign w:val="top"/>
          </w:tcPr>
          <w:p>
            <w:r/>
            <w:r>
              <w:rPr>
                <w:b w:val="0"/>
                <w:sz w:val="11"/>
              </w:rPr>
              <w:t>Demonstrate design and operating effectiveness</w:t>
            </w:r>
          </w:p>
        </w:tc>
        <w:tc>
          <w:tcPr>
            <w:tcW w:type="dxa" w:w="1152"/>
            <w:vAlign w:val="top"/>
          </w:tcPr>
          <w:p>
            <w:r/>
            <w:r>
              <w:rPr>
                <w:b w:val="0"/>
                <w:sz w:val="11"/>
              </w:rPr>
              <w:t>Board / CRO</w:t>
            </w:r>
          </w:p>
        </w:tc>
        <w:tc>
          <w:tcPr>
            <w:tcW w:type="dxa" w:w="1152"/>
            <w:vAlign w:val="top"/>
          </w:tcPr>
          <w:p>
            <w:r/>
            <w:r>
              <w:rPr>
                <w:b w:val="0"/>
                <w:sz w:val="11"/>
              </w:rPr>
              <w:t>Authoritative system or signed record</w:t>
            </w:r>
          </w:p>
        </w:tc>
        <w:tc>
          <w:tcPr>
            <w:tcW w:type="dxa" w:w="1152"/>
            <w:vAlign w:val="top"/>
          </w:tcPr>
          <w:p>
            <w:r/>
            <w:r>
              <w:rPr>
                <w:b w:val="0"/>
                <w:sz w:val="11"/>
              </w:rPr>
              <w:t>Risk-based; preserve applicable legal hold</w:t>
            </w:r>
          </w:p>
        </w:tc>
        <w:tc>
          <w:tcPr>
            <w:tcW w:type="dxa" w:w="1152"/>
            <w:vAlign w:val="top"/>
          </w:tcPr>
          <w:p>
            <w:r/>
            <w:r>
              <w:rPr>
                <w:b w:val="0"/>
                <w:sz w:val="11"/>
              </w:rPr>
              <w:t>Relevant mapped controls</w:t>
            </w:r>
          </w:p>
        </w:tc>
        <w:tc>
          <w:tcPr>
            <w:tcW w:type="dxa" w:w="1152"/>
            <w:vAlign w:val="top"/>
          </w:tcPr>
          <w:p>
            <w:r>
              <w:t>Approver authority, approval date, challenge record and exception completeness.</w:t>
            </w:r>
          </w:p>
        </w:tc>
        <w:tc>
          <w:tcPr>
            <w:tcW w:type="dxa" w:w="1152"/>
            <w:vAlign w:val="top"/>
          </w:tcPr>
          <w:p>
            <w:r/>
            <w:r>
              <w:rPr>
                <w:b w:val="0"/>
                <w:sz w:val="11"/>
              </w:rPr>
              <w:t>Generic policy without system-level operating evidence</w:t>
            </w:r>
          </w:p>
        </w:tc>
      </w:tr>
      <w:tr>
        <w:trPr>
          <w:cantSplit/>
        </w:trPr>
        <w:tc>
          <w:tcPr>
            <w:tcW w:type="dxa" w:w="1152"/>
            <w:vAlign w:val="top"/>
            <w:shd w:fill="EAF2F8"/>
          </w:tcPr>
          <w:p>
            <w:r/>
            <w:r>
              <w:rPr>
                <w:b w:val="0"/>
                <w:sz w:val="11"/>
              </w:rPr>
              <w:t>System classification and impact assessment</w:t>
            </w:r>
          </w:p>
        </w:tc>
        <w:tc>
          <w:tcPr>
            <w:tcW w:type="dxa" w:w="1152"/>
            <w:vAlign w:val="top"/>
            <w:shd w:fill="EAF2F8"/>
          </w:tcPr>
          <w:p>
            <w:r/>
            <w:r>
              <w:rPr>
                <w:b w:val="0"/>
                <w:sz w:val="11"/>
              </w:rPr>
              <w:t>Risk</w:t>
            </w:r>
          </w:p>
        </w:tc>
        <w:tc>
          <w:tcPr>
            <w:tcW w:type="dxa" w:w="1152"/>
            <w:vAlign w:val="top"/>
            <w:shd w:fill="EAF2F8"/>
          </w:tcPr>
          <w:p>
            <w:r/>
            <w:r>
              <w:rPr>
                <w:b w:val="0"/>
                <w:sz w:val="11"/>
              </w:rPr>
              <w:t>Demonstrate design and operating effectiveness</w:t>
            </w:r>
          </w:p>
        </w:tc>
        <w:tc>
          <w:tcPr>
            <w:tcW w:type="dxa" w:w="1152"/>
            <w:vAlign w:val="top"/>
            <w:shd w:fill="EAF2F8"/>
          </w:tcPr>
          <w:p>
            <w:r/>
            <w:r>
              <w:rPr>
                <w:b w:val="0"/>
                <w:sz w:val="11"/>
              </w:rPr>
              <w:t>AI governance</w:t>
            </w:r>
          </w:p>
        </w:tc>
        <w:tc>
          <w:tcPr>
            <w:tcW w:type="dxa" w:w="1152"/>
            <w:vAlign w:val="top"/>
            <w:shd w:fill="EAF2F8"/>
          </w:tcPr>
          <w:p>
            <w:r/>
            <w:r>
              <w:rPr>
                <w:b w:val="0"/>
                <w:sz w:val="11"/>
              </w:rPr>
              <w:t>Authoritative system or signed record</w:t>
            </w:r>
          </w:p>
        </w:tc>
        <w:tc>
          <w:tcPr>
            <w:tcW w:type="dxa" w:w="1152"/>
            <w:vAlign w:val="top"/>
            <w:shd w:fill="EAF2F8"/>
          </w:tcPr>
          <w:p>
            <w:r/>
            <w:r>
              <w:rPr>
                <w:b w:val="0"/>
                <w:sz w:val="11"/>
              </w:rPr>
              <w:t>Risk-based; preserve applicable legal hold</w:t>
            </w:r>
          </w:p>
        </w:tc>
        <w:tc>
          <w:tcPr>
            <w:tcW w:type="dxa" w:w="1152"/>
            <w:vAlign w:val="top"/>
            <w:shd w:fill="EAF2F8"/>
          </w:tcPr>
          <w:p>
            <w:r/>
            <w:r>
              <w:rPr>
                <w:b w:val="0"/>
                <w:sz w:val="11"/>
              </w:rPr>
              <w:t>Relevant mapped controls</w:t>
            </w:r>
          </w:p>
        </w:tc>
        <w:tc>
          <w:tcPr>
            <w:tcW w:type="dxa" w:w="1152"/>
            <w:vAlign w:val="top"/>
            <w:shd w:fill="EAF2F8"/>
          </w:tcPr>
          <w:p>
            <w:r>
              <w:t>Prefer T1 operating evidence; corroborate with T2 independent review and T3 simulation. T4 evidence is supplementary only.</w:t>
            </w:r>
          </w:p>
        </w:tc>
        <w:tc>
          <w:tcPr>
            <w:tcW w:type="dxa" w:w="1152"/>
            <w:vAlign w:val="top"/>
            <w:shd w:fill="EAF2F8"/>
          </w:tcPr>
          <w:p>
            <w:r/>
            <w:r>
              <w:rPr>
                <w:b w:val="0"/>
                <w:sz w:val="11"/>
              </w:rPr>
              <w:t>Generic policy without system-level operating evidence</w:t>
            </w:r>
          </w:p>
        </w:tc>
      </w:tr>
      <w:tr>
        <w:trPr>
          <w:cantSplit/>
        </w:trPr>
        <w:tc>
          <w:tcPr>
            <w:tcW w:type="dxa" w:w="1152"/>
            <w:vAlign w:val="top"/>
          </w:tcPr>
          <w:p>
            <w:r/>
            <w:r>
              <w:rPr>
                <w:b w:val="0"/>
                <w:sz w:val="11"/>
              </w:rPr>
              <w:t>Lineage, rights, quality and proxy analysis</w:t>
            </w:r>
          </w:p>
        </w:tc>
        <w:tc>
          <w:tcPr>
            <w:tcW w:type="dxa" w:w="1152"/>
            <w:vAlign w:val="top"/>
          </w:tcPr>
          <w:p>
            <w:r/>
            <w:r>
              <w:rPr>
                <w:b w:val="0"/>
                <w:sz w:val="11"/>
              </w:rPr>
              <w:t>Data</w:t>
            </w:r>
          </w:p>
        </w:tc>
        <w:tc>
          <w:tcPr>
            <w:tcW w:type="dxa" w:w="1152"/>
            <w:vAlign w:val="top"/>
          </w:tcPr>
          <w:p>
            <w:r/>
            <w:r>
              <w:rPr>
                <w:b w:val="0"/>
                <w:sz w:val="11"/>
              </w:rPr>
              <w:t>Demonstrate design and operating effectiveness</w:t>
            </w:r>
          </w:p>
        </w:tc>
        <w:tc>
          <w:tcPr>
            <w:tcW w:type="dxa" w:w="1152"/>
            <w:vAlign w:val="top"/>
          </w:tcPr>
          <w:p>
            <w:r/>
            <w:r>
              <w:rPr>
                <w:b w:val="0"/>
                <w:sz w:val="11"/>
              </w:rPr>
              <w:t>Data owner</w:t>
            </w:r>
          </w:p>
        </w:tc>
        <w:tc>
          <w:tcPr>
            <w:tcW w:type="dxa" w:w="1152"/>
            <w:vAlign w:val="top"/>
          </w:tcPr>
          <w:p>
            <w:r/>
            <w:r>
              <w:rPr>
                <w:b w:val="0"/>
                <w:sz w:val="11"/>
              </w:rPr>
              <w:t>Authoritative system or signed record</w:t>
            </w:r>
          </w:p>
        </w:tc>
        <w:tc>
          <w:tcPr>
            <w:tcW w:type="dxa" w:w="1152"/>
            <w:vAlign w:val="top"/>
          </w:tcPr>
          <w:p>
            <w:r/>
            <w:r>
              <w:rPr>
                <w:b w:val="0"/>
                <w:sz w:val="11"/>
              </w:rPr>
              <w:t>Risk-based; preserve applicable legal hold</w:t>
            </w:r>
          </w:p>
        </w:tc>
        <w:tc>
          <w:tcPr>
            <w:tcW w:type="dxa" w:w="1152"/>
            <w:vAlign w:val="top"/>
          </w:tcPr>
          <w:p>
            <w:r/>
            <w:r>
              <w:rPr>
                <w:b w:val="0"/>
                <w:sz w:val="11"/>
              </w:rPr>
              <w:t>Relevant mapped controls</w:t>
            </w:r>
          </w:p>
        </w:tc>
        <w:tc>
          <w:tcPr>
            <w:tcW w:type="dxa" w:w="1152"/>
            <w:vAlign w:val="top"/>
          </w:tcPr>
          <w:p>
            <w:r>
              <w:t>Source quality, rights, lineage completeness, validation status and operating period.</w:t>
            </w:r>
          </w:p>
        </w:tc>
        <w:tc>
          <w:tcPr>
            <w:tcW w:type="dxa" w:w="1152"/>
            <w:vAlign w:val="top"/>
          </w:tcPr>
          <w:p>
            <w:r/>
            <w:r>
              <w:rPr>
                <w:b w:val="0"/>
                <w:sz w:val="11"/>
              </w:rPr>
              <w:t>Generic policy without system-level operating evidence</w:t>
            </w:r>
          </w:p>
        </w:tc>
      </w:tr>
      <w:tr>
        <w:trPr>
          <w:cantSplit/>
        </w:trPr>
        <w:tc>
          <w:tcPr>
            <w:tcW w:type="dxa" w:w="1152"/>
            <w:vAlign w:val="top"/>
            <w:shd w:fill="EAF2F8"/>
          </w:tcPr>
          <w:p>
            <w:r/>
            <w:r>
              <w:rPr>
                <w:b w:val="0"/>
                <w:sz w:val="11"/>
              </w:rPr>
              <w:t>Model card, validation, limitations and version history</w:t>
            </w:r>
          </w:p>
        </w:tc>
        <w:tc>
          <w:tcPr>
            <w:tcW w:type="dxa" w:w="1152"/>
            <w:vAlign w:val="top"/>
            <w:shd w:fill="EAF2F8"/>
          </w:tcPr>
          <w:p>
            <w:r/>
            <w:r>
              <w:rPr>
                <w:b w:val="0"/>
                <w:sz w:val="11"/>
              </w:rPr>
              <w:t>Model</w:t>
            </w:r>
          </w:p>
        </w:tc>
        <w:tc>
          <w:tcPr>
            <w:tcW w:type="dxa" w:w="1152"/>
            <w:vAlign w:val="top"/>
            <w:shd w:fill="EAF2F8"/>
          </w:tcPr>
          <w:p>
            <w:r/>
            <w:r>
              <w:rPr>
                <w:b w:val="0"/>
                <w:sz w:val="11"/>
              </w:rPr>
              <w:t>Demonstrate design and operating effectiveness</w:t>
            </w:r>
          </w:p>
        </w:tc>
        <w:tc>
          <w:tcPr>
            <w:tcW w:type="dxa" w:w="1152"/>
            <w:vAlign w:val="top"/>
            <w:shd w:fill="EAF2F8"/>
          </w:tcPr>
          <w:p>
            <w:r/>
            <w:r>
              <w:rPr>
                <w:b w:val="0"/>
                <w:sz w:val="11"/>
              </w:rPr>
              <w:t>Model risk</w:t>
            </w:r>
          </w:p>
        </w:tc>
        <w:tc>
          <w:tcPr>
            <w:tcW w:type="dxa" w:w="1152"/>
            <w:vAlign w:val="top"/>
            <w:shd w:fill="EAF2F8"/>
          </w:tcPr>
          <w:p>
            <w:r/>
            <w:r>
              <w:rPr>
                <w:b w:val="0"/>
                <w:sz w:val="11"/>
              </w:rPr>
              <w:t>Authoritative system or signed record</w:t>
            </w:r>
          </w:p>
        </w:tc>
        <w:tc>
          <w:tcPr>
            <w:tcW w:type="dxa" w:w="1152"/>
            <w:vAlign w:val="top"/>
            <w:shd w:fill="EAF2F8"/>
          </w:tcPr>
          <w:p>
            <w:r/>
            <w:r>
              <w:rPr>
                <w:b w:val="0"/>
                <w:sz w:val="11"/>
              </w:rPr>
              <w:t>Risk-based; preserve applicable legal hold</w:t>
            </w:r>
          </w:p>
        </w:tc>
        <w:tc>
          <w:tcPr>
            <w:tcW w:type="dxa" w:w="1152"/>
            <w:vAlign w:val="top"/>
            <w:shd w:fill="EAF2F8"/>
          </w:tcPr>
          <w:p>
            <w:r/>
            <w:r>
              <w:rPr>
                <w:b w:val="0"/>
                <w:sz w:val="11"/>
              </w:rPr>
              <w:t>Relevant mapped controls</w:t>
            </w:r>
          </w:p>
        </w:tc>
        <w:tc>
          <w:tcPr>
            <w:tcW w:type="dxa" w:w="1152"/>
            <w:vAlign w:val="top"/>
            <w:shd w:fill="EAF2F8"/>
          </w:tcPr>
          <w:p>
            <w:r>
              <w:t>Validation independence, test coverage, version linkage and documented limitations.</w:t>
            </w:r>
          </w:p>
        </w:tc>
        <w:tc>
          <w:tcPr>
            <w:tcW w:type="dxa" w:w="1152"/>
            <w:vAlign w:val="top"/>
            <w:shd w:fill="EAF2F8"/>
          </w:tcPr>
          <w:p>
            <w:r/>
            <w:r>
              <w:rPr>
                <w:b w:val="0"/>
                <w:sz w:val="11"/>
              </w:rPr>
              <w:t>Generic policy without system-level operating evidence</w:t>
            </w:r>
          </w:p>
        </w:tc>
      </w:tr>
      <w:tr>
        <w:trPr>
          <w:cantSplit/>
        </w:trPr>
        <w:tc>
          <w:tcPr>
            <w:tcW w:type="dxa" w:w="1152"/>
            <w:vAlign w:val="top"/>
          </w:tcPr>
          <w:p>
            <w:r/>
            <w:r>
              <w:rPr>
                <w:b w:val="0"/>
                <w:sz w:val="11"/>
              </w:rPr>
              <w:t>Threat model, tests, IAM and runtime telemetry</w:t>
            </w:r>
          </w:p>
        </w:tc>
        <w:tc>
          <w:tcPr>
            <w:tcW w:type="dxa" w:w="1152"/>
            <w:vAlign w:val="top"/>
          </w:tcPr>
          <w:p>
            <w:r/>
            <w:r>
              <w:rPr>
                <w:b w:val="0"/>
                <w:sz w:val="11"/>
              </w:rPr>
              <w:t>Security</w:t>
            </w:r>
          </w:p>
        </w:tc>
        <w:tc>
          <w:tcPr>
            <w:tcW w:type="dxa" w:w="1152"/>
            <w:vAlign w:val="top"/>
          </w:tcPr>
          <w:p>
            <w:r/>
            <w:r>
              <w:rPr>
                <w:b w:val="0"/>
                <w:sz w:val="11"/>
              </w:rPr>
              <w:t>Demonstrate design and operating effectiveness</w:t>
            </w:r>
          </w:p>
        </w:tc>
        <w:tc>
          <w:tcPr>
            <w:tcW w:type="dxa" w:w="1152"/>
            <w:vAlign w:val="top"/>
          </w:tcPr>
          <w:p>
            <w:r/>
            <w:r>
              <w:rPr>
                <w:b w:val="0"/>
                <w:sz w:val="11"/>
              </w:rPr>
              <w:t>CISO</w:t>
            </w:r>
          </w:p>
        </w:tc>
        <w:tc>
          <w:tcPr>
            <w:tcW w:type="dxa" w:w="1152"/>
            <w:vAlign w:val="top"/>
          </w:tcPr>
          <w:p>
            <w:r/>
            <w:r>
              <w:rPr>
                <w:b w:val="0"/>
                <w:sz w:val="11"/>
              </w:rPr>
              <w:t>Authoritative system or signed record</w:t>
            </w:r>
          </w:p>
        </w:tc>
        <w:tc>
          <w:tcPr>
            <w:tcW w:type="dxa" w:w="1152"/>
            <w:vAlign w:val="top"/>
          </w:tcPr>
          <w:p>
            <w:r/>
            <w:r>
              <w:rPr>
                <w:b w:val="0"/>
                <w:sz w:val="11"/>
              </w:rPr>
              <w:t>Risk-based; preserve applicable legal hold</w:t>
            </w:r>
          </w:p>
        </w:tc>
        <w:tc>
          <w:tcPr>
            <w:tcW w:type="dxa" w:w="1152"/>
            <w:vAlign w:val="top"/>
          </w:tcPr>
          <w:p>
            <w:r/>
            <w:r>
              <w:rPr>
                <w:b w:val="0"/>
                <w:sz w:val="11"/>
              </w:rPr>
              <w:t>Relevant mapped controls</w:t>
            </w:r>
          </w:p>
        </w:tc>
        <w:tc>
          <w:tcPr>
            <w:tcW w:type="dxa" w:w="1152"/>
            <w:vAlign w:val="top"/>
          </w:tcPr>
          <w:p>
            <w:r>
              <w:t>Testing currency, scope, independence and linkage to the production configuration.</w:t>
            </w:r>
          </w:p>
        </w:tc>
        <w:tc>
          <w:tcPr>
            <w:tcW w:type="dxa" w:w="1152"/>
            <w:vAlign w:val="top"/>
          </w:tcPr>
          <w:p>
            <w:r/>
            <w:r>
              <w:rPr>
                <w:b w:val="0"/>
                <w:sz w:val="11"/>
              </w:rPr>
              <w:t>Generic policy without system-level operating evidence</w:t>
            </w:r>
          </w:p>
        </w:tc>
      </w:tr>
      <w:tr>
        <w:trPr>
          <w:cantSplit/>
        </w:trPr>
        <w:tc>
          <w:tcPr>
            <w:tcW w:type="dxa" w:w="1152"/>
            <w:vAlign w:val="top"/>
            <w:shd w:fill="EAF2F8"/>
          </w:tcPr>
          <w:p>
            <w:r/>
            <w:r>
              <w:rPr>
                <w:b w:val="0"/>
                <w:sz w:val="11"/>
              </w:rPr>
              <w:t>Approval, release, configuration and rollback evidence</w:t>
            </w:r>
          </w:p>
        </w:tc>
        <w:tc>
          <w:tcPr>
            <w:tcW w:type="dxa" w:w="1152"/>
            <w:vAlign w:val="top"/>
            <w:shd w:fill="EAF2F8"/>
          </w:tcPr>
          <w:p>
            <w:r/>
            <w:r>
              <w:rPr>
                <w:b w:val="0"/>
                <w:sz w:val="11"/>
              </w:rPr>
              <w:t>Deployment</w:t>
            </w:r>
          </w:p>
        </w:tc>
        <w:tc>
          <w:tcPr>
            <w:tcW w:type="dxa" w:w="1152"/>
            <w:vAlign w:val="top"/>
            <w:shd w:fill="EAF2F8"/>
          </w:tcPr>
          <w:p>
            <w:r/>
            <w:r>
              <w:rPr>
                <w:b w:val="0"/>
                <w:sz w:val="11"/>
              </w:rPr>
              <w:t>Demonstrate design and operating effectiveness</w:t>
            </w:r>
          </w:p>
        </w:tc>
        <w:tc>
          <w:tcPr>
            <w:tcW w:type="dxa" w:w="1152"/>
            <w:vAlign w:val="top"/>
            <w:shd w:fill="EAF2F8"/>
          </w:tcPr>
          <w:p>
            <w:r/>
            <w:r>
              <w:rPr>
                <w:b w:val="0"/>
                <w:sz w:val="11"/>
              </w:rPr>
              <w:t>System owner</w:t>
            </w:r>
          </w:p>
        </w:tc>
        <w:tc>
          <w:tcPr>
            <w:tcW w:type="dxa" w:w="1152"/>
            <w:vAlign w:val="top"/>
            <w:shd w:fill="EAF2F8"/>
          </w:tcPr>
          <w:p>
            <w:r/>
            <w:r>
              <w:rPr>
                <w:b w:val="0"/>
                <w:sz w:val="11"/>
              </w:rPr>
              <w:t>Authoritative system or signed record</w:t>
            </w:r>
          </w:p>
        </w:tc>
        <w:tc>
          <w:tcPr>
            <w:tcW w:type="dxa" w:w="1152"/>
            <w:vAlign w:val="top"/>
            <w:shd w:fill="EAF2F8"/>
          </w:tcPr>
          <w:p>
            <w:r/>
            <w:r>
              <w:rPr>
                <w:b w:val="0"/>
                <w:sz w:val="11"/>
              </w:rPr>
              <w:t>Risk-based; preserve applicable legal hold</w:t>
            </w:r>
          </w:p>
        </w:tc>
        <w:tc>
          <w:tcPr>
            <w:tcW w:type="dxa" w:w="1152"/>
            <w:vAlign w:val="top"/>
            <w:shd w:fill="EAF2F8"/>
          </w:tcPr>
          <w:p>
            <w:r/>
            <w:r>
              <w:rPr>
                <w:b w:val="0"/>
                <w:sz w:val="11"/>
              </w:rPr>
              <w:t>Relevant mapped controls</w:t>
            </w:r>
          </w:p>
        </w:tc>
        <w:tc>
          <w:tcPr>
            <w:tcW w:type="dxa" w:w="1152"/>
            <w:vAlign w:val="top"/>
            <w:shd w:fill="EAF2F8"/>
          </w:tcPr>
          <w:p>
            <w:r>
              <w:t>Prefer T1 operating evidence; corroborate with T2 independent review and T3 simulation. T4 evidence is supplementary only.</w:t>
            </w:r>
          </w:p>
        </w:tc>
        <w:tc>
          <w:tcPr>
            <w:tcW w:type="dxa" w:w="1152"/>
            <w:vAlign w:val="top"/>
            <w:shd w:fill="EAF2F8"/>
          </w:tcPr>
          <w:p>
            <w:r/>
            <w:r>
              <w:rPr>
                <w:b w:val="0"/>
                <w:sz w:val="11"/>
              </w:rPr>
              <w:t>Generic policy without system-level operating evidence</w:t>
            </w:r>
          </w:p>
        </w:tc>
      </w:tr>
      <w:tr>
        <w:trPr>
          <w:cantSplit/>
        </w:trPr>
        <w:tc>
          <w:tcPr>
            <w:tcW w:type="dxa" w:w="1152"/>
            <w:vAlign w:val="top"/>
          </w:tcPr>
          <w:p>
            <w:r/>
            <w:r>
              <w:rPr>
                <w:b w:val="0"/>
                <w:sz w:val="11"/>
              </w:rPr>
              <w:t>Performance, outcomes, drift, complaints and overrides</w:t>
            </w:r>
          </w:p>
        </w:tc>
        <w:tc>
          <w:tcPr>
            <w:tcW w:type="dxa" w:w="1152"/>
            <w:vAlign w:val="top"/>
          </w:tcPr>
          <w:p>
            <w:r/>
            <w:r>
              <w:rPr>
                <w:b w:val="0"/>
                <w:sz w:val="11"/>
              </w:rPr>
              <w:t>Monitoring</w:t>
            </w:r>
          </w:p>
        </w:tc>
        <w:tc>
          <w:tcPr>
            <w:tcW w:type="dxa" w:w="1152"/>
            <w:vAlign w:val="top"/>
          </w:tcPr>
          <w:p>
            <w:r/>
            <w:r>
              <w:rPr>
                <w:b w:val="0"/>
                <w:sz w:val="11"/>
              </w:rPr>
              <w:t>Demonstrate design and operating effectiveness</w:t>
            </w:r>
          </w:p>
        </w:tc>
        <w:tc>
          <w:tcPr>
            <w:tcW w:type="dxa" w:w="1152"/>
            <w:vAlign w:val="top"/>
          </w:tcPr>
          <w:p>
            <w:r/>
            <w:r>
              <w:rPr>
                <w:b w:val="0"/>
                <w:sz w:val="11"/>
              </w:rPr>
              <w:t>Business / model owner</w:t>
            </w:r>
          </w:p>
        </w:tc>
        <w:tc>
          <w:tcPr>
            <w:tcW w:type="dxa" w:w="1152"/>
            <w:vAlign w:val="top"/>
          </w:tcPr>
          <w:p>
            <w:r/>
            <w:r>
              <w:rPr>
                <w:b w:val="0"/>
                <w:sz w:val="11"/>
              </w:rPr>
              <w:t>Authoritative system or signed record</w:t>
            </w:r>
          </w:p>
        </w:tc>
        <w:tc>
          <w:tcPr>
            <w:tcW w:type="dxa" w:w="1152"/>
            <w:vAlign w:val="top"/>
          </w:tcPr>
          <w:p>
            <w:r/>
            <w:r>
              <w:rPr>
                <w:b w:val="0"/>
                <w:sz w:val="11"/>
              </w:rPr>
              <w:t>Risk-based; preserve applicable legal hold</w:t>
            </w:r>
          </w:p>
        </w:tc>
        <w:tc>
          <w:tcPr>
            <w:tcW w:type="dxa" w:w="1152"/>
            <w:vAlign w:val="top"/>
          </w:tcPr>
          <w:p>
            <w:r/>
            <w:r>
              <w:rPr>
                <w:b w:val="0"/>
                <w:sz w:val="11"/>
              </w:rPr>
              <w:t>Relevant mapped controls</w:t>
            </w:r>
          </w:p>
        </w:tc>
        <w:tc>
          <w:tcPr>
            <w:tcW w:type="dxa" w:w="1152"/>
            <w:vAlign w:val="top"/>
          </w:tcPr>
          <w:p>
            <w:r>
              <w:t>Prefer T1 operating evidence; corroborate with T2 independent review and T3 simulation. T4 evidence is supplementary only.</w:t>
            </w:r>
          </w:p>
        </w:tc>
        <w:tc>
          <w:tcPr>
            <w:tcW w:type="dxa" w:w="1152"/>
            <w:vAlign w:val="top"/>
          </w:tcPr>
          <w:p>
            <w:r/>
            <w:r>
              <w:rPr>
                <w:b w:val="0"/>
                <w:sz w:val="11"/>
              </w:rPr>
              <w:t>Generic policy without system-level operating evidence</w:t>
            </w:r>
          </w:p>
        </w:tc>
      </w:tr>
      <w:tr>
        <w:trPr>
          <w:cantSplit/>
        </w:trPr>
        <w:tc>
          <w:tcPr>
            <w:tcW w:type="dxa" w:w="1152"/>
            <w:vAlign w:val="top"/>
            <w:shd w:fill="EAF2F8"/>
          </w:tcPr>
          <w:p>
            <w:r/>
            <w:r>
              <w:rPr>
                <w:b w:val="0"/>
                <w:sz w:val="11"/>
              </w:rPr>
              <w:t>Timeline, containment, impact, notification and lessons</w:t>
            </w:r>
          </w:p>
        </w:tc>
        <w:tc>
          <w:tcPr>
            <w:tcW w:type="dxa" w:w="1152"/>
            <w:vAlign w:val="top"/>
            <w:shd w:fill="EAF2F8"/>
          </w:tcPr>
          <w:p>
            <w:r/>
            <w:r>
              <w:rPr>
                <w:b w:val="0"/>
                <w:sz w:val="11"/>
              </w:rPr>
              <w:t>Incident</w:t>
            </w:r>
          </w:p>
        </w:tc>
        <w:tc>
          <w:tcPr>
            <w:tcW w:type="dxa" w:w="1152"/>
            <w:vAlign w:val="top"/>
            <w:shd w:fill="EAF2F8"/>
          </w:tcPr>
          <w:p>
            <w:r/>
            <w:r>
              <w:rPr>
                <w:b w:val="0"/>
                <w:sz w:val="11"/>
              </w:rPr>
              <w:t>Demonstrate design and operating effectiveness</w:t>
            </w:r>
          </w:p>
        </w:tc>
        <w:tc>
          <w:tcPr>
            <w:tcW w:type="dxa" w:w="1152"/>
            <w:vAlign w:val="top"/>
            <w:shd w:fill="EAF2F8"/>
          </w:tcPr>
          <w:p>
            <w:r/>
            <w:r>
              <w:rPr>
                <w:b w:val="0"/>
                <w:sz w:val="11"/>
              </w:rPr>
              <w:t>Incident commander</w:t>
            </w:r>
          </w:p>
        </w:tc>
        <w:tc>
          <w:tcPr>
            <w:tcW w:type="dxa" w:w="1152"/>
            <w:vAlign w:val="top"/>
            <w:shd w:fill="EAF2F8"/>
          </w:tcPr>
          <w:p>
            <w:r/>
            <w:r>
              <w:rPr>
                <w:b w:val="0"/>
                <w:sz w:val="11"/>
              </w:rPr>
              <w:t>Authoritative system or signed record</w:t>
            </w:r>
          </w:p>
        </w:tc>
        <w:tc>
          <w:tcPr>
            <w:tcW w:type="dxa" w:w="1152"/>
            <w:vAlign w:val="top"/>
            <w:shd w:fill="EAF2F8"/>
          </w:tcPr>
          <w:p>
            <w:r/>
            <w:r>
              <w:rPr>
                <w:b w:val="0"/>
                <w:sz w:val="11"/>
              </w:rPr>
              <w:t>Risk-based; preserve applicable legal hold</w:t>
            </w:r>
          </w:p>
        </w:tc>
        <w:tc>
          <w:tcPr>
            <w:tcW w:type="dxa" w:w="1152"/>
            <w:vAlign w:val="top"/>
            <w:shd w:fill="EAF2F8"/>
          </w:tcPr>
          <w:p>
            <w:r/>
            <w:r>
              <w:rPr>
                <w:b w:val="0"/>
                <w:sz w:val="11"/>
              </w:rPr>
              <w:t>Relevant mapped controls</w:t>
            </w:r>
          </w:p>
        </w:tc>
        <w:tc>
          <w:tcPr>
            <w:tcW w:type="dxa" w:w="1152"/>
            <w:vAlign w:val="top"/>
            <w:shd w:fill="EAF2F8"/>
          </w:tcPr>
          <w:p>
            <w:r>
              <w:t>Completeness, timeliness, preserved evidence, root cause and remediation closure.</w:t>
            </w:r>
          </w:p>
        </w:tc>
        <w:tc>
          <w:tcPr>
            <w:tcW w:type="dxa" w:w="1152"/>
            <w:vAlign w:val="top"/>
            <w:shd w:fill="EAF2F8"/>
          </w:tcPr>
          <w:p>
            <w:r/>
            <w:r>
              <w:rPr>
                <w:b w:val="0"/>
                <w:sz w:val="11"/>
              </w:rPr>
              <w:t>Generic policy without system-level operating evidence</w:t>
            </w:r>
          </w:p>
        </w:tc>
      </w:tr>
      <w:tr>
        <w:trPr>
          <w:cantSplit/>
        </w:trPr>
        <w:tc>
          <w:tcPr>
            <w:tcW w:type="dxa" w:w="1152"/>
            <w:vAlign w:val="top"/>
          </w:tcPr>
          <w:p>
            <w:r/>
            <w:r>
              <w:rPr>
                <w:b w:val="0"/>
                <w:sz w:val="11"/>
              </w:rPr>
              <w:t>Due diligence, contract, assurance and change records</w:t>
            </w:r>
          </w:p>
        </w:tc>
        <w:tc>
          <w:tcPr>
            <w:tcW w:type="dxa" w:w="1152"/>
            <w:vAlign w:val="top"/>
          </w:tcPr>
          <w:p>
            <w:r/>
            <w:r>
              <w:rPr>
                <w:b w:val="0"/>
                <w:sz w:val="11"/>
              </w:rPr>
              <w:t>Vendor</w:t>
            </w:r>
          </w:p>
        </w:tc>
        <w:tc>
          <w:tcPr>
            <w:tcW w:type="dxa" w:w="1152"/>
            <w:vAlign w:val="top"/>
          </w:tcPr>
          <w:p>
            <w:r/>
            <w:r>
              <w:rPr>
                <w:b w:val="0"/>
                <w:sz w:val="11"/>
              </w:rPr>
              <w:t>Demonstrate design and operating effectiveness</w:t>
            </w:r>
          </w:p>
        </w:tc>
        <w:tc>
          <w:tcPr>
            <w:tcW w:type="dxa" w:w="1152"/>
            <w:vAlign w:val="top"/>
          </w:tcPr>
          <w:p>
            <w:r/>
            <w:r>
              <w:rPr>
                <w:b w:val="0"/>
                <w:sz w:val="11"/>
              </w:rPr>
              <w:t>Third-party risk</w:t>
            </w:r>
          </w:p>
        </w:tc>
        <w:tc>
          <w:tcPr>
            <w:tcW w:type="dxa" w:w="1152"/>
            <w:vAlign w:val="top"/>
          </w:tcPr>
          <w:p>
            <w:r/>
            <w:r>
              <w:rPr>
                <w:b w:val="0"/>
                <w:sz w:val="11"/>
              </w:rPr>
              <w:t>Authoritative system or signed record</w:t>
            </w:r>
          </w:p>
        </w:tc>
        <w:tc>
          <w:tcPr>
            <w:tcW w:type="dxa" w:w="1152"/>
            <w:vAlign w:val="top"/>
          </w:tcPr>
          <w:p>
            <w:r/>
            <w:r>
              <w:rPr>
                <w:b w:val="0"/>
                <w:sz w:val="11"/>
              </w:rPr>
              <w:t>Risk-based; preserve applicable legal hold</w:t>
            </w:r>
          </w:p>
        </w:tc>
        <w:tc>
          <w:tcPr>
            <w:tcW w:type="dxa" w:w="1152"/>
            <w:vAlign w:val="top"/>
          </w:tcPr>
          <w:p>
            <w:r/>
            <w:r>
              <w:rPr>
                <w:b w:val="0"/>
                <w:sz w:val="11"/>
              </w:rPr>
              <w:t>Relevant mapped controls</w:t>
            </w:r>
          </w:p>
        </w:tc>
        <w:tc>
          <w:tcPr>
            <w:tcW w:type="dxa" w:w="1152"/>
            <w:vAlign w:val="top"/>
          </w:tcPr>
          <w:p>
            <w:r>
              <w:t>Prefer T1 operating evidence; corroborate with T2 independent review and T3 simulation. T4 evidence is supplementary only.</w:t>
            </w:r>
          </w:p>
        </w:tc>
        <w:tc>
          <w:tcPr>
            <w:tcW w:type="dxa" w:w="1152"/>
            <w:vAlign w:val="top"/>
          </w:tcPr>
          <w:p>
            <w:r/>
            <w:r>
              <w:rPr>
                <w:b w:val="0"/>
                <w:sz w:val="11"/>
              </w:rPr>
              <w:t>Generic policy without system-level operating evidence</w:t>
            </w:r>
          </w:p>
        </w:tc>
      </w:tr>
      <w:tr>
        <w:trPr>
          <w:cantSplit/>
        </w:trPr>
        <w:tc>
          <w:tcPr>
            <w:tcW w:type="dxa" w:w="1152"/>
            <w:vAlign w:val="top"/>
            <w:shd w:fill="EAF2F8"/>
          </w:tcPr>
          <w:p>
            <w:r/>
            <w:r>
              <w:rPr>
                <w:b w:val="0"/>
                <w:sz w:val="11"/>
              </w:rPr>
              <w:t>Reviewer competence, intervention and override records</w:t>
            </w:r>
          </w:p>
        </w:tc>
        <w:tc>
          <w:tcPr>
            <w:tcW w:type="dxa" w:w="1152"/>
            <w:vAlign w:val="top"/>
            <w:shd w:fill="EAF2F8"/>
          </w:tcPr>
          <w:p>
            <w:r/>
            <w:r>
              <w:rPr>
                <w:b w:val="0"/>
                <w:sz w:val="11"/>
              </w:rPr>
              <w:t>Oversight</w:t>
            </w:r>
          </w:p>
        </w:tc>
        <w:tc>
          <w:tcPr>
            <w:tcW w:type="dxa" w:w="1152"/>
            <w:vAlign w:val="top"/>
            <w:shd w:fill="EAF2F8"/>
          </w:tcPr>
          <w:p>
            <w:r/>
            <w:r>
              <w:rPr>
                <w:b w:val="0"/>
                <w:sz w:val="11"/>
              </w:rPr>
              <w:t>Demonstrate design and operating effectiveness</w:t>
            </w:r>
          </w:p>
        </w:tc>
        <w:tc>
          <w:tcPr>
            <w:tcW w:type="dxa" w:w="1152"/>
            <w:vAlign w:val="top"/>
            <w:shd w:fill="EAF2F8"/>
          </w:tcPr>
          <w:p>
            <w:r/>
            <w:r>
              <w:rPr>
                <w:b w:val="0"/>
                <w:sz w:val="11"/>
              </w:rPr>
              <w:t>Business owner</w:t>
            </w:r>
          </w:p>
        </w:tc>
        <w:tc>
          <w:tcPr>
            <w:tcW w:type="dxa" w:w="1152"/>
            <w:vAlign w:val="top"/>
            <w:shd w:fill="EAF2F8"/>
          </w:tcPr>
          <w:p>
            <w:r/>
            <w:r>
              <w:rPr>
                <w:b w:val="0"/>
                <w:sz w:val="11"/>
              </w:rPr>
              <w:t>Authoritative system or signed record</w:t>
            </w:r>
          </w:p>
        </w:tc>
        <w:tc>
          <w:tcPr>
            <w:tcW w:type="dxa" w:w="1152"/>
            <w:vAlign w:val="top"/>
            <w:shd w:fill="EAF2F8"/>
          </w:tcPr>
          <w:p>
            <w:r/>
            <w:r>
              <w:rPr>
                <w:b w:val="0"/>
                <w:sz w:val="11"/>
              </w:rPr>
              <w:t>Risk-based; preserve applicable legal hold</w:t>
            </w:r>
          </w:p>
        </w:tc>
        <w:tc>
          <w:tcPr>
            <w:tcW w:type="dxa" w:w="1152"/>
            <w:vAlign w:val="top"/>
            <w:shd w:fill="EAF2F8"/>
          </w:tcPr>
          <w:p>
            <w:r/>
            <w:r>
              <w:rPr>
                <w:b w:val="0"/>
                <w:sz w:val="11"/>
              </w:rPr>
              <w:t>Relevant mapped controls</w:t>
            </w:r>
          </w:p>
        </w:tc>
        <w:tc>
          <w:tcPr>
            <w:tcW w:type="dxa" w:w="1152"/>
            <w:vAlign w:val="top"/>
            <w:shd w:fill="EAF2F8"/>
          </w:tcPr>
          <w:p>
            <w:r>
              <w:t>Reviewer competence, timing, authority and record completeness.</w:t>
            </w:r>
          </w:p>
        </w:tc>
        <w:tc>
          <w:tcPr>
            <w:tcW w:type="dxa" w:w="1152"/>
            <w:vAlign w:val="top"/>
            <w:shd w:fill="EAF2F8"/>
          </w:tcPr>
          <w:p>
            <w:r/>
            <w:r>
              <w:rPr>
                <w:b w:val="0"/>
                <w:sz w:val="11"/>
              </w:rPr>
              <w:t>Generic policy without system-level operating evidence</w:t>
            </w:r>
          </w:p>
        </w:tc>
      </w:tr>
      <w:tr>
        <w:trPr>
          <w:cantSplit/>
        </w:trPr>
        <w:tc>
          <w:tcPr>
            <w:tcW w:type="dxa" w:w="1152"/>
            <w:vAlign w:val="top"/>
          </w:tcPr>
          <w:p>
            <w:r/>
            <w:r>
              <w:rPr>
                <w:b w:val="0"/>
                <w:sz w:val="11"/>
              </w:rPr>
              <w:t>Notices, explanations, appeals and accessibility tests</w:t>
            </w:r>
          </w:p>
        </w:tc>
        <w:tc>
          <w:tcPr>
            <w:tcW w:type="dxa" w:w="1152"/>
            <w:vAlign w:val="top"/>
          </w:tcPr>
          <w:p>
            <w:r/>
            <w:r>
              <w:rPr>
                <w:b w:val="0"/>
                <w:sz w:val="11"/>
              </w:rPr>
              <w:t>Policyholder</w:t>
            </w:r>
          </w:p>
        </w:tc>
        <w:tc>
          <w:tcPr>
            <w:tcW w:type="dxa" w:w="1152"/>
            <w:vAlign w:val="top"/>
          </w:tcPr>
          <w:p>
            <w:r/>
            <w:r>
              <w:rPr>
                <w:b w:val="0"/>
                <w:sz w:val="11"/>
              </w:rPr>
              <w:t>Demonstrate design and operating effectiveness</w:t>
            </w:r>
          </w:p>
        </w:tc>
        <w:tc>
          <w:tcPr>
            <w:tcW w:type="dxa" w:w="1152"/>
            <w:vAlign w:val="top"/>
          </w:tcPr>
          <w:p>
            <w:r/>
            <w:r>
              <w:rPr>
                <w:b w:val="0"/>
                <w:sz w:val="11"/>
              </w:rPr>
              <w:t>Compliance</w:t>
            </w:r>
          </w:p>
        </w:tc>
        <w:tc>
          <w:tcPr>
            <w:tcW w:type="dxa" w:w="1152"/>
            <w:vAlign w:val="top"/>
          </w:tcPr>
          <w:p>
            <w:r/>
            <w:r>
              <w:rPr>
                <w:b w:val="0"/>
                <w:sz w:val="11"/>
              </w:rPr>
              <w:t>Authoritative system or signed record</w:t>
            </w:r>
          </w:p>
        </w:tc>
        <w:tc>
          <w:tcPr>
            <w:tcW w:type="dxa" w:w="1152"/>
            <w:vAlign w:val="top"/>
          </w:tcPr>
          <w:p>
            <w:r/>
            <w:r>
              <w:rPr>
                <w:b w:val="0"/>
                <w:sz w:val="11"/>
              </w:rPr>
              <w:t>Risk-based; preserve applicable legal hold</w:t>
            </w:r>
          </w:p>
        </w:tc>
        <w:tc>
          <w:tcPr>
            <w:tcW w:type="dxa" w:w="1152"/>
            <w:vAlign w:val="top"/>
          </w:tcPr>
          <w:p>
            <w:r/>
            <w:r>
              <w:rPr>
                <w:b w:val="0"/>
                <w:sz w:val="11"/>
              </w:rPr>
              <w:t>Relevant mapped controls</w:t>
            </w:r>
          </w:p>
        </w:tc>
        <w:tc>
          <w:tcPr>
            <w:tcW w:type="dxa" w:w="1152"/>
            <w:vAlign w:val="top"/>
          </w:tcPr>
          <w:p>
            <w:r>
              <w:t>Prefer T1 operating evidence; corroborate with T2 independent review and T3 simulation. T4 evidence is supplementary only.</w:t>
            </w:r>
          </w:p>
        </w:tc>
        <w:tc>
          <w:tcPr>
            <w:tcW w:type="dxa" w:w="1152"/>
            <w:vAlign w:val="top"/>
          </w:tcPr>
          <w:p>
            <w:r/>
            <w:r>
              <w:rPr>
                <w:b w:val="0"/>
                <w:sz w:val="11"/>
              </w:rPr>
              <w:t>Generic policy without system-level operating evidence</w:t>
            </w:r>
          </w:p>
        </w:tc>
      </w:tr>
      <w:tr>
        <w:trPr>
          <w:cantSplit/>
        </w:trPr>
        <w:tc>
          <w:tcPr>
            <w:tcW w:type="dxa" w:w="1152"/>
            <w:vAlign w:val="top"/>
            <w:shd w:fill="EAF2F8"/>
          </w:tcPr>
          <w:p>
            <w:r/>
            <w:r>
              <w:rPr>
                <w:b w:val="0"/>
                <w:sz w:val="11"/>
              </w:rPr>
              <w:t>Testing, findings, remediation and limitations</w:t>
            </w:r>
          </w:p>
        </w:tc>
        <w:tc>
          <w:tcPr>
            <w:tcW w:type="dxa" w:w="1152"/>
            <w:vAlign w:val="top"/>
            <w:shd w:fill="EAF2F8"/>
          </w:tcPr>
          <w:p>
            <w:r/>
            <w:r>
              <w:rPr>
                <w:b w:val="0"/>
                <w:sz w:val="11"/>
              </w:rPr>
              <w:t>Audit</w:t>
            </w:r>
          </w:p>
        </w:tc>
        <w:tc>
          <w:tcPr>
            <w:tcW w:type="dxa" w:w="1152"/>
            <w:vAlign w:val="top"/>
            <w:shd w:fill="EAF2F8"/>
          </w:tcPr>
          <w:p>
            <w:r/>
            <w:r>
              <w:rPr>
                <w:b w:val="0"/>
                <w:sz w:val="11"/>
              </w:rPr>
              <w:t>Demonstrate design and operating effectiveness</w:t>
            </w:r>
          </w:p>
        </w:tc>
        <w:tc>
          <w:tcPr>
            <w:tcW w:type="dxa" w:w="1152"/>
            <w:vAlign w:val="top"/>
            <w:shd w:fill="EAF2F8"/>
          </w:tcPr>
          <w:p>
            <w:r/>
            <w:r>
              <w:rPr>
                <w:b w:val="0"/>
                <w:sz w:val="11"/>
              </w:rPr>
              <w:t>Internal audit</w:t>
            </w:r>
          </w:p>
        </w:tc>
        <w:tc>
          <w:tcPr>
            <w:tcW w:type="dxa" w:w="1152"/>
            <w:vAlign w:val="top"/>
            <w:shd w:fill="EAF2F8"/>
          </w:tcPr>
          <w:p>
            <w:r/>
            <w:r>
              <w:rPr>
                <w:b w:val="0"/>
                <w:sz w:val="11"/>
              </w:rPr>
              <w:t>Authoritative system or signed record</w:t>
            </w:r>
          </w:p>
        </w:tc>
        <w:tc>
          <w:tcPr>
            <w:tcW w:type="dxa" w:w="1152"/>
            <w:vAlign w:val="top"/>
            <w:shd w:fill="EAF2F8"/>
          </w:tcPr>
          <w:p>
            <w:r/>
            <w:r>
              <w:rPr>
                <w:b w:val="0"/>
                <w:sz w:val="11"/>
              </w:rPr>
              <w:t>Risk-based; preserve applicable legal hold</w:t>
            </w:r>
          </w:p>
        </w:tc>
        <w:tc>
          <w:tcPr>
            <w:tcW w:type="dxa" w:w="1152"/>
            <w:vAlign w:val="top"/>
            <w:shd w:fill="EAF2F8"/>
          </w:tcPr>
          <w:p>
            <w:r/>
            <w:r>
              <w:rPr>
                <w:b w:val="0"/>
                <w:sz w:val="11"/>
              </w:rPr>
              <w:t>Relevant mapped controls</w:t>
            </w:r>
          </w:p>
        </w:tc>
        <w:tc>
          <w:tcPr>
            <w:tcW w:type="dxa" w:w="1152"/>
            <w:vAlign w:val="top"/>
            <w:shd w:fill="EAF2F8"/>
          </w:tcPr>
          <w:p>
            <w:r>
              <w:t>Prefer T1 operating evidence; corroborate with T2 independent review and T3 simulation. T4 evidence is supplementary only.</w:t>
            </w:r>
          </w:p>
        </w:tc>
        <w:tc>
          <w:tcPr>
            <w:tcW w:type="dxa" w:w="1152"/>
            <w:vAlign w:val="top"/>
            <w:shd w:fill="EAF2F8"/>
          </w:tcPr>
          <w:p>
            <w:r/>
            <w:r>
              <w:rPr>
                <w:b w:val="0"/>
                <w:sz w:val="11"/>
              </w:rPr>
              <w:t>Generic policy without system-level operating evidence</w:t>
            </w:r>
          </w:p>
        </w:tc>
      </w:tr>
    </w:tbl>
    <w:p/>
    <w:p>
      <w:pPr>
        <w:pStyle w:val="Heading1"/>
      </w:pPr>
      <w:r>
        <w:t>17. Insurance implementation profiles</w:t>
      </w:r>
    </w:p>
    <w:tbl>
      <w:tblPr>
        <w:tblStyle w:val="TableGrid"/>
        <w:tblW w:type="auto" w:w="0"/>
        <w:jc w:val="center"/>
        <w:tblLook w:firstColumn="1" w:firstRow="1" w:lastColumn="0" w:lastRow="0" w:noHBand="0" w:noVBand="1" w:val="04A0"/>
      </w:tblPr>
      <w:tblGrid>
        <w:gridCol w:w="2592"/>
        <w:gridCol w:w="2592"/>
        <w:gridCol w:w="2592"/>
        <w:gridCol w:w="2592"/>
      </w:tblGrid>
      <w:tr>
        <w:trPr>
          <w:cantSplit/>
          <w:tblHeader w:val="true"/>
        </w:trPr>
        <w:tc>
          <w:tcPr>
            <w:tcW w:type="dxa" w:w="2592"/>
            <w:vAlign w:val="top"/>
            <w:shd w:fill="1F4E78"/>
          </w:tcPr>
          <w:p>
            <w:r/>
            <w:r>
              <w:rPr>
                <w:b/>
                <w:color w:val="FFFFFF"/>
                <w:sz w:val="14"/>
              </w:rPr>
              <w:t>Profile</w:t>
            </w:r>
          </w:p>
        </w:tc>
        <w:tc>
          <w:tcPr>
            <w:tcW w:type="dxa" w:w="2592"/>
            <w:vAlign w:val="top"/>
            <w:shd w:fill="1F4E78"/>
          </w:tcPr>
          <w:p>
            <w:r/>
            <w:r>
              <w:rPr>
                <w:b/>
                <w:color w:val="FFFFFF"/>
                <w:sz w:val="14"/>
              </w:rPr>
              <w:t>Operating model</w:t>
            </w:r>
          </w:p>
        </w:tc>
        <w:tc>
          <w:tcPr>
            <w:tcW w:type="dxa" w:w="2592"/>
            <w:vAlign w:val="top"/>
            <w:shd w:fill="1F4E78"/>
          </w:tcPr>
          <w:p>
            <w:r/>
            <w:r>
              <w:rPr>
                <w:b/>
                <w:color w:val="FFFFFF"/>
                <w:sz w:val="14"/>
              </w:rPr>
              <w:t>Priority controls</w:t>
            </w:r>
          </w:p>
        </w:tc>
        <w:tc>
          <w:tcPr>
            <w:tcW w:type="dxa" w:w="2592"/>
            <w:vAlign w:val="top"/>
            <w:shd w:fill="1F4E78"/>
          </w:tcPr>
          <w:p>
            <w:r/>
            <w:r>
              <w:rPr>
                <w:b/>
                <w:color w:val="FFFFFF"/>
                <w:sz w:val="14"/>
              </w:rPr>
              <w:t>Constraints</w:t>
            </w:r>
          </w:p>
        </w:tc>
      </w:tr>
      <w:tr>
        <w:trPr>
          <w:cantSplit/>
        </w:trPr>
        <w:tc>
          <w:tcPr>
            <w:tcW w:type="dxa" w:w="2592"/>
            <w:vAlign w:val="top"/>
          </w:tcPr>
          <w:p>
            <w:r/>
            <w:r>
              <w:rPr>
                <w:b w:val="0"/>
                <w:sz w:val="14"/>
              </w:rPr>
              <w:t>Large composite insurer</w:t>
            </w:r>
          </w:p>
        </w:tc>
        <w:tc>
          <w:tcPr>
            <w:tcW w:type="dxa" w:w="2592"/>
            <w:vAlign w:val="top"/>
          </w:tcPr>
          <w:p>
            <w:r/>
            <w:r>
              <w:rPr>
                <w:b w:val="0"/>
                <w:sz w:val="14"/>
              </w:rPr>
              <w:t>Multiple lines, jurisdictions and legacy platforms</w:t>
            </w:r>
          </w:p>
        </w:tc>
        <w:tc>
          <w:tcPr>
            <w:tcW w:type="dxa" w:w="2592"/>
            <w:vAlign w:val="top"/>
          </w:tcPr>
          <w:p>
            <w:r/>
            <w:r>
              <w:rPr>
                <w:b w:val="0"/>
                <w:sz w:val="14"/>
              </w:rPr>
              <w:t>Portfolio inventory, federated governance, concentration and shared-service controls</w:t>
            </w:r>
          </w:p>
        </w:tc>
        <w:tc>
          <w:tcPr>
            <w:tcW w:type="dxa" w:w="2592"/>
            <w:vAlign w:val="top"/>
          </w:tcPr>
          <w:p>
            <w:r/>
            <w:r>
              <w:rPr>
                <w:b w:val="0"/>
                <w:sz w:val="14"/>
              </w:rPr>
              <w:t>Fragmented ownership and evidence</w:t>
            </w:r>
          </w:p>
        </w:tc>
      </w:tr>
      <w:tr>
        <w:trPr>
          <w:cantSplit/>
        </w:trPr>
        <w:tc>
          <w:tcPr>
            <w:tcW w:type="dxa" w:w="2592"/>
            <w:vAlign w:val="top"/>
            <w:shd w:fill="EAF2F8"/>
          </w:tcPr>
          <w:p>
            <w:r/>
            <w:r>
              <w:rPr>
                <w:b w:val="0"/>
                <w:sz w:val="14"/>
              </w:rPr>
              <w:t>Life insurer</w:t>
            </w:r>
          </w:p>
        </w:tc>
        <w:tc>
          <w:tcPr>
            <w:tcW w:type="dxa" w:w="2592"/>
            <w:vAlign w:val="top"/>
            <w:shd w:fill="EAF2F8"/>
          </w:tcPr>
          <w:p>
            <w:r/>
            <w:r>
              <w:rPr>
                <w:b w:val="0"/>
                <w:sz w:val="14"/>
              </w:rPr>
              <w:t>Long-duration products and sensitive mortality/health data</w:t>
            </w:r>
          </w:p>
        </w:tc>
        <w:tc>
          <w:tcPr>
            <w:tcW w:type="dxa" w:w="2592"/>
            <w:vAlign w:val="top"/>
            <w:shd w:fill="EAF2F8"/>
          </w:tcPr>
          <w:p>
            <w:r/>
            <w:r>
              <w:rPr>
                <w:b w:val="0"/>
                <w:sz w:val="14"/>
              </w:rPr>
              <w:t>Underwriting fairness, actuarial validation, long-tail drift and contestability</w:t>
            </w:r>
          </w:p>
        </w:tc>
        <w:tc>
          <w:tcPr>
            <w:tcW w:type="dxa" w:w="2592"/>
            <w:vAlign w:val="top"/>
            <w:shd w:fill="EAF2F8"/>
          </w:tcPr>
          <w:p>
            <w:r/>
            <w:r>
              <w:rPr>
                <w:b w:val="0"/>
                <w:sz w:val="14"/>
              </w:rPr>
              <w:t>Sparse outcomes and legacy assumptions</w:t>
            </w:r>
          </w:p>
        </w:tc>
      </w:tr>
      <w:tr>
        <w:trPr>
          <w:cantSplit/>
        </w:trPr>
        <w:tc>
          <w:tcPr>
            <w:tcW w:type="dxa" w:w="2592"/>
            <w:vAlign w:val="top"/>
          </w:tcPr>
          <w:p>
            <w:r/>
            <w:r>
              <w:rPr>
                <w:b w:val="0"/>
                <w:sz w:val="14"/>
              </w:rPr>
              <w:t>Property and casualty insurer</w:t>
            </w:r>
          </w:p>
        </w:tc>
        <w:tc>
          <w:tcPr>
            <w:tcW w:type="dxa" w:w="2592"/>
            <w:vAlign w:val="top"/>
          </w:tcPr>
          <w:p>
            <w:r/>
            <w:r>
              <w:rPr>
                <w:b w:val="0"/>
                <w:sz w:val="14"/>
              </w:rPr>
              <w:t>High-volume claims, images, catastrophe and telematics</w:t>
            </w:r>
          </w:p>
        </w:tc>
        <w:tc>
          <w:tcPr>
            <w:tcW w:type="dxa" w:w="2592"/>
            <w:vAlign w:val="top"/>
          </w:tcPr>
          <w:p>
            <w:r/>
            <w:r>
              <w:rPr>
                <w:b w:val="0"/>
                <w:sz w:val="14"/>
              </w:rPr>
              <w:t>Claims integrity, surge resilience, computer vision and accumulation</w:t>
            </w:r>
          </w:p>
        </w:tc>
        <w:tc>
          <w:tcPr>
            <w:tcW w:type="dxa" w:w="2592"/>
            <w:vAlign w:val="top"/>
          </w:tcPr>
          <w:p>
            <w:r/>
            <w:r>
              <w:rPr>
                <w:b w:val="0"/>
                <w:sz w:val="14"/>
              </w:rPr>
              <w:t>Catastrophe regime shift and vendor concentration</w:t>
            </w:r>
          </w:p>
        </w:tc>
      </w:tr>
      <w:tr>
        <w:trPr>
          <w:cantSplit/>
        </w:trPr>
        <w:tc>
          <w:tcPr>
            <w:tcW w:type="dxa" w:w="2592"/>
            <w:vAlign w:val="top"/>
            <w:shd w:fill="EAF2F8"/>
          </w:tcPr>
          <w:p>
            <w:r/>
            <w:r>
              <w:rPr>
                <w:b w:val="0"/>
                <w:sz w:val="14"/>
              </w:rPr>
              <w:t>Health insurer</w:t>
            </w:r>
          </w:p>
        </w:tc>
        <w:tc>
          <w:tcPr>
            <w:tcW w:type="dxa" w:w="2592"/>
            <w:vAlign w:val="top"/>
            <w:shd w:fill="EAF2F8"/>
          </w:tcPr>
          <w:p>
            <w:r/>
            <w:r>
              <w:rPr>
                <w:b w:val="0"/>
                <w:sz w:val="14"/>
              </w:rPr>
              <w:t>Sensitive data and high-impact benefit decisions</w:t>
            </w:r>
          </w:p>
        </w:tc>
        <w:tc>
          <w:tcPr>
            <w:tcW w:type="dxa" w:w="2592"/>
            <w:vAlign w:val="top"/>
            <w:shd w:fill="EAF2F8"/>
          </w:tcPr>
          <w:p>
            <w:r/>
            <w:r>
              <w:rPr>
                <w:b w:val="0"/>
                <w:sz w:val="14"/>
              </w:rPr>
              <w:t>Purpose limitation, qualified review, fairness, explanation and appeal</w:t>
            </w:r>
          </w:p>
        </w:tc>
        <w:tc>
          <w:tcPr>
            <w:tcW w:type="dxa" w:w="2592"/>
            <w:vAlign w:val="top"/>
            <w:shd w:fill="EAF2F8"/>
          </w:tcPr>
          <w:p>
            <w:r/>
            <w:r>
              <w:rPr>
                <w:b w:val="0"/>
                <w:sz w:val="14"/>
              </w:rPr>
              <w:t>Clinical context and jurisdictional complexity</w:t>
            </w:r>
          </w:p>
        </w:tc>
      </w:tr>
      <w:tr>
        <w:trPr>
          <w:cantSplit/>
        </w:trPr>
        <w:tc>
          <w:tcPr>
            <w:tcW w:type="dxa" w:w="2592"/>
            <w:vAlign w:val="top"/>
          </w:tcPr>
          <w:p>
            <w:r/>
            <w:r>
              <w:rPr>
                <w:b w:val="0"/>
                <w:sz w:val="14"/>
              </w:rPr>
              <w:t>Reinsurer</w:t>
            </w:r>
          </w:p>
        </w:tc>
        <w:tc>
          <w:tcPr>
            <w:tcW w:type="dxa" w:w="2592"/>
            <w:vAlign w:val="top"/>
          </w:tcPr>
          <w:p>
            <w:r/>
            <w:r>
              <w:rPr>
                <w:b w:val="0"/>
                <w:sz w:val="14"/>
              </w:rPr>
              <w:t>Portfolio aggregation, catastrophe and treaty analytics</w:t>
            </w:r>
          </w:p>
        </w:tc>
        <w:tc>
          <w:tcPr>
            <w:tcW w:type="dxa" w:w="2592"/>
            <w:vAlign w:val="top"/>
          </w:tcPr>
          <w:p>
            <w:r/>
            <w:r>
              <w:rPr>
                <w:b w:val="0"/>
                <w:sz w:val="14"/>
              </w:rPr>
              <w:t>Model plurality, concentration, assumptions and stress testing</w:t>
            </w:r>
          </w:p>
        </w:tc>
        <w:tc>
          <w:tcPr>
            <w:tcW w:type="dxa" w:w="2592"/>
            <w:vAlign w:val="top"/>
          </w:tcPr>
          <w:p>
            <w:r/>
            <w:r>
              <w:rPr>
                <w:b w:val="0"/>
                <w:sz w:val="14"/>
              </w:rPr>
              <w:t>Opaque cedant data and common-model dependency</w:t>
            </w:r>
          </w:p>
        </w:tc>
      </w:tr>
      <w:tr>
        <w:trPr>
          <w:cantSplit/>
        </w:trPr>
        <w:tc>
          <w:tcPr>
            <w:tcW w:type="dxa" w:w="2592"/>
            <w:vAlign w:val="top"/>
            <w:shd w:fill="EAF2F8"/>
          </w:tcPr>
          <w:p>
            <w:r/>
            <w:r>
              <w:rPr>
                <w:b w:val="0"/>
                <w:sz w:val="14"/>
              </w:rPr>
              <w:t>Insurtech / digital insurer</w:t>
            </w:r>
          </w:p>
        </w:tc>
        <w:tc>
          <w:tcPr>
            <w:tcW w:type="dxa" w:w="2592"/>
            <w:vAlign w:val="top"/>
            <w:shd w:fill="EAF2F8"/>
          </w:tcPr>
          <w:p>
            <w:r/>
            <w:r>
              <w:rPr>
                <w:b w:val="0"/>
                <w:sz w:val="14"/>
              </w:rPr>
              <w:t>Cloud-native, vendor-heavy and rapid change</w:t>
            </w:r>
          </w:p>
        </w:tc>
        <w:tc>
          <w:tcPr>
            <w:tcW w:type="dxa" w:w="2592"/>
            <w:vAlign w:val="top"/>
            <w:shd w:fill="EAF2F8"/>
          </w:tcPr>
          <w:p>
            <w:r/>
            <w:r>
              <w:rPr>
                <w:b w:val="0"/>
                <w:sz w:val="14"/>
              </w:rPr>
              <w:t>Secure SDLC, third-party controls, monitoring and evidence automation</w:t>
            </w:r>
          </w:p>
        </w:tc>
        <w:tc>
          <w:tcPr>
            <w:tcW w:type="dxa" w:w="2592"/>
            <w:vAlign w:val="top"/>
            <w:shd w:fill="EAF2F8"/>
          </w:tcPr>
          <w:p>
            <w:r/>
            <w:r>
              <w:rPr>
                <w:b w:val="0"/>
                <w:sz w:val="14"/>
              </w:rPr>
              <w:t>Resource constraints and dependency lock-in</w:t>
            </w:r>
          </w:p>
        </w:tc>
      </w:tr>
    </w:tbl>
    <w:p/>
    <w:p>
      <w:pPr>
        <w:pStyle w:val="Heading1"/>
      </w:pPr>
      <w:r>
        <w:t>18. Practical implementation roadmap</w:t>
      </w:r>
    </w:p>
    <w:tbl>
      <w:tblPr>
        <w:tblStyle w:val="TableGrid"/>
        <w:tblW w:type="auto" w:w="0"/>
        <w:jc w:val="center"/>
        <w:tblLook w:firstColumn="1" w:firstRow="1" w:lastColumn="0" w:lastRow="0" w:noHBand="0" w:noVBand="1" w:val="04A0"/>
      </w:tblPr>
      <w:tblGrid>
        <w:gridCol w:w="2074"/>
        <w:gridCol w:w="2074"/>
        <w:gridCol w:w="2074"/>
        <w:gridCol w:w="2074"/>
        <w:gridCol w:w="2074"/>
      </w:tblGrid>
      <w:tr>
        <w:trPr>
          <w:cantSplit/>
          <w:tblHeader w:val="true"/>
        </w:trPr>
        <w:tc>
          <w:tcPr>
            <w:tcW w:type="dxa" w:w="2074"/>
            <w:vAlign w:val="top"/>
            <w:shd w:fill="1F4E78"/>
          </w:tcPr>
          <w:p>
            <w:r/>
            <w:r>
              <w:rPr>
                <w:b/>
                <w:color w:val="FFFFFF"/>
                <w:sz w:val="14"/>
              </w:rPr>
              <w:t>Phase</w:t>
            </w:r>
          </w:p>
        </w:tc>
        <w:tc>
          <w:tcPr>
            <w:tcW w:type="dxa" w:w="2074"/>
            <w:vAlign w:val="top"/>
            <w:shd w:fill="1F4E78"/>
          </w:tcPr>
          <w:p>
            <w:r/>
            <w:r>
              <w:rPr>
                <w:b/>
                <w:color w:val="FFFFFF"/>
                <w:sz w:val="14"/>
              </w:rPr>
              <w:t>Indicative timeframe</w:t>
            </w:r>
          </w:p>
        </w:tc>
        <w:tc>
          <w:tcPr>
            <w:tcW w:type="dxa" w:w="2074"/>
            <w:vAlign w:val="top"/>
            <w:shd w:fill="1F4E78"/>
          </w:tcPr>
          <w:p>
            <w:r/>
            <w:r>
              <w:rPr>
                <w:b/>
                <w:color w:val="FFFFFF"/>
                <w:sz w:val="14"/>
              </w:rPr>
              <w:t>Objective</w:t>
            </w:r>
          </w:p>
        </w:tc>
        <w:tc>
          <w:tcPr>
            <w:tcW w:type="dxa" w:w="2074"/>
            <w:vAlign w:val="top"/>
            <w:shd w:fill="1F4E78"/>
          </w:tcPr>
          <w:p>
            <w:r/>
            <w:r>
              <w:rPr>
                <w:b/>
                <w:color w:val="FFFFFF"/>
                <w:sz w:val="14"/>
              </w:rPr>
              <w:t>Activities</w:t>
            </w:r>
          </w:p>
        </w:tc>
        <w:tc>
          <w:tcPr>
            <w:tcW w:type="dxa" w:w="2074"/>
            <w:vAlign w:val="top"/>
            <w:shd w:fill="1F4E78"/>
          </w:tcPr>
          <w:p>
            <w:r/>
            <w:r>
              <w:rPr>
                <w:b/>
                <w:color w:val="FFFFFF"/>
                <w:sz w:val="14"/>
              </w:rPr>
              <w:t>Exit evidence</w:t>
            </w:r>
          </w:p>
        </w:tc>
      </w:tr>
      <w:tr>
        <w:trPr>
          <w:cantSplit/>
        </w:trPr>
        <w:tc>
          <w:tcPr>
            <w:tcW w:type="dxa" w:w="2074"/>
            <w:vAlign w:val="top"/>
          </w:tcPr>
          <w:p>
            <w:r/>
            <w:r>
              <w:rPr>
                <w:b w:val="0"/>
                <w:sz w:val="14"/>
              </w:rPr>
              <w:t>Phase 0</w:t>
            </w:r>
          </w:p>
        </w:tc>
        <w:tc>
          <w:tcPr>
            <w:tcW w:type="dxa" w:w="2074"/>
            <w:vAlign w:val="top"/>
          </w:tcPr>
          <w:p>
            <w:r/>
            <w:r>
              <w:rPr>
                <w:b w:val="0"/>
                <w:sz w:val="14"/>
              </w:rPr>
              <w:t>0-30 days</w:t>
            </w:r>
          </w:p>
        </w:tc>
        <w:tc>
          <w:tcPr>
            <w:tcW w:type="dxa" w:w="2074"/>
            <w:vAlign w:val="top"/>
          </w:tcPr>
          <w:p>
            <w:r/>
            <w:r>
              <w:rPr>
                <w:b w:val="0"/>
                <w:sz w:val="14"/>
              </w:rPr>
              <w:t>Mobilisation and scope</w:t>
            </w:r>
          </w:p>
        </w:tc>
        <w:tc>
          <w:tcPr>
            <w:tcW w:type="dxa" w:w="2074"/>
            <w:vAlign w:val="top"/>
          </w:tcPr>
          <w:p>
            <w:r/>
            <w:r>
              <w:rPr>
                <w:b w:val="0"/>
                <w:sz w:val="14"/>
              </w:rPr>
              <w:t>Sponsor, owner, boundaries, sources, approval gates</w:t>
            </w:r>
          </w:p>
        </w:tc>
        <w:tc>
          <w:tcPr>
            <w:tcW w:type="dxa" w:w="2074"/>
            <w:vAlign w:val="top"/>
          </w:tcPr>
          <w:p>
            <w:r/>
            <w:r>
              <w:rPr>
                <w:b w:val="0"/>
                <w:sz w:val="14"/>
              </w:rPr>
              <w:t>Charter and scoped plan</w:t>
            </w:r>
          </w:p>
        </w:tc>
      </w:tr>
      <w:tr>
        <w:trPr>
          <w:cantSplit/>
        </w:trPr>
        <w:tc>
          <w:tcPr>
            <w:tcW w:type="dxa" w:w="2074"/>
            <w:vAlign w:val="top"/>
            <w:shd w:fill="EAF2F8"/>
          </w:tcPr>
          <w:p>
            <w:r/>
            <w:r>
              <w:rPr>
                <w:b w:val="0"/>
                <w:sz w:val="14"/>
              </w:rPr>
              <w:t>Phase 1</w:t>
            </w:r>
          </w:p>
        </w:tc>
        <w:tc>
          <w:tcPr>
            <w:tcW w:type="dxa" w:w="2074"/>
            <w:vAlign w:val="top"/>
            <w:shd w:fill="EAF2F8"/>
          </w:tcPr>
          <w:p>
            <w:r/>
            <w:r>
              <w:rPr>
                <w:b w:val="0"/>
                <w:sz w:val="14"/>
              </w:rPr>
              <w:t>30-60 days</w:t>
            </w:r>
          </w:p>
        </w:tc>
        <w:tc>
          <w:tcPr>
            <w:tcW w:type="dxa" w:w="2074"/>
            <w:vAlign w:val="top"/>
            <w:shd w:fill="EAF2F8"/>
          </w:tcPr>
          <w:p>
            <w:r/>
            <w:r>
              <w:rPr>
                <w:b w:val="0"/>
                <w:sz w:val="14"/>
              </w:rPr>
              <w:t>Inventory and classification</w:t>
            </w:r>
          </w:p>
        </w:tc>
        <w:tc>
          <w:tcPr>
            <w:tcW w:type="dxa" w:w="2074"/>
            <w:vAlign w:val="top"/>
            <w:shd w:fill="EAF2F8"/>
          </w:tcPr>
          <w:p>
            <w:r/>
            <w:r>
              <w:rPr>
                <w:b w:val="0"/>
                <w:sz w:val="14"/>
              </w:rPr>
              <w:t>Systems, models, data, vendors, decision authority and impact</w:t>
            </w:r>
          </w:p>
        </w:tc>
        <w:tc>
          <w:tcPr>
            <w:tcW w:type="dxa" w:w="2074"/>
            <w:vAlign w:val="top"/>
            <w:shd w:fill="EAF2F8"/>
          </w:tcPr>
          <w:p>
            <w:r/>
            <w:r>
              <w:rPr>
                <w:b w:val="0"/>
                <w:sz w:val="14"/>
              </w:rPr>
              <w:t>Approved inventory and tiers</w:t>
            </w:r>
          </w:p>
        </w:tc>
      </w:tr>
      <w:tr>
        <w:trPr>
          <w:cantSplit/>
        </w:trPr>
        <w:tc>
          <w:tcPr>
            <w:tcW w:type="dxa" w:w="2074"/>
            <w:vAlign w:val="top"/>
          </w:tcPr>
          <w:p>
            <w:r/>
            <w:r>
              <w:rPr>
                <w:b w:val="0"/>
                <w:sz w:val="14"/>
              </w:rPr>
              <w:t>Phase 2</w:t>
            </w:r>
          </w:p>
        </w:tc>
        <w:tc>
          <w:tcPr>
            <w:tcW w:type="dxa" w:w="2074"/>
            <w:vAlign w:val="top"/>
          </w:tcPr>
          <w:p>
            <w:r/>
            <w:r>
              <w:rPr>
                <w:b w:val="0"/>
                <w:sz w:val="14"/>
              </w:rPr>
              <w:t>60-100 days</w:t>
            </w:r>
          </w:p>
        </w:tc>
        <w:tc>
          <w:tcPr>
            <w:tcW w:type="dxa" w:w="2074"/>
            <w:vAlign w:val="top"/>
          </w:tcPr>
          <w:p>
            <w:r/>
            <w:r>
              <w:rPr>
                <w:b w:val="0"/>
                <w:sz w:val="14"/>
              </w:rPr>
              <w:t>Risk and control mapping</w:t>
            </w:r>
          </w:p>
        </w:tc>
        <w:tc>
          <w:tcPr>
            <w:tcW w:type="dxa" w:w="2074"/>
            <w:vAlign w:val="top"/>
          </w:tcPr>
          <w:p>
            <w:r/>
            <w:r>
              <w:rPr>
                <w:b w:val="0"/>
                <w:sz w:val="14"/>
              </w:rPr>
              <w:t>Map 59 controls, obligations, evidence and gaps</w:t>
            </w:r>
          </w:p>
        </w:tc>
        <w:tc>
          <w:tcPr>
            <w:tcW w:type="dxa" w:w="2074"/>
            <w:vAlign w:val="top"/>
          </w:tcPr>
          <w:p>
            <w:r/>
            <w:r>
              <w:rPr>
                <w:b w:val="0"/>
                <w:sz w:val="14"/>
              </w:rPr>
              <w:t>Statement of applicability and gap register</w:t>
            </w:r>
          </w:p>
        </w:tc>
      </w:tr>
      <w:tr>
        <w:trPr>
          <w:cantSplit/>
        </w:trPr>
        <w:tc>
          <w:tcPr>
            <w:tcW w:type="dxa" w:w="2074"/>
            <w:vAlign w:val="top"/>
            <w:shd w:fill="EAF2F8"/>
          </w:tcPr>
          <w:p>
            <w:r/>
            <w:r>
              <w:rPr>
                <w:b w:val="0"/>
                <w:sz w:val="14"/>
              </w:rPr>
              <w:t>Phase 3</w:t>
            </w:r>
          </w:p>
        </w:tc>
        <w:tc>
          <w:tcPr>
            <w:tcW w:type="dxa" w:w="2074"/>
            <w:vAlign w:val="top"/>
            <w:shd w:fill="EAF2F8"/>
          </w:tcPr>
          <w:p>
            <w:r/>
            <w:r>
              <w:rPr>
                <w:b w:val="0"/>
                <w:sz w:val="14"/>
              </w:rPr>
              <w:t>100-180 days</w:t>
            </w:r>
          </w:p>
        </w:tc>
        <w:tc>
          <w:tcPr>
            <w:tcW w:type="dxa" w:w="2074"/>
            <w:vAlign w:val="top"/>
            <w:shd w:fill="EAF2F8"/>
          </w:tcPr>
          <w:p>
            <w:r/>
            <w:r>
              <w:rPr>
                <w:b w:val="0"/>
                <w:sz w:val="14"/>
              </w:rPr>
              <w:t>Remediation and governance</w:t>
            </w:r>
          </w:p>
        </w:tc>
        <w:tc>
          <w:tcPr>
            <w:tcW w:type="dxa" w:w="2074"/>
            <w:vAlign w:val="top"/>
            <w:shd w:fill="EAF2F8"/>
          </w:tcPr>
          <w:p>
            <w:r/>
            <w:r>
              <w:rPr>
                <w:b w:val="0"/>
                <w:sz w:val="14"/>
              </w:rPr>
              <w:t>Implement priority technical, process and contractual controls</w:t>
            </w:r>
          </w:p>
        </w:tc>
        <w:tc>
          <w:tcPr>
            <w:tcW w:type="dxa" w:w="2074"/>
            <w:vAlign w:val="top"/>
            <w:shd w:fill="EAF2F8"/>
          </w:tcPr>
          <w:p>
            <w:r/>
            <w:r>
              <w:rPr>
                <w:b w:val="0"/>
                <w:sz w:val="14"/>
              </w:rPr>
              <w:t>Closed critical gaps and operating evidence</w:t>
            </w:r>
          </w:p>
        </w:tc>
      </w:tr>
      <w:tr>
        <w:trPr>
          <w:cantSplit/>
        </w:trPr>
        <w:tc>
          <w:tcPr>
            <w:tcW w:type="dxa" w:w="2074"/>
            <w:vAlign w:val="top"/>
          </w:tcPr>
          <w:p>
            <w:r/>
            <w:r>
              <w:rPr>
                <w:b w:val="0"/>
                <w:sz w:val="14"/>
              </w:rPr>
              <w:t>Phase 4</w:t>
            </w:r>
          </w:p>
        </w:tc>
        <w:tc>
          <w:tcPr>
            <w:tcW w:type="dxa" w:w="2074"/>
            <w:vAlign w:val="top"/>
          </w:tcPr>
          <w:p>
            <w:r/>
            <w:r>
              <w:rPr>
                <w:b w:val="0"/>
                <w:sz w:val="14"/>
              </w:rPr>
              <w:t>180-240 days</w:t>
            </w:r>
          </w:p>
        </w:tc>
        <w:tc>
          <w:tcPr>
            <w:tcW w:type="dxa" w:w="2074"/>
            <w:vAlign w:val="top"/>
          </w:tcPr>
          <w:p>
            <w:r/>
            <w:r>
              <w:rPr>
                <w:b w:val="0"/>
                <w:sz w:val="14"/>
              </w:rPr>
              <w:t>Validation and assurance</w:t>
            </w:r>
          </w:p>
        </w:tc>
        <w:tc>
          <w:tcPr>
            <w:tcW w:type="dxa" w:w="2074"/>
            <w:vAlign w:val="top"/>
          </w:tcPr>
          <w:p>
            <w:r/>
            <w:r>
              <w:rPr>
                <w:b w:val="0"/>
                <w:sz w:val="14"/>
              </w:rPr>
              <w:t>Independent validation, red team, fairness, resilience and audit</w:t>
            </w:r>
          </w:p>
        </w:tc>
        <w:tc>
          <w:tcPr>
            <w:tcW w:type="dxa" w:w="2074"/>
            <w:vAlign w:val="top"/>
          </w:tcPr>
          <w:p>
            <w:r/>
            <w:r>
              <w:rPr>
                <w:b w:val="0"/>
                <w:sz w:val="14"/>
              </w:rPr>
              <w:t>Assurance report with limitations</w:t>
            </w:r>
          </w:p>
        </w:tc>
      </w:tr>
      <w:tr>
        <w:trPr>
          <w:cantSplit/>
        </w:trPr>
        <w:tc>
          <w:tcPr>
            <w:tcW w:type="dxa" w:w="2074"/>
            <w:vAlign w:val="top"/>
            <w:shd w:fill="EAF2F8"/>
          </w:tcPr>
          <w:p>
            <w:r/>
            <w:r>
              <w:rPr>
                <w:b w:val="0"/>
                <w:sz w:val="14"/>
              </w:rPr>
              <w:t>Phase 5</w:t>
            </w:r>
          </w:p>
        </w:tc>
        <w:tc>
          <w:tcPr>
            <w:tcW w:type="dxa" w:w="2074"/>
            <w:vAlign w:val="top"/>
            <w:shd w:fill="EAF2F8"/>
          </w:tcPr>
          <w:p>
            <w:r/>
            <w:r>
              <w:rPr>
                <w:b w:val="0"/>
                <w:sz w:val="14"/>
              </w:rPr>
              <w:t>Ongoing</w:t>
            </w:r>
          </w:p>
        </w:tc>
        <w:tc>
          <w:tcPr>
            <w:tcW w:type="dxa" w:w="2074"/>
            <w:vAlign w:val="top"/>
            <w:shd w:fill="EAF2F8"/>
          </w:tcPr>
          <w:p>
            <w:r/>
            <w:r>
              <w:rPr>
                <w:b w:val="0"/>
                <w:sz w:val="14"/>
              </w:rPr>
              <w:t>Operational monitoring</w:t>
            </w:r>
          </w:p>
        </w:tc>
        <w:tc>
          <w:tcPr>
            <w:tcW w:type="dxa" w:w="2074"/>
            <w:vAlign w:val="top"/>
            <w:shd w:fill="EAF2F8"/>
          </w:tcPr>
          <w:p>
            <w:r/>
            <w:r>
              <w:rPr>
                <w:b w:val="0"/>
                <w:sz w:val="14"/>
              </w:rPr>
              <w:t>Outcomes, drift, incidents, complaints, vendor and change monitoring</w:t>
            </w:r>
          </w:p>
        </w:tc>
        <w:tc>
          <w:tcPr>
            <w:tcW w:type="dxa" w:w="2074"/>
            <w:vAlign w:val="top"/>
            <w:shd w:fill="EAF2F8"/>
          </w:tcPr>
          <w:p>
            <w:r/>
            <w:r>
              <w:rPr>
                <w:b w:val="0"/>
                <w:sz w:val="14"/>
              </w:rPr>
              <w:t>Dashboards and issue records</w:t>
            </w:r>
          </w:p>
        </w:tc>
      </w:tr>
      <w:tr>
        <w:trPr>
          <w:cantSplit/>
        </w:trPr>
        <w:tc>
          <w:tcPr>
            <w:tcW w:type="dxa" w:w="2074"/>
            <w:vAlign w:val="top"/>
          </w:tcPr>
          <w:p>
            <w:r/>
            <w:r>
              <w:rPr>
                <w:b w:val="0"/>
                <w:sz w:val="14"/>
              </w:rPr>
              <w:t>Phase 6</w:t>
            </w:r>
          </w:p>
        </w:tc>
        <w:tc>
          <w:tcPr>
            <w:tcW w:type="dxa" w:w="2074"/>
            <w:vAlign w:val="top"/>
          </w:tcPr>
          <w:p>
            <w:r/>
            <w:r>
              <w:rPr>
                <w:b w:val="0"/>
                <w:sz w:val="14"/>
              </w:rPr>
              <w:t>6-12 months</w:t>
            </w:r>
          </w:p>
        </w:tc>
        <w:tc>
          <w:tcPr>
            <w:tcW w:type="dxa" w:w="2074"/>
            <w:vAlign w:val="top"/>
          </w:tcPr>
          <w:p>
            <w:r/>
            <w:r>
              <w:rPr>
                <w:b w:val="0"/>
                <w:sz w:val="14"/>
              </w:rPr>
              <w:t>Continuous improvement</w:t>
            </w:r>
          </w:p>
        </w:tc>
        <w:tc>
          <w:tcPr>
            <w:tcW w:type="dxa" w:w="2074"/>
            <w:vAlign w:val="top"/>
          </w:tcPr>
          <w:p>
            <w:r/>
            <w:r>
              <w:rPr>
                <w:b w:val="0"/>
                <w:sz w:val="14"/>
              </w:rPr>
              <w:t>Thematic review, concentration, lessons and maturity</w:t>
            </w:r>
          </w:p>
        </w:tc>
        <w:tc>
          <w:tcPr>
            <w:tcW w:type="dxa" w:w="2074"/>
            <w:vAlign w:val="top"/>
          </w:tcPr>
          <w:p>
            <w:r/>
            <w:r>
              <w:rPr>
                <w:b w:val="0"/>
                <w:sz w:val="14"/>
              </w:rPr>
              <w:t>Improvement plan and readiness decision</w:t>
            </w:r>
          </w:p>
        </w:tc>
      </w:tr>
    </w:tbl>
    <w:p/>
    <w:p>
      <w:pPr>
        <w:pStyle w:val="Heading1"/>
      </w:pPr>
      <w:r>
        <w:t>19. Worked scenarios</w:t>
      </w:r>
    </w:p>
    <w:p>
      <w:pPr>
        <w:pStyle w:val="Heading2"/>
      </w:pPr>
      <w:r>
        <w:t>19.1 AI-assisted life insurance underwriting</w:t>
      </w:r>
    </w:p>
    <w:tbl>
      <w:tblPr>
        <w:tblStyle w:val="TableGrid"/>
        <w:tblW w:type="auto" w:w="0"/>
        <w:jc w:val="center"/>
        <w:tblLook w:firstColumn="1" w:firstRow="1" w:lastColumn="0" w:lastRow="0" w:noHBand="0" w:noVBand="1" w:val="04A0"/>
      </w:tblPr>
      <w:tblGrid>
        <w:gridCol w:w="5184"/>
        <w:gridCol w:w="5184"/>
      </w:tblGrid>
      <w:tr>
        <w:trPr>
          <w:cantSplit/>
          <w:tblHeader w:val="true"/>
        </w:trPr>
        <w:tc>
          <w:tcPr>
            <w:tcW w:type="dxa" w:w="5184"/>
            <w:vAlign w:val="top"/>
            <w:shd w:fill="1F4E78"/>
          </w:tcPr>
          <w:p>
            <w:r/>
            <w:r>
              <w:rPr>
                <w:b/>
                <w:color w:val="FFFFFF"/>
                <w:sz w:val="14"/>
              </w:rPr>
              <w:t>Element</w:t>
            </w:r>
          </w:p>
        </w:tc>
        <w:tc>
          <w:tcPr>
            <w:tcW w:type="dxa" w:w="5184"/>
            <w:vAlign w:val="top"/>
            <w:shd w:fill="1F4E78"/>
          </w:tcPr>
          <w:p>
            <w:r/>
            <w:r>
              <w:rPr>
                <w:b/>
                <w:color w:val="FFFFFF"/>
                <w:sz w:val="14"/>
              </w:rPr>
              <w:t>Implementation interpretation</w:t>
            </w:r>
          </w:p>
        </w:tc>
      </w:tr>
      <w:tr>
        <w:trPr>
          <w:cantSplit/>
        </w:trPr>
        <w:tc>
          <w:tcPr>
            <w:tcW w:type="dxa" w:w="5184"/>
            <w:vAlign w:val="top"/>
          </w:tcPr>
          <w:p>
            <w:r/>
            <w:r>
              <w:rPr>
                <w:b w:val="0"/>
                <w:sz w:val="14"/>
              </w:rPr>
              <w:t>Context</w:t>
            </w:r>
          </w:p>
        </w:tc>
        <w:tc>
          <w:tcPr>
            <w:tcW w:type="dxa" w:w="5184"/>
            <w:vAlign w:val="top"/>
          </w:tcPr>
          <w:p>
            <w:r/>
            <w:r>
              <w:rPr>
                <w:b w:val="0"/>
                <w:sz w:val="14"/>
              </w:rPr>
              <w:t>Applicant data, medical and financial indicators support risk classification.</w:t>
            </w:r>
          </w:p>
        </w:tc>
      </w:tr>
      <w:tr>
        <w:trPr>
          <w:cantSplit/>
        </w:trPr>
        <w:tc>
          <w:tcPr>
            <w:tcW w:type="dxa" w:w="5184"/>
            <w:vAlign w:val="top"/>
            <w:shd w:fill="EAF2F8"/>
          </w:tcPr>
          <w:p>
            <w:r/>
            <w:r>
              <w:rPr>
                <w:b w:val="0"/>
                <w:sz w:val="14"/>
              </w:rPr>
              <w:t>Threats and failure modes</w:t>
            </w:r>
          </w:p>
        </w:tc>
        <w:tc>
          <w:tcPr>
            <w:tcW w:type="dxa" w:w="5184"/>
            <w:vAlign w:val="top"/>
            <w:shd w:fill="EAF2F8"/>
          </w:tcPr>
          <w:p>
            <w:r/>
            <w:r>
              <w:rPr>
                <w:b w:val="0"/>
                <w:sz w:val="14"/>
              </w:rPr>
              <w:t>Proxy discrimination; sensitive-data misuse; drift; opaque adverse decisions.</w:t>
            </w:r>
          </w:p>
        </w:tc>
      </w:tr>
      <w:tr>
        <w:trPr>
          <w:cantSplit/>
        </w:trPr>
        <w:tc>
          <w:tcPr>
            <w:tcW w:type="dxa" w:w="5184"/>
            <w:vAlign w:val="top"/>
          </w:tcPr>
          <w:p>
            <w:r/>
            <w:r>
              <w:rPr>
                <w:b w:val="0"/>
                <w:sz w:val="14"/>
              </w:rPr>
              <w:t>Control interpretation</w:t>
            </w:r>
          </w:p>
        </w:tc>
        <w:tc>
          <w:tcPr>
            <w:tcW w:type="dxa" w:w="5184"/>
            <w:vAlign w:val="top"/>
          </w:tcPr>
          <w:p>
            <w:r/>
            <w:r>
              <w:rPr>
                <w:b w:val="0"/>
                <w:sz w:val="14"/>
              </w:rPr>
              <w:t>Independent actuarial/model validation; restricted features; subgroup testing; meaningful underwriter review; explanation and appeal evidence.</w:t>
            </w:r>
          </w:p>
        </w:tc>
      </w:tr>
      <w:tr>
        <w:trPr>
          <w:cantSplit/>
        </w:trPr>
        <w:tc>
          <w:tcPr>
            <w:tcW w:type="dxa" w:w="5184"/>
            <w:vAlign w:val="top"/>
            <w:shd w:fill="EAF2F8"/>
          </w:tcPr>
          <w:p>
            <w:r/>
            <w:r>
              <w:rPr>
                <w:b w:val="0"/>
                <w:sz w:val="14"/>
              </w:rPr>
              <w:t>Required evidence</w:t>
            </w:r>
          </w:p>
        </w:tc>
        <w:tc>
          <w:tcPr>
            <w:tcW w:type="dxa" w:w="5184"/>
            <w:vAlign w:val="top"/>
            <w:shd w:fill="EAF2F8"/>
          </w:tcPr>
          <w:p>
            <w:r/>
            <w:r>
              <w:rPr>
                <w:b w:val="0"/>
                <w:sz w:val="14"/>
              </w:rPr>
              <w:t>System classification; data lineage; threat model; validation; approval; monitoring; oversight and incident records proportionate to risk.</w:t>
            </w:r>
          </w:p>
        </w:tc>
      </w:tr>
      <w:tr>
        <w:trPr>
          <w:cantSplit/>
        </w:trPr>
        <w:tc>
          <w:tcPr>
            <w:tcW w:type="dxa" w:w="5184"/>
            <w:vAlign w:val="top"/>
          </w:tcPr>
          <w:p>
            <w:r/>
            <w:r>
              <w:rPr>
                <w:b w:val="0"/>
                <w:sz w:val="14"/>
              </w:rPr>
              <w:t>Monitoring</w:t>
            </w:r>
          </w:p>
        </w:tc>
        <w:tc>
          <w:tcPr>
            <w:tcW w:type="dxa" w:w="5184"/>
            <w:vAlign w:val="top"/>
          </w:tcPr>
          <w:p>
            <w:r/>
            <w:r>
              <w:rPr>
                <w:b w:val="0"/>
                <w:sz w:val="14"/>
              </w:rPr>
              <w:t>Performance, outcomes, overrides, complaints, incidents, vendor/model changes and drift.</w:t>
            </w:r>
          </w:p>
        </w:tc>
      </w:tr>
      <w:tr>
        <w:trPr>
          <w:cantSplit/>
        </w:trPr>
        <w:tc>
          <w:tcPr>
            <w:tcW w:type="dxa" w:w="5184"/>
            <w:vAlign w:val="top"/>
            <w:shd w:fill="EAF2F8"/>
          </w:tcPr>
          <w:p>
            <w:r/>
            <w:r>
              <w:rPr>
                <w:b w:val="0"/>
                <w:sz w:val="14"/>
              </w:rPr>
              <w:t>Incident triggers</w:t>
            </w:r>
          </w:p>
        </w:tc>
        <w:tc>
          <w:tcPr>
            <w:tcW w:type="dxa" w:w="5184"/>
            <w:vAlign w:val="top"/>
            <w:shd w:fill="EAF2F8"/>
          </w:tcPr>
          <w:p>
            <w:r/>
            <w:r>
              <w:rPr>
                <w:b w:val="0"/>
                <w:sz w:val="14"/>
              </w:rPr>
              <w:t>Material decision error, security compromise, unexplained disparity, loss of traceability, vendor change or failure of manual fallback.</w:t>
            </w:r>
          </w:p>
        </w:tc>
      </w:tr>
      <w:tr>
        <w:trPr>
          <w:cantSplit/>
        </w:trPr>
        <w:tc>
          <w:tcPr>
            <w:tcW w:type="dxa" w:w="5184"/>
            <w:vAlign w:val="top"/>
          </w:tcPr>
          <w:p>
            <w:r/>
            <w:r>
              <w:rPr>
                <w:b w:val="0"/>
                <w:sz w:val="14"/>
              </w:rPr>
              <w:t>Residual risks</w:t>
            </w:r>
          </w:p>
        </w:tc>
        <w:tc>
          <w:tcPr>
            <w:tcW w:type="dxa" w:w="5184"/>
            <w:vAlign w:val="top"/>
          </w:tcPr>
          <w:p>
            <w:r/>
            <w:r>
              <w:rPr>
                <w:b w:val="0"/>
                <w:sz w:val="14"/>
              </w:rPr>
              <w:t>Data limitations, regime shift, human error, unknown attacks and jurisdiction-specific obligations remain.</w:t>
            </w:r>
          </w:p>
        </w:tc>
      </w:tr>
      <w:tr>
        <w:trPr>
          <w:cantSplit/>
        </w:trPr>
        <w:tc>
          <w:tcPr>
            <w:tcW w:type="dxa" w:w="5184"/>
            <w:vAlign w:val="top"/>
            <w:shd w:fill="EAF2F8"/>
          </w:tcPr>
          <w:p>
            <w:r/>
            <w:r>
              <w:rPr>
                <w:b w:val="0"/>
                <w:sz w:val="14"/>
              </w:rPr>
              <w:t>Notably absent</w:t>
            </w:r>
          </w:p>
        </w:tc>
        <w:tc>
          <w:tcPr>
            <w:tcW w:type="dxa" w:w="5184"/>
            <w:vAlign w:val="top"/>
            <w:shd w:fill="EAF2F8"/>
          </w:tcPr>
          <w:p>
            <w:r/>
            <w:r>
              <w:rPr>
                <w:b w:val="0"/>
                <w:sz w:val="14"/>
              </w:rPr>
              <w:t>No assumption that model approval establishes lawfulness or actuarial adequacy in every jurisdiction.</w:t>
            </w:r>
          </w:p>
        </w:tc>
      </w:tr>
    </w:tbl>
    <w:p/>
    <w:p>
      <w:pPr>
        <w:pStyle w:val="Heading2"/>
      </w:pPr>
      <w:r>
        <w:t>19.2 Automated motor claims triage</w:t>
      </w:r>
    </w:p>
    <w:tbl>
      <w:tblPr>
        <w:tblStyle w:val="TableGrid"/>
        <w:tblW w:type="auto" w:w="0"/>
        <w:jc w:val="center"/>
        <w:tblLook w:firstColumn="1" w:firstRow="1" w:lastColumn="0" w:lastRow="0" w:noHBand="0" w:noVBand="1" w:val="04A0"/>
      </w:tblPr>
      <w:tblGrid>
        <w:gridCol w:w="5184"/>
        <w:gridCol w:w="5184"/>
      </w:tblGrid>
      <w:tr>
        <w:trPr>
          <w:cantSplit/>
          <w:tblHeader w:val="true"/>
        </w:trPr>
        <w:tc>
          <w:tcPr>
            <w:tcW w:type="dxa" w:w="5184"/>
            <w:vAlign w:val="top"/>
            <w:shd w:fill="1F4E78"/>
          </w:tcPr>
          <w:p>
            <w:r/>
            <w:r>
              <w:rPr>
                <w:b/>
                <w:color w:val="FFFFFF"/>
                <w:sz w:val="14"/>
              </w:rPr>
              <w:t>Element</w:t>
            </w:r>
          </w:p>
        </w:tc>
        <w:tc>
          <w:tcPr>
            <w:tcW w:type="dxa" w:w="5184"/>
            <w:vAlign w:val="top"/>
            <w:shd w:fill="1F4E78"/>
          </w:tcPr>
          <w:p>
            <w:r/>
            <w:r>
              <w:rPr>
                <w:b/>
                <w:color w:val="FFFFFF"/>
                <w:sz w:val="14"/>
              </w:rPr>
              <w:t>Implementation interpretation</w:t>
            </w:r>
          </w:p>
        </w:tc>
      </w:tr>
      <w:tr>
        <w:trPr>
          <w:cantSplit/>
        </w:trPr>
        <w:tc>
          <w:tcPr>
            <w:tcW w:type="dxa" w:w="5184"/>
            <w:vAlign w:val="top"/>
          </w:tcPr>
          <w:p>
            <w:r/>
            <w:r>
              <w:rPr>
                <w:b w:val="0"/>
                <w:sz w:val="14"/>
              </w:rPr>
              <w:t>Context</w:t>
            </w:r>
          </w:p>
        </w:tc>
        <w:tc>
          <w:tcPr>
            <w:tcW w:type="dxa" w:w="5184"/>
            <w:vAlign w:val="top"/>
          </w:tcPr>
          <w:p>
            <w:r/>
            <w:r>
              <w:rPr>
                <w:b w:val="0"/>
                <w:sz w:val="14"/>
              </w:rPr>
              <w:t>Images and claim data prioritise cases and estimate complexity.</w:t>
            </w:r>
          </w:p>
        </w:tc>
      </w:tr>
      <w:tr>
        <w:trPr>
          <w:cantSplit/>
        </w:trPr>
        <w:tc>
          <w:tcPr>
            <w:tcW w:type="dxa" w:w="5184"/>
            <w:vAlign w:val="top"/>
            <w:shd w:fill="EAF2F8"/>
          </w:tcPr>
          <w:p>
            <w:r/>
            <w:r>
              <w:rPr>
                <w:b w:val="0"/>
                <w:sz w:val="14"/>
              </w:rPr>
              <w:t>Threats and failure modes</w:t>
            </w:r>
          </w:p>
        </w:tc>
        <w:tc>
          <w:tcPr>
            <w:tcW w:type="dxa" w:w="5184"/>
            <w:vAlign w:val="top"/>
            <w:shd w:fill="EAF2F8"/>
          </w:tcPr>
          <w:p>
            <w:r/>
            <w:r>
              <w:rPr>
                <w:b w:val="0"/>
                <w:sz w:val="14"/>
              </w:rPr>
              <w:t>Adversarial images; deepfakes; misclassification; catastrophe surge failure.</w:t>
            </w:r>
          </w:p>
        </w:tc>
      </w:tr>
      <w:tr>
        <w:trPr>
          <w:cantSplit/>
        </w:trPr>
        <w:tc>
          <w:tcPr>
            <w:tcW w:type="dxa" w:w="5184"/>
            <w:vAlign w:val="top"/>
          </w:tcPr>
          <w:p>
            <w:r/>
            <w:r>
              <w:rPr>
                <w:b w:val="0"/>
                <w:sz w:val="14"/>
              </w:rPr>
              <w:t>Control interpretation</w:t>
            </w:r>
          </w:p>
        </w:tc>
        <w:tc>
          <w:tcPr>
            <w:tcW w:type="dxa" w:w="5184"/>
            <w:vAlign w:val="top"/>
          </w:tcPr>
          <w:p>
            <w:r/>
            <w:r>
              <w:rPr>
                <w:b w:val="0"/>
                <w:sz w:val="14"/>
              </w:rPr>
              <w:t>Media integrity checks; confidence thresholds; surge testing; high-value/vulnerable escalation; manual fallback.</w:t>
            </w:r>
          </w:p>
        </w:tc>
      </w:tr>
      <w:tr>
        <w:trPr>
          <w:cantSplit/>
        </w:trPr>
        <w:tc>
          <w:tcPr>
            <w:tcW w:type="dxa" w:w="5184"/>
            <w:vAlign w:val="top"/>
            <w:shd w:fill="EAF2F8"/>
          </w:tcPr>
          <w:p>
            <w:r/>
            <w:r>
              <w:rPr>
                <w:b w:val="0"/>
                <w:sz w:val="14"/>
              </w:rPr>
              <w:t>Required evidence</w:t>
            </w:r>
          </w:p>
        </w:tc>
        <w:tc>
          <w:tcPr>
            <w:tcW w:type="dxa" w:w="5184"/>
            <w:vAlign w:val="top"/>
            <w:shd w:fill="EAF2F8"/>
          </w:tcPr>
          <w:p>
            <w:r/>
            <w:r>
              <w:rPr>
                <w:b w:val="0"/>
                <w:sz w:val="14"/>
              </w:rPr>
              <w:t>System classification; data lineage; threat model; validation; approval; monitoring; oversight and incident records proportionate to risk.</w:t>
            </w:r>
          </w:p>
        </w:tc>
      </w:tr>
      <w:tr>
        <w:trPr>
          <w:cantSplit/>
        </w:trPr>
        <w:tc>
          <w:tcPr>
            <w:tcW w:type="dxa" w:w="5184"/>
            <w:vAlign w:val="top"/>
          </w:tcPr>
          <w:p>
            <w:r/>
            <w:r>
              <w:rPr>
                <w:b w:val="0"/>
                <w:sz w:val="14"/>
              </w:rPr>
              <w:t>Monitoring</w:t>
            </w:r>
          </w:p>
        </w:tc>
        <w:tc>
          <w:tcPr>
            <w:tcW w:type="dxa" w:w="5184"/>
            <w:vAlign w:val="top"/>
          </w:tcPr>
          <w:p>
            <w:r/>
            <w:r>
              <w:rPr>
                <w:b w:val="0"/>
                <w:sz w:val="14"/>
              </w:rPr>
              <w:t>Performance, outcomes, overrides, complaints, incidents, vendor/model changes and drift.</w:t>
            </w:r>
          </w:p>
        </w:tc>
      </w:tr>
      <w:tr>
        <w:trPr>
          <w:cantSplit/>
        </w:trPr>
        <w:tc>
          <w:tcPr>
            <w:tcW w:type="dxa" w:w="5184"/>
            <w:vAlign w:val="top"/>
            <w:shd w:fill="EAF2F8"/>
          </w:tcPr>
          <w:p>
            <w:r/>
            <w:r>
              <w:rPr>
                <w:b w:val="0"/>
                <w:sz w:val="14"/>
              </w:rPr>
              <w:t>Incident triggers</w:t>
            </w:r>
          </w:p>
        </w:tc>
        <w:tc>
          <w:tcPr>
            <w:tcW w:type="dxa" w:w="5184"/>
            <w:vAlign w:val="top"/>
            <w:shd w:fill="EAF2F8"/>
          </w:tcPr>
          <w:p>
            <w:r/>
            <w:r>
              <w:rPr>
                <w:b w:val="0"/>
                <w:sz w:val="14"/>
              </w:rPr>
              <w:t>Material decision error, security compromise, unexplained disparity, loss of traceability, vendor change or failure of manual fallback.</w:t>
            </w:r>
          </w:p>
        </w:tc>
      </w:tr>
      <w:tr>
        <w:trPr>
          <w:cantSplit/>
        </w:trPr>
        <w:tc>
          <w:tcPr>
            <w:tcW w:type="dxa" w:w="5184"/>
            <w:vAlign w:val="top"/>
          </w:tcPr>
          <w:p>
            <w:r/>
            <w:r>
              <w:rPr>
                <w:b w:val="0"/>
                <w:sz w:val="14"/>
              </w:rPr>
              <w:t>Residual risks</w:t>
            </w:r>
          </w:p>
        </w:tc>
        <w:tc>
          <w:tcPr>
            <w:tcW w:type="dxa" w:w="5184"/>
            <w:vAlign w:val="top"/>
          </w:tcPr>
          <w:p>
            <w:r/>
            <w:r>
              <w:rPr>
                <w:b w:val="0"/>
                <w:sz w:val="14"/>
              </w:rPr>
              <w:t>Data limitations, regime shift, human error, unknown attacks and jurisdiction-specific obligations remain.</w:t>
            </w:r>
          </w:p>
        </w:tc>
      </w:tr>
      <w:tr>
        <w:trPr>
          <w:cantSplit/>
        </w:trPr>
        <w:tc>
          <w:tcPr>
            <w:tcW w:type="dxa" w:w="5184"/>
            <w:vAlign w:val="top"/>
            <w:shd w:fill="EAF2F8"/>
          </w:tcPr>
          <w:p>
            <w:r/>
            <w:r>
              <w:rPr>
                <w:b w:val="0"/>
                <w:sz w:val="14"/>
              </w:rPr>
              <w:t>Notably absent</w:t>
            </w:r>
          </w:p>
        </w:tc>
        <w:tc>
          <w:tcPr>
            <w:tcW w:type="dxa" w:w="5184"/>
            <w:vAlign w:val="top"/>
            <w:shd w:fill="EAF2F8"/>
          </w:tcPr>
          <w:p>
            <w:r/>
            <w:r>
              <w:rPr>
                <w:b w:val="0"/>
                <w:sz w:val="14"/>
              </w:rPr>
              <w:t>No autonomous denial based solely on triage output.</w:t>
            </w:r>
          </w:p>
        </w:tc>
      </w:tr>
    </w:tbl>
    <w:p/>
    <w:p>
      <w:pPr>
        <w:pStyle w:val="Heading2"/>
      </w:pPr>
      <w:r>
        <w:t>19.3 Fraud detection using network analytics</w:t>
      </w:r>
    </w:p>
    <w:tbl>
      <w:tblPr>
        <w:tblStyle w:val="TableGrid"/>
        <w:tblW w:type="auto" w:w="0"/>
        <w:jc w:val="center"/>
        <w:tblLook w:firstColumn="1" w:firstRow="1" w:lastColumn="0" w:lastRow="0" w:noHBand="0" w:noVBand="1" w:val="04A0"/>
      </w:tblPr>
      <w:tblGrid>
        <w:gridCol w:w="5184"/>
        <w:gridCol w:w="5184"/>
      </w:tblGrid>
      <w:tr>
        <w:trPr>
          <w:cantSplit/>
          <w:tblHeader w:val="true"/>
        </w:trPr>
        <w:tc>
          <w:tcPr>
            <w:tcW w:type="dxa" w:w="5184"/>
            <w:vAlign w:val="top"/>
            <w:shd w:fill="1F4E78"/>
          </w:tcPr>
          <w:p>
            <w:r/>
            <w:r>
              <w:rPr>
                <w:b/>
                <w:color w:val="FFFFFF"/>
                <w:sz w:val="14"/>
              </w:rPr>
              <w:t>Element</w:t>
            </w:r>
          </w:p>
        </w:tc>
        <w:tc>
          <w:tcPr>
            <w:tcW w:type="dxa" w:w="5184"/>
            <w:vAlign w:val="top"/>
            <w:shd w:fill="1F4E78"/>
          </w:tcPr>
          <w:p>
            <w:r/>
            <w:r>
              <w:rPr>
                <w:b/>
                <w:color w:val="FFFFFF"/>
                <w:sz w:val="14"/>
              </w:rPr>
              <w:t>Implementation interpretation</w:t>
            </w:r>
          </w:p>
        </w:tc>
      </w:tr>
      <w:tr>
        <w:trPr>
          <w:cantSplit/>
        </w:trPr>
        <w:tc>
          <w:tcPr>
            <w:tcW w:type="dxa" w:w="5184"/>
            <w:vAlign w:val="top"/>
          </w:tcPr>
          <w:p>
            <w:r/>
            <w:r>
              <w:rPr>
                <w:b w:val="0"/>
                <w:sz w:val="14"/>
              </w:rPr>
              <w:t>Context</w:t>
            </w:r>
          </w:p>
        </w:tc>
        <w:tc>
          <w:tcPr>
            <w:tcW w:type="dxa" w:w="5184"/>
            <w:vAlign w:val="top"/>
          </w:tcPr>
          <w:p>
            <w:r/>
            <w:r>
              <w:rPr>
                <w:b w:val="0"/>
                <w:sz w:val="14"/>
              </w:rPr>
              <w:t>Graph analytics identify suspicious claimant, provider or broker relationships.</w:t>
            </w:r>
          </w:p>
        </w:tc>
      </w:tr>
      <w:tr>
        <w:trPr>
          <w:cantSplit/>
        </w:trPr>
        <w:tc>
          <w:tcPr>
            <w:tcW w:type="dxa" w:w="5184"/>
            <w:vAlign w:val="top"/>
            <w:shd w:fill="EAF2F8"/>
          </w:tcPr>
          <w:p>
            <w:r/>
            <w:r>
              <w:rPr>
                <w:b w:val="0"/>
                <w:sz w:val="14"/>
              </w:rPr>
              <w:t>Threats and failure modes</w:t>
            </w:r>
          </w:p>
        </w:tc>
        <w:tc>
          <w:tcPr>
            <w:tcW w:type="dxa" w:w="5184"/>
            <w:vAlign w:val="top"/>
            <w:shd w:fill="EAF2F8"/>
          </w:tcPr>
          <w:p>
            <w:r/>
            <w:r>
              <w:rPr>
                <w:b w:val="0"/>
                <w:sz w:val="14"/>
              </w:rPr>
              <w:t>False positives; feedback loops; evasion; group bias.</w:t>
            </w:r>
          </w:p>
        </w:tc>
      </w:tr>
      <w:tr>
        <w:trPr>
          <w:cantSplit/>
        </w:trPr>
        <w:tc>
          <w:tcPr>
            <w:tcW w:type="dxa" w:w="5184"/>
            <w:vAlign w:val="top"/>
          </w:tcPr>
          <w:p>
            <w:r/>
            <w:r>
              <w:rPr>
                <w:b w:val="0"/>
                <w:sz w:val="14"/>
              </w:rPr>
              <w:t>Control interpretation</w:t>
            </w:r>
          </w:p>
        </w:tc>
        <w:tc>
          <w:tcPr>
            <w:tcW w:type="dxa" w:w="5184"/>
            <w:vAlign w:val="top"/>
          </w:tcPr>
          <w:p>
            <w:r/>
            <w:r>
              <w:rPr>
                <w:b w:val="0"/>
                <w:sz w:val="14"/>
              </w:rPr>
              <w:t>Investigator confirmation; outcome feedback; precision/recall and subgroup monitoring; feature provenance.</w:t>
            </w:r>
          </w:p>
        </w:tc>
      </w:tr>
      <w:tr>
        <w:trPr>
          <w:cantSplit/>
        </w:trPr>
        <w:tc>
          <w:tcPr>
            <w:tcW w:type="dxa" w:w="5184"/>
            <w:vAlign w:val="top"/>
            <w:shd w:fill="EAF2F8"/>
          </w:tcPr>
          <w:p>
            <w:r/>
            <w:r>
              <w:rPr>
                <w:b w:val="0"/>
                <w:sz w:val="14"/>
              </w:rPr>
              <w:t>Required evidence</w:t>
            </w:r>
          </w:p>
        </w:tc>
        <w:tc>
          <w:tcPr>
            <w:tcW w:type="dxa" w:w="5184"/>
            <w:vAlign w:val="top"/>
            <w:shd w:fill="EAF2F8"/>
          </w:tcPr>
          <w:p>
            <w:r/>
            <w:r>
              <w:rPr>
                <w:b w:val="0"/>
                <w:sz w:val="14"/>
              </w:rPr>
              <w:t>System classification; data lineage; threat model; validation; approval; monitoring; oversight and incident records proportionate to risk.</w:t>
            </w:r>
          </w:p>
        </w:tc>
      </w:tr>
      <w:tr>
        <w:trPr>
          <w:cantSplit/>
        </w:trPr>
        <w:tc>
          <w:tcPr>
            <w:tcW w:type="dxa" w:w="5184"/>
            <w:vAlign w:val="top"/>
          </w:tcPr>
          <w:p>
            <w:r/>
            <w:r>
              <w:rPr>
                <w:b w:val="0"/>
                <w:sz w:val="14"/>
              </w:rPr>
              <w:t>Monitoring</w:t>
            </w:r>
          </w:p>
        </w:tc>
        <w:tc>
          <w:tcPr>
            <w:tcW w:type="dxa" w:w="5184"/>
            <w:vAlign w:val="top"/>
          </w:tcPr>
          <w:p>
            <w:r/>
            <w:r>
              <w:rPr>
                <w:b w:val="0"/>
                <w:sz w:val="14"/>
              </w:rPr>
              <w:t>Performance, outcomes, overrides, complaints, incidents, vendor/model changes and drift.</w:t>
            </w:r>
          </w:p>
        </w:tc>
      </w:tr>
      <w:tr>
        <w:trPr>
          <w:cantSplit/>
        </w:trPr>
        <w:tc>
          <w:tcPr>
            <w:tcW w:type="dxa" w:w="5184"/>
            <w:vAlign w:val="top"/>
            <w:shd w:fill="EAF2F8"/>
          </w:tcPr>
          <w:p>
            <w:r/>
            <w:r>
              <w:rPr>
                <w:b w:val="0"/>
                <w:sz w:val="14"/>
              </w:rPr>
              <w:t>Incident triggers</w:t>
            </w:r>
          </w:p>
        </w:tc>
        <w:tc>
          <w:tcPr>
            <w:tcW w:type="dxa" w:w="5184"/>
            <w:vAlign w:val="top"/>
            <w:shd w:fill="EAF2F8"/>
          </w:tcPr>
          <w:p>
            <w:r/>
            <w:r>
              <w:rPr>
                <w:b w:val="0"/>
                <w:sz w:val="14"/>
              </w:rPr>
              <w:t>Material decision error, security compromise, unexplained disparity, loss of traceability, vendor change or failure of manual fallback.</w:t>
            </w:r>
          </w:p>
        </w:tc>
      </w:tr>
      <w:tr>
        <w:trPr>
          <w:cantSplit/>
        </w:trPr>
        <w:tc>
          <w:tcPr>
            <w:tcW w:type="dxa" w:w="5184"/>
            <w:vAlign w:val="top"/>
          </w:tcPr>
          <w:p>
            <w:r/>
            <w:r>
              <w:rPr>
                <w:b w:val="0"/>
                <w:sz w:val="14"/>
              </w:rPr>
              <w:t>Residual risks</w:t>
            </w:r>
          </w:p>
        </w:tc>
        <w:tc>
          <w:tcPr>
            <w:tcW w:type="dxa" w:w="5184"/>
            <w:vAlign w:val="top"/>
          </w:tcPr>
          <w:p>
            <w:r/>
            <w:r>
              <w:rPr>
                <w:b w:val="0"/>
                <w:sz w:val="14"/>
              </w:rPr>
              <w:t>Data limitations, regime shift, human error, unknown attacks and jurisdiction-specific obligations remain.</w:t>
            </w:r>
          </w:p>
        </w:tc>
      </w:tr>
      <w:tr>
        <w:trPr>
          <w:cantSplit/>
        </w:trPr>
        <w:tc>
          <w:tcPr>
            <w:tcW w:type="dxa" w:w="5184"/>
            <w:vAlign w:val="top"/>
            <w:shd w:fill="EAF2F8"/>
          </w:tcPr>
          <w:p>
            <w:r/>
            <w:r>
              <w:rPr>
                <w:b w:val="0"/>
                <w:sz w:val="14"/>
              </w:rPr>
              <w:t>Notably absent</w:t>
            </w:r>
          </w:p>
        </w:tc>
        <w:tc>
          <w:tcPr>
            <w:tcW w:type="dxa" w:w="5184"/>
            <w:vAlign w:val="top"/>
            <w:shd w:fill="EAF2F8"/>
          </w:tcPr>
          <w:p>
            <w:r/>
            <w:r>
              <w:rPr>
                <w:b w:val="0"/>
                <w:sz w:val="14"/>
              </w:rPr>
              <w:t>A fraud flag is not proof of fraud.</w:t>
            </w:r>
          </w:p>
        </w:tc>
      </w:tr>
    </w:tbl>
    <w:p/>
    <w:p>
      <w:pPr>
        <w:pStyle w:val="Heading2"/>
      </w:pPr>
      <w:r>
        <w:t>19.4 Property damage assessment using computer vision</w:t>
      </w:r>
    </w:p>
    <w:tbl>
      <w:tblPr>
        <w:tblStyle w:val="TableGrid"/>
        <w:tblW w:type="auto" w:w="0"/>
        <w:jc w:val="center"/>
        <w:tblLook w:firstColumn="1" w:firstRow="1" w:lastColumn="0" w:lastRow="0" w:noHBand="0" w:noVBand="1" w:val="04A0"/>
      </w:tblPr>
      <w:tblGrid>
        <w:gridCol w:w="5184"/>
        <w:gridCol w:w="5184"/>
      </w:tblGrid>
      <w:tr>
        <w:trPr>
          <w:cantSplit/>
          <w:tblHeader w:val="true"/>
        </w:trPr>
        <w:tc>
          <w:tcPr>
            <w:tcW w:type="dxa" w:w="5184"/>
            <w:vAlign w:val="top"/>
            <w:shd w:fill="1F4E78"/>
          </w:tcPr>
          <w:p>
            <w:r/>
            <w:r>
              <w:rPr>
                <w:b/>
                <w:color w:val="FFFFFF"/>
                <w:sz w:val="14"/>
              </w:rPr>
              <w:t>Element</w:t>
            </w:r>
          </w:p>
        </w:tc>
        <w:tc>
          <w:tcPr>
            <w:tcW w:type="dxa" w:w="5184"/>
            <w:vAlign w:val="top"/>
            <w:shd w:fill="1F4E78"/>
          </w:tcPr>
          <w:p>
            <w:r/>
            <w:r>
              <w:rPr>
                <w:b/>
                <w:color w:val="FFFFFF"/>
                <w:sz w:val="14"/>
              </w:rPr>
              <w:t>Implementation interpretation</w:t>
            </w:r>
          </w:p>
        </w:tc>
      </w:tr>
      <w:tr>
        <w:trPr>
          <w:cantSplit/>
        </w:trPr>
        <w:tc>
          <w:tcPr>
            <w:tcW w:type="dxa" w:w="5184"/>
            <w:vAlign w:val="top"/>
          </w:tcPr>
          <w:p>
            <w:r/>
            <w:r>
              <w:rPr>
                <w:b w:val="0"/>
                <w:sz w:val="14"/>
              </w:rPr>
              <w:t>Context</w:t>
            </w:r>
          </w:p>
        </w:tc>
        <w:tc>
          <w:tcPr>
            <w:tcW w:type="dxa" w:w="5184"/>
            <w:vAlign w:val="top"/>
          </w:tcPr>
          <w:p>
            <w:r/>
            <w:r>
              <w:rPr>
                <w:b w:val="0"/>
                <w:sz w:val="14"/>
              </w:rPr>
              <w:t>Images estimate damage severity or repair scope.</w:t>
            </w:r>
          </w:p>
        </w:tc>
      </w:tr>
      <w:tr>
        <w:trPr>
          <w:cantSplit/>
        </w:trPr>
        <w:tc>
          <w:tcPr>
            <w:tcW w:type="dxa" w:w="5184"/>
            <w:vAlign w:val="top"/>
            <w:shd w:fill="EAF2F8"/>
          </w:tcPr>
          <w:p>
            <w:r/>
            <w:r>
              <w:rPr>
                <w:b w:val="0"/>
                <w:sz w:val="14"/>
              </w:rPr>
              <w:t>Threats and failure modes</w:t>
            </w:r>
          </w:p>
        </w:tc>
        <w:tc>
          <w:tcPr>
            <w:tcW w:type="dxa" w:w="5184"/>
            <w:vAlign w:val="top"/>
            <w:shd w:fill="EAF2F8"/>
          </w:tcPr>
          <w:p>
            <w:r/>
            <w:r>
              <w:rPr>
                <w:b w:val="0"/>
                <w:sz w:val="14"/>
              </w:rPr>
              <w:t>Image manipulation; poor generalisation; geographic bias; hidden damage.</w:t>
            </w:r>
          </w:p>
        </w:tc>
      </w:tr>
      <w:tr>
        <w:trPr>
          <w:cantSplit/>
        </w:trPr>
        <w:tc>
          <w:tcPr>
            <w:tcW w:type="dxa" w:w="5184"/>
            <w:vAlign w:val="top"/>
          </w:tcPr>
          <w:p>
            <w:r/>
            <w:r>
              <w:rPr>
                <w:b w:val="0"/>
                <w:sz w:val="14"/>
              </w:rPr>
              <w:t>Control interpretation</w:t>
            </w:r>
          </w:p>
        </w:tc>
        <w:tc>
          <w:tcPr>
            <w:tcW w:type="dxa" w:w="5184"/>
            <w:vAlign w:val="top"/>
          </w:tcPr>
          <w:p>
            <w:r/>
            <w:r>
              <w:rPr>
                <w:b w:val="0"/>
                <w:sz w:val="14"/>
              </w:rPr>
              <w:t>Capture controls; tamper detection; uncertainty reporting; adjuster review for material settlements.</w:t>
            </w:r>
          </w:p>
        </w:tc>
      </w:tr>
      <w:tr>
        <w:trPr>
          <w:cantSplit/>
        </w:trPr>
        <w:tc>
          <w:tcPr>
            <w:tcW w:type="dxa" w:w="5184"/>
            <w:vAlign w:val="top"/>
            <w:shd w:fill="EAF2F8"/>
          </w:tcPr>
          <w:p>
            <w:r/>
            <w:r>
              <w:rPr>
                <w:b w:val="0"/>
                <w:sz w:val="14"/>
              </w:rPr>
              <w:t>Required evidence</w:t>
            </w:r>
          </w:p>
        </w:tc>
        <w:tc>
          <w:tcPr>
            <w:tcW w:type="dxa" w:w="5184"/>
            <w:vAlign w:val="top"/>
            <w:shd w:fill="EAF2F8"/>
          </w:tcPr>
          <w:p>
            <w:r/>
            <w:r>
              <w:rPr>
                <w:b w:val="0"/>
                <w:sz w:val="14"/>
              </w:rPr>
              <w:t>System classification; data lineage; threat model; validation; approval; monitoring; oversight and incident records proportionate to risk.</w:t>
            </w:r>
          </w:p>
        </w:tc>
      </w:tr>
      <w:tr>
        <w:trPr>
          <w:cantSplit/>
        </w:trPr>
        <w:tc>
          <w:tcPr>
            <w:tcW w:type="dxa" w:w="5184"/>
            <w:vAlign w:val="top"/>
          </w:tcPr>
          <w:p>
            <w:r/>
            <w:r>
              <w:rPr>
                <w:b w:val="0"/>
                <w:sz w:val="14"/>
              </w:rPr>
              <w:t>Monitoring</w:t>
            </w:r>
          </w:p>
        </w:tc>
        <w:tc>
          <w:tcPr>
            <w:tcW w:type="dxa" w:w="5184"/>
            <w:vAlign w:val="top"/>
          </w:tcPr>
          <w:p>
            <w:r/>
            <w:r>
              <w:rPr>
                <w:b w:val="0"/>
                <w:sz w:val="14"/>
              </w:rPr>
              <w:t>Performance, outcomes, overrides, complaints, incidents, vendor/model changes and drift.</w:t>
            </w:r>
          </w:p>
        </w:tc>
      </w:tr>
      <w:tr>
        <w:trPr>
          <w:cantSplit/>
        </w:trPr>
        <w:tc>
          <w:tcPr>
            <w:tcW w:type="dxa" w:w="5184"/>
            <w:vAlign w:val="top"/>
            <w:shd w:fill="EAF2F8"/>
          </w:tcPr>
          <w:p>
            <w:r/>
            <w:r>
              <w:rPr>
                <w:b w:val="0"/>
                <w:sz w:val="14"/>
              </w:rPr>
              <w:t>Incident triggers</w:t>
            </w:r>
          </w:p>
        </w:tc>
        <w:tc>
          <w:tcPr>
            <w:tcW w:type="dxa" w:w="5184"/>
            <w:vAlign w:val="top"/>
            <w:shd w:fill="EAF2F8"/>
          </w:tcPr>
          <w:p>
            <w:r/>
            <w:r>
              <w:rPr>
                <w:b w:val="0"/>
                <w:sz w:val="14"/>
              </w:rPr>
              <w:t>Material decision error, security compromise, unexplained disparity, loss of traceability, vendor change or failure of manual fallback.</w:t>
            </w:r>
          </w:p>
        </w:tc>
      </w:tr>
      <w:tr>
        <w:trPr>
          <w:cantSplit/>
        </w:trPr>
        <w:tc>
          <w:tcPr>
            <w:tcW w:type="dxa" w:w="5184"/>
            <w:vAlign w:val="top"/>
          </w:tcPr>
          <w:p>
            <w:r/>
            <w:r>
              <w:rPr>
                <w:b w:val="0"/>
                <w:sz w:val="14"/>
              </w:rPr>
              <w:t>Residual risks</w:t>
            </w:r>
          </w:p>
        </w:tc>
        <w:tc>
          <w:tcPr>
            <w:tcW w:type="dxa" w:w="5184"/>
            <w:vAlign w:val="top"/>
          </w:tcPr>
          <w:p>
            <w:r/>
            <w:r>
              <w:rPr>
                <w:b w:val="0"/>
                <w:sz w:val="14"/>
              </w:rPr>
              <w:t>Data limitations, regime shift, human error, unknown attacks and jurisdiction-specific obligations remain.</w:t>
            </w:r>
          </w:p>
        </w:tc>
      </w:tr>
      <w:tr>
        <w:trPr>
          <w:cantSplit/>
        </w:trPr>
        <w:tc>
          <w:tcPr>
            <w:tcW w:type="dxa" w:w="5184"/>
            <w:vAlign w:val="top"/>
            <w:shd w:fill="EAF2F8"/>
          </w:tcPr>
          <w:p>
            <w:r/>
            <w:r>
              <w:rPr>
                <w:b w:val="0"/>
                <w:sz w:val="14"/>
              </w:rPr>
              <w:t>Notably absent</w:t>
            </w:r>
          </w:p>
        </w:tc>
        <w:tc>
          <w:tcPr>
            <w:tcW w:type="dxa" w:w="5184"/>
            <w:vAlign w:val="top"/>
            <w:shd w:fill="EAF2F8"/>
          </w:tcPr>
          <w:p>
            <w:r/>
            <w:r>
              <w:rPr>
                <w:b w:val="0"/>
                <w:sz w:val="14"/>
              </w:rPr>
              <w:t>No claim that image-only assessment is universally sufficient.</w:t>
            </w:r>
          </w:p>
        </w:tc>
      </w:tr>
    </w:tbl>
    <w:p/>
    <w:p>
      <w:pPr>
        <w:pStyle w:val="Heading2"/>
      </w:pPr>
      <w:r>
        <w:t>19.5 Health insurance decision support</w:t>
      </w:r>
    </w:p>
    <w:tbl>
      <w:tblPr>
        <w:tblStyle w:val="TableGrid"/>
        <w:tblW w:type="auto" w:w="0"/>
        <w:jc w:val="center"/>
        <w:tblLook w:firstColumn="1" w:firstRow="1" w:lastColumn="0" w:lastRow="0" w:noHBand="0" w:noVBand="1" w:val="04A0"/>
      </w:tblPr>
      <w:tblGrid>
        <w:gridCol w:w="5184"/>
        <w:gridCol w:w="5184"/>
      </w:tblGrid>
      <w:tr>
        <w:trPr>
          <w:cantSplit/>
          <w:tblHeader w:val="true"/>
        </w:trPr>
        <w:tc>
          <w:tcPr>
            <w:tcW w:type="dxa" w:w="5184"/>
            <w:vAlign w:val="top"/>
            <w:shd w:fill="1F4E78"/>
          </w:tcPr>
          <w:p>
            <w:r/>
            <w:r>
              <w:rPr>
                <w:b/>
                <w:color w:val="FFFFFF"/>
                <w:sz w:val="14"/>
              </w:rPr>
              <w:t>Element</w:t>
            </w:r>
          </w:p>
        </w:tc>
        <w:tc>
          <w:tcPr>
            <w:tcW w:type="dxa" w:w="5184"/>
            <w:vAlign w:val="top"/>
            <w:shd w:fill="1F4E78"/>
          </w:tcPr>
          <w:p>
            <w:r/>
            <w:r>
              <w:rPr>
                <w:b/>
                <w:color w:val="FFFFFF"/>
                <w:sz w:val="14"/>
              </w:rPr>
              <w:t>Implementation interpretation</w:t>
            </w:r>
          </w:p>
        </w:tc>
      </w:tr>
      <w:tr>
        <w:trPr>
          <w:cantSplit/>
        </w:trPr>
        <w:tc>
          <w:tcPr>
            <w:tcW w:type="dxa" w:w="5184"/>
            <w:vAlign w:val="top"/>
          </w:tcPr>
          <w:p>
            <w:r/>
            <w:r>
              <w:rPr>
                <w:b w:val="0"/>
                <w:sz w:val="14"/>
              </w:rPr>
              <w:t>Context</w:t>
            </w:r>
          </w:p>
        </w:tc>
        <w:tc>
          <w:tcPr>
            <w:tcW w:type="dxa" w:w="5184"/>
            <w:vAlign w:val="top"/>
          </w:tcPr>
          <w:p>
            <w:r/>
            <w:r>
              <w:rPr>
                <w:b w:val="0"/>
                <w:sz w:val="14"/>
              </w:rPr>
              <w:t>AI supports benefit, risk or utilisation decisions.</w:t>
            </w:r>
          </w:p>
        </w:tc>
      </w:tr>
      <w:tr>
        <w:trPr>
          <w:cantSplit/>
        </w:trPr>
        <w:tc>
          <w:tcPr>
            <w:tcW w:type="dxa" w:w="5184"/>
            <w:vAlign w:val="top"/>
            <w:shd w:fill="EAF2F8"/>
          </w:tcPr>
          <w:p>
            <w:r/>
            <w:r>
              <w:rPr>
                <w:b w:val="0"/>
                <w:sz w:val="14"/>
              </w:rPr>
              <w:t>Threats and failure modes</w:t>
            </w:r>
          </w:p>
        </w:tc>
        <w:tc>
          <w:tcPr>
            <w:tcW w:type="dxa" w:w="5184"/>
            <w:vAlign w:val="top"/>
            <w:shd w:fill="EAF2F8"/>
          </w:tcPr>
          <w:p>
            <w:r/>
            <w:r>
              <w:rPr>
                <w:b w:val="0"/>
                <w:sz w:val="14"/>
              </w:rPr>
              <w:t>Sensitive health data; discrimination; clinical context loss; irreversible harm.</w:t>
            </w:r>
          </w:p>
        </w:tc>
      </w:tr>
      <w:tr>
        <w:trPr>
          <w:cantSplit/>
        </w:trPr>
        <w:tc>
          <w:tcPr>
            <w:tcW w:type="dxa" w:w="5184"/>
            <w:vAlign w:val="top"/>
          </w:tcPr>
          <w:p>
            <w:r/>
            <w:r>
              <w:rPr>
                <w:b w:val="0"/>
                <w:sz w:val="14"/>
              </w:rPr>
              <w:t>Control interpretation</w:t>
            </w:r>
          </w:p>
        </w:tc>
        <w:tc>
          <w:tcPr>
            <w:tcW w:type="dxa" w:w="5184"/>
            <w:vAlign w:val="top"/>
          </w:tcPr>
          <w:p>
            <w:r/>
            <w:r>
              <w:rPr>
                <w:b w:val="0"/>
                <w:sz w:val="14"/>
              </w:rPr>
              <w:t>Strict purpose limitation; qualified human review; explanation; appeal; clinical and actuarial validation.</w:t>
            </w:r>
          </w:p>
        </w:tc>
      </w:tr>
      <w:tr>
        <w:trPr>
          <w:cantSplit/>
        </w:trPr>
        <w:tc>
          <w:tcPr>
            <w:tcW w:type="dxa" w:w="5184"/>
            <w:vAlign w:val="top"/>
            <w:shd w:fill="EAF2F8"/>
          </w:tcPr>
          <w:p>
            <w:r/>
            <w:r>
              <w:rPr>
                <w:b w:val="0"/>
                <w:sz w:val="14"/>
              </w:rPr>
              <w:t>Required evidence</w:t>
            </w:r>
          </w:p>
        </w:tc>
        <w:tc>
          <w:tcPr>
            <w:tcW w:type="dxa" w:w="5184"/>
            <w:vAlign w:val="top"/>
            <w:shd w:fill="EAF2F8"/>
          </w:tcPr>
          <w:p>
            <w:r/>
            <w:r>
              <w:rPr>
                <w:b w:val="0"/>
                <w:sz w:val="14"/>
              </w:rPr>
              <w:t>System classification; data lineage; threat model; validation; approval; monitoring; oversight and incident records proportionate to risk.</w:t>
            </w:r>
          </w:p>
        </w:tc>
      </w:tr>
      <w:tr>
        <w:trPr>
          <w:cantSplit/>
        </w:trPr>
        <w:tc>
          <w:tcPr>
            <w:tcW w:type="dxa" w:w="5184"/>
            <w:vAlign w:val="top"/>
          </w:tcPr>
          <w:p>
            <w:r/>
            <w:r>
              <w:rPr>
                <w:b w:val="0"/>
                <w:sz w:val="14"/>
              </w:rPr>
              <w:t>Monitoring</w:t>
            </w:r>
          </w:p>
        </w:tc>
        <w:tc>
          <w:tcPr>
            <w:tcW w:type="dxa" w:w="5184"/>
            <w:vAlign w:val="top"/>
          </w:tcPr>
          <w:p>
            <w:r/>
            <w:r>
              <w:rPr>
                <w:b w:val="0"/>
                <w:sz w:val="14"/>
              </w:rPr>
              <w:t>Performance, outcomes, overrides, complaints, incidents, vendor/model changes and drift.</w:t>
            </w:r>
          </w:p>
        </w:tc>
      </w:tr>
      <w:tr>
        <w:trPr>
          <w:cantSplit/>
        </w:trPr>
        <w:tc>
          <w:tcPr>
            <w:tcW w:type="dxa" w:w="5184"/>
            <w:vAlign w:val="top"/>
            <w:shd w:fill="EAF2F8"/>
          </w:tcPr>
          <w:p>
            <w:r/>
            <w:r>
              <w:rPr>
                <w:b w:val="0"/>
                <w:sz w:val="14"/>
              </w:rPr>
              <w:t>Incident triggers</w:t>
            </w:r>
          </w:p>
        </w:tc>
        <w:tc>
          <w:tcPr>
            <w:tcW w:type="dxa" w:w="5184"/>
            <w:vAlign w:val="top"/>
            <w:shd w:fill="EAF2F8"/>
          </w:tcPr>
          <w:p>
            <w:r/>
            <w:r>
              <w:rPr>
                <w:b w:val="0"/>
                <w:sz w:val="14"/>
              </w:rPr>
              <w:t>Material decision error, security compromise, unexplained disparity, loss of traceability, vendor change or failure of manual fallback.</w:t>
            </w:r>
          </w:p>
        </w:tc>
      </w:tr>
      <w:tr>
        <w:trPr>
          <w:cantSplit/>
        </w:trPr>
        <w:tc>
          <w:tcPr>
            <w:tcW w:type="dxa" w:w="5184"/>
            <w:vAlign w:val="top"/>
          </w:tcPr>
          <w:p>
            <w:r/>
            <w:r>
              <w:rPr>
                <w:b w:val="0"/>
                <w:sz w:val="14"/>
              </w:rPr>
              <w:t>Residual risks</w:t>
            </w:r>
          </w:p>
        </w:tc>
        <w:tc>
          <w:tcPr>
            <w:tcW w:type="dxa" w:w="5184"/>
            <w:vAlign w:val="top"/>
          </w:tcPr>
          <w:p>
            <w:r/>
            <w:r>
              <w:rPr>
                <w:b w:val="0"/>
                <w:sz w:val="14"/>
              </w:rPr>
              <w:t>Data limitations, regime shift, human error, unknown attacks and jurisdiction-specific obligations remain.</w:t>
            </w:r>
          </w:p>
        </w:tc>
      </w:tr>
      <w:tr>
        <w:trPr>
          <w:cantSplit/>
        </w:trPr>
        <w:tc>
          <w:tcPr>
            <w:tcW w:type="dxa" w:w="5184"/>
            <w:vAlign w:val="top"/>
            <w:shd w:fill="EAF2F8"/>
          </w:tcPr>
          <w:p>
            <w:r/>
            <w:r>
              <w:rPr>
                <w:b w:val="0"/>
                <w:sz w:val="14"/>
              </w:rPr>
              <w:t>Notably absent</w:t>
            </w:r>
          </w:p>
        </w:tc>
        <w:tc>
          <w:tcPr>
            <w:tcW w:type="dxa" w:w="5184"/>
            <w:vAlign w:val="top"/>
            <w:shd w:fill="EAF2F8"/>
          </w:tcPr>
          <w:p>
            <w:r/>
            <w:r>
              <w:rPr>
                <w:b w:val="0"/>
                <w:sz w:val="14"/>
              </w:rPr>
              <w:t>No medical advice or clinical approval is provided by this guide.</w:t>
            </w:r>
          </w:p>
        </w:tc>
      </w:tr>
    </w:tbl>
    <w:p/>
    <w:p>
      <w:pPr>
        <w:pStyle w:val="Heading2"/>
      </w:pPr>
      <w:r>
        <w:t>19.6 Dynamic or behaviour-based pricing</w:t>
      </w:r>
    </w:p>
    <w:tbl>
      <w:tblPr>
        <w:tblStyle w:val="TableGrid"/>
        <w:tblW w:type="auto" w:w="0"/>
        <w:jc w:val="center"/>
        <w:tblLook w:firstColumn="1" w:firstRow="1" w:lastColumn="0" w:lastRow="0" w:noHBand="0" w:noVBand="1" w:val="04A0"/>
      </w:tblPr>
      <w:tblGrid>
        <w:gridCol w:w="5184"/>
        <w:gridCol w:w="5184"/>
      </w:tblGrid>
      <w:tr>
        <w:trPr>
          <w:cantSplit/>
          <w:tblHeader w:val="true"/>
        </w:trPr>
        <w:tc>
          <w:tcPr>
            <w:tcW w:type="dxa" w:w="5184"/>
            <w:vAlign w:val="top"/>
            <w:shd w:fill="1F4E78"/>
          </w:tcPr>
          <w:p>
            <w:r/>
            <w:r>
              <w:rPr>
                <w:b/>
                <w:color w:val="FFFFFF"/>
                <w:sz w:val="14"/>
              </w:rPr>
              <w:t>Element</w:t>
            </w:r>
          </w:p>
        </w:tc>
        <w:tc>
          <w:tcPr>
            <w:tcW w:type="dxa" w:w="5184"/>
            <w:vAlign w:val="top"/>
            <w:shd w:fill="1F4E78"/>
          </w:tcPr>
          <w:p>
            <w:r/>
            <w:r>
              <w:rPr>
                <w:b/>
                <w:color w:val="FFFFFF"/>
                <w:sz w:val="14"/>
              </w:rPr>
              <w:t>Implementation interpretation</w:t>
            </w:r>
          </w:p>
        </w:tc>
      </w:tr>
      <w:tr>
        <w:trPr>
          <w:cantSplit/>
        </w:trPr>
        <w:tc>
          <w:tcPr>
            <w:tcW w:type="dxa" w:w="5184"/>
            <w:vAlign w:val="top"/>
          </w:tcPr>
          <w:p>
            <w:r/>
            <w:r>
              <w:rPr>
                <w:b w:val="0"/>
                <w:sz w:val="14"/>
              </w:rPr>
              <w:t>Context</w:t>
            </w:r>
          </w:p>
        </w:tc>
        <w:tc>
          <w:tcPr>
            <w:tcW w:type="dxa" w:w="5184"/>
            <w:vAlign w:val="top"/>
          </w:tcPr>
          <w:p>
            <w:r/>
            <w:r>
              <w:rPr>
                <w:b w:val="0"/>
                <w:sz w:val="14"/>
              </w:rPr>
              <w:t>Telematics or behavioural signals influence premium.</w:t>
            </w:r>
          </w:p>
        </w:tc>
      </w:tr>
      <w:tr>
        <w:trPr>
          <w:cantSplit/>
        </w:trPr>
        <w:tc>
          <w:tcPr>
            <w:tcW w:type="dxa" w:w="5184"/>
            <w:vAlign w:val="top"/>
            <w:shd w:fill="EAF2F8"/>
          </w:tcPr>
          <w:p>
            <w:r/>
            <w:r>
              <w:rPr>
                <w:b w:val="0"/>
                <w:sz w:val="14"/>
              </w:rPr>
              <w:t>Threats and failure modes</w:t>
            </w:r>
          </w:p>
        </w:tc>
        <w:tc>
          <w:tcPr>
            <w:tcW w:type="dxa" w:w="5184"/>
            <w:vAlign w:val="top"/>
            <w:shd w:fill="EAF2F8"/>
          </w:tcPr>
          <w:p>
            <w:r/>
            <w:r>
              <w:rPr>
                <w:b w:val="0"/>
                <w:sz w:val="14"/>
              </w:rPr>
              <w:t>Surveillance, consent limits, sensor spoofing, unfair differentiation.</w:t>
            </w:r>
          </w:p>
        </w:tc>
      </w:tr>
      <w:tr>
        <w:trPr>
          <w:cantSplit/>
        </w:trPr>
        <w:tc>
          <w:tcPr>
            <w:tcW w:type="dxa" w:w="5184"/>
            <w:vAlign w:val="top"/>
          </w:tcPr>
          <w:p>
            <w:r/>
            <w:r>
              <w:rPr>
                <w:b w:val="0"/>
                <w:sz w:val="14"/>
              </w:rPr>
              <w:t>Control interpretation</w:t>
            </w:r>
          </w:p>
        </w:tc>
        <w:tc>
          <w:tcPr>
            <w:tcW w:type="dxa" w:w="5184"/>
            <w:vAlign w:val="top"/>
          </w:tcPr>
          <w:p>
            <w:r/>
            <w:r>
              <w:rPr>
                <w:b w:val="0"/>
                <w:sz w:val="14"/>
              </w:rPr>
              <w:t>Signal provenance; device security; proxy analysis; customer notice; correction process.</w:t>
            </w:r>
          </w:p>
        </w:tc>
      </w:tr>
      <w:tr>
        <w:trPr>
          <w:cantSplit/>
        </w:trPr>
        <w:tc>
          <w:tcPr>
            <w:tcW w:type="dxa" w:w="5184"/>
            <w:vAlign w:val="top"/>
            <w:shd w:fill="EAF2F8"/>
          </w:tcPr>
          <w:p>
            <w:r/>
            <w:r>
              <w:rPr>
                <w:b w:val="0"/>
                <w:sz w:val="14"/>
              </w:rPr>
              <w:t>Required evidence</w:t>
            </w:r>
          </w:p>
        </w:tc>
        <w:tc>
          <w:tcPr>
            <w:tcW w:type="dxa" w:w="5184"/>
            <w:vAlign w:val="top"/>
            <w:shd w:fill="EAF2F8"/>
          </w:tcPr>
          <w:p>
            <w:r/>
            <w:r>
              <w:rPr>
                <w:b w:val="0"/>
                <w:sz w:val="14"/>
              </w:rPr>
              <w:t>System classification; data lineage; threat model; validation; approval; monitoring; oversight and incident records proportionate to risk.</w:t>
            </w:r>
          </w:p>
        </w:tc>
      </w:tr>
      <w:tr>
        <w:trPr>
          <w:cantSplit/>
        </w:trPr>
        <w:tc>
          <w:tcPr>
            <w:tcW w:type="dxa" w:w="5184"/>
            <w:vAlign w:val="top"/>
          </w:tcPr>
          <w:p>
            <w:r/>
            <w:r>
              <w:rPr>
                <w:b w:val="0"/>
                <w:sz w:val="14"/>
              </w:rPr>
              <w:t>Monitoring</w:t>
            </w:r>
          </w:p>
        </w:tc>
        <w:tc>
          <w:tcPr>
            <w:tcW w:type="dxa" w:w="5184"/>
            <w:vAlign w:val="top"/>
          </w:tcPr>
          <w:p>
            <w:r/>
            <w:r>
              <w:rPr>
                <w:b w:val="0"/>
                <w:sz w:val="14"/>
              </w:rPr>
              <w:t>Performance, outcomes, overrides, complaints, incidents, vendor/model changes and drift.</w:t>
            </w:r>
          </w:p>
        </w:tc>
      </w:tr>
      <w:tr>
        <w:trPr>
          <w:cantSplit/>
        </w:trPr>
        <w:tc>
          <w:tcPr>
            <w:tcW w:type="dxa" w:w="5184"/>
            <w:vAlign w:val="top"/>
            <w:shd w:fill="EAF2F8"/>
          </w:tcPr>
          <w:p>
            <w:r/>
            <w:r>
              <w:rPr>
                <w:b w:val="0"/>
                <w:sz w:val="14"/>
              </w:rPr>
              <w:t>Incident triggers</w:t>
            </w:r>
          </w:p>
        </w:tc>
        <w:tc>
          <w:tcPr>
            <w:tcW w:type="dxa" w:w="5184"/>
            <w:vAlign w:val="top"/>
            <w:shd w:fill="EAF2F8"/>
          </w:tcPr>
          <w:p>
            <w:r/>
            <w:r>
              <w:rPr>
                <w:b w:val="0"/>
                <w:sz w:val="14"/>
              </w:rPr>
              <w:t>Material decision error, security compromise, unexplained disparity, loss of traceability, vendor change or failure of manual fallback.</w:t>
            </w:r>
          </w:p>
        </w:tc>
      </w:tr>
      <w:tr>
        <w:trPr>
          <w:cantSplit/>
        </w:trPr>
        <w:tc>
          <w:tcPr>
            <w:tcW w:type="dxa" w:w="5184"/>
            <w:vAlign w:val="top"/>
          </w:tcPr>
          <w:p>
            <w:r/>
            <w:r>
              <w:rPr>
                <w:b w:val="0"/>
                <w:sz w:val="14"/>
              </w:rPr>
              <w:t>Residual risks</w:t>
            </w:r>
          </w:p>
        </w:tc>
        <w:tc>
          <w:tcPr>
            <w:tcW w:type="dxa" w:w="5184"/>
            <w:vAlign w:val="top"/>
          </w:tcPr>
          <w:p>
            <w:r/>
            <w:r>
              <w:rPr>
                <w:b w:val="0"/>
                <w:sz w:val="14"/>
              </w:rPr>
              <w:t>Data limitations, regime shift, human error, unknown attacks and jurisdiction-specific obligations remain.</w:t>
            </w:r>
          </w:p>
        </w:tc>
      </w:tr>
      <w:tr>
        <w:trPr>
          <w:cantSplit/>
        </w:trPr>
        <w:tc>
          <w:tcPr>
            <w:tcW w:type="dxa" w:w="5184"/>
            <w:vAlign w:val="top"/>
            <w:shd w:fill="EAF2F8"/>
          </w:tcPr>
          <w:p>
            <w:r/>
            <w:r>
              <w:rPr>
                <w:b w:val="0"/>
                <w:sz w:val="14"/>
              </w:rPr>
              <w:t>Notably absent</w:t>
            </w:r>
          </w:p>
        </w:tc>
        <w:tc>
          <w:tcPr>
            <w:tcW w:type="dxa" w:w="5184"/>
            <w:vAlign w:val="top"/>
            <w:shd w:fill="EAF2F8"/>
          </w:tcPr>
          <w:p>
            <w:r/>
            <w:r>
              <w:rPr>
                <w:b w:val="0"/>
                <w:sz w:val="14"/>
              </w:rPr>
              <w:t>No endorsement of legality or fairness of any variable.</w:t>
            </w:r>
          </w:p>
        </w:tc>
      </w:tr>
    </w:tbl>
    <w:p/>
    <w:p>
      <w:pPr>
        <w:pStyle w:val="Heading2"/>
      </w:pPr>
      <w:r>
        <w:t>19.7 Generative AI claims assistant</w:t>
      </w:r>
    </w:p>
    <w:tbl>
      <w:tblPr>
        <w:tblStyle w:val="TableGrid"/>
        <w:tblW w:type="auto" w:w="0"/>
        <w:jc w:val="center"/>
        <w:tblLook w:firstColumn="1" w:firstRow="1" w:lastColumn="0" w:lastRow="0" w:noHBand="0" w:noVBand="1" w:val="04A0"/>
      </w:tblPr>
      <w:tblGrid>
        <w:gridCol w:w="5184"/>
        <w:gridCol w:w="5184"/>
      </w:tblGrid>
      <w:tr>
        <w:trPr>
          <w:cantSplit/>
          <w:tblHeader w:val="true"/>
        </w:trPr>
        <w:tc>
          <w:tcPr>
            <w:tcW w:type="dxa" w:w="5184"/>
            <w:vAlign w:val="top"/>
            <w:shd w:fill="1F4E78"/>
          </w:tcPr>
          <w:p>
            <w:r/>
            <w:r>
              <w:rPr>
                <w:b/>
                <w:color w:val="FFFFFF"/>
                <w:sz w:val="14"/>
              </w:rPr>
              <w:t>Element</w:t>
            </w:r>
          </w:p>
        </w:tc>
        <w:tc>
          <w:tcPr>
            <w:tcW w:type="dxa" w:w="5184"/>
            <w:vAlign w:val="top"/>
            <w:shd w:fill="1F4E78"/>
          </w:tcPr>
          <w:p>
            <w:r/>
            <w:r>
              <w:rPr>
                <w:b/>
                <w:color w:val="FFFFFF"/>
                <w:sz w:val="14"/>
              </w:rPr>
              <w:t>Implementation interpretation</w:t>
            </w:r>
          </w:p>
        </w:tc>
      </w:tr>
      <w:tr>
        <w:trPr>
          <w:cantSplit/>
        </w:trPr>
        <w:tc>
          <w:tcPr>
            <w:tcW w:type="dxa" w:w="5184"/>
            <w:vAlign w:val="top"/>
          </w:tcPr>
          <w:p>
            <w:r/>
            <w:r>
              <w:rPr>
                <w:b w:val="0"/>
                <w:sz w:val="14"/>
              </w:rPr>
              <w:t>Context</w:t>
            </w:r>
          </w:p>
        </w:tc>
        <w:tc>
          <w:tcPr>
            <w:tcW w:type="dxa" w:w="5184"/>
            <w:vAlign w:val="top"/>
          </w:tcPr>
          <w:p>
            <w:r/>
            <w:r>
              <w:rPr>
                <w:b w:val="0"/>
                <w:sz w:val="14"/>
              </w:rPr>
              <w:t>LLM summarises evidence and drafts communications.</w:t>
            </w:r>
          </w:p>
        </w:tc>
      </w:tr>
      <w:tr>
        <w:trPr>
          <w:cantSplit/>
        </w:trPr>
        <w:tc>
          <w:tcPr>
            <w:tcW w:type="dxa" w:w="5184"/>
            <w:vAlign w:val="top"/>
            <w:shd w:fill="EAF2F8"/>
          </w:tcPr>
          <w:p>
            <w:r/>
            <w:r>
              <w:rPr>
                <w:b w:val="0"/>
                <w:sz w:val="14"/>
              </w:rPr>
              <w:t>Threats and failure modes</w:t>
            </w:r>
          </w:p>
        </w:tc>
        <w:tc>
          <w:tcPr>
            <w:tcW w:type="dxa" w:w="5184"/>
            <w:vAlign w:val="top"/>
            <w:shd w:fill="EAF2F8"/>
          </w:tcPr>
          <w:p>
            <w:r/>
            <w:r>
              <w:rPr>
                <w:b w:val="0"/>
                <w:sz w:val="14"/>
              </w:rPr>
              <w:t>Hallucination; prompt injection; confidential-data leakage; misleading coverage statements.</w:t>
            </w:r>
          </w:p>
        </w:tc>
      </w:tr>
      <w:tr>
        <w:trPr>
          <w:cantSplit/>
        </w:trPr>
        <w:tc>
          <w:tcPr>
            <w:tcW w:type="dxa" w:w="5184"/>
            <w:vAlign w:val="top"/>
          </w:tcPr>
          <w:p>
            <w:r/>
            <w:r>
              <w:rPr>
                <w:b w:val="0"/>
                <w:sz w:val="14"/>
              </w:rPr>
              <w:t>Control interpretation</w:t>
            </w:r>
          </w:p>
        </w:tc>
        <w:tc>
          <w:tcPr>
            <w:tcW w:type="dxa" w:w="5184"/>
            <w:vAlign w:val="top"/>
          </w:tcPr>
          <w:p>
            <w:r/>
            <w:r>
              <w:rPr>
                <w:b w:val="0"/>
                <w:sz w:val="14"/>
              </w:rPr>
              <w:t>Grounded retrieval; citation to source records; prohibited-action controls; human approval; transcript logging.</w:t>
            </w:r>
          </w:p>
        </w:tc>
      </w:tr>
      <w:tr>
        <w:trPr>
          <w:cantSplit/>
        </w:trPr>
        <w:tc>
          <w:tcPr>
            <w:tcW w:type="dxa" w:w="5184"/>
            <w:vAlign w:val="top"/>
            <w:shd w:fill="EAF2F8"/>
          </w:tcPr>
          <w:p>
            <w:r/>
            <w:r>
              <w:rPr>
                <w:b w:val="0"/>
                <w:sz w:val="14"/>
              </w:rPr>
              <w:t>Required evidence</w:t>
            </w:r>
          </w:p>
        </w:tc>
        <w:tc>
          <w:tcPr>
            <w:tcW w:type="dxa" w:w="5184"/>
            <w:vAlign w:val="top"/>
            <w:shd w:fill="EAF2F8"/>
          </w:tcPr>
          <w:p>
            <w:r/>
            <w:r>
              <w:rPr>
                <w:b w:val="0"/>
                <w:sz w:val="14"/>
              </w:rPr>
              <w:t>System classification; data lineage; threat model; validation; approval; monitoring; oversight and incident records proportionate to risk.</w:t>
            </w:r>
          </w:p>
        </w:tc>
      </w:tr>
      <w:tr>
        <w:trPr>
          <w:cantSplit/>
        </w:trPr>
        <w:tc>
          <w:tcPr>
            <w:tcW w:type="dxa" w:w="5184"/>
            <w:vAlign w:val="top"/>
          </w:tcPr>
          <w:p>
            <w:r/>
            <w:r>
              <w:rPr>
                <w:b w:val="0"/>
                <w:sz w:val="14"/>
              </w:rPr>
              <w:t>Monitoring</w:t>
            </w:r>
          </w:p>
        </w:tc>
        <w:tc>
          <w:tcPr>
            <w:tcW w:type="dxa" w:w="5184"/>
            <w:vAlign w:val="top"/>
          </w:tcPr>
          <w:p>
            <w:r/>
            <w:r>
              <w:rPr>
                <w:b w:val="0"/>
                <w:sz w:val="14"/>
              </w:rPr>
              <w:t>Performance, outcomes, overrides, complaints, incidents, vendor/model changes and drift.</w:t>
            </w:r>
          </w:p>
        </w:tc>
      </w:tr>
      <w:tr>
        <w:trPr>
          <w:cantSplit/>
        </w:trPr>
        <w:tc>
          <w:tcPr>
            <w:tcW w:type="dxa" w:w="5184"/>
            <w:vAlign w:val="top"/>
            <w:shd w:fill="EAF2F8"/>
          </w:tcPr>
          <w:p>
            <w:r/>
            <w:r>
              <w:rPr>
                <w:b w:val="0"/>
                <w:sz w:val="14"/>
              </w:rPr>
              <w:t>Incident triggers</w:t>
            </w:r>
          </w:p>
        </w:tc>
        <w:tc>
          <w:tcPr>
            <w:tcW w:type="dxa" w:w="5184"/>
            <w:vAlign w:val="top"/>
            <w:shd w:fill="EAF2F8"/>
          </w:tcPr>
          <w:p>
            <w:r/>
            <w:r>
              <w:rPr>
                <w:b w:val="0"/>
                <w:sz w:val="14"/>
              </w:rPr>
              <w:t>Material decision error, security compromise, unexplained disparity, loss of traceability, vendor change or failure of manual fallback.</w:t>
            </w:r>
          </w:p>
        </w:tc>
      </w:tr>
      <w:tr>
        <w:trPr>
          <w:cantSplit/>
        </w:trPr>
        <w:tc>
          <w:tcPr>
            <w:tcW w:type="dxa" w:w="5184"/>
            <w:vAlign w:val="top"/>
          </w:tcPr>
          <w:p>
            <w:r/>
            <w:r>
              <w:rPr>
                <w:b w:val="0"/>
                <w:sz w:val="14"/>
              </w:rPr>
              <w:t>Residual risks</w:t>
            </w:r>
          </w:p>
        </w:tc>
        <w:tc>
          <w:tcPr>
            <w:tcW w:type="dxa" w:w="5184"/>
            <w:vAlign w:val="top"/>
          </w:tcPr>
          <w:p>
            <w:r/>
            <w:r>
              <w:rPr>
                <w:b w:val="0"/>
                <w:sz w:val="14"/>
              </w:rPr>
              <w:t>Data limitations, regime shift, human error, unknown attacks and jurisdiction-specific obligations remain.</w:t>
            </w:r>
          </w:p>
        </w:tc>
      </w:tr>
      <w:tr>
        <w:trPr>
          <w:cantSplit/>
        </w:trPr>
        <w:tc>
          <w:tcPr>
            <w:tcW w:type="dxa" w:w="5184"/>
            <w:vAlign w:val="top"/>
            <w:shd w:fill="EAF2F8"/>
          </w:tcPr>
          <w:p>
            <w:r/>
            <w:r>
              <w:rPr>
                <w:b w:val="0"/>
                <w:sz w:val="14"/>
              </w:rPr>
              <w:t>Notably absent</w:t>
            </w:r>
          </w:p>
        </w:tc>
        <w:tc>
          <w:tcPr>
            <w:tcW w:type="dxa" w:w="5184"/>
            <w:vAlign w:val="top"/>
            <w:shd w:fill="EAF2F8"/>
          </w:tcPr>
          <w:p>
            <w:r/>
            <w:r>
              <w:rPr>
                <w:b w:val="0"/>
                <w:sz w:val="14"/>
              </w:rPr>
              <w:t>No direct claim denial or binding coverage interpretation without qualified review.</w:t>
            </w:r>
          </w:p>
        </w:tc>
      </w:tr>
    </w:tbl>
    <w:p/>
    <w:p>
      <w:pPr>
        <w:pStyle w:val="Heading2"/>
      </w:pPr>
      <w:r>
        <w:t>19.8 Cyber-insurance risk scoring</w:t>
      </w:r>
    </w:p>
    <w:tbl>
      <w:tblPr>
        <w:tblStyle w:val="TableGrid"/>
        <w:tblW w:type="auto" w:w="0"/>
        <w:jc w:val="center"/>
        <w:tblLook w:firstColumn="1" w:firstRow="1" w:lastColumn="0" w:lastRow="0" w:noHBand="0" w:noVBand="1" w:val="04A0"/>
      </w:tblPr>
      <w:tblGrid>
        <w:gridCol w:w="5184"/>
        <w:gridCol w:w="5184"/>
      </w:tblGrid>
      <w:tr>
        <w:trPr>
          <w:cantSplit/>
          <w:tblHeader w:val="true"/>
        </w:trPr>
        <w:tc>
          <w:tcPr>
            <w:tcW w:type="dxa" w:w="5184"/>
            <w:vAlign w:val="top"/>
            <w:shd w:fill="1F4E78"/>
          </w:tcPr>
          <w:p>
            <w:r/>
            <w:r>
              <w:rPr>
                <w:b/>
                <w:color w:val="FFFFFF"/>
                <w:sz w:val="14"/>
              </w:rPr>
              <w:t>Element</w:t>
            </w:r>
          </w:p>
        </w:tc>
        <w:tc>
          <w:tcPr>
            <w:tcW w:type="dxa" w:w="5184"/>
            <w:vAlign w:val="top"/>
            <w:shd w:fill="1F4E78"/>
          </w:tcPr>
          <w:p>
            <w:r/>
            <w:r>
              <w:rPr>
                <w:b/>
                <w:color w:val="FFFFFF"/>
                <w:sz w:val="14"/>
              </w:rPr>
              <w:t>Implementation interpretation</w:t>
            </w:r>
          </w:p>
        </w:tc>
      </w:tr>
      <w:tr>
        <w:trPr>
          <w:cantSplit/>
        </w:trPr>
        <w:tc>
          <w:tcPr>
            <w:tcW w:type="dxa" w:w="5184"/>
            <w:vAlign w:val="top"/>
          </w:tcPr>
          <w:p>
            <w:r/>
            <w:r>
              <w:rPr>
                <w:b w:val="0"/>
                <w:sz w:val="14"/>
              </w:rPr>
              <w:t>Context</w:t>
            </w:r>
          </w:p>
        </w:tc>
        <w:tc>
          <w:tcPr>
            <w:tcW w:type="dxa" w:w="5184"/>
            <w:vAlign w:val="top"/>
          </w:tcPr>
          <w:p>
            <w:r/>
            <w:r>
              <w:rPr>
                <w:b w:val="0"/>
                <w:sz w:val="14"/>
              </w:rPr>
              <w:t>External security telemetry and questionnaires support underwriting.</w:t>
            </w:r>
          </w:p>
        </w:tc>
      </w:tr>
      <w:tr>
        <w:trPr>
          <w:cantSplit/>
        </w:trPr>
        <w:tc>
          <w:tcPr>
            <w:tcW w:type="dxa" w:w="5184"/>
            <w:vAlign w:val="top"/>
            <w:shd w:fill="EAF2F8"/>
          </w:tcPr>
          <w:p>
            <w:r/>
            <w:r>
              <w:rPr>
                <w:b w:val="0"/>
                <w:sz w:val="14"/>
              </w:rPr>
              <w:t>Threats and failure modes</w:t>
            </w:r>
          </w:p>
        </w:tc>
        <w:tc>
          <w:tcPr>
            <w:tcW w:type="dxa" w:w="5184"/>
            <w:vAlign w:val="top"/>
            <w:shd w:fill="EAF2F8"/>
          </w:tcPr>
          <w:p>
            <w:r/>
            <w:r>
              <w:rPr>
                <w:b w:val="0"/>
                <w:sz w:val="14"/>
              </w:rPr>
              <w:t>Gaming; stale data; concentration; weak causal assumptions.</w:t>
            </w:r>
          </w:p>
        </w:tc>
      </w:tr>
      <w:tr>
        <w:trPr>
          <w:cantSplit/>
        </w:trPr>
        <w:tc>
          <w:tcPr>
            <w:tcW w:type="dxa" w:w="5184"/>
            <w:vAlign w:val="top"/>
          </w:tcPr>
          <w:p>
            <w:r/>
            <w:r>
              <w:rPr>
                <w:b w:val="0"/>
                <w:sz w:val="14"/>
              </w:rPr>
              <w:t>Control interpretation</w:t>
            </w:r>
          </w:p>
        </w:tc>
        <w:tc>
          <w:tcPr>
            <w:tcW w:type="dxa" w:w="5184"/>
            <w:vAlign w:val="top"/>
          </w:tcPr>
          <w:p>
            <w:r/>
            <w:r>
              <w:rPr>
                <w:b w:val="0"/>
                <w:sz w:val="14"/>
              </w:rPr>
              <w:t>Source assurance; freshness controls; adversarial testing; underwriter override; portfolio accumulation analysis.</w:t>
            </w:r>
          </w:p>
        </w:tc>
      </w:tr>
      <w:tr>
        <w:trPr>
          <w:cantSplit/>
        </w:trPr>
        <w:tc>
          <w:tcPr>
            <w:tcW w:type="dxa" w:w="5184"/>
            <w:vAlign w:val="top"/>
            <w:shd w:fill="EAF2F8"/>
          </w:tcPr>
          <w:p>
            <w:r/>
            <w:r>
              <w:rPr>
                <w:b w:val="0"/>
                <w:sz w:val="14"/>
              </w:rPr>
              <w:t>Required evidence</w:t>
            </w:r>
          </w:p>
        </w:tc>
        <w:tc>
          <w:tcPr>
            <w:tcW w:type="dxa" w:w="5184"/>
            <w:vAlign w:val="top"/>
            <w:shd w:fill="EAF2F8"/>
          </w:tcPr>
          <w:p>
            <w:r/>
            <w:r>
              <w:rPr>
                <w:b w:val="0"/>
                <w:sz w:val="14"/>
              </w:rPr>
              <w:t>System classification; data lineage; threat model; validation; approval; monitoring; oversight and incident records proportionate to risk.</w:t>
            </w:r>
          </w:p>
        </w:tc>
      </w:tr>
      <w:tr>
        <w:trPr>
          <w:cantSplit/>
        </w:trPr>
        <w:tc>
          <w:tcPr>
            <w:tcW w:type="dxa" w:w="5184"/>
            <w:vAlign w:val="top"/>
          </w:tcPr>
          <w:p>
            <w:r/>
            <w:r>
              <w:rPr>
                <w:b w:val="0"/>
                <w:sz w:val="14"/>
              </w:rPr>
              <w:t>Monitoring</w:t>
            </w:r>
          </w:p>
        </w:tc>
        <w:tc>
          <w:tcPr>
            <w:tcW w:type="dxa" w:w="5184"/>
            <w:vAlign w:val="top"/>
          </w:tcPr>
          <w:p>
            <w:r/>
            <w:r>
              <w:rPr>
                <w:b w:val="0"/>
                <w:sz w:val="14"/>
              </w:rPr>
              <w:t>Performance, outcomes, overrides, complaints, incidents, vendor/model changes and drift.</w:t>
            </w:r>
          </w:p>
        </w:tc>
      </w:tr>
      <w:tr>
        <w:trPr>
          <w:cantSplit/>
        </w:trPr>
        <w:tc>
          <w:tcPr>
            <w:tcW w:type="dxa" w:w="5184"/>
            <w:vAlign w:val="top"/>
            <w:shd w:fill="EAF2F8"/>
          </w:tcPr>
          <w:p>
            <w:r/>
            <w:r>
              <w:rPr>
                <w:b w:val="0"/>
                <w:sz w:val="14"/>
              </w:rPr>
              <w:t>Incident triggers</w:t>
            </w:r>
          </w:p>
        </w:tc>
        <w:tc>
          <w:tcPr>
            <w:tcW w:type="dxa" w:w="5184"/>
            <w:vAlign w:val="top"/>
            <w:shd w:fill="EAF2F8"/>
          </w:tcPr>
          <w:p>
            <w:r/>
            <w:r>
              <w:rPr>
                <w:b w:val="0"/>
                <w:sz w:val="14"/>
              </w:rPr>
              <w:t>Material decision error, security compromise, unexplained disparity, loss of traceability, vendor change or failure of manual fallback.</w:t>
            </w:r>
          </w:p>
        </w:tc>
      </w:tr>
      <w:tr>
        <w:trPr>
          <w:cantSplit/>
        </w:trPr>
        <w:tc>
          <w:tcPr>
            <w:tcW w:type="dxa" w:w="5184"/>
            <w:vAlign w:val="top"/>
          </w:tcPr>
          <w:p>
            <w:r/>
            <w:r>
              <w:rPr>
                <w:b w:val="0"/>
                <w:sz w:val="14"/>
              </w:rPr>
              <w:t>Residual risks</w:t>
            </w:r>
          </w:p>
        </w:tc>
        <w:tc>
          <w:tcPr>
            <w:tcW w:type="dxa" w:w="5184"/>
            <w:vAlign w:val="top"/>
          </w:tcPr>
          <w:p>
            <w:r/>
            <w:r>
              <w:rPr>
                <w:b w:val="0"/>
                <w:sz w:val="14"/>
              </w:rPr>
              <w:t>Data limitations, regime shift, human error, unknown attacks and jurisdiction-specific obligations remain.</w:t>
            </w:r>
          </w:p>
        </w:tc>
      </w:tr>
      <w:tr>
        <w:trPr>
          <w:cantSplit/>
        </w:trPr>
        <w:tc>
          <w:tcPr>
            <w:tcW w:type="dxa" w:w="5184"/>
            <w:vAlign w:val="top"/>
            <w:shd w:fill="EAF2F8"/>
          </w:tcPr>
          <w:p>
            <w:r/>
            <w:r>
              <w:rPr>
                <w:b w:val="0"/>
                <w:sz w:val="14"/>
              </w:rPr>
              <w:t>Notably absent</w:t>
            </w:r>
          </w:p>
        </w:tc>
        <w:tc>
          <w:tcPr>
            <w:tcW w:type="dxa" w:w="5184"/>
            <w:vAlign w:val="top"/>
            <w:shd w:fill="EAF2F8"/>
          </w:tcPr>
          <w:p>
            <w:r/>
            <w:r>
              <w:rPr>
                <w:b w:val="0"/>
                <w:sz w:val="14"/>
              </w:rPr>
              <w:t>No representation that a score predicts breach with certainty.</w:t>
            </w:r>
          </w:p>
        </w:tc>
      </w:tr>
    </w:tbl>
    <w:p/>
    <w:p>
      <w:pPr>
        <w:pStyle w:val="Heading2"/>
      </w:pPr>
      <w:r>
        <w:t>19.9 Catastrophe modelling dependency</w:t>
      </w:r>
    </w:p>
    <w:tbl>
      <w:tblPr>
        <w:tblStyle w:val="TableGrid"/>
        <w:tblW w:type="auto" w:w="0"/>
        <w:jc w:val="center"/>
        <w:tblLook w:firstColumn="1" w:firstRow="1" w:lastColumn="0" w:lastRow="0" w:noHBand="0" w:noVBand="1" w:val="04A0"/>
      </w:tblPr>
      <w:tblGrid>
        <w:gridCol w:w="5184"/>
        <w:gridCol w:w="5184"/>
      </w:tblGrid>
      <w:tr>
        <w:trPr>
          <w:cantSplit/>
          <w:tblHeader w:val="true"/>
        </w:trPr>
        <w:tc>
          <w:tcPr>
            <w:tcW w:type="dxa" w:w="5184"/>
            <w:vAlign w:val="top"/>
            <w:shd w:fill="1F4E78"/>
          </w:tcPr>
          <w:p>
            <w:r/>
            <w:r>
              <w:rPr>
                <w:b/>
                <w:color w:val="FFFFFF"/>
                <w:sz w:val="14"/>
              </w:rPr>
              <w:t>Element</w:t>
            </w:r>
          </w:p>
        </w:tc>
        <w:tc>
          <w:tcPr>
            <w:tcW w:type="dxa" w:w="5184"/>
            <w:vAlign w:val="top"/>
            <w:shd w:fill="1F4E78"/>
          </w:tcPr>
          <w:p>
            <w:r/>
            <w:r>
              <w:rPr>
                <w:b/>
                <w:color w:val="FFFFFF"/>
                <w:sz w:val="14"/>
              </w:rPr>
              <w:t>Implementation interpretation</w:t>
            </w:r>
          </w:p>
        </w:tc>
      </w:tr>
      <w:tr>
        <w:trPr>
          <w:cantSplit/>
        </w:trPr>
        <w:tc>
          <w:tcPr>
            <w:tcW w:type="dxa" w:w="5184"/>
            <w:vAlign w:val="top"/>
          </w:tcPr>
          <w:p>
            <w:r/>
            <w:r>
              <w:rPr>
                <w:b w:val="0"/>
                <w:sz w:val="14"/>
              </w:rPr>
              <w:t>Context</w:t>
            </w:r>
          </w:p>
        </w:tc>
        <w:tc>
          <w:tcPr>
            <w:tcW w:type="dxa" w:w="5184"/>
            <w:vAlign w:val="top"/>
          </w:tcPr>
          <w:p>
            <w:r/>
            <w:r>
              <w:rPr>
                <w:b w:val="0"/>
                <w:sz w:val="14"/>
              </w:rPr>
              <w:t>Vendor models inform aggregation, reinsurance and capital decisions.</w:t>
            </w:r>
          </w:p>
        </w:tc>
      </w:tr>
      <w:tr>
        <w:trPr>
          <w:cantSplit/>
        </w:trPr>
        <w:tc>
          <w:tcPr>
            <w:tcW w:type="dxa" w:w="5184"/>
            <w:vAlign w:val="top"/>
            <w:shd w:fill="EAF2F8"/>
          </w:tcPr>
          <w:p>
            <w:r/>
            <w:r>
              <w:rPr>
                <w:b w:val="0"/>
                <w:sz w:val="14"/>
              </w:rPr>
              <w:t>Threats and failure modes</w:t>
            </w:r>
          </w:p>
        </w:tc>
        <w:tc>
          <w:tcPr>
            <w:tcW w:type="dxa" w:w="5184"/>
            <w:vAlign w:val="top"/>
            <w:shd w:fill="EAF2F8"/>
          </w:tcPr>
          <w:p>
            <w:r/>
            <w:r>
              <w:rPr>
                <w:b w:val="0"/>
                <w:sz w:val="14"/>
              </w:rPr>
              <w:t>Vendor concentration; model change; tail underestimation; correlated market use.</w:t>
            </w:r>
          </w:p>
        </w:tc>
      </w:tr>
      <w:tr>
        <w:trPr>
          <w:cantSplit/>
        </w:trPr>
        <w:tc>
          <w:tcPr>
            <w:tcW w:type="dxa" w:w="5184"/>
            <w:vAlign w:val="top"/>
          </w:tcPr>
          <w:p>
            <w:r/>
            <w:r>
              <w:rPr>
                <w:b w:val="0"/>
                <w:sz w:val="14"/>
              </w:rPr>
              <w:t>Control interpretation</w:t>
            </w:r>
          </w:p>
        </w:tc>
        <w:tc>
          <w:tcPr>
            <w:tcW w:type="dxa" w:w="5184"/>
            <w:vAlign w:val="top"/>
          </w:tcPr>
          <w:p>
            <w:r/>
            <w:r>
              <w:rPr>
                <w:b w:val="0"/>
                <w:sz w:val="14"/>
              </w:rPr>
              <w:t>Multi-model challenge; change impact; stress/scenario testing; exit and continuity plan.</w:t>
            </w:r>
          </w:p>
        </w:tc>
      </w:tr>
      <w:tr>
        <w:trPr>
          <w:cantSplit/>
        </w:trPr>
        <w:tc>
          <w:tcPr>
            <w:tcW w:type="dxa" w:w="5184"/>
            <w:vAlign w:val="top"/>
            <w:shd w:fill="EAF2F8"/>
          </w:tcPr>
          <w:p>
            <w:r/>
            <w:r>
              <w:rPr>
                <w:b w:val="0"/>
                <w:sz w:val="14"/>
              </w:rPr>
              <w:t>Required evidence</w:t>
            </w:r>
          </w:p>
        </w:tc>
        <w:tc>
          <w:tcPr>
            <w:tcW w:type="dxa" w:w="5184"/>
            <w:vAlign w:val="top"/>
            <w:shd w:fill="EAF2F8"/>
          </w:tcPr>
          <w:p>
            <w:r/>
            <w:r>
              <w:rPr>
                <w:b w:val="0"/>
                <w:sz w:val="14"/>
              </w:rPr>
              <w:t>System classification; data lineage; threat model; validation; approval; monitoring; oversight and incident records proportionate to risk.</w:t>
            </w:r>
          </w:p>
        </w:tc>
      </w:tr>
      <w:tr>
        <w:trPr>
          <w:cantSplit/>
        </w:trPr>
        <w:tc>
          <w:tcPr>
            <w:tcW w:type="dxa" w:w="5184"/>
            <w:vAlign w:val="top"/>
          </w:tcPr>
          <w:p>
            <w:r/>
            <w:r>
              <w:rPr>
                <w:b w:val="0"/>
                <w:sz w:val="14"/>
              </w:rPr>
              <w:t>Monitoring</w:t>
            </w:r>
          </w:p>
        </w:tc>
        <w:tc>
          <w:tcPr>
            <w:tcW w:type="dxa" w:w="5184"/>
            <w:vAlign w:val="top"/>
          </w:tcPr>
          <w:p>
            <w:r/>
            <w:r>
              <w:rPr>
                <w:b w:val="0"/>
                <w:sz w:val="14"/>
              </w:rPr>
              <w:t>Performance, outcomes, overrides, complaints, incidents, vendor/model changes and drift.</w:t>
            </w:r>
          </w:p>
        </w:tc>
      </w:tr>
      <w:tr>
        <w:trPr>
          <w:cantSplit/>
        </w:trPr>
        <w:tc>
          <w:tcPr>
            <w:tcW w:type="dxa" w:w="5184"/>
            <w:vAlign w:val="top"/>
            <w:shd w:fill="EAF2F8"/>
          </w:tcPr>
          <w:p>
            <w:r/>
            <w:r>
              <w:rPr>
                <w:b w:val="0"/>
                <w:sz w:val="14"/>
              </w:rPr>
              <w:t>Incident triggers</w:t>
            </w:r>
          </w:p>
        </w:tc>
        <w:tc>
          <w:tcPr>
            <w:tcW w:type="dxa" w:w="5184"/>
            <w:vAlign w:val="top"/>
            <w:shd w:fill="EAF2F8"/>
          </w:tcPr>
          <w:p>
            <w:r/>
            <w:r>
              <w:rPr>
                <w:b w:val="0"/>
                <w:sz w:val="14"/>
              </w:rPr>
              <w:t>Material decision error, security compromise, unexplained disparity, loss of traceability, vendor change or failure of manual fallback.</w:t>
            </w:r>
          </w:p>
        </w:tc>
      </w:tr>
      <w:tr>
        <w:trPr>
          <w:cantSplit/>
        </w:trPr>
        <w:tc>
          <w:tcPr>
            <w:tcW w:type="dxa" w:w="5184"/>
            <w:vAlign w:val="top"/>
          </w:tcPr>
          <w:p>
            <w:r/>
            <w:r>
              <w:rPr>
                <w:b w:val="0"/>
                <w:sz w:val="14"/>
              </w:rPr>
              <w:t>Residual risks</w:t>
            </w:r>
          </w:p>
        </w:tc>
        <w:tc>
          <w:tcPr>
            <w:tcW w:type="dxa" w:w="5184"/>
            <w:vAlign w:val="top"/>
          </w:tcPr>
          <w:p>
            <w:r/>
            <w:r>
              <w:rPr>
                <w:b w:val="0"/>
                <w:sz w:val="14"/>
              </w:rPr>
              <w:t>Data limitations, regime shift, human error, unknown attacks and jurisdiction-specific obligations remain.</w:t>
            </w:r>
          </w:p>
        </w:tc>
      </w:tr>
      <w:tr>
        <w:trPr>
          <w:cantSplit/>
        </w:trPr>
        <w:tc>
          <w:tcPr>
            <w:tcW w:type="dxa" w:w="5184"/>
            <w:vAlign w:val="top"/>
            <w:shd w:fill="EAF2F8"/>
          </w:tcPr>
          <w:p>
            <w:r/>
            <w:r>
              <w:rPr>
                <w:b w:val="0"/>
                <w:sz w:val="14"/>
              </w:rPr>
              <w:t>Notably absent</w:t>
            </w:r>
          </w:p>
        </w:tc>
        <w:tc>
          <w:tcPr>
            <w:tcW w:type="dxa" w:w="5184"/>
            <w:vAlign w:val="top"/>
            <w:shd w:fill="EAF2F8"/>
          </w:tcPr>
          <w:p>
            <w:r/>
            <w:r>
              <w:rPr>
                <w:b w:val="0"/>
                <w:sz w:val="14"/>
              </w:rPr>
              <w:t>No assumption that vendor validation transfers accountability.</w:t>
            </w:r>
          </w:p>
        </w:tc>
      </w:tr>
    </w:tbl>
    <w:p/>
    <w:p>
      <w:pPr>
        <w:pStyle w:val="Heading2"/>
      </w:pPr>
      <w:r>
        <w:t>19.10 Third-party foundation model in customer service</w:t>
      </w:r>
    </w:p>
    <w:tbl>
      <w:tblPr>
        <w:tblStyle w:val="TableGrid"/>
        <w:tblW w:type="auto" w:w="0"/>
        <w:jc w:val="center"/>
        <w:tblLook w:firstColumn="1" w:firstRow="1" w:lastColumn="0" w:lastRow="0" w:noHBand="0" w:noVBand="1" w:val="04A0"/>
      </w:tblPr>
      <w:tblGrid>
        <w:gridCol w:w="5184"/>
        <w:gridCol w:w="5184"/>
      </w:tblGrid>
      <w:tr>
        <w:trPr>
          <w:cantSplit/>
          <w:tblHeader w:val="true"/>
        </w:trPr>
        <w:tc>
          <w:tcPr>
            <w:tcW w:type="dxa" w:w="5184"/>
            <w:vAlign w:val="top"/>
            <w:shd w:fill="1F4E78"/>
          </w:tcPr>
          <w:p>
            <w:r/>
            <w:r>
              <w:rPr>
                <w:b/>
                <w:color w:val="FFFFFF"/>
                <w:sz w:val="14"/>
              </w:rPr>
              <w:t>Element</w:t>
            </w:r>
          </w:p>
        </w:tc>
        <w:tc>
          <w:tcPr>
            <w:tcW w:type="dxa" w:w="5184"/>
            <w:vAlign w:val="top"/>
            <w:shd w:fill="1F4E78"/>
          </w:tcPr>
          <w:p>
            <w:r/>
            <w:r>
              <w:rPr>
                <w:b/>
                <w:color w:val="FFFFFF"/>
                <w:sz w:val="14"/>
              </w:rPr>
              <w:t>Implementation interpretation</w:t>
            </w:r>
          </w:p>
        </w:tc>
      </w:tr>
      <w:tr>
        <w:trPr>
          <w:cantSplit/>
        </w:trPr>
        <w:tc>
          <w:tcPr>
            <w:tcW w:type="dxa" w:w="5184"/>
            <w:vAlign w:val="top"/>
          </w:tcPr>
          <w:p>
            <w:r/>
            <w:r>
              <w:rPr>
                <w:b w:val="0"/>
                <w:sz w:val="14"/>
              </w:rPr>
              <w:t>Context</w:t>
            </w:r>
          </w:p>
        </w:tc>
        <w:tc>
          <w:tcPr>
            <w:tcW w:type="dxa" w:w="5184"/>
            <w:vAlign w:val="top"/>
          </w:tcPr>
          <w:p>
            <w:r/>
            <w:r>
              <w:rPr>
                <w:b w:val="0"/>
                <w:sz w:val="14"/>
              </w:rPr>
              <w:t>External model answers policyholder questions using approved knowledge.</w:t>
            </w:r>
          </w:p>
        </w:tc>
      </w:tr>
      <w:tr>
        <w:trPr>
          <w:cantSplit/>
        </w:trPr>
        <w:tc>
          <w:tcPr>
            <w:tcW w:type="dxa" w:w="5184"/>
            <w:vAlign w:val="top"/>
            <w:shd w:fill="EAF2F8"/>
          </w:tcPr>
          <w:p>
            <w:r/>
            <w:r>
              <w:rPr>
                <w:b w:val="0"/>
                <w:sz w:val="14"/>
              </w:rPr>
              <w:t>Threats and failure modes</w:t>
            </w:r>
          </w:p>
        </w:tc>
        <w:tc>
          <w:tcPr>
            <w:tcW w:type="dxa" w:w="5184"/>
            <w:vAlign w:val="top"/>
            <w:shd w:fill="EAF2F8"/>
          </w:tcPr>
          <w:p>
            <w:r/>
            <w:r>
              <w:rPr>
                <w:b w:val="0"/>
                <w:sz w:val="14"/>
              </w:rPr>
              <w:t>Provider update; retention; prompt injection; hallucinated coverage; outage.</w:t>
            </w:r>
          </w:p>
        </w:tc>
      </w:tr>
      <w:tr>
        <w:trPr>
          <w:cantSplit/>
        </w:trPr>
        <w:tc>
          <w:tcPr>
            <w:tcW w:type="dxa" w:w="5184"/>
            <w:vAlign w:val="top"/>
          </w:tcPr>
          <w:p>
            <w:r/>
            <w:r>
              <w:rPr>
                <w:b w:val="0"/>
                <w:sz w:val="14"/>
              </w:rPr>
              <w:t>Control interpretation</w:t>
            </w:r>
          </w:p>
        </w:tc>
        <w:tc>
          <w:tcPr>
            <w:tcW w:type="dxa" w:w="5184"/>
            <w:vAlign w:val="top"/>
          </w:tcPr>
          <w:p>
            <w:r/>
            <w:r>
              <w:rPr>
                <w:b w:val="0"/>
                <w:sz w:val="14"/>
              </w:rPr>
              <w:t>Contract controls; version monitoring; RAG isolation; evaluation; escalation; fallback.</w:t>
            </w:r>
          </w:p>
        </w:tc>
      </w:tr>
      <w:tr>
        <w:trPr>
          <w:cantSplit/>
        </w:trPr>
        <w:tc>
          <w:tcPr>
            <w:tcW w:type="dxa" w:w="5184"/>
            <w:vAlign w:val="top"/>
            <w:shd w:fill="EAF2F8"/>
          </w:tcPr>
          <w:p>
            <w:r/>
            <w:r>
              <w:rPr>
                <w:b w:val="0"/>
                <w:sz w:val="14"/>
              </w:rPr>
              <w:t>Required evidence</w:t>
            </w:r>
          </w:p>
        </w:tc>
        <w:tc>
          <w:tcPr>
            <w:tcW w:type="dxa" w:w="5184"/>
            <w:vAlign w:val="top"/>
            <w:shd w:fill="EAF2F8"/>
          </w:tcPr>
          <w:p>
            <w:r/>
            <w:r>
              <w:rPr>
                <w:b w:val="0"/>
                <w:sz w:val="14"/>
              </w:rPr>
              <w:t>System classification; data lineage; threat model; validation; approval; monitoring; oversight and incident records proportionate to risk.</w:t>
            </w:r>
          </w:p>
        </w:tc>
      </w:tr>
      <w:tr>
        <w:trPr>
          <w:cantSplit/>
        </w:trPr>
        <w:tc>
          <w:tcPr>
            <w:tcW w:type="dxa" w:w="5184"/>
            <w:vAlign w:val="top"/>
          </w:tcPr>
          <w:p>
            <w:r/>
            <w:r>
              <w:rPr>
                <w:b w:val="0"/>
                <w:sz w:val="14"/>
              </w:rPr>
              <w:t>Monitoring</w:t>
            </w:r>
          </w:p>
        </w:tc>
        <w:tc>
          <w:tcPr>
            <w:tcW w:type="dxa" w:w="5184"/>
            <w:vAlign w:val="top"/>
          </w:tcPr>
          <w:p>
            <w:r/>
            <w:r>
              <w:rPr>
                <w:b w:val="0"/>
                <w:sz w:val="14"/>
              </w:rPr>
              <w:t>Performance, outcomes, overrides, complaints, incidents, vendor/model changes and drift.</w:t>
            </w:r>
          </w:p>
        </w:tc>
      </w:tr>
      <w:tr>
        <w:trPr>
          <w:cantSplit/>
        </w:trPr>
        <w:tc>
          <w:tcPr>
            <w:tcW w:type="dxa" w:w="5184"/>
            <w:vAlign w:val="top"/>
            <w:shd w:fill="EAF2F8"/>
          </w:tcPr>
          <w:p>
            <w:r/>
            <w:r>
              <w:rPr>
                <w:b w:val="0"/>
                <w:sz w:val="14"/>
              </w:rPr>
              <w:t>Incident triggers</w:t>
            </w:r>
          </w:p>
        </w:tc>
        <w:tc>
          <w:tcPr>
            <w:tcW w:type="dxa" w:w="5184"/>
            <w:vAlign w:val="top"/>
            <w:shd w:fill="EAF2F8"/>
          </w:tcPr>
          <w:p>
            <w:r/>
            <w:r>
              <w:rPr>
                <w:b w:val="0"/>
                <w:sz w:val="14"/>
              </w:rPr>
              <w:t>Material decision error, security compromise, unexplained disparity, loss of traceability, vendor change or failure of manual fallback.</w:t>
            </w:r>
          </w:p>
        </w:tc>
      </w:tr>
      <w:tr>
        <w:trPr>
          <w:cantSplit/>
        </w:trPr>
        <w:tc>
          <w:tcPr>
            <w:tcW w:type="dxa" w:w="5184"/>
            <w:vAlign w:val="top"/>
          </w:tcPr>
          <w:p>
            <w:r/>
            <w:r>
              <w:rPr>
                <w:b w:val="0"/>
                <w:sz w:val="14"/>
              </w:rPr>
              <w:t>Residual risks</w:t>
            </w:r>
          </w:p>
        </w:tc>
        <w:tc>
          <w:tcPr>
            <w:tcW w:type="dxa" w:w="5184"/>
            <w:vAlign w:val="top"/>
          </w:tcPr>
          <w:p>
            <w:r/>
            <w:r>
              <w:rPr>
                <w:b w:val="0"/>
                <w:sz w:val="14"/>
              </w:rPr>
              <w:t>Data limitations, regime shift, human error, unknown attacks and jurisdiction-specific obligations remain.</w:t>
            </w:r>
          </w:p>
        </w:tc>
      </w:tr>
      <w:tr>
        <w:trPr>
          <w:cantSplit/>
        </w:trPr>
        <w:tc>
          <w:tcPr>
            <w:tcW w:type="dxa" w:w="5184"/>
            <w:vAlign w:val="top"/>
            <w:shd w:fill="EAF2F8"/>
          </w:tcPr>
          <w:p>
            <w:r/>
            <w:r>
              <w:rPr>
                <w:b w:val="0"/>
                <w:sz w:val="14"/>
              </w:rPr>
              <w:t>Notably absent</w:t>
            </w:r>
          </w:p>
        </w:tc>
        <w:tc>
          <w:tcPr>
            <w:tcW w:type="dxa" w:w="5184"/>
            <w:vAlign w:val="top"/>
            <w:shd w:fill="EAF2F8"/>
          </w:tcPr>
          <w:p>
            <w:r/>
            <w:r>
              <w:rPr>
                <w:b w:val="0"/>
                <w:sz w:val="14"/>
              </w:rPr>
              <w:t>No provider assurance treated as substitute for insurer testing.</w:t>
            </w:r>
          </w:p>
        </w:tc>
      </w:tr>
    </w:tbl>
    <w:p/>
    <w:p>
      <w:pPr>
        <w:pStyle w:val="Heading1"/>
      </w:pPr>
      <w:r>
        <w:t>20. Verified GAISSF control mapping</w:t>
      </w:r>
    </w:p>
    <w:tbl>
      <w:tblPr>
        <w:tblStyle w:val="TableGrid"/>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rPr>
          <w:cantSplit/>
          <w:tblHeader w:val="true"/>
        </w:trPr>
        <w:tc>
          <w:tcPr>
            <w:tcW w:type="dxa" w:w="1037"/>
            <w:vAlign w:val="top"/>
            <w:shd w:fill="1F4E78"/>
          </w:tcPr>
          <w:p>
            <w:r/>
            <w:r>
              <w:rPr>
                <w:b/>
                <w:color w:val="FFFFFF"/>
                <w:sz w:val="10"/>
              </w:rPr>
              <w:t>Control ID</w:t>
            </w:r>
          </w:p>
        </w:tc>
        <w:tc>
          <w:tcPr>
            <w:tcW w:type="dxa" w:w="1037"/>
            <w:vAlign w:val="top"/>
            <w:shd w:fill="1F4E78"/>
          </w:tcPr>
          <w:p>
            <w:r/>
            <w:r>
              <w:rPr>
                <w:b/>
                <w:color w:val="FFFFFF"/>
                <w:sz w:val="10"/>
              </w:rPr>
              <w:t>Control title</w:t>
            </w:r>
          </w:p>
        </w:tc>
        <w:tc>
          <w:tcPr>
            <w:tcW w:type="dxa" w:w="1037"/>
            <w:vAlign w:val="top"/>
            <w:shd w:fill="1F4E78"/>
          </w:tcPr>
          <w:p>
            <w:r/>
            <w:r>
              <w:rPr>
                <w:b/>
                <w:color w:val="FFFFFF"/>
                <w:sz w:val="10"/>
              </w:rPr>
              <w:t>Insurance interpretation</w:t>
            </w:r>
          </w:p>
        </w:tc>
        <w:tc>
          <w:tcPr>
            <w:tcW w:type="dxa" w:w="1037"/>
            <w:vAlign w:val="top"/>
            <w:shd w:fill="1F4E78"/>
          </w:tcPr>
          <w:p>
            <w:r/>
            <w:r>
              <w:rPr>
                <w:b/>
                <w:color w:val="FFFFFF"/>
                <w:sz w:val="10"/>
              </w:rPr>
              <w:t>Functions</w:t>
            </w:r>
          </w:p>
        </w:tc>
        <w:tc>
          <w:tcPr>
            <w:tcW w:type="dxa" w:w="1037"/>
            <w:vAlign w:val="top"/>
            <w:shd w:fill="1F4E78"/>
          </w:tcPr>
          <w:p>
            <w:r/>
            <w:r>
              <w:rPr>
                <w:b/>
                <w:color w:val="FFFFFF"/>
                <w:sz w:val="10"/>
              </w:rPr>
              <w:t>Example implementation</w:t>
            </w:r>
          </w:p>
        </w:tc>
        <w:tc>
          <w:tcPr>
            <w:tcW w:type="dxa" w:w="1037"/>
            <w:vAlign w:val="top"/>
            <w:shd w:fill="1F4E78"/>
          </w:tcPr>
          <w:p>
            <w:r/>
            <w:r>
              <w:rPr>
                <w:b/>
                <w:color w:val="FFFFFF"/>
                <w:sz w:val="10"/>
              </w:rPr>
              <w:t>Evidence</w:t>
            </w:r>
          </w:p>
        </w:tc>
        <w:tc>
          <w:tcPr>
            <w:tcW w:type="dxa" w:w="1037"/>
            <w:vAlign w:val="top"/>
            <w:shd w:fill="1F4E78"/>
          </w:tcPr>
          <w:p>
            <w:r/>
            <w:r>
              <w:rPr>
                <w:b/>
                <w:color w:val="FFFFFF"/>
                <w:sz w:val="10"/>
              </w:rPr>
              <w:t>Owner</w:t>
            </w:r>
          </w:p>
        </w:tc>
        <w:tc>
          <w:tcPr>
            <w:tcW w:type="dxa" w:w="1037"/>
            <w:vAlign w:val="top"/>
            <w:shd w:fill="1F4E78"/>
          </w:tcPr>
          <w:p>
            <w:r/>
            <w:r>
              <w:rPr>
                <w:b/>
                <w:color w:val="FFFFFF"/>
                <w:sz w:val="10"/>
              </w:rPr>
              <w:t>Assessment</w:t>
            </w:r>
          </w:p>
        </w:tc>
        <w:tc>
          <w:tcPr>
            <w:tcW w:type="dxa" w:w="1037"/>
            <w:vAlign w:val="top"/>
            <w:shd w:fill="1F4E78"/>
          </w:tcPr>
          <w:p>
            <w:r/>
            <w:r>
              <w:rPr>
                <w:b/>
                <w:color w:val="FFFFFF"/>
                <w:sz w:val="10"/>
              </w:rPr>
              <w:t>Caveat</w:t>
            </w:r>
          </w:p>
        </w:tc>
        <w:tc>
          <w:tcPr>
            <w:tcW w:type="dxa" w:w="1037"/>
            <w:vAlign w:val="top"/>
            <w:shd w:fill="1F4E78"/>
          </w:tcPr>
          <w:p>
            <w:r/>
            <w:r>
              <w:rPr>
                <w:b/>
                <w:color w:val="FFFFFF"/>
                <w:sz w:val="10"/>
              </w:rPr>
              <w:t>Notably absent</w:t>
            </w:r>
          </w:p>
        </w:tc>
      </w:tr>
      <w:tr>
        <w:trPr>
          <w:cantSplit/>
        </w:trPr>
        <w:tc>
          <w:tcPr>
            <w:tcW w:type="dxa" w:w="1037"/>
            <w:vAlign w:val="top"/>
          </w:tcPr>
          <w:p>
            <w:r/>
            <w:r>
              <w:rPr>
                <w:b w:val="0"/>
                <w:sz w:val="10"/>
              </w:rPr>
              <w:t>D1-CTL-01</w:t>
            </w:r>
          </w:p>
        </w:tc>
        <w:tc>
          <w:tcPr>
            <w:tcW w:type="dxa" w:w="1037"/>
            <w:vAlign w:val="top"/>
          </w:tcPr>
          <w:p>
            <w:r/>
            <w:r>
              <w:rPr>
                <w:b w:val="0"/>
                <w:sz w:val="10"/>
              </w:rPr>
              <w:t>DATASET PROVENANCE &amp; POISONING PREVENTION</w:t>
            </w:r>
          </w:p>
        </w:tc>
        <w:tc>
          <w:tcPr>
            <w:tcW w:type="dxa" w:w="1037"/>
            <w:vAlign w:val="top"/>
          </w:tcPr>
          <w:p>
            <w:r/>
            <w:r>
              <w:rPr>
                <w:b w:val="0"/>
                <w:sz w:val="10"/>
              </w:rPr>
              <w:t>Protect insurance data, models, features and validation against poisoning, extraction, drift and adversarial manipulation.</w:t>
            </w:r>
          </w:p>
        </w:tc>
        <w:tc>
          <w:tcPr>
            <w:tcW w:type="dxa" w:w="1037"/>
            <w:vAlign w:val="top"/>
          </w:tcPr>
          <w:p>
            <w:r/>
            <w:r>
              <w:rPr>
                <w:b w:val="0"/>
                <w:sz w:val="10"/>
              </w:rPr>
              <w:t>Underwriting; pricing; claims; fraud; reserving; catastrophe modelling</w:t>
            </w:r>
          </w:p>
        </w:tc>
        <w:tc>
          <w:tcPr>
            <w:tcW w:type="dxa" w:w="1037"/>
            <w:vAlign w:val="top"/>
          </w:tcPr>
          <w:p>
            <w:r/>
            <w:r>
              <w:rPr>
                <w:b w:val="0"/>
                <w:sz w:val="10"/>
              </w:rPr>
              <w:t>Apply dataset provenance &amp; poisoning prevention to the complete insurance decision chain and document sector-specific threats, limits and fallbacks.</w:t>
            </w:r>
          </w:p>
        </w:tc>
        <w:tc>
          <w:tcPr>
            <w:tcW w:type="dxa" w:w="1037"/>
            <w:vAlign w:val="top"/>
          </w:tcPr>
          <w:p>
            <w:r>
              <w:t>[T1] Data lineage, source contracts, feature approvals and poisoning controls; [T2] independent actuarial/MRM validation; [T3] contaminated-data and proxy-variable tests.</w:t>
            </w:r>
          </w:p>
        </w:tc>
        <w:tc>
          <w:tcPr>
            <w:tcW w:type="dxa" w:w="1037"/>
            <w:vAlign w:val="top"/>
          </w:tcPr>
          <w:p>
            <w:r>
              <w:t>Chief Actuary / Head of Model Risk</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D1-CTL-02</w:t>
            </w:r>
          </w:p>
        </w:tc>
        <w:tc>
          <w:tcPr>
            <w:tcW w:type="dxa" w:w="1037"/>
            <w:vAlign w:val="top"/>
            <w:shd w:fill="EAF2F8"/>
          </w:tcPr>
          <w:p>
            <w:r/>
            <w:r>
              <w:rPr>
                <w:b w:val="0"/>
                <w:sz w:val="10"/>
              </w:rPr>
              <w:t>MODEL EXTRACTION RESISTANCE</w:t>
            </w:r>
          </w:p>
        </w:tc>
        <w:tc>
          <w:tcPr>
            <w:tcW w:type="dxa" w:w="1037"/>
            <w:vAlign w:val="top"/>
            <w:shd w:fill="EAF2F8"/>
          </w:tcPr>
          <w:p>
            <w:r/>
            <w:r>
              <w:rPr>
                <w:b w:val="0"/>
                <w:sz w:val="10"/>
              </w:rPr>
              <w:t>Protect insurance data, models, features and validation against poisoning, extraction, drift and adversarial manipulation.</w:t>
            </w:r>
          </w:p>
        </w:tc>
        <w:tc>
          <w:tcPr>
            <w:tcW w:type="dxa" w:w="1037"/>
            <w:vAlign w:val="top"/>
            <w:shd w:fill="EAF2F8"/>
          </w:tcPr>
          <w:p>
            <w:r/>
            <w:r>
              <w:rPr>
                <w:b w:val="0"/>
                <w:sz w:val="10"/>
              </w:rPr>
              <w:t>Underwriting; pricing; claims; fraud; reserving; catastrophe modelling</w:t>
            </w:r>
          </w:p>
        </w:tc>
        <w:tc>
          <w:tcPr>
            <w:tcW w:type="dxa" w:w="1037"/>
            <w:vAlign w:val="top"/>
            <w:shd w:fill="EAF2F8"/>
          </w:tcPr>
          <w:p>
            <w:r/>
            <w:r>
              <w:rPr>
                <w:b w:val="0"/>
                <w:sz w:val="10"/>
              </w:rPr>
              <w:t>Apply model extraction resistance to the complete insurance decision chain and document sector-specific threats, limits and fallbacks.</w:t>
            </w:r>
          </w:p>
        </w:tc>
        <w:tc>
          <w:tcPr>
            <w:tcW w:type="dxa" w:w="1037"/>
            <w:vAlign w:val="top"/>
            <w:shd w:fill="EAF2F8"/>
          </w:tcPr>
          <w:p>
            <w:r>
              <w:t>[T1] API telemetry, rate limits and access logs; [T2] penetration-test report; [T3] model-extraction simulation.</w:t>
            </w:r>
          </w:p>
        </w:tc>
        <w:tc>
          <w:tcPr>
            <w:tcW w:type="dxa" w:w="1037"/>
            <w:vAlign w:val="top"/>
            <w:shd w:fill="EAF2F8"/>
          </w:tcPr>
          <w:p>
            <w:r>
              <w:t>Chief Actuary / Head of Model Risk</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D1-CTL-03</w:t>
            </w:r>
          </w:p>
        </w:tc>
        <w:tc>
          <w:tcPr>
            <w:tcW w:type="dxa" w:w="1037"/>
            <w:vAlign w:val="top"/>
          </w:tcPr>
          <w:p>
            <w:r/>
            <w:r>
              <w:rPr>
                <w:b w:val="0"/>
                <w:sz w:val="10"/>
              </w:rPr>
              <w:t>BEHAVIORAL DRIFT DETECTION</w:t>
            </w:r>
          </w:p>
        </w:tc>
        <w:tc>
          <w:tcPr>
            <w:tcW w:type="dxa" w:w="1037"/>
            <w:vAlign w:val="top"/>
          </w:tcPr>
          <w:p>
            <w:r/>
            <w:r>
              <w:rPr>
                <w:b w:val="0"/>
                <w:sz w:val="10"/>
              </w:rPr>
              <w:t>Protect insurance data, models, features and validation against poisoning, extraction, drift and adversarial manipulation.</w:t>
            </w:r>
          </w:p>
        </w:tc>
        <w:tc>
          <w:tcPr>
            <w:tcW w:type="dxa" w:w="1037"/>
            <w:vAlign w:val="top"/>
          </w:tcPr>
          <w:p>
            <w:r/>
            <w:r>
              <w:rPr>
                <w:b w:val="0"/>
                <w:sz w:val="10"/>
              </w:rPr>
              <w:t>Underwriting; pricing; claims; fraud; reserving; catastrophe modelling</w:t>
            </w:r>
          </w:p>
        </w:tc>
        <w:tc>
          <w:tcPr>
            <w:tcW w:type="dxa" w:w="1037"/>
            <w:vAlign w:val="top"/>
          </w:tcPr>
          <w:p>
            <w:r/>
            <w:r>
              <w:rPr>
                <w:b w:val="0"/>
                <w:sz w:val="10"/>
              </w:rPr>
              <w:t>Apply behavioral drift detection to the complete insurance decision chain and document sector-specific threats, limits and fallbacks.</w:t>
            </w:r>
          </w:p>
        </w:tc>
        <w:tc>
          <w:tcPr>
            <w:tcW w:type="dxa" w:w="1037"/>
            <w:vAlign w:val="top"/>
          </w:tcPr>
          <w:p>
            <w:r>
              <w:t>[T1] Automated drift/outcome logs and alerts; [T2] MRM or actuarial review; [T3] out-of-distribution and catastrophe-regime stress tests.</w:t>
            </w:r>
          </w:p>
        </w:tc>
        <w:tc>
          <w:tcPr>
            <w:tcW w:type="dxa" w:w="1037"/>
            <w:vAlign w:val="top"/>
          </w:tcPr>
          <w:p>
            <w:r>
              <w:t>Chief Actuary / Head of Model Risk</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D1-CTL-04</w:t>
            </w:r>
          </w:p>
        </w:tc>
        <w:tc>
          <w:tcPr>
            <w:tcW w:type="dxa" w:w="1037"/>
            <w:vAlign w:val="top"/>
            <w:shd w:fill="EAF2F8"/>
          </w:tcPr>
          <w:p>
            <w:r/>
            <w:r>
              <w:rPr>
                <w:b w:val="0"/>
                <w:sz w:val="10"/>
              </w:rPr>
              <w:t>FEDERATED LEARNING POISONING PREVENTION</w:t>
            </w:r>
          </w:p>
        </w:tc>
        <w:tc>
          <w:tcPr>
            <w:tcW w:type="dxa" w:w="1037"/>
            <w:vAlign w:val="top"/>
            <w:shd w:fill="EAF2F8"/>
          </w:tcPr>
          <w:p>
            <w:r/>
            <w:r>
              <w:rPr>
                <w:b w:val="0"/>
                <w:sz w:val="10"/>
              </w:rPr>
              <w:t>Protect insurance data, models, features and validation against poisoning, extraction, drift and adversarial manipulation.</w:t>
            </w:r>
          </w:p>
        </w:tc>
        <w:tc>
          <w:tcPr>
            <w:tcW w:type="dxa" w:w="1037"/>
            <w:vAlign w:val="top"/>
            <w:shd w:fill="EAF2F8"/>
          </w:tcPr>
          <w:p>
            <w:r/>
            <w:r>
              <w:rPr>
                <w:b w:val="0"/>
                <w:sz w:val="10"/>
              </w:rPr>
              <w:t>Underwriting; pricing; claims; fraud; reserving; catastrophe modelling</w:t>
            </w:r>
          </w:p>
        </w:tc>
        <w:tc>
          <w:tcPr>
            <w:tcW w:type="dxa" w:w="1037"/>
            <w:vAlign w:val="top"/>
            <w:shd w:fill="EAF2F8"/>
          </w:tcPr>
          <w:p>
            <w:r/>
            <w:r>
              <w:rPr>
                <w:b w:val="0"/>
                <w:sz w:val="10"/>
              </w:rPr>
              <w:t>Apply federated learning poisoning prevention to the complete insurance decision chain and document sector-specific threats, limits and fallbacks.</w:t>
            </w:r>
          </w:p>
        </w:tc>
        <w:tc>
          <w:tcPr>
            <w:tcW w:type="dxa" w:w="1037"/>
            <w:vAlign w:val="top"/>
            <w:shd w:fill="EAF2F8"/>
          </w:tcPr>
          <w:p>
            <w:r>
              <w:t>[T1] Versioned model/data records and monitoring logs; [T2] independent MRM/Appointed Actuary validation; [T3] adversarial, stress and challenger-model tests.</w:t>
            </w:r>
          </w:p>
        </w:tc>
        <w:tc>
          <w:tcPr>
            <w:tcW w:type="dxa" w:w="1037"/>
            <w:vAlign w:val="top"/>
            <w:shd w:fill="EAF2F8"/>
          </w:tcPr>
          <w:p>
            <w:r>
              <w:t>Chief Actuary / Head of Model Risk</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D1-CTL-05</w:t>
            </w:r>
          </w:p>
        </w:tc>
        <w:tc>
          <w:tcPr>
            <w:tcW w:type="dxa" w:w="1037"/>
            <w:vAlign w:val="top"/>
          </w:tcPr>
          <w:p>
            <w:r/>
            <w:r>
              <w:rPr>
                <w:b w:val="0"/>
                <w:sz w:val="10"/>
              </w:rPr>
              <w:t>EMBEDDING SPACE ROBUSTNESS</w:t>
            </w:r>
          </w:p>
        </w:tc>
        <w:tc>
          <w:tcPr>
            <w:tcW w:type="dxa" w:w="1037"/>
            <w:vAlign w:val="top"/>
          </w:tcPr>
          <w:p>
            <w:r/>
            <w:r>
              <w:rPr>
                <w:b w:val="0"/>
                <w:sz w:val="10"/>
              </w:rPr>
              <w:t>Protect insurance data, models, features and validation against poisoning, extraction, drift and adversarial manipulation.</w:t>
            </w:r>
          </w:p>
        </w:tc>
        <w:tc>
          <w:tcPr>
            <w:tcW w:type="dxa" w:w="1037"/>
            <w:vAlign w:val="top"/>
          </w:tcPr>
          <w:p>
            <w:r/>
            <w:r>
              <w:rPr>
                <w:b w:val="0"/>
                <w:sz w:val="10"/>
              </w:rPr>
              <w:t>Underwriting; pricing; claims; fraud; reserving; catastrophe modelling</w:t>
            </w:r>
          </w:p>
        </w:tc>
        <w:tc>
          <w:tcPr>
            <w:tcW w:type="dxa" w:w="1037"/>
            <w:vAlign w:val="top"/>
          </w:tcPr>
          <w:p>
            <w:r/>
            <w:r>
              <w:rPr>
                <w:b w:val="0"/>
                <w:sz w:val="10"/>
              </w:rPr>
              <w:t>Apply embedding space robustness to the complete insurance decision chain and document sector-specific threats, limits and fallbacks.</w:t>
            </w:r>
          </w:p>
        </w:tc>
        <w:tc>
          <w:tcPr>
            <w:tcW w:type="dxa" w:w="1037"/>
            <w:vAlign w:val="top"/>
          </w:tcPr>
          <w:p>
            <w:r>
              <w:t>[T1] Versioned model/data records and monitoring logs; [T2] independent MRM/Appointed Actuary validation; [T3] adversarial, stress and challenger-model tests.</w:t>
            </w:r>
          </w:p>
        </w:tc>
        <w:tc>
          <w:tcPr>
            <w:tcW w:type="dxa" w:w="1037"/>
            <w:vAlign w:val="top"/>
          </w:tcPr>
          <w:p>
            <w:r>
              <w:t>Chief Actuary / Head of Model Risk</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D1-CTL-06</w:t>
            </w:r>
          </w:p>
        </w:tc>
        <w:tc>
          <w:tcPr>
            <w:tcW w:type="dxa" w:w="1037"/>
            <w:vAlign w:val="top"/>
            <w:shd w:fill="EAF2F8"/>
          </w:tcPr>
          <w:p>
            <w:r/>
            <w:r>
              <w:rPr>
                <w:b w:val="0"/>
                <w:sz w:val="10"/>
              </w:rPr>
              <w:t>POST-QUANTUM MODEL SIGNING &amp; CRYPTO HARDENING</w:t>
            </w:r>
          </w:p>
        </w:tc>
        <w:tc>
          <w:tcPr>
            <w:tcW w:type="dxa" w:w="1037"/>
            <w:vAlign w:val="top"/>
            <w:shd w:fill="EAF2F8"/>
          </w:tcPr>
          <w:p>
            <w:r/>
            <w:r>
              <w:rPr>
                <w:b w:val="0"/>
                <w:sz w:val="10"/>
              </w:rPr>
              <w:t>Protect insurance data, models, features and validation against poisoning, extraction, drift and adversarial manipulation.</w:t>
            </w:r>
          </w:p>
        </w:tc>
        <w:tc>
          <w:tcPr>
            <w:tcW w:type="dxa" w:w="1037"/>
            <w:vAlign w:val="top"/>
            <w:shd w:fill="EAF2F8"/>
          </w:tcPr>
          <w:p>
            <w:r/>
            <w:r>
              <w:rPr>
                <w:b w:val="0"/>
                <w:sz w:val="10"/>
              </w:rPr>
              <w:t>Underwriting; pricing; claims; fraud; reserving; catastrophe modelling</w:t>
            </w:r>
          </w:p>
        </w:tc>
        <w:tc>
          <w:tcPr>
            <w:tcW w:type="dxa" w:w="1037"/>
            <w:vAlign w:val="top"/>
            <w:shd w:fill="EAF2F8"/>
          </w:tcPr>
          <w:p>
            <w:r/>
            <w:r>
              <w:rPr>
                <w:b w:val="0"/>
                <w:sz w:val="10"/>
              </w:rPr>
              <w:t>Apply post-quantum model signing &amp; crypto hardening to the complete insurance decision chain and document sector-specific threats, limits and fallbacks.</w:t>
            </w:r>
          </w:p>
        </w:tc>
        <w:tc>
          <w:tcPr>
            <w:tcW w:type="dxa" w:w="1037"/>
            <w:vAlign w:val="top"/>
            <w:shd w:fill="EAF2F8"/>
          </w:tcPr>
          <w:p>
            <w:r>
              <w:t>[T1] Versioned model/data records and monitoring logs; [T2] independent MRM/Appointed Actuary validation; [T3] adversarial, stress and challenger-model tests.</w:t>
            </w:r>
          </w:p>
        </w:tc>
        <w:tc>
          <w:tcPr>
            <w:tcW w:type="dxa" w:w="1037"/>
            <w:vAlign w:val="top"/>
            <w:shd w:fill="EAF2F8"/>
          </w:tcPr>
          <w:p>
            <w:r>
              <w:t>Chief Actuary / Head of Model Risk</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D1-CTL-07</w:t>
            </w:r>
          </w:p>
        </w:tc>
        <w:tc>
          <w:tcPr>
            <w:tcW w:type="dxa" w:w="1037"/>
            <w:vAlign w:val="top"/>
          </w:tcPr>
          <w:p>
            <w:r/>
            <w:r>
              <w:rPr>
                <w:b w:val="0"/>
                <w:sz w:val="10"/>
              </w:rPr>
              <w:t>LORA/ADAPTER INTEGRITY VERIFICATION</w:t>
            </w:r>
          </w:p>
        </w:tc>
        <w:tc>
          <w:tcPr>
            <w:tcW w:type="dxa" w:w="1037"/>
            <w:vAlign w:val="top"/>
          </w:tcPr>
          <w:p>
            <w:r/>
            <w:r>
              <w:rPr>
                <w:b w:val="0"/>
                <w:sz w:val="10"/>
              </w:rPr>
              <w:t>Protect insurance data, models, features and validation against poisoning, extraction, drift and adversarial manipulation.</w:t>
            </w:r>
          </w:p>
        </w:tc>
        <w:tc>
          <w:tcPr>
            <w:tcW w:type="dxa" w:w="1037"/>
            <w:vAlign w:val="top"/>
          </w:tcPr>
          <w:p>
            <w:r/>
            <w:r>
              <w:rPr>
                <w:b w:val="0"/>
                <w:sz w:val="10"/>
              </w:rPr>
              <w:t>Underwriting; pricing; claims; fraud; reserving; catastrophe modelling</w:t>
            </w:r>
          </w:p>
        </w:tc>
        <w:tc>
          <w:tcPr>
            <w:tcW w:type="dxa" w:w="1037"/>
            <w:vAlign w:val="top"/>
          </w:tcPr>
          <w:p>
            <w:r/>
            <w:r>
              <w:rPr>
                <w:b w:val="0"/>
                <w:sz w:val="10"/>
              </w:rPr>
              <w:t>Apply lora/adapter integrity verification to the complete insurance decision chain and document sector-specific threats, limits and fallbacks.</w:t>
            </w:r>
          </w:p>
        </w:tc>
        <w:tc>
          <w:tcPr>
            <w:tcW w:type="dxa" w:w="1037"/>
            <w:vAlign w:val="top"/>
          </w:tcPr>
          <w:p>
            <w:r>
              <w:t>[T1] Versioned model/data records and monitoring logs; [T2] independent MRM/Appointed Actuary validation; [T3] adversarial, stress and challenger-model tests.</w:t>
            </w:r>
          </w:p>
        </w:tc>
        <w:tc>
          <w:tcPr>
            <w:tcW w:type="dxa" w:w="1037"/>
            <w:vAlign w:val="top"/>
          </w:tcPr>
          <w:p>
            <w:r>
              <w:t>Chief Actuary / Head of Model Risk</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D1-CTL-08</w:t>
            </w:r>
          </w:p>
        </w:tc>
        <w:tc>
          <w:tcPr>
            <w:tcW w:type="dxa" w:w="1037"/>
            <w:vAlign w:val="top"/>
            <w:shd w:fill="EAF2F8"/>
          </w:tcPr>
          <w:p>
            <w:r/>
            <w:r>
              <w:rPr>
                <w:b w:val="0"/>
                <w:sz w:val="10"/>
              </w:rPr>
              <w:t>MODEL MERGE ATTACK DETECTION</w:t>
            </w:r>
          </w:p>
        </w:tc>
        <w:tc>
          <w:tcPr>
            <w:tcW w:type="dxa" w:w="1037"/>
            <w:vAlign w:val="top"/>
            <w:shd w:fill="EAF2F8"/>
          </w:tcPr>
          <w:p>
            <w:r/>
            <w:r>
              <w:rPr>
                <w:b w:val="0"/>
                <w:sz w:val="10"/>
              </w:rPr>
              <w:t>Protect insurance data, models, features and validation against poisoning, extraction, drift and adversarial manipulation.</w:t>
            </w:r>
          </w:p>
        </w:tc>
        <w:tc>
          <w:tcPr>
            <w:tcW w:type="dxa" w:w="1037"/>
            <w:vAlign w:val="top"/>
            <w:shd w:fill="EAF2F8"/>
          </w:tcPr>
          <w:p>
            <w:r/>
            <w:r>
              <w:rPr>
                <w:b w:val="0"/>
                <w:sz w:val="10"/>
              </w:rPr>
              <w:t>Underwriting; pricing; claims; fraud; reserving; catastrophe modelling</w:t>
            </w:r>
          </w:p>
        </w:tc>
        <w:tc>
          <w:tcPr>
            <w:tcW w:type="dxa" w:w="1037"/>
            <w:vAlign w:val="top"/>
            <w:shd w:fill="EAF2F8"/>
          </w:tcPr>
          <w:p>
            <w:r/>
            <w:r>
              <w:rPr>
                <w:b w:val="0"/>
                <w:sz w:val="10"/>
              </w:rPr>
              <w:t>Apply model merge attack detection to the complete insurance decision chain and document sector-specific threats, limits and fallbacks.</w:t>
            </w:r>
          </w:p>
        </w:tc>
        <w:tc>
          <w:tcPr>
            <w:tcW w:type="dxa" w:w="1037"/>
            <w:vAlign w:val="top"/>
            <w:shd w:fill="EAF2F8"/>
          </w:tcPr>
          <w:p>
            <w:r>
              <w:t>[T1] Versioned model/data records and monitoring logs; [T2] independent MRM/Appointed Actuary validation; [T3] adversarial, stress and challenger-model tests.</w:t>
            </w:r>
          </w:p>
        </w:tc>
        <w:tc>
          <w:tcPr>
            <w:tcW w:type="dxa" w:w="1037"/>
            <w:vAlign w:val="top"/>
            <w:shd w:fill="EAF2F8"/>
          </w:tcPr>
          <w:p>
            <w:r>
              <w:t>Chief Actuary / Head of Model Risk</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D1-CTL-09</w:t>
            </w:r>
          </w:p>
        </w:tc>
        <w:tc>
          <w:tcPr>
            <w:tcW w:type="dxa" w:w="1037"/>
            <w:vAlign w:val="top"/>
          </w:tcPr>
          <w:p>
            <w:r/>
            <w:r>
              <w:rPr>
                <w:b w:val="0"/>
                <w:sz w:val="10"/>
              </w:rPr>
              <w:t>QUANTIZATION BACKDOOR SCREENING</w:t>
            </w:r>
          </w:p>
        </w:tc>
        <w:tc>
          <w:tcPr>
            <w:tcW w:type="dxa" w:w="1037"/>
            <w:vAlign w:val="top"/>
          </w:tcPr>
          <w:p>
            <w:r/>
            <w:r>
              <w:rPr>
                <w:b w:val="0"/>
                <w:sz w:val="10"/>
              </w:rPr>
              <w:t>Protect insurance data, models, features and validation against poisoning, extraction, drift and adversarial manipulation.</w:t>
            </w:r>
          </w:p>
        </w:tc>
        <w:tc>
          <w:tcPr>
            <w:tcW w:type="dxa" w:w="1037"/>
            <w:vAlign w:val="top"/>
          </w:tcPr>
          <w:p>
            <w:r/>
            <w:r>
              <w:rPr>
                <w:b w:val="0"/>
                <w:sz w:val="10"/>
              </w:rPr>
              <w:t>Underwriting; pricing; claims; fraud; reserving; catastrophe modelling</w:t>
            </w:r>
          </w:p>
        </w:tc>
        <w:tc>
          <w:tcPr>
            <w:tcW w:type="dxa" w:w="1037"/>
            <w:vAlign w:val="top"/>
          </w:tcPr>
          <w:p>
            <w:r/>
            <w:r>
              <w:rPr>
                <w:b w:val="0"/>
                <w:sz w:val="10"/>
              </w:rPr>
              <w:t>Apply quantization backdoor screening to the complete insurance decision chain and document sector-specific threats, limits and fallbacks.</w:t>
            </w:r>
          </w:p>
        </w:tc>
        <w:tc>
          <w:tcPr>
            <w:tcW w:type="dxa" w:w="1037"/>
            <w:vAlign w:val="top"/>
          </w:tcPr>
          <w:p>
            <w:r>
              <w:t>[T1] Versioned model/data records and monitoring logs; [T2] independent MRM/Appointed Actuary validation; [T3] adversarial, stress and challenger-model tests.</w:t>
            </w:r>
          </w:p>
        </w:tc>
        <w:tc>
          <w:tcPr>
            <w:tcW w:type="dxa" w:w="1037"/>
            <w:vAlign w:val="top"/>
          </w:tcPr>
          <w:p>
            <w:r>
              <w:t>Chief Actuary / Head of Model Risk</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D2-CTL-01</w:t>
            </w:r>
          </w:p>
        </w:tc>
        <w:tc>
          <w:tcPr>
            <w:tcW w:type="dxa" w:w="1037"/>
            <w:vAlign w:val="top"/>
            <w:shd w:fill="EAF2F8"/>
          </w:tcPr>
          <w:p>
            <w:r/>
            <w:r>
              <w:rPr>
                <w:b w:val="0"/>
                <w:sz w:val="10"/>
              </w:rPr>
              <w:t>DIRECT PROMPT INJECTION PREVENTION</w:t>
            </w:r>
          </w:p>
        </w:tc>
        <w:tc>
          <w:tcPr>
            <w:tcW w:type="dxa" w:w="1037"/>
            <w:vAlign w:val="top"/>
            <w:shd w:fill="EAF2F8"/>
          </w:tcPr>
          <w:p>
            <w:r/>
            <w:r>
              <w:rPr>
                <w:b w:val="0"/>
                <w:sz w:val="10"/>
              </w:rPr>
              <w:t>Secure production inference, APIs, prompts, retrieval, identities, logging, monitoring and runtime containment.</w:t>
            </w:r>
          </w:p>
        </w:tc>
        <w:tc>
          <w:tcPr>
            <w:tcW w:type="dxa" w:w="1037"/>
            <w:vAlign w:val="top"/>
            <w:shd w:fill="EAF2F8"/>
          </w:tcPr>
          <w:p>
            <w:r/>
            <w:r>
              <w:rPr>
                <w:b w:val="0"/>
                <w:sz w:val="10"/>
              </w:rPr>
              <w:t>Claims platforms; customer portals; APIs; GenAI assistants; decision engines</w:t>
            </w:r>
          </w:p>
        </w:tc>
        <w:tc>
          <w:tcPr>
            <w:tcW w:type="dxa" w:w="1037"/>
            <w:vAlign w:val="top"/>
            <w:shd w:fill="EAF2F8"/>
          </w:tcPr>
          <w:p>
            <w:r/>
            <w:r>
              <w:rPr>
                <w:b w:val="0"/>
                <w:sz w:val="10"/>
              </w:rPr>
              <w:t>Apply direct prompt injection prevention to the complete insurance decision chain and document sector-specific threats, limits and fallbacks.</w:t>
            </w:r>
          </w:p>
        </w:tc>
        <w:tc>
          <w:tcPr>
            <w:tcW w:type="dxa" w:w="1037"/>
            <w:vAlign w:val="top"/>
            <w:shd w:fill="EAF2F8"/>
          </w:tcPr>
          <w:p>
            <w:r>
              <w:t>[T1] Input/output policy logs, tool-call traces and blocked-attempt telemetry; [T2] security review; [T3] direct, indirect and cross-agent injection tests.</w:t>
            </w:r>
          </w:p>
        </w:tc>
        <w:tc>
          <w:tcPr>
            <w:tcW w:type="dxa" w:w="1037"/>
            <w:vAlign w:val="top"/>
            <w:shd w:fill="EAF2F8"/>
          </w:tcPr>
          <w:p>
            <w:r>
              <w:t>CISO / Security Operations</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D2-CTL-02</w:t>
            </w:r>
          </w:p>
        </w:tc>
        <w:tc>
          <w:tcPr>
            <w:tcW w:type="dxa" w:w="1037"/>
            <w:vAlign w:val="top"/>
          </w:tcPr>
          <w:p>
            <w:r/>
            <w:r>
              <w:rPr>
                <w:b w:val="0"/>
                <w:sz w:val="10"/>
              </w:rPr>
              <w:t>INDIRECT PROMPT INJECTION PREVENTION</w:t>
            </w:r>
          </w:p>
        </w:tc>
        <w:tc>
          <w:tcPr>
            <w:tcW w:type="dxa" w:w="1037"/>
            <w:vAlign w:val="top"/>
          </w:tcPr>
          <w:p>
            <w:r/>
            <w:r>
              <w:rPr>
                <w:b w:val="0"/>
                <w:sz w:val="10"/>
              </w:rPr>
              <w:t>Secure production inference, APIs, prompts, retrieval, identities, logging, monitoring and runtime containment.</w:t>
            </w:r>
          </w:p>
        </w:tc>
        <w:tc>
          <w:tcPr>
            <w:tcW w:type="dxa" w:w="1037"/>
            <w:vAlign w:val="top"/>
          </w:tcPr>
          <w:p>
            <w:r/>
            <w:r>
              <w:rPr>
                <w:b w:val="0"/>
                <w:sz w:val="10"/>
              </w:rPr>
              <w:t>Claims platforms; customer portals; APIs; GenAI assistants; decision engines</w:t>
            </w:r>
          </w:p>
        </w:tc>
        <w:tc>
          <w:tcPr>
            <w:tcW w:type="dxa" w:w="1037"/>
            <w:vAlign w:val="top"/>
          </w:tcPr>
          <w:p>
            <w:r/>
            <w:r>
              <w:rPr>
                <w:b w:val="0"/>
                <w:sz w:val="10"/>
              </w:rPr>
              <w:t>Apply indirect prompt injection prevention to the complete insurance decision chain and document sector-specific threats, limits and fallbacks.</w:t>
            </w:r>
          </w:p>
        </w:tc>
        <w:tc>
          <w:tcPr>
            <w:tcW w:type="dxa" w:w="1037"/>
            <w:vAlign w:val="top"/>
          </w:tcPr>
          <w:p>
            <w:r>
              <w:t>[T1] Input/output policy logs, tool-call traces and blocked-attempt telemetry; [T2] security review; [T3] direct, indirect and cross-agent injection tests.</w:t>
            </w:r>
          </w:p>
        </w:tc>
        <w:tc>
          <w:tcPr>
            <w:tcW w:type="dxa" w:w="1037"/>
            <w:vAlign w:val="top"/>
          </w:tcPr>
          <w:p>
            <w:r>
              <w:t>CISO / Security Operations</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D2-CTL-03</w:t>
            </w:r>
          </w:p>
        </w:tc>
        <w:tc>
          <w:tcPr>
            <w:tcW w:type="dxa" w:w="1037"/>
            <w:vAlign w:val="top"/>
            <w:shd w:fill="EAF2F8"/>
          </w:tcPr>
          <w:p>
            <w:r/>
            <w:r>
              <w:rPr>
                <w:b w:val="0"/>
                <w:sz w:val="10"/>
              </w:rPr>
              <w:t>JAILBREAK RESISTANCE TESTING</w:t>
            </w:r>
          </w:p>
        </w:tc>
        <w:tc>
          <w:tcPr>
            <w:tcW w:type="dxa" w:w="1037"/>
            <w:vAlign w:val="top"/>
            <w:shd w:fill="EAF2F8"/>
          </w:tcPr>
          <w:p>
            <w:r/>
            <w:r>
              <w:rPr>
                <w:b w:val="0"/>
                <w:sz w:val="10"/>
              </w:rPr>
              <w:t>Secure production inference, APIs, prompts, retrieval, identities, logging, monitoring and runtime containment.</w:t>
            </w:r>
          </w:p>
        </w:tc>
        <w:tc>
          <w:tcPr>
            <w:tcW w:type="dxa" w:w="1037"/>
            <w:vAlign w:val="top"/>
            <w:shd w:fill="EAF2F8"/>
          </w:tcPr>
          <w:p>
            <w:r/>
            <w:r>
              <w:rPr>
                <w:b w:val="0"/>
                <w:sz w:val="10"/>
              </w:rPr>
              <w:t>Claims platforms; customer portals; APIs; GenAI assistants; decision engines</w:t>
            </w:r>
          </w:p>
        </w:tc>
        <w:tc>
          <w:tcPr>
            <w:tcW w:type="dxa" w:w="1037"/>
            <w:vAlign w:val="top"/>
            <w:shd w:fill="EAF2F8"/>
          </w:tcPr>
          <w:p>
            <w:r/>
            <w:r>
              <w:rPr>
                <w:b w:val="0"/>
                <w:sz w:val="10"/>
              </w:rPr>
              <w:t>Apply jailbreak resistance testing to the complete insurance decision chain and document sector-specific threats, limits and fallbacks.</w:t>
            </w:r>
          </w:p>
        </w:tc>
        <w:tc>
          <w:tcPr>
            <w:tcW w:type="dxa" w:w="1037"/>
            <w:vAlign w:val="top"/>
            <w:shd w:fill="EAF2F8"/>
          </w:tcPr>
          <w:p>
            <w:r>
              <w:t>[T1] IAM, runtime, API and security telemetry; [T2] control-effectiveness review; [T3] attack, abuse and failover exercises.</w:t>
            </w:r>
          </w:p>
        </w:tc>
        <w:tc>
          <w:tcPr>
            <w:tcW w:type="dxa" w:w="1037"/>
            <w:vAlign w:val="top"/>
            <w:shd w:fill="EAF2F8"/>
          </w:tcPr>
          <w:p>
            <w:r>
              <w:t>CISO / Security Operations</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D2-CTL-04</w:t>
            </w:r>
          </w:p>
        </w:tc>
        <w:tc>
          <w:tcPr>
            <w:tcW w:type="dxa" w:w="1037"/>
            <w:vAlign w:val="top"/>
          </w:tcPr>
          <w:p>
            <w:r/>
            <w:r>
              <w:rPr>
                <w:b w:val="0"/>
                <w:sz w:val="10"/>
              </w:rPr>
              <w:t>MULTI-MODAL INJECTION DEFENSE</w:t>
            </w:r>
          </w:p>
        </w:tc>
        <w:tc>
          <w:tcPr>
            <w:tcW w:type="dxa" w:w="1037"/>
            <w:vAlign w:val="top"/>
          </w:tcPr>
          <w:p>
            <w:r/>
            <w:r>
              <w:rPr>
                <w:b w:val="0"/>
                <w:sz w:val="10"/>
              </w:rPr>
              <w:t>Secure production inference, APIs, prompts, retrieval, identities, logging, monitoring and runtime containment.</w:t>
            </w:r>
          </w:p>
        </w:tc>
        <w:tc>
          <w:tcPr>
            <w:tcW w:type="dxa" w:w="1037"/>
            <w:vAlign w:val="top"/>
          </w:tcPr>
          <w:p>
            <w:r/>
            <w:r>
              <w:rPr>
                <w:b w:val="0"/>
                <w:sz w:val="10"/>
              </w:rPr>
              <w:t>Claims platforms; customer portals; APIs; GenAI assistants; decision engines</w:t>
            </w:r>
          </w:p>
        </w:tc>
        <w:tc>
          <w:tcPr>
            <w:tcW w:type="dxa" w:w="1037"/>
            <w:vAlign w:val="top"/>
          </w:tcPr>
          <w:p>
            <w:r/>
            <w:r>
              <w:rPr>
                <w:b w:val="0"/>
                <w:sz w:val="10"/>
              </w:rPr>
              <w:t>Apply multi-modal injection defense to the complete insurance decision chain and document sector-specific threats, limits and fallbacks.</w:t>
            </w:r>
          </w:p>
        </w:tc>
        <w:tc>
          <w:tcPr>
            <w:tcW w:type="dxa" w:w="1037"/>
            <w:vAlign w:val="top"/>
          </w:tcPr>
          <w:p>
            <w:r>
              <w:t>[T1] IAM, runtime, API and security telemetry; [T2] control-effectiveness review; [T3] attack, abuse and failover exercises.</w:t>
            </w:r>
          </w:p>
        </w:tc>
        <w:tc>
          <w:tcPr>
            <w:tcW w:type="dxa" w:w="1037"/>
            <w:vAlign w:val="top"/>
          </w:tcPr>
          <w:p>
            <w:r>
              <w:t>CISO / Security Operations</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D2-CTL-05</w:t>
            </w:r>
          </w:p>
        </w:tc>
        <w:tc>
          <w:tcPr>
            <w:tcW w:type="dxa" w:w="1037"/>
            <w:vAlign w:val="top"/>
            <w:shd w:fill="EAF2F8"/>
          </w:tcPr>
          <w:p>
            <w:r/>
            <w:r>
              <w:rPr>
                <w:b w:val="0"/>
                <w:sz w:val="10"/>
              </w:rPr>
              <w:t>FUNCTION CALL/TOOL CALL INJECTION PREVENTION</w:t>
            </w:r>
          </w:p>
        </w:tc>
        <w:tc>
          <w:tcPr>
            <w:tcW w:type="dxa" w:w="1037"/>
            <w:vAlign w:val="top"/>
            <w:shd w:fill="EAF2F8"/>
          </w:tcPr>
          <w:p>
            <w:r/>
            <w:r>
              <w:rPr>
                <w:b w:val="0"/>
                <w:sz w:val="10"/>
              </w:rPr>
              <w:t>Secure production inference, APIs, prompts, retrieval, identities, logging, monitoring and runtime containment.</w:t>
            </w:r>
          </w:p>
        </w:tc>
        <w:tc>
          <w:tcPr>
            <w:tcW w:type="dxa" w:w="1037"/>
            <w:vAlign w:val="top"/>
            <w:shd w:fill="EAF2F8"/>
          </w:tcPr>
          <w:p>
            <w:r/>
            <w:r>
              <w:rPr>
                <w:b w:val="0"/>
                <w:sz w:val="10"/>
              </w:rPr>
              <w:t>Claims platforms; customer portals; APIs; GenAI assistants; decision engines</w:t>
            </w:r>
          </w:p>
        </w:tc>
        <w:tc>
          <w:tcPr>
            <w:tcW w:type="dxa" w:w="1037"/>
            <w:vAlign w:val="top"/>
            <w:shd w:fill="EAF2F8"/>
          </w:tcPr>
          <w:p>
            <w:r/>
            <w:r>
              <w:rPr>
                <w:b w:val="0"/>
                <w:sz w:val="10"/>
              </w:rPr>
              <w:t>Apply function call/tool call injection prevention to the complete insurance decision chain and document sector-specific threats, limits and fallbacks.</w:t>
            </w:r>
          </w:p>
        </w:tc>
        <w:tc>
          <w:tcPr>
            <w:tcW w:type="dxa" w:w="1037"/>
            <w:vAlign w:val="top"/>
            <w:shd w:fill="EAF2F8"/>
          </w:tcPr>
          <w:p>
            <w:r>
              <w:t>[T1] Agent identity, delegation, tool-call and transaction logs; [T2] accountable-owner approval; [T3] loop, privilege and agent-to-agent authentication tests.</w:t>
            </w:r>
          </w:p>
        </w:tc>
        <w:tc>
          <w:tcPr>
            <w:tcW w:type="dxa" w:w="1037"/>
            <w:vAlign w:val="top"/>
            <w:shd w:fill="EAF2F8"/>
          </w:tcPr>
          <w:p>
            <w:r>
              <w:t>CISO / Security Operations</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D2-CTL-06</w:t>
            </w:r>
          </w:p>
        </w:tc>
        <w:tc>
          <w:tcPr>
            <w:tcW w:type="dxa" w:w="1037"/>
            <w:vAlign w:val="top"/>
          </w:tcPr>
          <w:p>
            <w:r/>
            <w:r>
              <w:rPr>
                <w:b w:val="0"/>
                <w:sz w:val="10"/>
              </w:rPr>
              <w:t>CROSS-CONTEXT HIJACKING MITIGATION</w:t>
            </w:r>
          </w:p>
        </w:tc>
        <w:tc>
          <w:tcPr>
            <w:tcW w:type="dxa" w:w="1037"/>
            <w:vAlign w:val="top"/>
          </w:tcPr>
          <w:p>
            <w:r/>
            <w:r>
              <w:rPr>
                <w:b w:val="0"/>
                <w:sz w:val="10"/>
              </w:rPr>
              <w:t>Secure production inference, APIs, prompts, retrieval, identities, logging, monitoring and runtime containment.</w:t>
            </w:r>
          </w:p>
        </w:tc>
        <w:tc>
          <w:tcPr>
            <w:tcW w:type="dxa" w:w="1037"/>
            <w:vAlign w:val="top"/>
          </w:tcPr>
          <w:p>
            <w:r/>
            <w:r>
              <w:rPr>
                <w:b w:val="0"/>
                <w:sz w:val="10"/>
              </w:rPr>
              <w:t>Claims platforms; customer portals; APIs; GenAI assistants; decision engines</w:t>
            </w:r>
          </w:p>
        </w:tc>
        <w:tc>
          <w:tcPr>
            <w:tcW w:type="dxa" w:w="1037"/>
            <w:vAlign w:val="top"/>
          </w:tcPr>
          <w:p>
            <w:r/>
            <w:r>
              <w:rPr>
                <w:b w:val="0"/>
                <w:sz w:val="10"/>
              </w:rPr>
              <w:t>Apply cross-context hijacking mitigation to the complete insurance decision chain and document sector-specific threats, limits and fallbacks.</w:t>
            </w:r>
          </w:p>
        </w:tc>
        <w:tc>
          <w:tcPr>
            <w:tcW w:type="dxa" w:w="1037"/>
            <w:vAlign w:val="top"/>
          </w:tcPr>
          <w:p>
            <w:r>
              <w:t>[T1] IAM, runtime, API and security telemetry; [T2] control-effectiveness review; [T3] attack, abuse and failover exercises.</w:t>
            </w:r>
          </w:p>
        </w:tc>
        <w:tc>
          <w:tcPr>
            <w:tcW w:type="dxa" w:w="1037"/>
            <w:vAlign w:val="top"/>
          </w:tcPr>
          <w:p>
            <w:r>
              <w:t>CISO / Security Operations</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D3-CTL-01</w:t>
            </w:r>
          </w:p>
        </w:tc>
        <w:tc>
          <w:tcPr>
            <w:tcW w:type="dxa" w:w="1037"/>
            <w:vAlign w:val="top"/>
            <w:shd w:fill="EAF2F8"/>
          </w:tcPr>
          <w:p>
            <w:r/>
            <w:r>
              <w:rPr>
                <w:b w:val="0"/>
                <w:sz w:val="10"/>
              </w:rPr>
              <w:t>LEAST AGENCY ENFORCEMENT</w:t>
            </w:r>
          </w:p>
        </w:tc>
        <w:tc>
          <w:tcPr>
            <w:tcW w:type="dxa" w:w="1037"/>
            <w:vAlign w:val="top"/>
            <w:shd w:fill="EAF2F8"/>
          </w:tcPr>
          <w:p>
            <w:r/>
            <w:r>
              <w:rPr>
                <w:b w:val="0"/>
                <w:sz w:val="10"/>
              </w:rPr>
              <w:t>Constrain delegated authority, tools, transactions and autonomous actions in claims, underwriting and customer operations.</w:t>
            </w:r>
          </w:p>
        </w:tc>
        <w:tc>
          <w:tcPr>
            <w:tcW w:type="dxa" w:w="1037"/>
            <w:vAlign w:val="top"/>
            <w:shd w:fill="EAF2F8"/>
          </w:tcPr>
          <w:p>
            <w:r/>
            <w:r>
              <w:rPr>
                <w:b w:val="0"/>
                <w:sz w:val="10"/>
              </w:rPr>
              <w:t>Agentic claims; workflow automation; broker support; autonomous triage</w:t>
            </w:r>
          </w:p>
        </w:tc>
        <w:tc>
          <w:tcPr>
            <w:tcW w:type="dxa" w:w="1037"/>
            <w:vAlign w:val="top"/>
            <w:shd w:fill="EAF2F8"/>
          </w:tcPr>
          <w:p>
            <w:r/>
            <w:r>
              <w:rPr>
                <w:b w:val="0"/>
                <w:sz w:val="10"/>
              </w:rPr>
              <w:t>Apply least agency enforcement to the complete insurance decision chain and document sector-specific threats, limits and fallbacks.</w:t>
            </w:r>
          </w:p>
        </w:tc>
        <w:tc>
          <w:tcPr>
            <w:tcW w:type="dxa" w:w="1037"/>
            <w:vAlign w:val="top"/>
            <w:shd w:fill="EAF2F8"/>
          </w:tcPr>
          <w:p>
            <w:r>
              <w:t>[T1] Control configuration, operating logs and approvals; [T2] independent review; [T3] controlled simulation/red-team evidence; [T4] vendor or industry claims only as supplementary context.</w:t>
            </w:r>
          </w:p>
        </w:tc>
        <w:tc>
          <w:tcPr>
            <w:tcW w:type="dxa" w:w="1037"/>
            <w:vAlign w:val="top"/>
            <w:shd w:fill="EAF2F8"/>
          </w:tcPr>
          <w:p>
            <w:r/>
            <w:r>
              <w:rPr>
                <w:b w:val="0"/>
                <w:sz w:val="10"/>
              </w:rPr>
              <w:t>AI Governance / Business Owner</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D3-CTL-02</w:t>
            </w:r>
          </w:p>
        </w:tc>
        <w:tc>
          <w:tcPr>
            <w:tcW w:type="dxa" w:w="1037"/>
            <w:vAlign w:val="top"/>
          </w:tcPr>
          <w:p>
            <w:r/>
            <w:r>
              <w:rPr>
                <w:b w:val="0"/>
                <w:sz w:val="10"/>
              </w:rPr>
              <w:t>INTER-AGENT COMMUNICATION SECURITY</w:t>
            </w:r>
          </w:p>
        </w:tc>
        <w:tc>
          <w:tcPr>
            <w:tcW w:type="dxa" w:w="1037"/>
            <w:vAlign w:val="top"/>
          </w:tcPr>
          <w:p>
            <w:r/>
            <w:r>
              <w:rPr>
                <w:b w:val="0"/>
                <w:sz w:val="10"/>
              </w:rPr>
              <w:t>Constrain delegated authority, tools, transactions and autonomous actions in claims, underwriting and customer operations.</w:t>
            </w:r>
          </w:p>
        </w:tc>
        <w:tc>
          <w:tcPr>
            <w:tcW w:type="dxa" w:w="1037"/>
            <w:vAlign w:val="top"/>
          </w:tcPr>
          <w:p>
            <w:r/>
            <w:r>
              <w:rPr>
                <w:b w:val="0"/>
                <w:sz w:val="10"/>
              </w:rPr>
              <w:t>Agentic claims; workflow automation; broker support; autonomous triage</w:t>
            </w:r>
          </w:p>
        </w:tc>
        <w:tc>
          <w:tcPr>
            <w:tcW w:type="dxa" w:w="1037"/>
            <w:vAlign w:val="top"/>
          </w:tcPr>
          <w:p>
            <w:r/>
            <w:r>
              <w:rPr>
                <w:b w:val="0"/>
                <w:sz w:val="10"/>
              </w:rPr>
              <w:t>Apply inter-agent communication security to the complete insurance decision chain and document sector-specific threats, limits and fallbacks.</w:t>
            </w:r>
          </w:p>
        </w:tc>
        <w:tc>
          <w:tcPr>
            <w:tcW w:type="dxa" w:w="1037"/>
            <w:vAlign w:val="top"/>
          </w:tcPr>
          <w:p>
            <w:r>
              <w:t>[T1] Agent identity, delegation, tool-call and transaction logs; [T2] accountable-owner approval; [T3] loop, privilege and agent-to-agent authentication tests.</w:t>
            </w:r>
          </w:p>
        </w:tc>
        <w:tc>
          <w:tcPr>
            <w:tcW w:type="dxa" w:w="1037"/>
            <w:vAlign w:val="top"/>
          </w:tcPr>
          <w:p>
            <w:r/>
            <w:r>
              <w:rPr>
                <w:b w:val="0"/>
                <w:sz w:val="10"/>
              </w:rPr>
              <w:t>AI Governance / Business Owner</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D3-CTL-03</w:t>
            </w:r>
          </w:p>
        </w:tc>
        <w:tc>
          <w:tcPr>
            <w:tcW w:type="dxa" w:w="1037"/>
            <w:vAlign w:val="top"/>
            <w:shd w:fill="EAF2F8"/>
          </w:tcPr>
          <w:p>
            <w:r/>
            <w:r>
              <w:rPr>
                <w:b w:val="0"/>
                <w:sz w:val="10"/>
              </w:rPr>
              <w:t>AGENTIC PROMPT CHAINING DETECTION</w:t>
            </w:r>
          </w:p>
        </w:tc>
        <w:tc>
          <w:tcPr>
            <w:tcW w:type="dxa" w:w="1037"/>
            <w:vAlign w:val="top"/>
            <w:shd w:fill="EAF2F8"/>
          </w:tcPr>
          <w:p>
            <w:r/>
            <w:r>
              <w:rPr>
                <w:b w:val="0"/>
                <w:sz w:val="10"/>
              </w:rPr>
              <w:t>Constrain delegated authority, tools, transactions and autonomous actions in claims, underwriting and customer operations.</w:t>
            </w:r>
          </w:p>
        </w:tc>
        <w:tc>
          <w:tcPr>
            <w:tcW w:type="dxa" w:w="1037"/>
            <w:vAlign w:val="top"/>
            <w:shd w:fill="EAF2F8"/>
          </w:tcPr>
          <w:p>
            <w:r/>
            <w:r>
              <w:rPr>
                <w:b w:val="0"/>
                <w:sz w:val="10"/>
              </w:rPr>
              <w:t>Agentic claims; workflow automation; broker support; autonomous triage</w:t>
            </w:r>
          </w:p>
        </w:tc>
        <w:tc>
          <w:tcPr>
            <w:tcW w:type="dxa" w:w="1037"/>
            <w:vAlign w:val="top"/>
            <w:shd w:fill="EAF2F8"/>
          </w:tcPr>
          <w:p>
            <w:r/>
            <w:r>
              <w:rPr>
                <w:b w:val="0"/>
                <w:sz w:val="10"/>
              </w:rPr>
              <w:t>Apply agentic prompt chaining detection to the complete insurance decision chain and document sector-specific threats, limits and fallbacks.</w:t>
            </w:r>
          </w:p>
        </w:tc>
        <w:tc>
          <w:tcPr>
            <w:tcW w:type="dxa" w:w="1037"/>
            <w:vAlign w:val="top"/>
            <w:shd w:fill="EAF2F8"/>
          </w:tcPr>
          <w:p>
            <w:r>
              <w:t>[T1] Agent identity, delegation, tool-call and transaction logs; [T2] accountable-owner approval; [T3] loop, privilege and agent-to-agent authentication tests.</w:t>
            </w:r>
          </w:p>
        </w:tc>
        <w:tc>
          <w:tcPr>
            <w:tcW w:type="dxa" w:w="1037"/>
            <w:vAlign w:val="top"/>
            <w:shd w:fill="EAF2F8"/>
          </w:tcPr>
          <w:p>
            <w:r/>
            <w:r>
              <w:rPr>
                <w:b w:val="0"/>
                <w:sz w:val="10"/>
              </w:rPr>
              <w:t>AI Governance / Business Owner</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D3-CTL-04</w:t>
            </w:r>
          </w:p>
        </w:tc>
        <w:tc>
          <w:tcPr>
            <w:tcW w:type="dxa" w:w="1037"/>
            <w:vAlign w:val="top"/>
          </w:tcPr>
          <w:p>
            <w:r/>
            <w:r>
              <w:rPr>
                <w:b w:val="0"/>
                <w:sz w:val="10"/>
              </w:rPr>
              <w:t>EMBODIED AI SAFETY CONTROLS</w:t>
            </w:r>
          </w:p>
        </w:tc>
        <w:tc>
          <w:tcPr>
            <w:tcW w:type="dxa" w:w="1037"/>
            <w:vAlign w:val="top"/>
          </w:tcPr>
          <w:p>
            <w:r/>
            <w:r>
              <w:rPr>
                <w:b w:val="0"/>
                <w:sz w:val="10"/>
              </w:rPr>
              <w:t>Constrain delegated authority, tools, transactions and autonomous actions in claims, underwriting and customer operations.</w:t>
            </w:r>
          </w:p>
        </w:tc>
        <w:tc>
          <w:tcPr>
            <w:tcW w:type="dxa" w:w="1037"/>
            <w:vAlign w:val="top"/>
          </w:tcPr>
          <w:p>
            <w:r/>
            <w:r>
              <w:rPr>
                <w:b w:val="0"/>
                <w:sz w:val="10"/>
              </w:rPr>
              <w:t>Agentic claims; workflow automation; broker support; autonomous triage</w:t>
            </w:r>
          </w:p>
        </w:tc>
        <w:tc>
          <w:tcPr>
            <w:tcW w:type="dxa" w:w="1037"/>
            <w:vAlign w:val="top"/>
          </w:tcPr>
          <w:p>
            <w:r/>
            <w:r>
              <w:rPr>
                <w:b w:val="0"/>
                <w:sz w:val="10"/>
              </w:rPr>
              <w:t>Apply embodied ai safety controls to the complete insurance decision chain and document sector-specific threats, limits and fallbacks.</w:t>
            </w:r>
          </w:p>
        </w:tc>
        <w:tc>
          <w:tcPr>
            <w:tcW w:type="dxa" w:w="1037"/>
            <w:vAlign w:val="top"/>
          </w:tcPr>
          <w:p>
            <w:r>
              <w:t>[T1] Control configuration, operating logs and approvals; [T2] independent review; [T3] controlled simulation/red-team evidence; [T4] vendor or industry claims only as supplementary context.</w:t>
            </w:r>
          </w:p>
        </w:tc>
        <w:tc>
          <w:tcPr>
            <w:tcW w:type="dxa" w:w="1037"/>
            <w:vAlign w:val="top"/>
          </w:tcPr>
          <w:p>
            <w:r/>
            <w:r>
              <w:rPr>
                <w:b w:val="0"/>
                <w:sz w:val="10"/>
              </w:rPr>
              <w:t>AI Governance / Business Owner</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D3-CTL-05</w:t>
            </w:r>
          </w:p>
        </w:tc>
        <w:tc>
          <w:tcPr>
            <w:tcW w:type="dxa" w:w="1037"/>
            <w:vAlign w:val="top"/>
            <w:shd w:fill="EAF2F8"/>
          </w:tcPr>
          <w:p>
            <w:r/>
            <w:r>
              <w:rPr>
                <w:b w:val="0"/>
                <w:sz w:val="10"/>
              </w:rPr>
              <w:t>MULTI-AGENT TRUST CHAIN ATTESTATION</w:t>
            </w:r>
          </w:p>
        </w:tc>
        <w:tc>
          <w:tcPr>
            <w:tcW w:type="dxa" w:w="1037"/>
            <w:vAlign w:val="top"/>
            <w:shd w:fill="EAF2F8"/>
          </w:tcPr>
          <w:p>
            <w:r/>
            <w:r>
              <w:rPr>
                <w:b w:val="0"/>
                <w:sz w:val="10"/>
              </w:rPr>
              <w:t>Constrain delegated authority, tools, transactions and autonomous actions in claims, underwriting and customer operations.</w:t>
            </w:r>
          </w:p>
        </w:tc>
        <w:tc>
          <w:tcPr>
            <w:tcW w:type="dxa" w:w="1037"/>
            <w:vAlign w:val="top"/>
            <w:shd w:fill="EAF2F8"/>
          </w:tcPr>
          <w:p>
            <w:r/>
            <w:r>
              <w:rPr>
                <w:b w:val="0"/>
                <w:sz w:val="10"/>
              </w:rPr>
              <w:t>Agentic claims; workflow automation; broker support; autonomous triage</w:t>
            </w:r>
          </w:p>
        </w:tc>
        <w:tc>
          <w:tcPr>
            <w:tcW w:type="dxa" w:w="1037"/>
            <w:vAlign w:val="top"/>
            <w:shd w:fill="EAF2F8"/>
          </w:tcPr>
          <w:p>
            <w:r/>
            <w:r>
              <w:rPr>
                <w:b w:val="0"/>
                <w:sz w:val="10"/>
              </w:rPr>
              <w:t>Apply multi-agent trust chain attestation to the complete insurance decision chain and document sector-specific threats, limits and fallbacks.</w:t>
            </w:r>
          </w:p>
        </w:tc>
        <w:tc>
          <w:tcPr>
            <w:tcW w:type="dxa" w:w="1037"/>
            <w:vAlign w:val="top"/>
            <w:shd w:fill="EAF2F8"/>
          </w:tcPr>
          <w:p>
            <w:r>
              <w:t>[T1] Agent identity, delegation, tool-call and transaction logs; [T2] accountable-owner approval; [T3] loop, privilege and agent-to-agent authentication tests.</w:t>
            </w:r>
          </w:p>
        </w:tc>
        <w:tc>
          <w:tcPr>
            <w:tcW w:type="dxa" w:w="1037"/>
            <w:vAlign w:val="top"/>
            <w:shd w:fill="EAF2F8"/>
          </w:tcPr>
          <w:p>
            <w:r/>
            <w:r>
              <w:rPr>
                <w:b w:val="0"/>
                <w:sz w:val="10"/>
              </w:rPr>
              <w:t>AI Governance / Business Owner</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D3-CTL-06</w:t>
            </w:r>
          </w:p>
        </w:tc>
        <w:tc>
          <w:tcPr>
            <w:tcW w:type="dxa" w:w="1037"/>
            <w:vAlign w:val="top"/>
          </w:tcPr>
          <w:p>
            <w:r/>
            <w:r>
              <w:rPr>
                <w:b w:val="0"/>
                <w:sz w:val="10"/>
              </w:rPr>
              <w:t>PERSISTENT MEMORY EXFILTRATION PREVENTION</w:t>
            </w:r>
          </w:p>
        </w:tc>
        <w:tc>
          <w:tcPr>
            <w:tcW w:type="dxa" w:w="1037"/>
            <w:vAlign w:val="top"/>
          </w:tcPr>
          <w:p>
            <w:r/>
            <w:r>
              <w:rPr>
                <w:b w:val="0"/>
                <w:sz w:val="10"/>
              </w:rPr>
              <w:t>Constrain delegated authority, tools, transactions and autonomous actions in claims, underwriting and customer operations.</w:t>
            </w:r>
          </w:p>
        </w:tc>
        <w:tc>
          <w:tcPr>
            <w:tcW w:type="dxa" w:w="1037"/>
            <w:vAlign w:val="top"/>
          </w:tcPr>
          <w:p>
            <w:r/>
            <w:r>
              <w:rPr>
                <w:b w:val="0"/>
                <w:sz w:val="10"/>
              </w:rPr>
              <w:t>Agentic claims; workflow automation; broker support; autonomous triage</w:t>
            </w:r>
          </w:p>
        </w:tc>
        <w:tc>
          <w:tcPr>
            <w:tcW w:type="dxa" w:w="1037"/>
            <w:vAlign w:val="top"/>
          </w:tcPr>
          <w:p>
            <w:r/>
            <w:r>
              <w:rPr>
                <w:b w:val="0"/>
                <w:sz w:val="10"/>
              </w:rPr>
              <w:t>Apply persistent memory exfiltration prevention to the complete insurance decision chain and document sector-specific threats, limits and fallbacks.</w:t>
            </w:r>
          </w:p>
        </w:tc>
        <w:tc>
          <w:tcPr>
            <w:tcW w:type="dxa" w:w="1037"/>
            <w:vAlign w:val="top"/>
          </w:tcPr>
          <w:p>
            <w:r>
              <w:t>[T1] Control configuration, operating logs and approvals; [T2] independent review; [T3] controlled simulation/red-team evidence; [T4] vendor or industry claims only as supplementary context.</w:t>
            </w:r>
          </w:p>
        </w:tc>
        <w:tc>
          <w:tcPr>
            <w:tcW w:type="dxa" w:w="1037"/>
            <w:vAlign w:val="top"/>
          </w:tcPr>
          <w:p>
            <w:r/>
            <w:r>
              <w:rPr>
                <w:b w:val="0"/>
                <w:sz w:val="10"/>
              </w:rPr>
              <w:t>AI Governance / Business Owner</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D3-CTL-07</w:t>
            </w:r>
          </w:p>
        </w:tc>
        <w:tc>
          <w:tcPr>
            <w:tcW w:type="dxa" w:w="1037"/>
            <w:vAlign w:val="top"/>
            <w:shd w:fill="EAF2F8"/>
          </w:tcPr>
          <w:p>
            <w:r/>
            <w:r>
              <w:rPr>
                <w:b w:val="0"/>
                <w:sz w:val="10"/>
              </w:rPr>
              <w:t>SECURE MEMORY LIFECYCLE MANAGEMENT</w:t>
            </w:r>
          </w:p>
        </w:tc>
        <w:tc>
          <w:tcPr>
            <w:tcW w:type="dxa" w:w="1037"/>
            <w:vAlign w:val="top"/>
            <w:shd w:fill="EAF2F8"/>
          </w:tcPr>
          <w:p>
            <w:r/>
            <w:r>
              <w:rPr>
                <w:b w:val="0"/>
                <w:sz w:val="10"/>
              </w:rPr>
              <w:t>Constrain delegated authority, tools, transactions and autonomous actions in claims, underwriting and customer operations.</w:t>
            </w:r>
          </w:p>
        </w:tc>
        <w:tc>
          <w:tcPr>
            <w:tcW w:type="dxa" w:w="1037"/>
            <w:vAlign w:val="top"/>
            <w:shd w:fill="EAF2F8"/>
          </w:tcPr>
          <w:p>
            <w:r/>
            <w:r>
              <w:rPr>
                <w:b w:val="0"/>
                <w:sz w:val="10"/>
              </w:rPr>
              <w:t>Agentic claims; workflow automation; broker support; autonomous triage</w:t>
            </w:r>
          </w:p>
        </w:tc>
        <w:tc>
          <w:tcPr>
            <w:tcW w:type="dxa" w:w="1037"/>
            <w:vAlign w:val="top"/>
            <w:shd w:fill="EAF2F8"/>
          </w:tcPr>
          <w:p>
            <w:r/>
            <w:r>
              <w:rPr>
                <w:b w:val="0"/>
                <w:sz w:val="10"/>
              </w:rPr>
              <w:t>Apply secure memory lifecycle management to the complete insurance decision chain and document sector-specific threats, limits and fallbacks.</w:t>
            </w:r>
          </w:p>
        </w:tc>
        <w:tc>
          <w:tcPr>
            <w:tcW w:type="dxa" w:w="1037"/>
            <w:vAlign w:val="top"/>
            <w:shd w:fill="EAF2F8"/>
          </w:tcPr>
          <w:p>
            <w:r>
              <w:t>[T1] Control configuration, operating logs and approvals; [T2] independent review; [T3] controlled simulation/red-team evidence; [T4] vendor or industry claims only as supplementary context.</w:t>
            </w:r>
          </w:p>
        </w:tc>
        <w:tc>
          <w:tcPr>
            <w:tcW w:type="dxa" w:w="1037"/>
            <w:vAlign w:val="top"/>
            <w:shd w:fill="EAF2F8"/>
          </w:tcPr>
          <w:p>
            <w:r/>
            <w:r>
              <w:rPr>
                <w:b w:val="0"/>
                <w:sz w:val="10"/>
              </w:rPr>
              <w:t>AI Governance / Business Owner</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D4-CTL-01</w:t>
            </w:r>
          </w:p>
        </w:tc>
        <w:tc>
          <w:tcPr>
            <w:tcW w:type="dxa" w:w="1037"/>
            <w:vAlign w:val="top"/>
          </w:tcPr>
          <w:p>
            <w:r/>
            <w:r>
              <w:rPr>
                <w:b w:val="0"/>
                <w:sz w:val="10"/>
              </w:rPr>
              <w:t>AI BILL OF MATERIALS (AI BOM) MAINTENANCE</w:t>
            </w:r>
          </w:p>
        </w:tc>
        <w:tc>
          <w:tcPr>
            <w:tcW w:type="dxa" w:w="1037"/>
            <w:vAlign w:val="top"/>
          </w:tcPr>
          <w:p>
            <w:r/>
            <w:r>
              <w:rPr>
                <w:b w:val="0"/>
                <w:sz w:val="10"/>
              </w:rPr>
              <w:t>Govern insurtech, cloud, data-broker, catastrophe-model, foundation-model and fourth-party dependencies.</w:t>
            </w:r>
          </w:p>
        </w:tc>
        <w:tc>
          <w:tcPr>
            <w:tcW w:type="dxa" w:w="1037"/>
            <w:vAlign w:val="top"/>
          </w:tcPr>
          <w:p>
            <w:r/>
            <w:r>
              <w:rPr>
                <w:b w:val="0"/>
                <w:sz w:val="10"/>
              </w:rPr>
              <w:t>All outsourced models, data, SaaS, cloud, TPA and reinsurer analytics</w:t>
            </w:r>
          </w:p>
        </w:tc>
        <w:tc>
          <w:tcPr>
            <w:tcW w:type="dxa" w:w="1037"/>
            <w:vAlign w:val="top"/>
          </w:tcPr>
          <w:p>
            <w:r/>
            <w:r>
              <w:rPr>
                <w:b w:val="0"/>
                <w:sz w:val="10"/>
              </w:rPr>
              <w:t>Apply ai bill of materials (ai bom) maintenance to the complete insurance decision chain and document sector-specific threats, limits and fallbacks.</w:t>
            </w:r>
          </w:p>
        </w:tc>
        <w:tc>
          <w:tcPr>
            <w:tcW w:type="dxa" w:w="1037"/>
            <w:vAlign w:val="top"/>
          </w:tcPr>
          <w:p>
            <w:r>
              <w:t>[T1] Due diligence, AI/SBOM, dependency map, contracts and incident/change notices; [T2] independent vendor assurance; [T3] exit, outage and concentration tests.</w:t>
            </w:r>
          </w:p>
        </w:tc>
        <w:tc>
          <w:tcPr>
            <w:tcW w:type="dxa" w:w="1037"/>
            <w:vAlign w:val="top"/>
          </w:tcPr>
          <w:p>
            <w:r>
              <w:t>Head of Third-Party Risk / Procurement</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D4-CTL-02</w:t>
            </w:r>
          </w:p>
        </w:tc>
        <w:tc>
          <w:tcPr>
            <w:tcW w:type="dxa" w:w="1037"/>
            <w:vAlign w:val="top"/>
            <w:shd w:fill="EAF2F8"/>
          </w:tcPr>
          <w:p>
            <w:r/>
            <w:r>
              <w:rPr>
                <w:b w:val="0"/>
                <w:sz w:val="10"/>
              </w:rPr>
              <w:t>MODEL FILE &amp; ARTIFACT SCANNING</w:t>
            </w:r>
          </w:p>
        </w:tc>
        <w:tc>
          <w:tcPr>
            <w:tcW w:type="dxa" w:w="1037"/>
            <w:vAlign w:val="top"/>
            <w:shd w:fill="EAF2F8"/>
          </w:tcPr>
          <w:p>
            <w:r/>
            <w:r>
              <w:rPr>
                <w:b w:val="0"/>
                <w:sz w:val="10"/>
              </w:rPr>
              <w:t>Govern insurtech, cloud, data-broker, catastrophe-model, foundation-model and fourth-party dependencies.</w:t>
            </w:r>
          </w:p>
        </w:tc>
        <w:tc>
          <w:tcPr>
            <w:tcW w:type="dxa" w:w="1037"/>
            <w:vAlign w:val="top"/>
            <w:shd w:fill="EAF2F8"/>
          </w:tcPr>
          <w:p>
            <w:r/>
            <w:r>
              <w:rPr>
                <w:b w:val="0"/>
                <w:sz w:val="10"/>
              </w:rPr>
              <w:t>All outsourced models, data, SaaS, cloud, TPA and reinsurer analytics</w:t>
            </w:r>
          </w:p>
        </w:tc>
        <w:tc>
          <w:tcPr>
            <w:tcW w:type="dxa" w:w="1037"/>
            <w:vAlign w:val="top"/>
            <w:shd w:fill="EAF2F8"/>
          </w:tcPr>
          <w:p>
            <w:r/>
            <w:r>
              <w:rPr>
                <w:b w:val="0"/>
                <w:sz w:val="10"/>
              </w:rPr>
              <w:t>Apply model file &amp; artifact scanning to the complete insurance decision chain and document sector-specific threats, limits and fallbacks.</w:t>
            </w:r>
          </w:p>
        </w:tc>
        <w:tc>
          <w:tcPr>
            <w:tcW w:type="dxa" w:w="1037"/>
            <w:vAlign w:val="top"/>
            <w:shd w:fill="EAF2F8"/>
          </w:tcPr>
          <w:p>
            <w:r>
              <w:t>[T1] Control configuration, operating logs and approvals; [T2] independent review; [T3] controlled simulation/red-team evidence; [T4] vendor or industry claims only as supplementary context.</w:t>
            </w:r>
          </w:p>
        </w:tc>
        <w:tc>
          <w:tcPr>
            <w:tcW w:type="dxa" w:w="1037"/>
            <w:vAlign w:val="top"/>
            <w:shd w:fill="EAF2F8"/>
          </w:tcPr>
          <w:p>
            <w:r>
              <w:t>Head of Third-Party Risk / Procurement</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D4-CTL-03</w:t>
            </w:r>
          </w:p>
        </w:tc>
        <w:tc>
          <w:tcPr>
            <w:tcW w:type="dxa" w:w="1037"/>
            <w:vAlign w:val="top"/>
          </w:tcPr>
          <w:p>
            <w:r/>
            <w:r>
              <w:rPr>
                <w:b w:val="0"/>
                <w:sz w:val="10"/>
              </w:rPr>
              <w:t>MODEL HUB &amp; REGISTRY VETTING</w:t>
            </w:r>
          </w:p>
        </w:tc>
        <w:tc>
          <w:tcPr>
            <w:tcW w:type="dxa" w:w="1037"/>
            <w:vAlign w:val="top"/>
          </w:tcPr>
          <w:p>
            <w:r/>
            <w:r>
              <w:rPr>
                <w:b w:val="0"/>
                <w:sz w:val="10"/>
              </w:rPr>
              <w:t>Govern insurtech, cloud, data-broker, catastrophe-model, foundation-model and fourth-party dependencies.</w:t>
            </w:r>
          </w:p>
        </w:tc>
        <w:tc>
          <w:tcPr>
            <w:tcW w:type="dxa" w:w="1037"/>
            <w:vAlign w:val="top"/>
          </w:tcPr>
          <w:p>
            <w:r/>
            <w:r>
              <w:rPr>
                <w:b w:val="0"/>
                <w:sz w:val="10"/>
              </w:rPr>
              <w:t>All outsourced models, data, SaaS, cloud, TPA and reinsurer analytics</w:t>
            </w:r>
          </w:p>
        </w:tc>
        <w:tc>
          <w:tcPr>
            <w:tcW w:type="dxa" w:w="1037"/>
            <w:vAlign w:val="top"/>
          </w:tcPr>
          <w:p>
            <w:r/>
            <w:r>
              <w:rPr>
                <w:b w:val="0"/>
                <w:sz w:val="10"/>
              </w:rPr>
              <w:t>Apply model hub &amp; registry vetting to the complete insurance decision chain and document sector-specific threats, limits and fallbacks.</w:t>
            </w:r>
          </w:p>
        </w:tc>
        <w:tc>
          <w:tcPr>
            <w:tcW w:type="dxa" w:w="1037"/>
            <w:vAlign w:val="top"/>
          </w:tcPr>
          <w:p>
            <w:r>
              <w:t>[T1] Control configuration, operating logs and approvals; [T2] independent review; [T3] controlled simulation/red-team evidence; [T4] vendor or industry claims only as supplementary context.</w:t>
            </w:r>
          </w:p>
        </w:tc>
        <w:tc>
          <w:tcPr>
            <w:tcW w:type="dxa" w:w="1037"/>
            <w:vAlign w:val="top"/>
          </w:tcPr>
          <w:p>
            <w:r>
              <w:t>Head of Third-Party Risk / Procurement</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D4-CTL-04</w:t>
            </w:r>
          </w:p>
        </w:tc>
        <w:tc>
          <w:tcPr>
            <w:tcW w:type="dxa" w:w="1037"/>
            <w:vAlign w:val="top"/>
            <w:shd w:fill="EAF2F8"/>
          </w:tcPr>
          <w:p>
            <w:r/>
            <w:r>
              <w:rPr>
                <w:b w:val="0"/>
                <w:sz w:val="10"/>
              </w:rPr>
              <w:t>MCP SERVER BEHAVIORAL MONITORING</w:t>
            </w:r>
          </w:p>
        </w:tc>
        <w:tc>
          <w:tcPr>
            <w:tcW w:type="dxa" w:w="1037"/>
            <w:vAlign w:val="top"/>
            <w:shd w:fill="EAF2F8"/>
          </w:tcPr>
          <w:p>
            <w:r/>
            <w:r>
              <w:rPr>
                <w:b w:val="0"/>
                <w:sz w:val="10"/>
              </w:rPr>
              <w:t>Govern insurtech, cloud, data-broker, catastrophe-model, foundation-model and fourth-party dependencies.</w:t>
            </w:r>
          </w:p>
        </w:tc>
        <w:tc>
          <w:tcPr>
            <w:tcW w:type="dxa" w:w="1037"/>
            <w:vAlign w:val="top"/>
            <w:shd w:fill="EAF2F8"/>
          </w:tcPr>
          <w:p>
            <w:r/>
            <w:r>
              <w:rPr>
                <w:b w:val="0"/>
                <w:sz w:val="10"/>
              </w:rPr>
              <w:t>All outsourced models, data, SaaS, cloud, TPA and reinsurer analytics</w:t>
            </w:r>
          </w:p>
        </w:tc>
        <w:tc>
          <w:tcPr>
            <w:tcW w:type="dxa" w:w="1037"/>
            <w:vAlign w:val="top"/>
            <w:shd w:fill="EAF2F8"/>
          </w:tcPr>
          <w:p>
            <w:r/>
            <w:r>
              <w:rPr>
                <w:b w:val="0"/>
                <w:sz w:val="10"/>
              </w:rPr>
              <w:t>Apply mcp server behavioral monitoring to the complete insurance decision chain and document sector-specific threats, limits and fallbacks.</w:t>
            </w:r>
          </w:p>
        </w:tc>
        <w:tc>
          <w:tcPr>
            <w:tcW w:type="dxa" w:w="1037"/>
            <w:vAlign w:val="top"/>
            <w:shd w:fill="EAF2F8"/>
          </w:tcPr>
          <w:p>
            <w:r>
              <w:t>[T1] Control configuration, operating logs and approvals; [T2] independent review; [T3] controlled simulation/red-team evidence; [T4] vendor or industry claims only as supplementary context.</w:t>
            </w:r>
          </w:p>
        </w:tc>
        <w:tc>
          <w:tcPr>
            <w:tcW w:type="dxa" w:w="1037"/>
            <w:vAlign w:val="top"/>
            <w:shd w:fill="EAF2F8"/>
          </w:tcPr>
          <w:p>
            <w:r>
              <w:t>Head of Third-Party Risk / Procurement</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D4-CTL-05</w:t>
            </w:r>
          </w:p>
        </w:tc>
        <w:tc>
          <w:tcPr>
            <w:tcW w:type="dxa" w:w="1037"/>
            <w:vAlign w:val="top"/>
          </w:tcPr>
          <w:p>
            <w:r/>
            <w:r>
              <w:rPr>
                <w:b w:val="0"/>
                <w:sz w:val="10"/>
              </w:rPr>
              <w:t>THIRD-PARTY AI API SECURITY ASSESSMENT</w:t>
            </w:r>
          </w:p>
        </w:tc>
        <w:tc>
          <w:tcPr>
            <w:tcW w:type="dxa" w:w="1037"/>
            <w:vAlign w:val="top"/>
          </w:tcPr>
          <w:p>
            <w:r/>
            <w:r>
              <w:rPr>
                <w:b w:val="0"/>
                <w:sz w:val="10"/>
              </w:rPr>
              <w:t>Govern insurtech, cloud, data-broker, catastrophe-model, foundation-model and fourth-party dependencies.</w:t>
            </w:r>
          </w:p>
        </w:tc>
        <w:tc>
          <w:tcPr>
            <w:tcW w:type="dxa" w:w="1037"/>
            <w:vAlign w:val="top"/>
          </w:tcPr>
          <w:p>
            <w:r/>
            <w:r>
              <w:rPr>
                <w:b w:val="0"/>
                <w:sz w:val="10"/>
              </w:rPr>
              <w:t>All outsourced models, data, SaaS, cloud, TPA and reinsurer analytics</w:t>
            </w:r>
          </w:p>
        </w:tc>
        <w:tc>
          <w:tcPr>
            <w:tcW w:type="dxa" w:w="1037"/>
            <w:vAlign w:val="top"/>
          </w:tcPr>
          <w:p>
            <w:r/>
            <w:r>
              <w:rPr>
                <w:b w:val="0"/>
                <w:sz w:val="10"/>
              </w:rPr>
              <w:t>Apply third-party ai api security assessment to the complete insurance decision chain and document sector-specific threats, limits and fallbacks.</w:t>
            </w:r>
          </w:p>
        </w:tc>
        <w:tc>
          <w:tcPr>
            <w:tcW w:type="dxa" w:w="1037"/>
            <w:vAlign w:val="top"/>
          </w:tcPr>
          <w:p>
            <w:r>
              <w:t>[T1] Due diligence, AI/SBOM, dependency map, contracts and incident/change notices; [T2] independent vendor assurance; [T3] exit, outage and concentration tests.</w:t>
            </w:r>
          </w:p>
        </w:tc>
        <w:tc>
          <w:tcPr>
            <w:tcW w:type="dxa" w:w="1037"/>
            <w:vAlign w:val="top"/>
          </w:tcPr>
          <w:p>
            <w:r>
              <w:t>Head of Third-Party Risk / Procurement</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D4-CTL-06</w:t>
            </w:r>
          </w:p>
        </w:tc>
        <w:tc>
          <w:tcPr>
            <w:tcW w:type="dxa" w:w="1037"/>
            <w:vAlign w:val="top"/>
            <w:shd w:fill="EAF2F8"/>
          </w:tcPr>
          <w:p>
            <w:r/>
            <w:r>
              <w:rPr>
                <w:b w:val="0"/>
                <w:sz w:val="10"/>
              </w:rPr>
              <w:t>SHADOW AI DISCOVERY &amp; GOVERNANCE</w:t>
            </w:r>
          </w:p>
        </w:tc>
        <w:tc>
          <w:tcPr>
            <w:tcW w:type="dxa" w:w="1037"/>
            <w:vAlign w:val="top"/>
            <w:shd w:fill="EAF2F8"/>
          </w:tcPr>
          <w:p>
            <w:r/>
            <w:r>
              <w:rPr>
                <w:b w:val="0"/>
                <w:sz w:val="10"/>
              </w:rPr>
              <w:t>Govern insurtech, cloud, data-broker, catastrophe-model, foundation-model and fourth-party dependencies.</w:t>
            </w:r>
          </w:p>
        </w:tc>
        <w:tc>
          <w:tcPr>
            <w:tcW w:type="dxa" w:w="1037"/>
            <w:vAlign w:val="top"/>
            <w:shd w:fill="EAF2F8"/>
          </w:tcPr>
          <w:p>
            <w:r/>
            <w:r>
              <w:rPr>
                <w:b w:val="0"/>
                <w:sz w:val="10"/>
              </w:rPr>
              <w:t>All outsourced models, data, SaaS, cloud, TPA and reinsurer analytics</w:t>
            </w:r>
          </w:p>
        </w:tc>
        <w:tc>
          <w:tcPr>
            <w:tcW w:type="dxa" w:w="1037"/>
            <w:vAlign w:val="top"/>
            <w:shd w:fill="EAF2F8"/>
          </w:tcPr>
          <w:p>
            <w:r/>
            <w:r>
              <w:rPr>
                <w:b w:val="0"/>
                <w:sz w:val="10"/>
              </w:rPr>
              <w:t>Apply shadow ai discovery &amp; governance to the complete insurance decision chain and document sector-specific threats, limits and fallbacks.</w:t>
            </w:r>
          </w:p>
        </w:tc>
        <w:tc>
          <w:tcPr>
            <w:tcW w:type="dxa" w:w="1037"/>
            <w:vAlign w:val="top"/>
            <w:shd w:fill="EAF2F8"/>
          </w:tcPr>
          <w:p>
            <w:r>
              <w:t>[T1] Control configuration, operating logs and approvals; [T2] independent review; [T3] controlled simulation/red-team evidence; [T4] vendor or industry claims only as supplementary context.</w:t>
            </w:r>
          </w:p>
        </w:tc>
        <w:tc>
          <w:tcPr>
            <w:tcW w:type="dxa" w:w="1037"/>
            <w:vAlign w:val="top"/>
            <w:shd w:fill="EAF2F8"/>
          </w:tcPr>
          <w:p>
            <w:r>
              <w:t>Head of Third-Party Risk / Procurement</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D4-CTL-07</w:t>
            </w:r>
          </w:p>
        </w:tc>
        <w:tc>
          <w:tcPr>
            <w:tcW w:type="dxa" w:w="1037"/>
            <w:vAlign w:val="top"/>
          </w:tcPr>
          <w:p>
            <w:r/>
            <w:r>
              <w:rPr>
                <w:b w:val="0"/>
                <w:sz w:val="10"/>
              </w:rPr>
              <w:t>AI SOFTWARE COMPOSITION ANALYSIS (SCA)</w:t>
            </w:r>
          </w:p>
        </w:tc>
        <w:tc>
          <w:tcPr>
            <w:tcW w:type="dxa" w:w="1037"/>
            <w:vAlign w:val="top"/>
          </w:tcPr>
          <w:p>
            <w:r/>
            <w:r>
              <w:rPr>
                <w:b w:val="0"/>
                <w:sz w:val="10"/>
              </w:rPr>
              <w:t>Govern insurtech, cloud, data-broker, catastrophe-model, foundation-model and fourth-party dependencies.</w:t>
            </w:r>
          </w:p>
        </w:tc>
        <w:tc>
          <w:tcPr>
            <w:tcW w:type="dxa" w:w="1037"/>
            <w:vAlign w:val="top"/>
          </w:tcPr>
          <w:p>
            <w:r/>
            <w:r>
              <w:rPr>
                <w:b w:val="0"/>
                <w:sz w:val="10"/>
              </w:rPr>
              <w:t>All outsourced models, data, SaaS, cloud, TPA and reinsurer analytics</w:t>
            </w:r>
          </w:p>
        </w:tc>
        <w:tc>
          <w:tcPr>
            <w:tcW w:type="dxa" w:w="1037"/>
            <w:vAlign w:val="top"/>
          </w:tcPr>
          <w:p>
            <w:r/>
            <w:r>
              <w:rPr>
                <w:b w:val="0"/>
                <w:sz w:val="10"/>
              </w:rPr>
              <w:t>Apply ai software composition analysis (sca) to the complete insurance decision chain and document sector-specific threats, limits and fallbacks.</w:t>
            </w:r>
          </w:p>
        </w:tc>
        <w:tc>
          <w:tcPr>
            <w:tcW w:type="dxa" w:w="1037"/>
            <w:vAlign w:val="top"/>
          </w:tcPr>
          <w:p>
            <w:r>
              <w:t>[T1] Due diligence, AI/SBOM, dependency map, contracts and incident/change notices; [T2] independent vendor assurance; [T3] exit, outage and concentration tests.</w:t>
            </w:r>
          </w:p>
        </w:tc>
        <w:tc>
          <w:tcPr>
            <w:tcW w:type="dxa" w:w="1037"/>
            <w:vAlign w:val="top"/>
          </w:tcPr>
          <w:p>
            <w:r>
              <w:t>Head of Third-Party Risk / Procurement</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D5-CTL-01</w:t>
            </w:r>
          </w:p>
        </w:tc>
        <w:tc>
          <w:tcPr>
            <w:tcW w:type="dxa" w:w="1037"/>
            <w:vAlign w:val="top"/>
            <w:shd w:fill="EAF2F8"/>
          </w:tcPr>
          <w:p>
            <w:r/>
            <w:r>
              <w:rPr>
                <w:b w:val="0"/>
                <w:sz w:val="10"/>
              </w:rPr>
              <w:t>HARMFUL CONTENT BLOCKING</w:t>
            </w:r>
          </w:p>
        </w:tc>
        <w:tc>
          <w:tcPr>
            <w:tcW w:type="dxa" w:w="1037"/>
            <w:vAlign w:val="top"/>
            <w:shd w:fill="EAF2F8"/>
          </w:tcPr>
          <w:p>
            <w:r>
              <w:t>Block, constrain and escalate hallucinated, misleading, unsafe or unauthorised outputs in policyholder communications, claims summaries, underwriting support and agent-facing content.</w:t>
            </w:r>
          </w:p>
        </w:tc>
        <w:tc>
          <w:tcPr>
            <w:tcW w:type="dxa" w:w="1037"/>
            <w:vAlign w:val="top"/>
            <w:shd w:fill="EAF2F8"/>
          </w:tcPr>
          <w:p>
            <w:r/>
            <w:r>
              <w:rPr>
                <w:b w:val="0"/>
                <w:sz w:val="10"/>
              </w:rPr>
              <w:t>Customer communications; claim summaries; policy documents; recommendations</w:t>
            </w:r>
          </w:p>
        </w:tc>
        <w:tc>
          <w:tcPr>
            <w:tcW w:type="dxa" w:w="1037"/>
            <w:vAlign w:val="top"/>
            <w:shd w:fill="EAF2F8"/>
          </w:tcPr>
          <w:p>
            <w:r/>
            <w:r>
              <w:rPr>
                <w:b w:val="0"/>
                <w:sz w:val="10"/>
              </w:rPr>
              <w:t>Apply harmful content blocking to the complete insurance decision chain and document sector-specific threats, limits and fallbacks.</w:t>
            </w:r>
          </w:p>
        </w:tc>
        <w:tc>
          <w:tcPr>
            <w:tcW w:type="dxa" w:w="1037"/>
            <w:vAlign w:val="top"/>
            <w:shd w:fill="EAF2F8"/>
          </w:tcPr>
          <w:p>
            <w:r>
              <w:t>[T1] Output-policy configuration, blocked-output logs and complaint/correction records; [T2] conduct review; [T3] hallucination and harmful-content tests.</w:t>
            </w:r>
          </w:p>
        </w:tc>
        <w:tc>
          <w:tcPr>
            <w:tcW w:type="dxa" w:w="1037"/>
            <w:vAlign w:val="top"/>
            <w:shd w:fill="EAF2F8"/>
          </w:tcPr>
          <w:p>
            <w:r>
              <w:t>Conduct / Privacy / Legal / CISO, according to control</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D5-CTL-02</w:t>
            </w:r>
          </w:p>
        </w:tc>
        <w:tc>
          <w:tcPr>
            <w:tcW w:type="dxa" w:w="1037"/>
            <w:vAlign w:val="top"/>
          </w:tcPr>
          <w:p>
            <w:r/>
            <w:r>
              <w:rPr>
                <w:b w:val="0"/>
                <w:sz w:val="10"/>
              </w:rPr>
              <w:t>PII LEAKAGE PREVENTION</w:t>
            </w:r>
          </w:p>
        </w:tc>
        <w:tc>
          <w:tcPr>
            <w:tcW w:type="dxa" w:w="1037"/>
            <w:vAlign w:val="top"/>
          </w:tcPr>
          <w:p>
            <w:r>
              <w:t>Prevent leakage of medical records, government identifiers, financial identifiers, claims data and telemetry through prompts, retrieval, generated outputs, logs and model-provider interfaces; apply redaction and output inspection before disclosure.</w:t>
            </w:r>
          </w:p>
        </w:tc>
        <w:tc>
          <w:tcPr>
            <w:tcW w:type="dxa" w:w="1037"/>
            <w:vAlign w:val="top"/>
          </w:tcPr>
          <w:p>
            <w:r/>
            <w:r>
              <w:rPr>
                <w:b w:val="0"/>
                <w:sz w:val="10"/>
              </w:rPr>
              <w:t>Customer communications; claim summaries; policy documents; recommendations</w:t>
            </w:r>
          </w:p>
        </w:tc>
        <w:tc>
          <w:tcPr>
            <w:tcW w:type="dxa" w:w="1037"/>
            <w:vAlign w:val="top"/>
          </w:tcPr>
          <w:p>
            <w:r/>
            <w:r>
              <w:rPr>
                <w:b w:val="0"/>
                <w:sz w:val="10"/>
              </w:rPr>
              <w:t>Apply pii leakage prevention to the complete insurance decision chain and document sector-specific threats, limits and fallbacks.</w:t>
            </w:r>
          </w:p>
        </w:tc>
        <w:tc>
          <w:tcPr>
            <w:tcW w:type="dxa" w:w="1037"/>
            <w:vAlign w:val="top"/>
          </w:tcPr>
          <w:p>
            <w:r>
              <w:t>[T1] DLP/redaction configuration, leakage alerts and disclosure logs; [T2] DPIA/privacy review; [T3] prompt, retrieval and output exfiltration tests.</w:t>
            </w:r>
          </w:p>
        </w:tc>
        <w:tc>
          <w:tcPr>
            <w:tcW w:type="dxa" w:w="1037"/>
            <w:vAlign w:val="top"/>
          </w:tcPr>
          <w:p>
            <w:r>
              <w:t>Conduct / Privacy / Legal / CISO, according to control</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D5-CTL-03</w:t>
            </w:r>
          </w:p>
        </w:tc>
        <w:tc>
          <w:tcPr>
            <w:tcW w:type="dxa" w:w="1037"/>
            <w:vAlign w:val="top"/>
            <w:shd w:fill="EAF2F8"/>
          </w:tcPr>
          <w:p>
            <w:r/>
            <w:r>
              <w:rPr>
                <w:b w:val="0"/>
                <w:sz w:val="10"/>
              </w:rPr>
              <w:t>COPYRIGHT DETECTION</w:t>
            </w:r>
          </w:p>
        </w:tc>
        <w:tc>
          <w:tcPr>
            <w:tcW w:type="dxa" w:w="1037"/>
            <w:vAlign w:val="top"/>
            <w:shd w:fill="EAF2F8"/>
          </w:tcPr>
          <w:p>
            <w:r>
              <w:t>Verify training, retrieval and reference-content provenance for generative underwriting and claims assistants; detect unauthorised use of proprietary actuarial models, policy wordings, manuals and third-party copyrighted material.</w:t>
            </w:r>
          </w:p>
        </w:tc>
        <w:tc>
          <w:tcPr>
            <w:tcW w:type="dxa" w:w="1037"/>
            <w:vAlign w:val="top"/>
            <w:shd w:fill="EAF2F8"/>
          </w:tcPr>
          <w:p>
            <w:r/>
            <w:r>
              <w:rPr>
                <w:b w:val="0"/>
                <w:sz w:val="10"/>
              </w:rPr>
              <w:t>Customer communications; claim summaries; policy documents; recommendations</w:t>
            </w:r>
          </w:p>
        </w:tc>
        <w:tc>
          <w:tcPr>
            <w:tcW w:type="dxa" w:w="1037"/>
            <w:vAlign w:val="top"/>
            <w:shd w:fill="EAF2F8"/>
          </w:tcPr>
          <w:p>
            <w:r/>
            <w:r>
              <w:rPr>
                <w:b w:val="0"/>
                <w:sz w:val="10"/>
              </w:rPr>
              <w:t>Apply copyright detection to the complete insurance decision chain and document sector-specific threats, limits and fallbacks.</w:t>
            </w:r>
          </w:p>
        </w:tc>
        <w:tc>
          <w:tcPr>
            <w:tcW w:type="dxa" w:w="1037"/>
            <w:vAlign w:val="top"/>
            <w:shd w:fill="EAF2F8"/>
          </w:tcPr>
          <w:p>
            <w:r>
              <w:t>[T1] Training/retrieval provenance, licences and content-match alerts; [T2] legal/IP review; [T3] proprietary-content ingestion tests.</w:t>
            </w:r>
          </w:p>
        </w:tc>
        <w:tc>
          <w:tcPr>
            <w:tcW w:type="dxa" w:w="1037"/>
            <w:vAlign w:val="top"/>
            <w:shd w:fill="EAF2F8"/>
          </w:tcPr>
          <w:p>
            <w:r>
              <w:t>Conduct / Privacy / Legal / CISO, according to control</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D5-CTL-04</w:t>
            </w:r>
          </w:p>
        </w:tc>
        <w:tc>
          <w:tcPr>
            <w:tcW w:type="dxa" w:w="1037"/>
            <w:vAlign w:val="top"/>
          </w:tcPr>
          <w:p>
            <w:r/>
            <w:r>
              <w:rPr>
                <w:b w:val="0"/>
                <w:sz w:val="10"/>
              </w:rPr>
              <w:t>AI WATERMARKING ROBUSTNESS</w:t>
            </w:r>
          </w:p>
        </w:tc>
        <w:tc>
          <w:tcPr>
            <w:tcW w:type="dxa" w:w="1037"/>
            <w:vAlign w:val="top"/>
          </w:tcPr>
          <w:p>
            <w:r>
              <w:t>Apply provenance marking or watermarking where appropriate to insurer-generated synthetic media and communications, and operate detection and escalation pipelines for inbound deepfake or synthetically altered claims evidence.</w:t>
            </w:r>
          </w:p>
        </w:tc>
        <w:tc>
          <w:tcPr>
            <w:tcW w:type="dxa" w:w="1037"/>
            <w:vAlign w:val="top"/>
          </w:tcPr>
          <w:p>
            <w:r/>
            <w:r>
              <w:rPr>
                <w:b w:val="0"/>
                <w:sz w:val="10"/>
              </w:rPr>
              <w:t>Customer communications; claim summaries; policy documents; recommendations</w:t>
            </w:r>
          </w:p>
        </w:tc>
        <w:tc>
          <w:tcPr>
            <w:tcW w:type="dxa" w:w="1037"/>
            <w:vAlign w:val="top"/>
          </w:tcPr>
          <w:p>
            <w:r/>
            <w:r>
              <w:rPr>
                <w:b w:val="0"/>
                <w:sz w:val="10"/>
              </w:rPr>
              <w:t>Apply ai watermarking robustness to the complete insurance decision chain and document sector-specific threats, limits and fallbacks.</w:t>
            </w:r>
          </w:p>
        </w:tc>
        <w:tc>
          <w:tcPr>
            <w:tcW w:type="dxa" w:w="1037"/>
            <w:vAlign w:val="top"/>
          </w:tcPr>
          <w:p>
            <w:r>
              <w:t>[T1] Synthetic-media provenance, watermark configuration and detection alerts; [T2] communications/security review; [T3] watermark-removal and deepfake tests.</w:t>
            </w:r>
          </w:p>
        </w:tc>
        <w:tc>
          <w:tcPr>
            <w:tcW w:type="dxa" w:w="1037"/>
            <w:vAlign w:val="top"/>
          </w:tcPr>
          <w:p>
            <w:r>
              <w:t>Conduct / Privacy / Legal / CISO, according to control</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D5-CTL-05</w:t>
            </w:r>
          </w:p>
        </w:tc>
        <w:tc>
          <w:tcPr>
            <w:tcW w:type="dxa" w:w="1037"/>
            <w:vAlign w:val="top"/>
            <w:shd w:fill="EAF2F8"/>
          </w:tcPr>
          <w:p>
            <w:r/>
            <w:r>
              <w:rPr>
                <w:b w:val="0"/>
                <w:sz w:val="10"/>
              </w:rPr>
              <w:t>PRIVACY-BY-DESIGN VERIFICATION</w:t>
            </w:r>
          </w:p>
        </w:tc>
        <w:tc>
          <w:tcPr>
            <w:tcW w:type="dxa" w:w="1037"/>
            <w:vAlign w:val="top"/>
            <w:shd w:fill="EAF2F8"/>
          </w:tcPr>
          <w:p>
            <w:r>
              <w:t>Embed privacy requirements in insurance AI design, including purpose limitation, data minimisation, role-based access, retention, privacy testing and review of sensitive health, biometric, financial and telematics data.</w:t>
            </w:r>
          </w:p>
        </w:tc>
        <w:tc>
          <w:tcPr>
            <w:tcW w:type="dxa" w:w="1037"/>
            <w:vAlign w:val="top"/>
            <w:shd w:fill="EAF2F8"/>
          </w:tcPr>
          <w:p>
            <w:r/>
            <w:r>
              <w:rPr>
                <w:b w:val="0"/>
                <w:sz w:val="10"/>
              </w:rPr>
              <w:t>Customer communications; claim summaries; policy documents; recommendations</w:t>
            </w:r>
          </w:p>
        </w:tc>
        <w:tc>
          <w:tcPr>
            <w:tcW w:type="dxa" w:w="1037"/>
            <w:vAlign w:val="top"/>
            <w:shd w:fill="EAF2F8"/>
          </w:tcPr>
          <w:p>
            <w:r/>
            <w:r>
              <w:rPr>
                <w:b w:val="0"/>
                <w:sz w:val="10"/>
              </w:rPr>
              <w:t>Apply privacy-by-design verification to the complete insurance decision chain and document sector-specific threats, limits and fallbacks.</w:t>
            </w:r>
          </w:p>
        </w:tc>
        <w:tc>
          <w:tcPr>
            <w:tcW w:type="dxa" w:w="1037"/>
            <w:vAlign w:val="top"/>
            <w:shd w:fill="EAF2F8"/>
          </w:tcPr>
          <w:p>
            <w:r>
              <w:t>[T1] Privacy requirements, data-flow map, minimisation/retention controls and technique parameters; [T2] DPIA or independent privacy validation; [T3] re-identification, inference and utility tests.</w:t>
            </w:r>
          </w:p>
        </w:tc>
        <w:tc>
          <w:tcPr>
            <w:tcW w:type="dxa" w:w="1037"/>
            <w:vAlign w:val="top"/>
            <w:shd w:fill="EAF2F8"/>
          </w:tcPr>
          <w:p>
            <w:r>
              <w:t>Conduct / Privacy / Legal / CISO, according to control</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D5-CTL-06</w:t>
            </w:r>
          </w:p>
        </w:tc>
        <w:tc>
          <w:tcPr>
            <w:tcW w:type="dxa" w:w="1037"/>
            <w:vAlign w:val="top"/>
          </w:tcPr>
          <w:p>
            <w:r/>
            <w:r>
              <w:rPr>
                <w:b w:val="0"/>
                <w:sz w:val="10"/>
              </w:rPr>
              <w:t>PRIVACY-PRESERVING ML VALIDATION</w:t>
            </w:r>
          </w:p>
        </w:tc>
        <w:tc>
          <w:tcPr>
            <w:tcW w:type="dxa" w:w="1037"/>
            <w:vAlign w:val="top"/>
          </w:tcPr>
          <w:p>
            <w:r>
              <w:t>Validate privacy-preserving techniques used in distributed or sensitive insurance analytics, including re-identification, inference and utility testing; do not assume anonymisation, federation or synthetic data eliminates privacy risk.</w:t>
            </w:r>
          </w:p>
        </w:tc>
        <w:tc>
          <w:tcPr>
            <w:tcW w:type="dxa" w:w="1037"/>
            <w:vAlign w:val="top"/>
          </w:tcPr>
          <w:p>
            <w:r/>
            <w:r>
              <w:rPr>
                <w:b w:val="0"/>
                <w:sz w:val="10"/>
              </w:rPr>
              <w:t>Customer communications; claim summaries; policy documents; recommendations</w:t>
            </w:r>
          </w:p>
        </w:tc>
        <w:tc>
          <w:tcPr>
            <w:tcW w:type="dxa" w:w="1037"/>
            <w:vAlign w:val="top"/>
          </w:tcPr>
          <w:p>
            <w:r/>
            <w:r>
              <w:rPr>
                <w:b w:val="0"/>
                <w:sz w:val="10"/>
              </w:rPr>
              <w:t>Apply privacy-preserving ml validation to the complete insurance decision chain and document sector-specific threats, limits and fallbacks.</w:t>
            </w:r>
          </w:p>
        </w:tc>
        <w:tc>
          <w:tcPr>
            <w:tcW w:type="dxa" w:w="1037"/>
            <w:vAlign w:val="top"/>
          </w:tcPr>
          <w:p>
            <w:r>
              <w:t>[T1] Privacy requirements, data-flow map, minimisation/retention controls and technique parameters; [T2] DPIA or independent privacy validation; [T3] re-identification, inference and utility tests.</w:t>
            </w:r>
          </w:p>
        </w:tc>
        <w:tc>
          <w:tcPr>
            <w:tcW w:type="dxa" w:w="1037"/>
            <w:vAlign w:val="top"/>
          </w:tcPr>
          <w:p>
            <w:r>
              <w:t>Conduct / Privacy / Legal / CISO, according to control</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D6-CTL-01</w:t>
            </w:r>
          </w:p>
        </w:tc>
        <w:tc>
          <w:tcPr>
            <w:tcW w:type="dxa" w:w="1037"/>
            <w:vAlign w:val="top"/>
            <w:shd w:fill="EAF2F8"/>
          </w:tcPr>
          <w:p>
            <w:r/>
            <w:r>
              <w:rPr>
                <w:b w:val="0"/>
                <w:sz w:val="10"/>
              </w:rPr>
              <w:t>HUMAN-IN-THE-LOOP FOR HIGH-RISK ACTIONS</w:t>
            </w:r>
          </w:p>
        </w:tc>
        <w:tc>
          <w:tcPr>
            <w:tcW w:type="dxa" w:w="1037"/>
            <w:vAlign w:val="top"/>
            <w:shd w:fill="EAF2F8"/>
          </w:tcPr>
          <w:p>
            <w:r/>
            <w:r>
              <w:rPr>
                <w:b w:val="0"/>
                <w:sz w:val="10"/>
              </w:rPr>
              <w:t>Establish accountable governance, classification, documentation, oversight, assurance and lifecycle decisions.</w:t>
            </w:r>
          </w:p>
        </w:tc>
        <w:tc>
          <w:tcPr>
            <w:tcW w:type="dxa" w:w="1037"/>
            <w:vAlign w:val="top"/>
            <w:shd w:fill="EAF2F8"/>
          </w:tcPr>
          <w:p>
            <w:r/>
            <w:r>
              <w:rPr>
                <w:b w:val="0"/>
                <w:sz w:val="10"/>
              </w:rPr>
              <w:t>Enterprise governance; model risk; actuarial; security; audit</w:t>
            </w:r>
          </w:p>
        </w:tc>
        <w:tc>
          <w:tcPr>
            <w:tcW w:type="dxa" w:w="1037"/>
            <w:vAlign w:val="top"/>
            <w:shd w:fill="EAF2F8"/>
          </w:tcPr>
          <w:p>
            <w:r/>
            <w:r>
              <w:rPr>
                <w:b w:val="0"/>
                <w:sz w:val="10"/>
              </w:rPr>
              <w:t>Apply human-in-the-loop for high-risk actions to the complete insurance decision chain and document sector-specific threats, limits and fallbacks.</w:t>
            </w:r>
          </w:p>
        </w:tc>
        <w:tc>
          <w:tcPr>
            <w:tcW w:type="dxa" w:w="1037"/>
            <w:vAlign w:val="top"/>
            <w:shd w:fill="EAF2F8"/>
          </w:tcPr>
          <w:p>
            <w:r>
              <w:t>[T1] Governance approvals, accountable-owner register and exceptions; [T2] second-line challenge; [T3] governance tabletop and decision reconstruction.</w:t>
            </w:r>
          </w:p>
        </w:tc>
        <w:tc>
          <w:tcPr>
            <w:tcW w:type="dxa" w:w="1037"/>
            <w:vAlign w:val="top"/>
            <w:shd w:fill="EAF2F8"/>
          </w:tcPr>
          <w:p>
            <w:r/>
            <w:r>
              <w:rPr>
                <w:b w:val="0"/>
                <w:sz w:val="10"/>
              </w:rPr>
              <w:t>Board / CRO / AI Governance</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D6-CTL-02</w:t>
            </w:r>
          </w:p>
        </w:tc>
        <w:tc>
          <w:tcPr>
            <w:tcW w:type="dxa" w:w="1037"/>
            <w:vAlign w:val="top"/>
          </w:tcPr>
          <w:p>
            <w:r/>
            <w:r>
              <w:rPr>
                <w:b w:val="0"/>
                <w:sz w:val="10"/>
              </w:rPr>
              <w:t>AUDIT TRAIL COMPLETENESS</w:t>
            </w:r>
          </w:p>
        </w:tc>
        <w:tc>
          <w:tcPr>
            <w:tcW w:type="dxa" w:w="1037"/>
            <w:vAlign w:val="top"/>
          </w:tcPr>
          <w:p>
            <w:r/>
            <w:r>
              <w:rPr>
                <w:b w:val="0"/>
                <w:sz w:val="10"/>
              </w:rPr>
              <w:t>Establish accountable governance, classification, documentation, oversight, assurance and lifecycle decisions.</w:t>
            </w:r>
          </w:p>
        </w:tc>
        <w:tc>
          <w:tcPr>
            <w:tcW w:type="dxa" w:w="1037"/>
            <w:vAlign w:val="top"/>
          </w:tcPr>
          <w:p>
            <w:r/>
            <w:r>
              <w:rPr>
                <w:b w:val="0"/>
                <w:sz w:val="10"/>
              </w:rPr>
              <w:t>Enterprise governance; model risk; actuarial; security; audit</w:t>
            </w:r>
          </w:p>
        </w:tc>
        <w:tc>
          <w:tcPr>
            <w:tcW w:type="dxa" w:w="1037"/>
            <w:vAlign w:val="top"/>
          </w:tcPr>
          <w:p>
            <w:r/>
            <w:r>
              <w:rPr>
                <w:b w:val="0"/>
                <w:sz w:val="10"/>
              </w:rPr>
              <w:t>Apply audit trail completeness to the complete insurance decision chain and document sector-specific threats, limits and fallbacks.</w:t>
            </w:r>
          </w:p>
        </w:tc>
        <w:tc>
          <w:tcPr>
            <w:tcW w:type="dxa" w:w="1037"/>
            <w:vAlign w:val="top"/>
          </w:tcPr>
          <w:p>
            <w:r>
              <w:t>[T1] Governance approvals, accountable-owner register and exceptions; [T2] second-line challenge; [T3] governance tabletop and decision reconstruction.</w:t>
            </w:r>
          </w:p>
        </w:tc>
        <w:tc>
          <w:tcPr>
            <w:tcW w:type="dxa" w:w="1037"/>
            <w:vAlign w:val="top"/>
          </w:tcPr>
          <w:p>
            <w:r/>
            <w:r>
              <w:rPr>
                <w:b w:val="0"/>
                <w:sz w:val="10"/>
              </w:rPr>
              <w:t>Board / CRO / AI Governance</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D6-CTL-03</w:t>
            </w:r>
          </w:p>
        </w:tc>
        <w:tc>
          <w:tcPr>
            <w:tcW w:type="dxa" w:w="1037"/>
            <w:vAlign w:val="top"/>
            <w:shd w:fill="EAF2F8"/>
          </w:tcPr>
          <w:p>
            <w:r/>
            <w:r>
              <w:rPr>
                <w:b w:val="0"/>
                <w:sz w:val="10"/>
              </w:rPr>
              <w:t>AI MODEL CARD COMPLETENESS</w:t>
            </w:r>
          </w:p>
        </w:tc>
        <w:tc>
          <w:tcPr>
            <w:tcW w:type="dxa" w:w="1037"/>
            <w:vAlign w:val="top"/>
            <w:shd w:fill="EAF2F8"/>
          </w:tcPr>
          <w:p>
            <w:r/>
            <w:r>
              <w:rPr>
                <w:b w:val="0"/>
                <w:sz w:val="10"/>
              </w:rPr>
              <w:t>Establish accountable governance, classification, documentation, oversight, assurance and lifecycle decisions.</w:t>
            </w:r>
          </w:p>
        </w:tc>
        <w:tc>
          <w:tcPr>
            <w:tcW w:type="dxa" w:w="1037"/>
            <w:vAlign w:val="top"/>
            <w:shd w:fill="EAF2F8"/>
          </w:tcPr>
          <w:p>
            <w:r/>
            <w:r>
              <w:rPr>
                <w:b w:val="0"/>
                <w:sz w:val="10"/>
              </w:rPr>
              <w:t>Enterprise governance; model risk; actuarial; security; audit</w:t>
            </w:r>
          </w:p>
        </w:tc>
        <w:tc>
          <w:tcPr>
            <w:tcW w:type="dxa" w:w="1037"/>
            <w:vAlign w:val="top"/>
            <w:shd w:fill="EAF2F8"/>
          </w:tcPr>
          <w:p>
            <w:r/>
            <w:r>
              <w:rPr>
                <w:b w:val="0"/>
                <w:sz w:val="10"/>
              </w:rPr>
              <w:t>Apply ai model card completeness to the complete insurance decision chain and document sector-specific threats, limits and fallbacks.</w:t>
            </w:r>
          </w:p>
        </w:tc>
        <w:tc>
          <w:tcPr>
            <w:tcW w:type="dxa" w:w="1037"/>
            <w:vAlign w:val="top"/>
            <w:shd w:fill="EAF2F8"/>
          </w:tcPr>
          <w:p>
            <w:r>
              <w:t>[T1] Governance approvals, accountable-owner register and exceptions; [T2] second-line challenge; [T3] governance tabletop and decision reconstruction.</w:t>
            </w:r>
          </w:p>
        </w:tc>
        <w:tc>
          <w:tcPr>
            <w:tcW w:type="dxa" w:w="1037"/>
            <w:vAlign w:val="top"/>
            <w:shd w:fill="EAF2F8"/>
          </w:tcPr>
          <w:p>
            <w:r/>
            <w:r>
              <w:rPr>
                <w:b w:val="0"/>
                <w:sz w:val="10"/>
              </w:rPr>
              <w:t>Board / CRO / AI Governance</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D6-CTL-04</w:t>
            </w:r>
          </w:p>
        </w:tc>
        <w:tc>
          <w:tcPr>
            <w:tcW w:type="dxa" w:w="1037"/>
            <w:vAlign w:val="top"/>
          </w:tcPr>
          <w:p>
            <w:r/>
            <w:r>
              <w:rPr>
                <w:b w:val="0"/>
                <w:sz w:val="10"/>
              </w:rPr>
              <w:t>AI INCIDENT RESPONSE READINESS</w:t>
            </w:r>
          </w:p>
        </w:tc>
        <w:tc>
          <w:tcPr>
            <w:tcW w:type="dxa" w:w="1037"/>
            <w:vAlign w:val="top"/>
          </w:tcPr>
          <w:p>
            <w:r/>
            <w:r>
              <w:rPr>
                <w:b w:val="0"/>
                <w:sz w:val="10"/>
              </w:rPr>
              <w:t>Establish accountable governance, classification, documentation, oversight, assurance and lifecycle decisions.</w:t>
            </w:r>
          </w:p>
        </w:tc>
        <w:tc>
          <w:tcPr>
            <w:tcW w:type="dxa" w:w="1037"/>
            <w:vAlign w:val="top"/>
          </w:tcPr>
          <w:p>
            <w:r/>
            <w:r>
              <w:rPr>
                <w:b w:val="0"/>
                <w:sz w:val="10"/>
              </w:rPr>
              <w:t>Enterprise governance; model risk; actuarial; security; audit</w:t>
            </w:r>
          </w:p>
        </w:tc>
        <w:tc>
          <w:tcPr>
            <w:tcW w:type="dxa" w:w="1037"/>
            <w:vAlign w:val="top"/>
          </w:tcPr>
          <w:p>
            <w:r/>
            <w:r>
              <w:rPr>
                <w:b w:val="0"/>
                <w:sz w:val="10"/>
              </w:rPr>
              <w:t>Apply ai incident response readiness to the complete insurance decision chain and document sector-specific threats, limits and fallbacks.</w:t>
            </w:r>
          </w:p>
        </w:tc>
        <w:tc>
          <w:tcPr>
            <w:tcW w:type="dxa" w:w="1037"/>
            <w:vAlign w:val="top"/>
          </w:tcPr>
          <w:p>
            <w:r>
              <w:t>[T1] Governance approvals, accountable-owner register and exceptions; [T2] second-line challenge; [T3] governance tabletop and decision reconstruction.</w:t>
            </w:r>
          </w:p>
        </w:tc>
        <w:tc>
          <w:tcPr>
            <w:tcW w:type="dxa" w:w="1037"/>
            <w:vAlign w:val="top"/>
          </w:tcPr>
          <w:p>
            <w:r/>
            <w:r>
              <w:rPr>
                <w:b w:val="0"/>
                <w:sz w:val="10"/>
              </w:rPr>
              <w:t>Board / CRO / AI Governance</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D6-CTL-05</w:t>
            </w:r>
          </w:p>
        </w:tc>
        <w:tc>
          <w:tcPr>
            <w:tcW w:type="dxa" w:w="1037"/>
            <w:vAlign w:val="top"/>
            <w:shd w:fill="EAF2F8"/>
          </w:tcPr>
          <w:p>
            <w:r/>
            <w:r>
              <w:rPr>
                <w:b w:val="0"/>
                <w:sz w:val="10"/>
              </w:rPr>
              <w:t>MODEL DEPRECATION &amp; DECOMMISSIONING</w:t>
            </w:r>
          </w:p>
        </w:tc>
        <w:tc>
          <w:tcPr>
            <w:tcW w:type="dxa" w:w="1037"/>
            <w:vAlign w:val="top"/>
            <w:shd w:fill="EAF2F8"/>
          </w:tcPr>
          <w:p>
            <w:r/>
            <w:r>
              <w:rPr>
                <w:b w:val="0"/>
                <w:sz w:val="10"/>
              </w:rPr>
              <w:t>Establish accountable governance, classification, documentation, oversight, assurance and lifecycle decisions.</w:t>
            </w:r>
          </w:p>
        </w:tc>
        <w:tc>
          <w:tcPr>
            <w:tcW w:type="dxa" w:w="1037"/>
            <w:vAlign w:val="top"/>
            <w:shd w:fill="EAF2F8"/>
          </w:tcPr>
          <w:p>
            <w:r/>
            <w:r>
              <w:rPr>
                <w:b w:val="0"/>
                <w:sz w:val="10"/>
              </w:rPr>
              <w:t>Enterprise governance; model risk; actuarial; security; audit</w:t>
            </w:r>
          </w:p>
        </w:tc>
        <w:tc>
          <w:tcPr>
            <w:tcW w:type="dxa" w:w="1037"/>
            <w:vAlign w:val="top"/>
            <w:shd w:fill="EAF2F8"/>
          </w:tcPr>
          <w:p>
            <w:r/>
            <w:r>
              <w:rPr>
                <w:b w:val="0"/>
                <w:sz w:val="10"/>
              </w:rPr>
              <w:t>Apply model deprecation &amp; decommissioning to the complete insurance decision chain and document sector-specific threats, limits and fallbacks.</w:t>
            </w:r>
          </w:p>
        </w:tc>
        <w:tc>
          <w:tcPr>
            <w:tcW w:type="dxa" w:w="1037"/>
            <w:vAlign w:val="top"/>
            <w:shd w:fill="EAF2F8"/>
          </w:tcPr>
          <w:p>
            <w:r>
              <w:t>[T1] Governance approvals, accountable-owner register and exceptions; [T2] second-line challenge; [T3] governance tabletop and decision reconstruction.</w:t>
            </w:r>
          </w:p>
        </w:tc>
        <w:tc>
          <w:tcPr>
            <w:tcW w:type="dxa" w:w="1037"/>
            <w:vAlign w:val="top"/>
            <w:shd w:fill="EAF2F8"/>
          </w:tcPr>
          <w:p>
            <w:r/>
            <w:r>
              <w:rPr>
                <w:b w:val="0"/>
                <w:sz w:val="10"/>
              </w:rPr>
              <w:t>Board / CRO / AI Governance</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D6-CTL-06</w:t>
            </w:r>
          </w:p>
        </w:tc>
        <w:tc>
          <w:tcPr>
            <w:tcW w:type="dxa" w:w="1037"/>
            <w:vAlign w:val="top"/>
          </w:tcPr>
          <w:p>
            <w:r/>
            <w:r>
              <w:rPr>
                <w:b w:val="0"/>
                <w:sz w:val="10"/>
              </w:rPr>
              <w:t>THIRD-PARTY AI VENDOR GOVERNANCE</w:t>
            </w:r>
          </w:p>
        </w:tc>
        <w:tc>
          <w:tcPr>
            <w:tcW w:type="dxa" w:w="1037"/>
            <w:vAlign w:val="top"/>
          </w:tcPr>
          <w:p>
            <w:r/>
            <w:r>
              <w:rPr>
                <w:b w:val="0"/>
                <w:sz w:val="10"/>
              </w:rPr>
              <w:t>Establish accountable governance, classification, documentation, oversight, assurance and lifecycle decisions.</w:t>
            </w:r>
          </w:p>
        </w:tc>
        <w:tc>
          <w:tcPr>
            <w:tcW w:type="dxa" w:w="1037"/>
            <w:vAlign w:val="top"/>
          </w:tcPr>
          <w:p>
            <w:r/>
            <w:r>
              <w:rPr>
                <w:b w:val="0"/>
                <w:sz w:val="10"/>
              </w:rPr>
              <w:t>Enterprise governance; model risk; actuarial; security; audit</w:t>
            </w:r>
          </w:p>
        </w:tc>
        <w:tc>
          <w:tcPr>
            <w:tcW w:type="dxa" w:w="1037"/>
            <w:vAlign w:val="top"/>
          </w:tcPr>
          <w:p>
            <w:r/>
            <w:r>
              <w:rPr>
                <w:b w:val="0"/>
                <w:sz w:val="10"/>
              </w:rPr>
              <w:t>Apply third-party ai vendor governance to the complete insurance decision chain and document sector-specific threats, limits and fallbacks.</w:t>
            </w:r>
          </w:p>
        </w:tc>
        <w:tc>
          <w:tcPr>
            <w:tcW w:type="dxa" w:w="1037"/>
            <w:vAlign w:val="top"/>
          </w:tcPr>
          <w:p>
            <w:r>
              <w:t>[T1] Due diligence, AI/SBOM, dependency map, contracts and incident/change notices; [T2] independent vendor assurance; [T3] exit, outage and concentration tests.</w:t>
            </w:r>
          </w:p>
        </w:tc>
        <w:tc>
          <w:tcPr>
            <w:tcW w:type="dxa" w:w="1037"/>
            <w:vAlign w:val="top"/>
          </w:tcPr>
          <w:p>
            <w:r/>
            <w:r>
              <w:rPr>
                <w:b w:val="0"/>
                <w:sz w:val="10"/>
              </w:rPr>
              <w:t>Board / CRO / AI Governance</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D6-CTL-07</w:t>
            </w:r>
          </w:p>
        </w:tc>
        <w:tc>
          <w:tcPr>
            <w:tcW w:type="dxa" w:w="1037"/>
            <w:vAlign w:val="top"/>
            <w:shd w:fill="EAF2F8"/>
          </w:tcPr>
          <w:p>
            <w:r/>
            <w:r>
              <w:rPr>
                <w:b w:val="0"/>
                <w:sz w:val="10"/>
              </w:rPr>
              <w:t>AI RESILIENCE &amp; BUSINESS CONTINUITY</w:t>
            </w:r>
          </w:p>
        </w:tc>
        <w:tc>
          <w:tcPr>
            <w:tcW w:type="dxa" w:w="1037"/>
            <w:vAlign w:val="top"/>
            <w:shd w:fill="EAF2F8"/>
          </w:tcPr>
          <w:p>
            <w:r/>
            <w:r>
              <w:rPr>
                <w:b w:val="0"/>
                <w:sz w:val="10"/>
              </w:rPr>
              <w:t>Establish accountable governance, classification, documentation, oversight, assurance and lifecycle decisions.</w:t>
            </w:r>
          </w:p>
        </w:tc>
        <w:tc>
          <w:tcPr>
            <w:tcW w:type="dxa" w:w="1037"/>
            <w:vAlign w:val="top"/>
            <w:shd w:fill="EAF2F8"/>
          </w:tcPr>
          <w:p>
            <w:r/>
            <w:r>
              <w:rPr>
                <w:b w:val="0"/>
                <w:sz w:val="10"/>
              </w:rPr>
              <w:t>Enterprise governance; model risk; actuarial; security; audit</w:t>
            </w:r>
          </w:p>
        </w:tc>
        <w:tc>
          <w:tcPr>
            <w:tcW w:type="dxa" w:w="1037"/>
            <w:vAlign w:val="top"/>
            <w:shd w:fill="EAF2F8"/>
          </w:tcPr>
          <w:p>
            <w:r/>
            <w:r>
              <w:rPr>
                <w:b w:val="0"/>
                <w:sz w:val="10"/>
              </w:rPr>
              <w:t>Apply ai resilience &amp; business continuity to the complete insurance decision chain and document sector-specific threats, limits and fallbacks.</w:t>
            </w:r>
          </w:p>
        </w:tc>
        <w:tc>
          <w:tcPr>
            <w:tcW w:type="dxa" w:w="1037"/>
            <w:vAlign w:val="top"/>
            <w:shd w:fill="EAF2F8"/>
          </w:tcPr>
          <w:p>
            <w:r>
              <w:t>[T1] Recovery plans, fallback evidence and availability telemetry; [T2] resilience review; [T3] catastrophe-surge, outage and manual-fallback exercise.</w:t>
            </w:r>
          </w:p>
        </w:tc>
        <w:tc>
          <w:tcPr>
            <w:tcW w:type="dxa" w:w="1037"/>
            <w:vAlign w:val="top"/>
            <w:shd w:fill="EAF2F8"/>
          </w:tcPr>
          <w:p>
            <w:r/>
            <w:r>
              <w:rPr>
                <w:b w:val="0"/>
                <w:sz w:val="10"/>
              </w:rPr>
              <w:t>Board / CRO / AI Governance</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D7-CTL-H01</w:t>
            </w:r>
          </w:p>
        </w:tc>
        <w:tc>
          <w:tcPr>
            <w:tcW w:type="dxa" w:w="1037"/>
            <w:vAlign w:val="top"/>
          </w:tcPr>
          <w:p>
            <w:r/>
            <w:r>
              <w:rPr>
                <w:b w:val="0"/>
                <w:sz w:val="10"/>
              </w:rPr>
              <w:t>AI-GENERATED PHISHING SIMULATION</w:t>
            </w:r>
          </w:p>
        </w:tc>
        <w:tc>
          <w:tcPr>
            <w:tcW w:type="dxa" w:w="1037"/>
            <w:vAlign w:val="top"/>
          </w:tcPr>
          <w:p>
            <w:r/>
            <w:r>
              <w:rPr>
                <w:b w:val="0"/>
                <w:sz w:val="10"/>
              </w:rPr>
              <w:t>Prevent discriminatory, privacy-invasive, deceptive or otherwise harmful policyholder and workforce outcomes.</w:t>
            </w:r>
          </w:p>
        </w:tc>
        <w:tc>
          <w:tcPr>
            <w:tcW w:type="dxa" w:w="1037"/>
            <w:vAlign w:val="top"/>
          </w:tcPr>
          <w:p>
            <w:r/>
            <w:r>
              <w:rPr>
                <w:b w:val="0"/>
                <w:sz w:val="10"/>
              </w:rPr>
              <w:t>Underwriting; pricing; claims; marketing; health and life decisions</w:t>
            </w:r>
          </w:p>
        </w:tc>
        <w:tc>
          <w:tcPr>
            <w:tcW w:type="dxa" w:w="1037"/>
            <w:vAlign w:val="top"/>
          </w:tcPr>
          <w:p>
            <w:r/>
            <w:r>
              <w:rPr>
                <w:b w:val="0"/>
                <w:sz w:val="10"/>
              </w:rPr>
              <w:t>Apply ai-generated phishing simulation to the complete insurance decision chain and document sector-specific threats, limits and fallbacks.</w:t>
            </w:r>
          </w:p>
        </w:tc>
        <w:tc>
          <w:tcPr>
            <w:tcW w:type="dxa" w:w="1037"/>
            <w:vAlign w:val="top"/>
          </w:tcPr>
          <w:p>
            <w:r>
              <w:t>[T1] Training, outcome and incident records; [T2] conduct/human-risk review; [T3] deepfake, phishing or harm simulation.</w:t>
            </w:r>
          </w:p>
        </w:tc>
        <w:tc>
          <w:tcPr>
            <w:tcW w:type="dxa" w:w="1037"/>
            <w:vAlign w:val="top"/>
          </w:tcPr>
          <w:p>
            <w:r/>
            <w:r>
              <w:rPr>
                <w:b w:val="0"/>
                <w:sz w:val="10"/>
              </w:rPr>
              <w:t>Compliance / Conduct / Privacy</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D7-CTL-H02</w:t>
            </w:r>
          </w:p>
        </w:tc>
        <w:tc>
          <w:tcPr>
            <w:tcW w:type="dxa" w:w="1037"/>
            <w:vAlign w:val="top"/>
            <w:shd w:fill="EAF2F8"/>
          </w:tcPr>
          <w:p>
            <w:r/>
            <w:r>
              <w:rPr>
                <w:b w:val="0"/>
                <w:sz w:val="10"/>
              </w:rPr>
              <w:t>DEEPFAKE DETECTION TRAINING</w:t>
            </w:r>
          </w:p>
        </w:tc>
        <w:tc>
          <w:tcPr>
            <w:tcW w:type="dxa" w:w="1037"/>
            <w:vAlign w:val="top"/>
            <w:shd w:fill="EAF2F8"/>
          </w:tcPr>
          <w:p>
            <w:r/>
            <w:r>
              <w:rPr>
                <w:b w:val="0"/>
                <w:sz w:val="10"/>
              </w:rPr>
              <w:t>Prevent discriminatory, privacy-invasive, deceptive or otherwise harmful policyholder and workforce outcomes.</w:t>
            </w:r>
          </w:p>
        </w:tc>
        <w:tc>
          <w:tcPr>
            <w:tcW w:type="dxa" w:w="1037"/>
            <w:vAlign w:val="top"/>
            <w:shd w:fill="EAF2F8"/>
          </w:tcPr>
          <w:p>
            <w:r/>
            <w:r>
              <w:rPr>
                <w:b w:val="0"/>
                <w:sz w:val="10"/>
              </w:rPr>
              <w:t>Underwriting; pricing; claims; marketing; health and life decisions</w:t>
            </w:r>
          </w:p>
        </w:tc>
        <w:tc>
          <w:tcPr>
            <w:tcW w:type="dxa" w:w="1037"/>
            <w:vAlign w:val="top"/>
            <w:shd w:fill="EAF2F8"/>
          </w:tcPr>
          <w:p>
            <w:r/>
            <w:r>
              <w:rPr>
                <w:b w:val="0"/>
                <w:sz w:val="10"/>
              </w:rPr>
              <w:t>Apply deepfake detection training to the complete insurance decision chain and document sector-specific threats, limits and fallbacks.</w:t>
            </w:r>
          </w:p>
        </w:tc>
        <w:tc>
          <w:tcPr>
            <w:tcW w:type="dxa" w:w="1037"/>
            <w:vAlign w:val="top"/>
            <w:shd w:fill="EAF2F8"/>
          </w:tcPr>
          <w:p>
            <w:r>
              <w:t>[T1] Training, outcome and incident records; [T2] conduct/human-risk review; [T3] deepfake, phishing or harm simulation.</w:t>
            </w:r>
          </w:p>
        </w:tc>
        <w:tc>
          <w:tcPr>
            <w:tcW w:type="dxa" w:w="1037"/>
            <w:vAlign w:val="top"/>
            <w:shd w:fill="EAF2F8"/>
          </w:tcPr>
          <w:p>
            <w:r/>
            <w:r>
              <w:rPr>
                <w:b w:val="0"/>
                <w:sz w:val="10"/>
              </w:rPr>
              <w:t>Compliance / Conduct / Privacy</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D7-CTL-H03</w:t>
            </w:r>
          </w:p>
        </w:tc>
        <w:tc>
          <w:tcPr>
            <w:tcW w:type="dxa" w:w="1037"/>
            <w:vAlign w:val="top"/>
          </w:tcPr>
          <w:p>
            <w:r/>
            <w:r>
              <w:rPr>
                <w:b w:val="0"/>
                <w:sz w:val="10"/>
              </w:rPr>
              <w:t>OUT-OF-BAND AUTHENTICATION</w:t>
            </w:r>
          </w:p>
        </w:tc>
        <w:tc>
          <w:tcPr>
            <w:tcW w:type="dxa" w:w="1037"/>
            <w:vAlign w:val="top"/>
          </w:tcPr>
          <w:p>
            <w:r/>
            <w:r>
              <w:rPr>
                <w:b w:val="0"/>
                <w:sz w:val="10"/>
              </w:rPr>
              <w:t>Prevent discriminatory, privacy-invasive, deceptive or otherwise harmful policyholder and workforce outcomes.</w:t>
            </w:r>
          </w:p>
        </w:tc>
        <w:tc>
          <w:tcPr>
            <w:tcW w:type="dxa" w:w="1037"/>
            <w:vAlign w:val="top"/>
          </w:tcPr>
          <w:p>
            <w:r/>
            <w:r>
              <w:rPr>
                <w:b w:val="0"/>
                <w:sz w:val="10"/>
              </w:rPr>
              <w:t>Underwriting; pricing; claims; marketing; health and life decisions</w:t>
            </w:r>
          </w:p>
        </w:tc>
        <w:tc>
          <w:tcPr>
            <w:tcW w:type="dxa" w:w="1037"/>
            <w:vAlign w:val="top"/>
          </w:tcPr>
          <w:p>
            <w:r/>
            <w:r>
              <w:rPr>
                <w:b w:val="0"/>
                <w:sz w:val="10"/>
              </w:rPr>
              <w:t>Apply out-of-band authentication to the complete insurance decision chain and document sector-specific threats, limits and fallbacks.</w:t>
            </w:r>
          </w:p>
        </w:tc>
        <w:tc>
          <w:tcPr>
            <w:tcW w:type="dxa" w:w="1037"/>
            <w:vAlign w:val="top"/>
          </w:tcPr>
          <w:p>
            <w:r>
              <w:t>[T1] Training, outcome and incident records; [T2] conduct/human-risk review; [T3] deepfake, phishing or harm simulation.</w:t>
            </w:r>
          </w:p>
        </w:tc>
        <w:tc>
          <w:tcPr>
            <w:tcW w:type="dxa" w:w="1037"/>
            <w:vAlign w:val="top"/>
          </w:tcPr>
          <w:p>
            <w:r/>
            <w:r>
              <w:rPr>
                <w:b w:val="0"/>
                <w:sz w:val="10"/>
              </w:rPr>
              <w:t>Compliance / Conduct / Privacy</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D7-CTL-H04</w:t>
            </w:r>
          </w:p>
        </w:tc>
        <w:tc>
          <w:tcPr>
            <w:tcW w:type="dxa" w:w="1037"/>
            <w:vAlign w:val="top"/>
            <w:shd w:fill="EAF2F8"/>
          </w:tcPr>
          <w:p>
            <w:r/>
            <w:r>
              <w:rPr>
                <w:b w:val="0"/>
                <w:sz w:val="10"/>
              </w:rPr>
              <w:t>AI SOCIAL ENGINEERING IR</w:t>
            </w:r>
          </w:p>
        </w:tc>
        <w:tc>
          <w:tcPr>
            <w:tcW w:type="dxa" w:w="1037"/>
            <w:vAlign w:val="top"/>
            <w:shd w:fill="EAF2F8"/>
          </w:tcPr>
          <w:p>
            <w:r/>
            <w:r>
              <w:rPr>
                <w:b w:val="0"/>
                <w:sz w:val="10"/>
              </w:rPr>
              <w:t>Prevent discriminatory, privacy-invasive, deceptive or otherwise harmful policyholder and workforce outcomes.</w:t>
            </w:r>
          </w:p>
        </w:tc>
        <w:tc>
          <w:tcPr>
            <w:tcW w:type="dxa" w:w="1037"/>
            <w:vAlign w:val="top"/>
            <w:shd w:fill="EAF2F8"/>
          </w:tcPr>
          <w:p>
            <w:r/>
            <w:r>
              <w:rPr>
                <w:b w:val="0"/>
                <w:sz w:val="10"/>
              </w:rPr>
              <w:t>Underwriting; pricing; claims; marketing; health and life decisions</w:t>
            </w:r>
          </w:p>
        </w:tc>
        <w:tc>
          <w:tcPr>
            <w:tcW w:type="dxa" w:w="1037"/>
            <w:vAlign w:val="top"/>
            <w:shd w:fill="EAF2F8"/>
          </w:tcPr>
          <w:p>
            <w:r/>
            <w:r>
              <w:rPr>
                <w:b w:val="0"/>
                <w:sz w:val="10"/>
              </w:rPr>
              <w:t>Apply ai social engineering ir to the complete insurance decision chain and document sector-specific threats, limits and fallbacks.</w:t>
            </w:r>
          </w:p>
        </w:tc>
        <w:tc>
          <w:tcPr>
            <w:tcW w:type="dxa" w:w="1037"/>
            <w:vAlign w:val="top"/>
            <w:shd w:fill="EAF2F8"/>
          </w:tcPr>
          <w:p>
            <w:r>
              <w:t>[T1] Training, outcome and incident records; [T2] conduct/human-risk review; [T3] deepfake, phishing or harm simulation.</w:t>
            </w:r>
          </w:p>
        </w:tc>
        <w:tc>
          <w:tcPr>
            <w:tcW w:type="dxa" w:w="1037"/>
            <w:vAlign w:val="top"/>
            <w:shd w:fill="EAF2F8"/>
          </w:tcPr>
          <w:p>
            <w:r/>
            <w:r>
              <w:rPr>
                <w:b w:val="0"/>
                <w:sz w:val="10"/>
              </w:rPr>
              <w:t>Compliance / Conduct / Privacy</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D7-CTL-H05</w:t>
            </w:r>
          </w:p>
        </w:tc>
        <w:tc>
          <w:tcPr>
            <w:tcW w:type="dxa" w:w="1037"/>
            <w:vAlign w:val="top"/>
          </w:tcPr>
          <w:p>
            <w:r/>
            <w:r>
              <w:rPr>
                <w:b w:val="0"/>
                <w:sz w:val="10"/>
              </w:rPr>
              <w:t>AI-ENHANCED EXTERNAL ATTACK DEFENSE</w:t>
            </w:r>
          </w:p>
        </w:tc>
        <w:tc>
          <w:tcPr>
            <w:tcW w:type="dxa" w:w="1037"/>
            <w:vAlign w:val="top"/>
          </w:tcPr>
          <w:p>
            <w:r/>
            <w:r>
              <w:rPr>
                <w:b w:val="0"/>
                <w:sz w:val="10"/>
              </w:rPr>
              <w:t>Prevent discriminatory, privacy-invasive, deceptive or otherwise harmful policyholder and workforce outcomes.</w:t>
            </w:r>
          </w:p>
        </w:tc>
        <w:tc>
          <w:tcPr>
            <w:tcW w:type="dxa" w:w="1037"/>
            <w:vAlign w:val="top"/>
          </w:tcPr>
          <w:p>
            <w:r/>
            <w:r>
              <w:rPr>
                <w:b w:val="0"/>
                <w:sz w:val="10"/>
              </w:rPr>
              <w:t>Underwriting; pricing; claims; marketing; health and life decisions</w:t>
            </w:r>
          </w:p>
        </w:tc>
        <w:tc>
          <w:tcPr>
            <w:tcW w:type="dxa" w:w="1037"/>
            <w:vAlign w:val="top"/>
          </w:tcPr>
          <w:p>
            <w:r/>
            <w:r>
              <w:rPr>
                <w:b w:val="0"/>
                <w:sz w:val="10"/>
              </w:rPr>
              <w:t>Apply ai-enhanced external attack defense to the complete insurance decision chain and document sector-specific threats, limits and fallbacks.</w:t>
            </w:r>
          </w:p>
        </w:tc>
        <w:tc>
          <w:tcPr>
            <w:tcW w:type="dxa" w:w="1037"/>
            <w:vAlign w:val="top"/>
          </w:tcPr>
          <w:p>
            <w:r>
              <w:t>[T1] Training, outcome and incident records; [T2] conduct/human-risk review; [T3] deepfake, phishing or harm simulation.</w:t>
            </w:r>
          </w:p>
        </w:tc>
        <w:tc>
          <w:tcPr>
            <w:tcW w:type="dxa" w:w="1037"/>
            <w:vAlign w:val="top"/>
          </w:tcPr>
          <w:p>
            <w:r/>
            <w:r>
              <w:rPr>
                <w:b w:val="0"/>
                <w:sz w:val="10"/>
              </w:rPr>
              <w:t>Compliance / Conduct / Privacy</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D8-CTL-01</w:t>
            </w:r>
          </w:p>
        </w:tc>
        <w:tc>
          <w:tcPr>
            <w:tcW w:type="dxa" w:w="1037"/>
            <w:vAlign w:val="top"/>
            <w:shd w:fill="EAF2F8"/>
          </w:tcPr>
          <w:p>
            <w:r/>
            <w:r>
              <w:rPr>
                <w:b w:val="0"/>
                <w:sz w:val="10"/>
              </w:rPr>
              <w:t>EU AI ACT RISK TIER MAPPING</w:t>
            </w:r>
          </w:p>
        </w:tc>
        <w:tc>
          <w:tcPr>
            <w:tcW w:type="dxa" w:w="1037"/>
            <w:vAlign w:val="top"/>
            <w:shd w:fill="EAF2F8"/>
          </w:tcPr>
          <w:p>
            <w:r/>
            <w:r>
              <w:rPr>
                <w:b w:val="0"/>
                <w:sz w:val="10"/>
              </w:rPr>
              <w:t>Maintain legal, regulatory, records, incident, resilience and jurisdiction-specific obligation management.</w:t>
            </w:r>
          </w:p>
        </w:tc>
        <w:tc>
          <w:tcPr>
            <w:tcW w:type="dxa" w:w="1037"/>
            <w:vAlign w:val="top"/>
            <w:shd w:fill="EAF2F8"/>
          </w:tcPr>
          <w:p>
            <w:r/>
            <w:r>
              <w:rPr>
                <w:b w:val="0"/>
                <w:sz w:val="10"/>
              </w:rPr>
              <w:t>Compliance; records; operational resilience; incident reporting; privacy</w:t>
            </w:r>
          </w:p>
        </w:tc>
        <w:tc>
          <w:tcPr>
            <w:tcW w:type="dxa" w:w="1037"/>
            <w:vAlign w:val="top"/>
            <w:shd w:fill="EAF2F8"/>
          </w:tcPr>
          <w:p>
            <w:r/>
            <w:r>
              <w:rPr>
                <w:b w:val="0"/>
                <w:sz w:val="10"/>
              </w:rPr>
              <w:t>Apply eu ai act risk tier mapping to the complete insurance decision chain and document sector-specific threats, limits and fallbacks.</w:t>
            </w:r>
          </w:p>
        </w:tc>
        <w:tc>
          <w:tcPr>
            <w:tcW w:type="dxa" w:w="1037"/>
            <w:vAlign w:val="top"/>
            <w:shd w:fill="EAF2F8"/>
          </w:tcPr>
          <w:p>
            <w:r>
              <w:t>[T1] Versioned model/data records and monitoring logs; [T2] independent MRM/Appointed Actuary validation; [T3] adversarial, stress and challenger-model tests.</w:t>
            </w:r>
          </w:p>
        </w:tc>
        <w:tc>
          <w:tcPr>
            <w:tcW w:type="dxa" w:w="1037"/>
            <w:vAlign w:val="top"/>
            <w:shd w:fill="EAF2F8"/>
          </w:tcPr>
          <w:p>
            <w:r>
              <w:t>Chief Actuary / Head of Model Risk</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D8-CTL-02</w:t>
            </w:r>
          </w:p>
        </w:tc>
        <w:tc>
          <w:tcPr>
            <w:tcW w:type="dxa" w:w="1037"/>
            <w:vAlign w:val="top"/>
          </w:tcPr>
          <w:p>
            <w:r/>
            <w:r>
              <w:rPr>
                <w:b w:val="0"/>
                <w:sz w:val="10"/>
              </w:rPr>
              <w:t>ISO 42001 GAP ANALYSIS</w:t>
            </w:r>
          </w:p>
        </w:tc>
        <w:tc>
          <w:tcPr>
            <w:tcW w:type="dxa" w:w="1037"/>
            <w:vAlign w:val="top"/>
          </w:tcPr>
          <w:p>
            <w:r/>
            <w:r>
              <w:rPr>
                <w:b w:val="0"/>
                <w:sz w:val="10"/>
              </w:rPr>
              <w:t>Maintain legal, regulatory, records, incident, resilience and jurisdiction-specific obligation management.</w:t>
            </w:r>
          </w:p>
        </w:tc>
        <w:tc>
          <w:tcPr>
            <w:tcW w:type="dxa" w:w="1037"/>
            <w:vAlign w:val="top"/>
          </w:tcPr>
          <w:p>
            <w:r/>
            <w:r>
              <w:rPr>
                <w:b w:val="0"/>
                <w:sz w:val="10"/>
              </w:rPr>
              <w:t>Compliance; records; operational resilience; incident reporting; privacy</w:t>
            </w:r>
          </w:p>
        </w:tc>
        <w:tc>
          <w:tcPr>
            <w:tcW w:type="dxa" w:w="1037"/>
            <w:vAlign w:val="top"/>
          </w:tcPr>
          <w:p>
            <w:r/>
            <w:r>
              <w:rPr>
                <w:b w:val="0"/>
                <w:sz w:val="10"/>
              </w:rPr>
              <w:t>Apply iso 42001 gap analysis to the complete insurance decision chain and document sector-specific threats, limits and fallbacks.</w:t>
            </w:r>
          </w:p>
        </w:tc>
        <w:tc>
          <w:tcPr>
            <w:tcW w:type="dxa" w:w="1037"/>
            <w:vAlign w:val="top"/>
          </w:tcPr>
          <w:p>
            <w:r>
              <w:t>[T1] Versioned model/data records and monitoring logs; [T2] independent MRM/Appointed Actuary validation; [T3] adversarial, stress and challenger-model tests.</w:t>
            </w:r>
          </w:p>
        </w:tc>
        <w:tc>
          <w:tcPr>
            <w:tcW w:type="dxa" w:w="1037"/>
            <w:vAlign w:val="top"/>
          </w:tcPr>
          <w:p>
            <w:r>
              <w:t>Chief Actuary / Head of Model Risk</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D8-CTL-03</w:t>
            </w:r>
          </w:p>
        </w:tc>
        <w:tc>
          <w:tcPr>
            <w:tcW w:type="dxa" w:w="1037"/>
            <w:vAlign w:val="top"/>
            <w:shd w:fill="EAF2F8"/>
          </w:tcPr>
          <w:p>
            <w:r/>
            <w:r>
              <w:rPr>
                <w:b w:val="0"/>
                <w:sz w:val="10"/>
              </w:rPr>
              <w:t>GPAI TECHNICAL DOCUMENTATION VERIFICATION</w:t>
            </w:r>
          </w:p>
        </w:tc>
        <w:tc>
          <w:tcPr>
            <w:tcW w:type="dxa" w:w="1037"/>
            <w:vAlign w:val="top"/>
            <w:shd w:fill="EAF2F8"/>
          </w:tcPr>
          <w:p>
            <w:r/>
            <w:r>
              <w:rPr>
                <w:b w:val="0"/>
                <w:sz w:val="10"/>
              </w:rPr>
              <w:t>Maintain legal, regulatory, records, incident, resilience and jurisdiction-specific obligation management.</w:t>
            </w:r>
          </w:p>
        </w:tc>
        <w:tc>
          <w:tcPr>
            <w:tcW w:type="dxa" w:w="1037"/>
            <w:vAlign w:val="top"/>
            <w:shd w:fill="EAF2F8"/>
          </w:tcPr>
          <w:p>
            <w:r/>
            <w:r>
              <w:rPr>
                <w:b w:val="0"/>
                <w:sz w:val="10"/>
              </w:rPr>
              <w:t>Compliance; records; operational resilience; incident reporting; privacy</w:t>
            </w:r>
          </w:p>
        </w:tc>
        <w:tc>
          <w:tcPr>
            <w:tcW w:type="dxa" w:w="1037"/>
            <w:vAlign w:val="top"/>
            <w:shd w:fill="EAF2F8"/>
          </w:tcPr>
          <w:p>
            <w:r/>
            <w:r>
              <w:rPr>
                <w:b w:val="0"/>
                <w:sz w:val="10"/>
              </w:rPr>
              <w:t>Apply gpai technical documentation verification to the complete insurance decision chain and document sector-specific threats, limits and fallbacks.</w:t>
            </w:r>
          </w:p>
        </w:tc>
        <w:tc>
          <w:tcPr>
            <w:tcW w:type="dxa" w:w="1037"/>
            <w:vAlign w:val="top"/>
            <w:shd w:fill="EAF2F8"/>
          </w:tcPr>
          <w:p>
            <w:r>
              <w:t>[T1] Versioned model/data records and monitoring logs; [T2] independent MRM/Appointed Actuary validation; [T3] adversarial, stress and challenger-model tests.</w:t>
            </w:r>
          </w:p>
        </w:tc>
        <w:tc>
          <w:tcPr>
            <w:tcW w:type="dxa" w:w="1037"/>
            <w:vAlign w:val="top"/>
            <w:shd w:fill="EAF2F8"/>
          </w:tcPr>
          <w:p>
            <w:r>
              <w:t>Chief Actuary / Head of Model Risk</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D8-CTL-04</w:t>
            </w:r>
          </w:p>
        </w:tc>
        <w:tc>
          <w:tcPr>
            <w:tcW w:type="dxa" w:w="1037"/>
            <w:vAlign w:val="top"/>
          </w:tcPr>
          <w:p>
            <w:r/>
            <w:r>
              <w:rPr>
                <w:b w:val="0"/>
                <w:sz w:val="10"/>
              </w:rPr>
              <w:t>DORA ICT INCIDENT REPORTING (FINANCIAL SECTOR)</w:t>
            </w:r>
          </w:p>
        </w:tc>
        <w:tc>
          <w:tcPr>
            <w:tcW w:type="dxa" w:w="1037"/>
            <w:vAlign w:val="top"/>
          </w:tcPr>
          <w:p>
            <w:r/>
            <w:r>
              <w:rPr>
                <w:b w:val="0"/>
                <w:sz w:val="10"/>
              </w:rPr>
              <w:t>Maintain legal, regulatory, records, incident, resilience and jurisdiction-specific obligation management.</w:t>
            </w:r>
          </w:p>
        </w:tc>
        <w:tc>
          <w:tcPr>
            <w:tcW w:type="dxa" w:w="1037"/>
            <w:vAlign w:val="top"/>
          </w:tcPr>
          <w:p>
            <w:r/>
            <w:r>
              <w:rPr>
                <w:b w:val="0"/>
                <w:sz w:val="10"/>
              </w:rPr>
              <w:t>Compliance; records; operational resilience; incident reporting; privacy</w:t>
            </w:r>
          </w:p>
        </w:tc>
        <w:tc>
          <w:tcPr>
            <w:tcW w:type="dxa" w:w="1037"/>
            <w:vAlign w:val="top"/>
          </w:tcPr>
          <w:p>
            <w:r/>
            <w:r>
              <w:rPr>
                <w:b w:val="0"/>
                <w:sz w:val="10"/>
              </w:rPr>
              <w:t>Apply dora ict incident reporting (financial sector) to the complete insurance decision chain and document sector-specific threats, limits and fallbacks.</w:t>
            </w:r>
          </w:p>
        </w:tc>
        <w:tc>
          <w:tcPr>
            <w:tcW w:type="dxa" w:w="1037"/>
            <w:vAlign w:val="top"/>
          </w:tcPr>
          <w:p>
            <w:r>
              <w:t>[T1] Versioned model/data records and monitoring logs; [T2] independent MRM/Appointed Actuary validation; [T3] adversarial, stress and challenger-model tests.</w:t>
            </w:r>
          </w:p>
        </w:tc>
        <w:tc>
          <w:tcPr>
            <w:tcW w:type="dxa" w:w="1037"/>
            <w:vAlign w:val="top"/>
          </w:tcPr>
          <w:p>
            <w:r>
              <w:t>Chief Actuary / Head of Model Risk</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D8-CTL-05</w:t>
            </w:r>
          </w:p>
        </w:tc>
        <w:tc>
          <w:tcPr>
            <w:tcW w:type="dxa" w:w="1037"/>
            <w:vAlign w:val="top"/>
            <w:shd w:fill="EAF2F8"/>
          </w:tcPr>
          <w:p>
            <w:r/>
            <w:r>
              <w:rPr>
                <w:b w:val="0"/>
                <w:sz w:val="10"/>
              </w:rPr>
              <w:t>NIST SP 800-218A COMPLIANCE CHECK</w:t>
            </w:r>
          </w:p>
        </w:tc>
        <w:tc>
          <w:tcPr>
            <w:tcW w:type="dxa" w:w="1037"/>
            <w:vAlign w:val="top"/>
            <w:shd w:fill="EAF2F8"/>
          </w:tcPr>
          <w:p>
            <w:r/>
            <w:r>
              <w:rPr>
                <w:b w:val="0"/>
                <w:sz w:val="10"/>
              </w:rPr>
              <w:t>Maintain legal, regulatory, records, incident, resilience and jurisdiction-specific obligation management.</w:t>
            </w:r>
          </w:p>
        </w:tc>
        <w:tc>
          <w:tcPr>
            <w:tcW w:type="dxa" w:w="1037"/>
            <w:vAlign w:val="top"/>
            <w:shd w:fill="EAF2F8"/>
          </w:tcPr>
          <w:p>
            <w:r/>
            <w:r>
              <w:rPr>
                <w:b w:val="0"/>
                <w:sz w:val="10"/>
              </w:rPr>
              <w:t>Compliance; records; operational resilience; incident reporting; privacy</w:t>
            </w:r>
          </w:p>
        </w:tc>
        <w:tc>
          <w:tcPr>
            <w:tcW w:type="dxa" w:w="1037"/>
            <w:vAlign w:val="top"/>
            <w:shd w:fill="EAF2F8"/>
          </w:tcPr>
          <w:p>
            <w:r/>
            <w:r>
              <w:rPr>
                <w:b w:val="0"/>
                <w:sz w:val="10"/>
              </w:rPr>
              <w:t>Apply nist sp 800-218a compliance check to the complete insurance decision chain and document sector-specific threats, limits and fallbacks.</w:t>
            </w:r>
          </w:p>
        </w:tc>
        <w:tc>
          <w:tcPr>
            <w:tcW w:type="dxa" w:w="1037"/>
            <w:vAlign w:val="top"/>
            <w:shd w:fill="EAF2F8"/>
          </w:tcPr>
          <w:p>
            <w:r>
              <w:t>[T1] Versioned model/data records and monitoring logs; [T2] independent MRM/Appointed Actuary validation; [T3] adversarial, stress and challenger-model tests.</w:t>
            </w:r>
          </w:p>
        </w:tc>
        <w:tc>
          <w:tcPr>
            <w:tcW w:type="dxa" w:w="1037"/>
            <w:vAlign w:val="top"/>
            <w:shd w:fill="EAF2F8"/>
          </w:tcPr>
          <w:p>
            <w:r>
              <w:t>Chief Actuary / Head of Model Risk</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D9-CTL-01</w:t>
            </w:r>
          </w:p>
        </w:tc>
        <w:tc>
          <w:tcPr>
            <w:tcW w:type="dxa" w:w="1037"/>
            <w:vAlign w:val="top"/>
          </w:tcPr>
          <w:p>
            <w:r/>
            <w:r>
              <w:rPr>
                <w:b w:val="0"/>
                <w:sz w:val="10"/>
              </w:rPr>
              <w:t>PHYSICAL HARM BOUNDARY ENFORCEMENT</w:t>
            </w:r>
          </w:p>
        </w:tc>
        <w:tc>
          <w:tcPr>
            <w:tcW w:type="dxa" w:w="1037"/>
            <w:vAlign w:val="top"/>
          </w:tcPr>
          <w:p>
            <w:r/>
            <w:r>
              <w:rPr>
                <w:b w:val="0"/>
                <w:sz w:val="10"/>
              </w:rPr>
              <w:t>Apply physical-AI safeguards where telematics, IoT, drones, vehicles, sensors or robotic inspection affect insured risks.</w:t>
            </w:r>
          </w:p>
        </w:tc>
        <w:tc>
          <w:tcPr>
            <w:tcW w:type="dxa" w:w="1037"/>
            <w:vAlign w:val="top"/>
          </w:tcPr>
          <w:p>
            <w:r/>
            <w:r>
              <w:rPr>
                <w:b w:val="0"/>
                <w:sz w:val="10"/>
              </w:rPr>
              <w:t>Telematics; IoT; drones; image inspection; connected devices</w:t>
            </w:r>
          </w:p>
        </w:tc>
        <w:tc>
          <w:tcPr>
            <w:tcW w:type="dxa" w:w="1037"/>
            <w:vAlign w:val="top"/>
          </w:tcPr>
          <w:p>
            <w:r/>
            <w:r>
              <w:rPr>
                <w:b w:val="0"/>
                <w:sz w:val="10"/>
              </w:rPr>
              <w:t>Apply physical harm boundary enforcement to the complete insurance decision chain and document sector-specific threats, limits and fallbacks.</w:t>
            </w:r>
          </w:p>
        </w:tc>
        <w:tc>
          <w:tcPr>
            <w:tcW w:type="dxa" w:w="1037"/>
            <w:vAlign w:val="top"/>
          </w:tcPr>
          <w:p>
            <w:r>
              <w:t>[T1] Control configuration, operating logs and approvals; [T2] independent review; [T3] controlled simulation/red-team evidence; [T4] vendor or industry claims only as supplementary context.</w:t>
            </w:r>
          </w:p>
        </w:tc>
        <w:tc>
          <w:tcPr>
            <w:tcW w:type="dxa" w:w="1037"/>
            <w:vAlign w:val="top"/>
          </w:tcPr>
          <w:p>
            <w:r/>
            <w:r>
              <w:rPr>
                <w:b w:val="0"/>
                <w:sz w:val="10"/>
              </w:rPr>
              <w:t>Engineering / Safety / Operations</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D9-CTL-02</w:t>
            </w:r>
          </w:p>
        </w:tc>
        <w:tc>
          <w:tcPr>
            <w:tcW w:type="dxa" w:w="1037"/>
            <w:vAlign w:val="top"/>
            <w:shd w:fill="EAF2F8"/>
          </w:tcPr>
          <w:p>
            <w:r/>
            <w:r>
              <w:rPr>
                <w:b w:val="0"/>
                <w:sz w:val="10"/>
              </w:rPr>
              <w:t>SAFE STATE AND GRACEFUL DEGRADATION</w:t>
            </w:r>
          </w:p>
        </w:tc>
        <w:tc>
          <w:tcPr>
            <w:tcW w:type="dxa" w:w="1037"/>
            <w:vAlign w:val="top"/>
            <w:shd w:fill="EAF2F8"/>
          </w:tcPr>
          <w:p>
            <w:r/>
            <w:r>
              <w:rPr>
                <w:b w:val="0"/>
                <w:sz w:val="10"/>
              </w:rPr>
              <w:t>Apply physical-AI safeguards where telematics, IoT, drones, vehicles, sensors or robotic inspection affect insured risks.</w:t>
            </w:r>
          </w:p>
        </w:tc>
        <w:tc>
          <w:tcPr>
            <w:tcW w:type="dxa" w:w="1037"/>
            <w:vAlign w:val="top"/>
            <w:shd w:fill="EAF2F8"/>
          </w:tcPr>
          <w:p>
            <w:r/>
            <w:r>
              <w:rPr>
                <w:b w:val="0"/>
                <w:sz w:val="10"/>
              </w:rPr>
              <w:t>Telematics; IoT; drones; image inspection; connected devices</w:t>
            </w:r>
          </w:p>
        </w:tc>
        <w:tc>
          <w:tcPr>
            <w:tcW w:type="dxa" w:w="1037"/>
            <w:vAlign w:val="top"/>
            <w:shd w:fill="EAF2F8"/>
          </w:tcPr>
          <w:p>
            <w:r/>
            <w:r>
              <w:rPr>
                <w:b w:val="0"/>
                <w:sz w:val="10"/>
              </w:rPr>
              <w:t>Apply safe state and graceful degradation to the complete insurance decision chain and document sector-specific threats, limits and fallbacks.</w:t>
            </w:r>
          </w:p>
        </w:tc>
        <w:tc>
          <w:tcPr>
            <w:tcW w:type="dxa" w:w="1037"/>
            <w:vAlign w:val="top"/>
            <w:shd w:fill="EAF2F8"/>
          </w:tcPr>
          <w:p>
            <w:r>
              <w:t>[T1] Control configuration, operating logs and approvals; [T2] independent review; [T3] controlled simulation/red-team evidence; [T4] vendor or industry claims only as supplementary context.</w:t>
            </w:r>
          </w:p>
        </w:tc>
        <w:tc>
          <w:tcPr>
            <w:tcW w:type="dxa" w:w="1037"/>
            <w:vAlign w:val="top"/>
            <w:shd w:fill="EAF2F8"/>
          </w:tcPr>
          <w:p>
            <w:r/>
            <w:r>
              <w:rPr>
                <w:b w:val="0"/>
                <w:sz w:val="10"/>
              </w:rPr>
              <w:t>Engineering / Safety / Operations</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D9-CTL-03</w:t>
            </w:r>
          </w:p>
        </w:tc>
        <w:tc>
          <w:tcPr>
            <w:tcW w:type="dxa" w:w="1037"/>
            <w:vAlign w:val="top"/>
          </w:tcPr>
          <w:p>
            <w:r/>
            <w:r>
              <w:rPr>
                <w:b w:val="0"/>
                <w:sz w:val="10"/>
              </w:rPr>
              <w:t>HUMAN OVERRIDE AND EMERGENCY STOP</w:t>
            </w:r>
          </w:p>
        </w:tc>
        <w:tc>
          <w:tcPr>
            <w:tcW w:type="dxa" w:w="1037"/>
            <w:vAlign w:val="top"/>
          </w:tcPr>
          <w:p>
            <w:r/>
            <w:r>
              <w:rPr>
                <w:b w:val="0"/>
                <w:sz w:val="10"/>
              </w:rPr>
              <w:t>Apply physical-AI safeguards where telematics, IoT, drones, vehicles, sensors or robotic inspection affect insured risks.</w:t>
            </w:r>
          </w:p>
        </w:tc>
        <w:tc>
          <w:tcPr>
            <w:tcW w:type="dxa" w:w="1037"/>
            <w:vAlign w:val="top"/>
          </w:tcPr>
          <w:p>
            <w:r/>
            <w:r>
              <w:rPr>
                <w:b w:val="0"/>
                <w:sz w:val="10"/>
              </w:rPr>
              <w:t>Telematics; IoT; drones; image inspection; connected devices</w:t>
            </w:r>
          </w:p>
        </w:tc>
        <w:tc>
          <w:tcPr>
            <w:tcW w:type="dxa" w:w="1037"/>
            <w:vAlign w:val="top"/>
          </w:tcPr>
          <w:p>
            <w:r/>
            <w:r>
              <w:rPr>
                <w:b w:val="0"/>
                <w:sz w:val="10"/>
              </w:rPr>
              <w:t>Apply human override and emergency stop to the complete insurance decision chain and document sector-specific threats, limits and fallbacks.</w:t>
            </w:r>
          </w:p>
        </w:tc>
        <w:tc>
          <w:tcPr>
            <w:tcW w:type="dxa" w:w="1037"/>
            <w:vAlign w:val="top"/>
          </w:tcPr>
          <w:p>
            <w:r>
              <w:t>[T1] Control configuration, operating logs and approvals; [T2] independent review; [T3] controlled simulation/red-team evidence; [T4] vendor or industry claims only as supplementary context.</w:t>
            </w:r>
          </w:p>
        </w:tc>
        <w:tc>
          <w:tcPr>
            <w:tcW w:type="dxa" w:w="1037"/>
            <w:vAlign w:val="top"/>
          </w:tcPr>
          <w:p>
            <w:r/>
            <w:r>
              <w:rPr>
                <w:b w:val="0"/>
                <w:sz w:val="10"/>
              </w:rPr>
              <w:t>Engineering / Safety / Operations</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D9-CTL-04</w:t>
            </w:r>
          </w:p>
        </w:tc>
        <w:tc>
          <w:tcPr>
            <w:tcW w:type="dxa" w:w="1037"/>
            <w:vAlign w:val="top"/>
            <w:shd w:fill="EAF2F8"/>
          </w:tcPr>
          <w:p>
            <w:r/>
            <w:r>
              <w:rPr>
                <w:b w:val="0"/>
                <w:sz w:val="10"/>
              </w:rPr>
              <w:t>CYBER-PHYSICAL ATTACK DETECTION</w:t>
            </w:r>
          </w:p>
        </w:tc>
        <w:tc>
          <w:tcPr>
            <w:tcW w:type="dxa" w:w="1037"/>
            <w:vAlign w:val="top"/>
            <w:shd w:fill="EAF2F8"/>
          </w:tcPr>
          <w:p>
            <w:r/>
            <w:r>
              <w:rPr>
                <w:b w:val="0"/>
                <w:sz w:val="10"/>
              </w:rPr>
              <w:t>Apply physical-AI safeguards where telematics, IoT, drones, vehicles, sensors or robotic inspection affect insured risks.</w:t>
            </w:r>
          </w:p>
        </w:tc>
        <w:tc>
          <w:tcPr>
            <w:tcW w:type="dxa" w:w="1037"/>
            <w:vAlign w:val="top"/>
            <w:shd w:fill="EAF2F8"/>
          </w:tcPr>
          <w:p>
            <w:r/>
            <w:r>
              <w:rPr>
                <w:b w:val="0"/>
                <w:sz w:val="10"/>
              </w:rPr>
              <w:t>Telematics; IoT; drones; image inspection; connected devices</w:t>
            </w:r>
          </w:p>
        </w:tc>
        <w:tc>
          <w:tcPr>
            <w:tcW w:type="dxa" w:w="1037"/>
            <w:vAlign w:val="top"/>
            <w:shd w:fill="EAF2F8"/>
          </w:tcPr>
          <w:p>
            <w:r/>
            <w:r>
              <w:rPr>
                <w:b w:val="0"/>
                <w:sz w:val="10"/>
              </w:rPr>
              <w:t>Apply cyber-physical attack detection to the complete insurance decision chain and document sector-specific threats, limits and fallbacks.</w:t>
            </w:r>
          </w:p>
        </w:tc>
        <w:tc>
          <w:tcPr>
            <w:tcW w:type="dxa" w:w="1037"/>
            <w:vAlign w:val="top"/>
            <w:shd w:fill="EAF2F8"/>
          </w:tcPr>
          <w:p>
            <w:r>
              <w:t>[T1] Control configuration, operating logs and approvals; [T2] independent review; [T3] controlled simulation/red-team evidence; [T4] vendor or industry claims only as supplementary context.</w:t>
            </w:r>
          </w:p>
        </w:tc>
        <w:tc>
          <w:tcPr>
            <w:tcW w:type="dxa" w:w="1037"/>
            <w:vAlign w:val="top"/>
            <w:shd w:fill="EAF2F8"/>
          </w:tcPr>
          <w:p>
            <w:r/>
            <w:r>
              <w:rPr>
                <w:b w:val="0"/>
                <w:sz w:val="10"/>
              </w:rPr>
              <w:t>Engineering / Safety / Operations</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D9-CTL-05</w:t>
            </w:r>
          </w:p>
        </w:tc>
        <w:tc>
          <w:tcPr>
            <w:tcW w:type="dxa" w:w="1037"/>
            <w:vAlign w:val="top"/>
          </w:tcPr>
          <w:p>
            <w:r/>
            <w:r>
              <w:rPr>
                <w:b w:val="0"/>
                <w:sz w:val="10"/>
              </w:rPr>
              <w:t>PHYSICAL ENVIRONMENT INTEGRITY MONITORING</w:t>
            </w:r>
          </w:p>
        </w:tc>
        <w:tc>
          <w:tcPr>
            <w:tcW w:type="dxa" w:w="1037"/>
            <w:vAlign w:val="top"/>
          </w:tcPr>
          <w:p>
            <w:r/>
            <w:r>
              <w:rPr>
                <w:b w:val="0"/>
                <w:sz w:val="10"/>
              </w:rPr>
              <w:t>Apply physical-AI safeguards where telematics, IoT, drones, vehicles, sensors or robotic inspection affect insured risks.</w:t>
            </w:r>
          </w:p>
        </w:tc>
        <w:tc>
          <w:tcPr>
            <w:tcW w:type="dxa" w:w="1037"/>
            <w:vAlign w:val="top"/>
          </w:tcPr>
          <w:p>
            <w:r/>
            <w:r>
              <w:rPr>
                <w:b w:val="0"/>
                <w:sz w:val="10"/>
              </w:rPr>
              <w:t>Telematics; IoT; drones; image inspection; connected devices</w:t>
            </w:r>
          </w:p>
        </w:tc>
        <w:tc>
          <w:tcPr>
            <w:tcW w:type="dxa" w:w="1037"/>
            <w:vAlign w:val="top"/>
          </w:tcPr>
          <w:p>
            <w:r/>
            <w:r>
              <w:rPr>
                <w:b w:val="0"/>
                <w:sz w:val="10"/>
              </w:rPr>
              <w:t>Apply physical environment integrity monitoring to the complete insurance decision chain and document sector-specific threats, limits and fallbacks.</w:t>
            </w:r>
          </w:p>
        </w:tc>
        <w:tc>
          <w:tcPr>
            <w:tcW w:type="dxa" w:w="1037"/>
            <w:vAlign w:val="top"/>
          </w:tcPr>
          <w:p>
            <w:r>
              <w:t>[T1] Control configuration, operating logs and approvals; [T2] independent review; [T3] controlled simulation/red-team evidence; [T4] vendor or industry claims only as supplementary context.</w:t>
            </w:r>
          </w:p>
        </w:tc>
        <w:tc>
          <w:tcPr>
            <w:tcW w:type="dxa" w:w="1037"/>
            <w:vAlign w:val="top"/>
          </w:tcPr>
          <w:p>
            <w:r/>
            <w:r>
              <w:rPr>
                <w:b w:val="0"/>
                <w:sz w:val="10"/>
              </w:rPr>
              <w:t>Engineering / Safety / Operations</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r>
        <w:trPr>
          <w:cantSplit/>
        </w:trPr>
        <w:tc>
          <w:tcPr>
            <w:tcW w:type="dxa" w:w="1037"/>
            <w:vAlign w:val="top"/>
            <w:shd w:fill="EAF2F8"/>
          </w:tcPr>
          <w:p>
            <w:r/>
            <w:r>
              <w:rPr>
                <w:b w:val="0"/>
                <w:sz w:val="10"/>
              </w:rPr>
              <w:t>D9-CTL-06</w:t>
            </w:r>
          </w:p>
        </w:tc>
        <w:tc>
          <w:tcPr>
            <w:tcW w:type="dxa" w:w="1037"/>
            <w:vAlign w:val="top"/>
            <w:shd w:fill="EAF2F8"/>
          </w:tcPr>
          <w:p>
            <w:r/>
            <w:r>
              <w:rPr>
                <w:b w:val="0"/>
                <w:sz w:val="10"/>
              </w:rPr>
              <w:t>ACTUATOR COMMAND VERIFICATION</w:t>
            </w:r>
          </w:p>
        </w:tc>
        <w:tc>
          <w:tcPr>
            <w:tcW w:type="dxa" w:w="1037"/>
            <w:vAlign w:val="top"/>
            <w:shd w:fill="EAF2F8"/>
          </w:tcPr>
          <w:p>
            <w:r/>
            <w:r>
              <w:rPr>
                <w:b w:val="0"/>
                <w:sz w:val="10"/>
              </w:rPr>
              <w:t>Apply physical-AI safeguards where telematics, IoT, drones, vehicles, sensors or robotic inspection affect insured risks.</w:t>
            </w:r>
          </w:p>
        </w:tc>
        <w:tc>
          <w:tcPr>
            <w:tcW w:type="dxa" w:w="1037"/>
            <w:vAlign w:val="top"/>
            <w:shd w:fill="EAF2F8"/>
          </w:tcPr>
          <w:p>
            <w:r/>
            <w:r>
              <w:rPr>
                <w:b w:val="0"/>
                <w:sz w:val="10"/>
              </w:rPr>
              <w:t>Telematics; IoT; drones; image inspection; connected devices</w:t>
            </w:r>
          </w:p>
        </w:tc>
        <w:tc>
          <w:tcPr>
            <w:tcW w:type="dxa" w:w="1037"/>
            <w:vAlign w:val="top"/>
            <w:shd w:fill="EAF2F8"/>
          </w:tcPr>
          <w:p>
            <w:r/>
            <w:r>
              <w:rPr>
                <w:b w:val="0"/>
                <w:sz w:val="10"/>
              </w:rPr>
              <w:t>Apply actuator command verification to the complete insurance decision chain and document sector-specific threats, limits and fallbacks.</w:t>
            </w:r>
          </w:p>
        </w:tc>
        <w:tc>
          <w:tcPr>
            <w:tcW w:type="dxa" w:w="1037"/>
            <w:vAlign w:val="top"/>
            <w:shd w:fill="EAF2F8"/>
          </w:tcPr>
          <w:p>
            <w:r>
              <w:t>[T1] Control configuration, operating logs and approvals; [T2] independent review; [T3] controlled simulation/red-team evidence; [T4] vendor or industry claims only as supplementary context.</w:t>
            </w:r>
          </w:p>
        </w:tc>
        <w:tc>
          <w:tcPr>
            <w:tcW w:type="dxa" w:w="1037"/>
            <w:vAlign w:val="top"/>
            <w:shd w:fill="EAF2F8"/>
          </w:tcPr>
          <w:p>
            <w:r/>
            <w:r>
              <w:rPr>
                <w:b w:val="0"/>
                <w:sz w:val="10"/>
              </w:rPr>
              <w:t>Engineering / Safety / Operations</w:t>
            </w:r>
          </w:p>
        </w:tc>
        <w:tc>
          <w:tcPr>
            <w:tcW w:type="dxa" w:w="1037"/>
            <w:vAlign w:val="top"/>
            <w:shd w:fill="EAF2F8"/>
          </w:tcPr>
          <w:p>
            <w:r/>
            <w:r>
              <w:rPr>
                <w:b w:val="0"/>
                <w:sz w:val="10"/>
              </w:rPr>
              <w:t>Test design and operating effectiveness; sample material decisions; verify scope</w:t>
            </w:r>
          </w:p>
        </w:tc>
        <w:tc>
          <w:tcPr>
            <w:tcW w:type="dxa" w:w="1037"/>
            <w:vAlign w:val="top"/>
            <w:shd w:fill="EAF2F8"/>
          </w:tcPr>
          <w:p>
            <w:r/>
            <w:r>
              <w:rPr>
                <w:b w:val="0"/>
                <w:sz w:val="10"/>
              </w:rPr>
              <w:t>Interpretation is informative; applicability and sufficiency remain entity-specific.</w:t>
            </w:r>
          </w:p>
        </w:tc>
        <w:tc>
          <w:tcPr>
            <w:tcW w:type="dxa" w:w="1037"/>
            <w:vAlign w:val="top"/>
            <w:shd w:fill="EAF2F8"/>
          </w:tcPr>
          <w:p>
            <w:r/>
            <w:r>
              <w:rPr>
                <w:b w:val="0"/>
                <w:sz w:val="10"/>
              </w:rPr>
              <w:t>No claim of regulatory equivalence or automatic certification.</w:t>
            </w:r>
          </w:p>
        </w:tc>
      </w:tr>
      <w:tr>
        <w:trPr>
          <w:cantSplit/>
        </w:trPr>
        <w:tc>
          <w:tcPr>
            <w:tcW w:type="dxa" w:w="1037"/>
            <w:vAlign w:val="top"/>
          </w:tcPr>
          <w:p>
            <w:r/>
            <w:r>
              <w:rPr>
                <w:b w:val="0"/>
                <w:sz w:val="10"/>
              </w:rPr>
              <w:t>D9-CTL-07</w:t>
            </w:r>
          </w:p>
        </w:tc>
        <w:tc>
          <w:tcPr>
            <w:tcW w:type="dxa" w:w="1037"/>
            <w:vAlign w:val="top"/>
          </w:tcPr>
          <w:p>
            <w:r/>
            <w:r>
              <w:rPr>
                <w:b w:val="0"/>
                <w:sz w:val="10"/>
              </w:rPr>
              <w:t>PHYSICAL INCIDENT EVIDENCE PRESERVATION</w:t>
            </w:r>
          </w:p>
        </w:tc>
        <w:tc>
          <w:tcPr>
            <w:tcW w:type="dxa" w:w="1037"/>
            <w:vAlign w:val="top"/>
          </w:tcPr>
          <w:p>
            <w:r/>
            <w:r>
              <w:rPr>
                <w:b w:val="0"/>
                <w:sz w:val="10"/>
              </w:rPr>
              <w:t>Apply physical-AI safeguards where telematics, IoT, drones, vehicles, sensors or robotic inspection affect insured risks.</w:t>
            </w:r>
          </w:p>
        </w:tc>
        <w:tc>
          <w:tcPr>
            <w:tcW w:type="dxa" w:w="1037"/>
            <w:vAlign w:val="top"/>
          </w:tcPr>
          <w:p>
            <w:r/>
            <w:r>
              <w:rPr>
                <w:b w:val="0"/>
                <w:sz w:val="10"/>
              </w:rPr>
              <w:t>Telematics; IoT; drones; image inspection; connected devices</w:t>
            </w:r>
          </w:p>
        </w:tc>
        <w:tc>
          <w:tcPr>
            <w:tcW w:type="dxa" w:w="1037"/>
            <w:vAlign w:val="top"/>
          </w:tcPr>
          <w:p>
            <w:r/>
            <w:r>
              <w:rPr>
                <w:b w:val="0"/>
                <w:sz w:val="10"/>
              </w:rPr>
              <w:t>Apply physical incident evidence preservation to the complete insurance decision chain and document sector-specific threats, limits and fallbacks.</w:t>
            </w:r>
          </w:p>
        </w:tc>
        <w:tc>
          <w:tcPr>
            <w:tcW w:type="dxa" w:w="1037"/>
            <w:vAlign w:val="top"/>
          </w:tcPr>
          <w:p>
            <w:r>
              <w:t>[T1] Control configuration, operating logs and approvals; [T2] independent review; [T3] controlled simulation/red-team evidence; [T4] vendor or industry claims only as supplementary context.</w:t>
            </w:r>
          </w:p>
        </w:tc>
        <w:tc>
          <w:tcPr>
            <w:tcW w:type="dxa" w:w="1037"/>
            <w:vAlign w:val="top"/>
          </w:tcPr>
          <w:p>
            <w:r/>
            <w:r>
              <w:rPr>
                <w:b w:val="0"/>
                <w:sz w:val="10"/>
              </w:rPr>
              <w:t>Engineering / Safety / Operations</w:t>
            </w:r>
          </w:p>
        </w:tc>
        <w:tc>
          <w:tcPr>
            <w:tcW w:type="dxa" w:w="1037"/>
            <w:vAlign w:val="top"/>
          </w:tcPr>
          <w:p>
            <w:r/>
            <w:r>
              <w:rPr>
                <w:b w:val="0"/>
                <w:sz w:val="10"/>
              </w:rPr>
              <w:t>Test design and operating effectiveness; sample material decisions; verify scope</w:t>
            </w:r>
          </w:p>
        </w:tc>
        <w:tc>
          <w:tcPr>
            <w:tcW w:type="dxa" w:w="1037"/>
            <w:vAlign w:val="top"/>
          </w:tcPr>
          <w:p>
            <w:r/>
            <w:r>
              <w:rPr>
                <w:b w:val="0"/>
                <w:sz w:val="10"/>
              </w:rPr>
              <w:t>Interpretation is informative; applicability and sufficiency remain entity-specific.</w:t>
            </w:r>
          </w:p>
        </w:tc>
        <w:tc>
          <w:tcPr>
            <w:tcW w:type="dxa" w:w="1037"/>
            <w:vAlign w:val="top"/>
          </w:tcPr>
          <w:p>
            <w:r/>
            <w:r>
              <w:rPr>
                <w:b w:val="0"/>
                <w:sz w:val="10"/>
              </w:rPr>
              <w:t>No claim of regulatory equivalence or automatic certification.</w:t>
            </w:r>
          </w:p>
        </w:tc>
      </w:tr>
    </w:tbl>
    <w:p/>
    <w:p>
      <w:pPr>
        <w:pStyle w:val="Heading1"/>
      </w:pPr>
      <w:r>
        <w:t>21. Regulatory and standards landscape</w:t>
      </w:r>
    </w:p>
    <w:p>
      <w:r>
        <w:t>External sources provide context, not automatic obligations or equivalence. Implementing organisations should verify current status, jurisdiction, adoption, effective dates, amendments and supervisory interpretation before reliance.</w:t>
      </w:r>
    </w:p>
    <w:tbl>
      <w:tblPr>
        <w:tblStyle w:val="TableGrid"/>
        <w:tblW w:type="auto" w:w="0"/>
        <w:jc w:val="center"/>
        <w:tblLook w:firstColumn="1" w:firstRow="1" w:lastColumn="0" w:lastRow="0" w:noHBand="0" w:noVBand="1" w:val="04A0"/>
      </w:tblPr>
      <w:tblGrid>
        <w:gridCol w:w="2074"/>
        <w:gridCol w:w="2074"/>
        <w:gridCol w:w="2074"/>
        <w:gridCol w:w="2074"/>
        <w:gridCol w:w="2074"/>
      </w:tblGrid>
      <w:tr>
        <w:trPr>
          <w:cantSplit/>
          <w:tblHeader w:val="true"/>
        </w:trPr>
        <w:tc>
          <w:tcPr>
            <w:tcW w:type="dxa" w:w="2074"/>
            <w:vAlign w:val="top"/>
            <w:shd w:fill="1F4E78"/>
          </w:tcPr>
          <w:p>
            <w:r/>
            <w:r>
              <w:rPr>
                <w:b/>
                <w:color w:val="FFFFFF"/>
                <w:sz w:val="13"/>
              </w:rPr>
              <w:t>Source ID</w:t>
            </w:r>
          </w:p>
        </w:tc>
        <w:tc>
          <w:tcPr>
            <w:tcW w:type="dxa" w:w="2074"/>
            <w:vAlign w:val="top"/>
            <w:shd w:fill="1F4E78"/>
          </w:tcPr>
          <w:p>
            <w:r/>
            <w:r>
              <w:rPr>
                <w:b/>
                <w:color w:val="FFFFFF"/>
                <w:sz w:val="13"/>
              </w:rPr>
              <w:t>Instrument</w:t>
            </w:r>
          </w:p>
        </w:tc>
        <w:tc>
          <w:tcPr>
            <w:tcW w:type="dxa" w:w="2074"/>
            <w:vAlign w:val="top"/>
            <w:shd w:fill="1F4E78"/>
          </w:tcPr>
          <w:p>
            <w:r/>
            <w:r>
              <w:rPr>
                <w:b/>
                <w:color w:val="FFFFFF"/>
                <w:sz w:val="13"/>
              </w:rPr>
              <w:t>Issuer / jurisdiction</w:t>
            </w:r>
          </w:p>
        </w:tc>
        <w:tc>
          <w:tcPr>
            <w:tcW w:type="dxa" w:w="2074"/>
            <w:vAlign w:val="top"/>
            <w:shd w:fill="1F4E78"/>
          </w:tcPr>
          <w:p>
            <w:r/>
            <w:r>
              <w:rPr>
                <w:b/>
                <w:color w:val="FFFFFF"/>
                <w:sz w:val="13"/>
              </w:rPr>
              <w:t>Relevance</w:t>
            </w:r>
          </w:p>
        </w:tc>
        <w:tc>
          <w:tcPr>
            <w:tcW w:type="dxa" w:w="2074"/>
            <w:vAlign w:val="top"/>
            <w:shd w:fill="1F4E78"/>
          </w:tcPr>
          <w:p>
            <w:r/>
            <w:r>
              <w:rPr>
                <w:b/>
                <w:color w:val="FFFFFF"/>
                <w:sz w:val="13"/>
              </w:rPr>
              <w:t>Status / limitation</w:t>
            </w:r>
          </w:p>
        </w:tc>
      </w:tr>
      <w:tr>
        <w:trPr>
          <w:cantSplit/>
        </w:trPr>
        <w:tc>
          <w:tcPr>
            <w:tcW w:type="dxa" w:w="2074"/>
            <w:vAlign w:val="top"/>
          </w:tcPr>
          <w:p>
            <w:r/>
            <w:r>
              <w:rPr>
                <w:b w:val="0"/>
                <w:sz w:val="13"/>
              </w:rPr>
              <w:t>SRC-02</w:t>
            </w:r>
          </w:p>
        </w:tc>
        <w:tc>
          <w:tcPr>
            <w:tcW w:type="dxa" w:w="2074"/>
            <w:vAlign w:val="top"/>
          </w:tcPr>
          <w:p>
            <w:r/>
            <w:r>
              <w:rPr>
                <w:b w:val="0"/>
                <w:sz w:val="13"/>
              </w:rPr>
              <w:t>Application Paper on the Supervision of Artificial Intelligence</w:t>
            </w:r>
          </w:p>
        </w:tc>
        <w:tc>
          <w:tcPr>
            <w:tcW w:type="dxa" w:w="2074"/>
            <w:vAlign w:val="top"/>
          </w:tcPr>
          <w:p>
            <w:r/>
            <w:r>
              <w:rPr>
                <w:b w:val="0"/>
                <w:sz w:val="13"/>
              </w:rPr>
              <w:t>International Association of Insurance Supervisors / International supervisory guidance</w:t>
            </w:r>
          </w:p>
        </w:tc>
        <w:tc>
          <w:tcPr>
            <w:tcW w:type="dxa" w:w="2074"/>
            <w:vAlign w:val="top"/>
          </w:tcPr>
          <w:p>
            <w:r/>
            <w:r>
              <w:rPr>
                <w:b w:val="0"/>
                <w:sz w:val="13"/>
              </w:rPr>
              <w:t>Insurance supervision, governance and conduct context</w:t>
            </w:r>
          </w:p>
        </w:tc>
        <w:tc>
          <w:tcPr>
            <w:tcW w:type="dxa" w:w="2074"/>
            <w:vAlign w:val="top"/>
          </w:tcPr>
          <w:p>
            <w:r/>
            <w:r>
              <w:rPr>
                <w:b w:val="0"/>
                <w:sz w:val="13"/>
              </w:rPr>
              <w:t>Application paper; not binding law and jurisdictional implementation varies.</w:t>
            </w:r>
          </w:p>
        </w:tc>
      </w:tr>
      <w:tr>
        <w:trPr>
          <w:cantSplit/>
        </w:trPr>
        <w:tc>
          <w:tcPr>
            <w:tcW w:type="dxa" w:w="2074"/>
            <w:vAlign w:val="top"/>
            <w:shd w:fill="EAF2F8"/>
          </w:tcPr>
          <w:p>
            <w:r/>
            <w:r>
              <w:rPr>
                <w:b w:val="0"/>
                <w:sz w:val="13"/>
              </w:rPr>
              <w:t>SRC-03</w:t>
            </w:r>
          </w:p>
        </w:tc>
        <w:tc>
          <w:tcPr>
            <w:tcW w:type="dxa" w:w="2074"/>
            <w:vAlign w:val="top"/>
            <w:shd w:fill="EAF2F8"/>
          </w:tcPr>
          <w:p>
            <w:r/>
            <w:r>
              <w:rPr>
                <w:b w:val="0"/>
                <w:sz w:val="13"/>
              </w:rPr>
              <w:t>Opinion on Artificial Intelligence Governance and Risk Management</w:t>
            </w:r>
          </w:p>
        </w:tc>
        <w:tc>
          <w:tcPr>
            <w:tcW w:type="dxa" w:w="2074"/>
            <w:vAlign w:val="top"/>
            <w:shd w:fill="EAF2F8"/>
          </w:tcPr>
          <w:p>
            <w:r/>
            <w:r>
              <w:rPr>
                <w:b w:val="0"/>
                <w:sz w:val="13"/>
              </w:rPr>
              <w:t>EIOPA / European Union / EEA supervisory context</w:t>
            </w:r>
          </w:p>
        </w:tc>
        <w:tc>
          <w:tcPr>
            <w:tcW w:type="dxa" w:w="2074"/>
            <w:vAlign w:val="top"/>
            <w:shd w:fill="EAF2F8"/>
          </w:tcPr>
          <w:p>
            <w:r/>
            <w:r>
              <w:rPr>
                <w:b w:val="0"/>
                <w:sz w:val="13"/>
              </w:rPr>
              <w:t>Insurance-sector governance and risk management principles</w:t>
            </w:r>
          </w:p>
        </w:tc>
        <w:tc>
          <w:tcPr>
            <w:tcW w:type="dxa" w:w="2074"/>
            <w:vAlign w:val="top"/>
            <w:shd w:fill="EAF2F8"/>
          </w:tcPr>
          <w:p>
            <w:r/>
            <w:r>
              <w:rPr>
                <w:b w:val="0"/>
                <w:sz w:val="13"/>
              </w:rPr>
              <w:t>Addressed to national supervisors; applicability must be assessed.</w:t>
            </w:r>
          </w:p>
        </w:tc>
      </w:tr>
      <w:tr>
        <w:trPr>
          <w:cantSplit/>
        </w:trPr>
        <w:tc>
          <w:tcPr>
            <w:tcW w:type="dxa" w:w="2074"/>
            <w:vAlign w:val="top"/>
          </w:tcPr>
          <w:p>
            <w:r/>
            <w:r>
              <w:rPr>
                <w:b w:val="0"/>
                <w:sz w:val="13"/>
              </w:rPr>
              <w:t>SRC-04</w:t>
            </w:r>
          </w:p>
        </w:tc>
        <w:tc>
          <w:tcPr>
            <w:tcW w:type="dxa" w:w="2074"/>
            <w:vAlign w:val="top"/>
          </w:tcPr>
          <w:p>
            <w:r/>
            <w:r>
              <w:rPr>
                <w:b w:val="0"/>
                <w:sz w:val="13"/>
              </w:rPr>
              <w:t>Model Bulletin: Use of Artificial Intelligence Systems by Insurers</w:t>
            </w:r>
          </w:p>
        </w:tc>
        <w:tc>
          <w:tcPr>
            <w:tcW w:type="dxa" w:w="2074"/>
            <w:vAlign w:val="top"/>
          </w:tcPr>
          <w:p>
            <w:r/>
            <w:r>
              <w:rPr>
                <w:b w:val="0"/>
                <w:sz w:val="13"/>
              </w:rPr>
              <w:t>NAIC / United States state insurance regulation model</w:t>
            </w:r>
          </w:p>
        </w:tc>
        <w:tc>
          <w:tcPr>
            <w:tcW w:type="dxa" w:w="2074"/>
            <w:vAlign w:val="top"/>
          </w:tcPr>
          <w:p>
            <w:r/>
            <w:r>
              <w:rPr>
                <w:b w:val="0"/>
                <w:sz w:val="13"/>
              </w:rPr>
              <w:t>Written AIS program, governance, consumer outcomes and regulator examination expectations</w:t>
            </w:r>
          </w:p>
        </w:tc>
        <w:tc>
          <w:tcPr>
            <w:tcW w:type="dxa" w:w="2074"/>
            <w:vAlign w:val="top"/>
          </w:tcPr>
          <w:p>
            <w:r/>
            <w:r>
              <w:rPr>
                <w:b w:val="0"/>
                <w:sz w:val="13"/>
              </w:rPr>
              <w:t>Model bulletin; adoption and wording vary by state.</w:t>
            </w:r>
          </w:p>
        </w:tc>
      </w:tr>
      <w:tr>
        <w:trPr>
          <w:cantSplit/>
        </w:trPr>
        <w:tc>
          <w:tcPr>
            <w:tcW w:type="dxa" w:w="2074"/>
            <w:vAlign w:val="top"/>
            <w:shd w:fill="EAF2F8"/>
          </w:tcPr>
          <w:p>
            <w:r/>
            <w:r>
              <w:rPr>
                <w:b w:val="0"/>
                <w:sz w:val="13"/>
              </w:rPr>
              <w:t>SRC-05</w:t>
            </w:r>
          </w:p>
        </w:tc>
        <w:tc>
          <w:tcPr>
            <w:tcW w:type="dxa" w:w="2074"/>
            <w:vAlign w:val="top"/>
            <w:shd w:fill="EAF2F8"/>
          </w:tcPr>
          <w:p>
            <w:r/>
            <w:r>
              <w:rPr>
                <w:b w:val="0"/>
                <w:sz w:val="13"/>
              </w:rPr>
              <w:t>Artificial Intelligence Risk Management Framework (AI RMF 1.0), NIST AI 100-1</w:t>
            </w:r>
          </w:p>
        </w:tc>
        <w:tc>
          <w:tcPr>
            <w:tcW w:type="dxa" w:w="2074"/>
            <w:vAlign w:val="top"/>
            <w:shd w:fill="EAF2F8"/>
          </w:tcPr>
          <w:p>
            <w:r/>
            <w:r>
              <w:rPr>
                <w:b w:val="0"/>
                <w:sz w:val="13"/>
              </w:rPr>
              <w:t>NIST / United States / cross-sector voluntary framework</w:t>
            </w:r>
          </w:p>
        </w:tc>
        <w:tc>
          <w:tcPr>
            <w:tcW w:type="dxa" w:w="2074"/>
            <w:vAlign w:val="top"/>
            <w:shd w:fill="EAF2F8"/>
          </w:tcPr>
          <w:p>
            <w:r/>
            <w:r>
              <w:rPr>
                <w:b w:val="0"/>
                <w:sz w:val="13"/>
              </w:rPr>
              <w:t>Cross-sector lifecycle risk management</w:t>
            </w:r>
          </w:p>
        </w:tc>
        <w:tc>
          <w:tcPr>
            <w:tcW w:type="dxa" w:w="2074"/>
            <w:vAlign w:val="top"/>
            <w:shd w:fill="EAF2F8"/>
          </w:tcPr>
          <w:p>
            <w:r/>
            <w:r>
              <w:rPr>
                <w:b w:val="0"/>
                <w:sz w:val="13"/>
              </w:rPr>
              <w:t>Voluntary framework; not insurance-specific or a legal compliance standard.</w:t>
            </w:r>
          </w:p>
        </w:tc>
      </w:tr>
      <w:tr>
        <w:trPr>
          <w:cantSplit/>
        </w:trPr>
        <w:tc>
          <w:tcPr>
            <w:tcW w:type="dxa" w:w="2074"/>
            <w:vAlign w:val="top"/>
          </w:tcPr>
          <w:p>
            <w:r/>
            <w:r>
              <w:rPr>
                <w:b w:val="0"/>
                <w:sz w:val="13"/>
              </w:rPr>
              <w:t>SRC-06</w:t>
            </w:r>
          </w:p>
        </w:tc>
        <w:tc>
          <w:tcPr>
            <w:tcW w:type="dxa" w:w="2074"/>
            <w:vAlign w:val="top"/>
          </w:tcPr>
          <w:p>
            <w:r/>
            <w:r>
              <w:rPr>
                <w:b w:val="0"/>
                <w:sz w:val="13"/>
              </w:rPr>
              <w:t>Artificial Intelligence Risk Management Framework: Generative AI Profile, NIST AI 600-1</w:t>
            </w:r>
          </w:p>
        </w:tc>
        <w:tc>
          <w:tcPr>
            <w:tcW w:type="dxa" w:w="2074"/>
            <w:vAlign w:val="top"/>
          </w:tcPr>
          <w:p>
            <w:r/>
            <w:r>
              <w:rPr>
                <w:b w:val="0"/>
                <w:sz w:val="13"/>
              </w:rPr>
              <w:t>NIST / United States / cross-sector voluntary profile</w:t>
            </w:r>
          </w:p>
        </w:tc>
        <w:tc>
          <w:tcPr>
            <w:tcW w:type="dxa" w:w="2074"/>
            <w:vAlign w:val="top"/>
          </w:tcPr>
          <w:p>
            <w:r/>
            <w:r>
              <w:rPr>
                <w:b w:val="0"/>
                <w:sz w:val="13"/>
              </w:rPr>
              <w:t>Generative-AI risks and controls</w:t>
            </w:r>
          </w:p>
        </w:tc>
        <w:tc>
          <w:tcPr>
            <w:tcW w:type="dxa" w:w="2074"/>
            <w:vAlign w:val="top"/>
          </w:tcPr>
          <w:p>
            <w:r/>
            <w:r>
              <w:rPr>
                <w:b w:val="0"/>
                <w:sz w:val="13"/>
              </w:rPr>
              <w:t>Profile requires tailoring to insurance use cases and law.</w:t>
            </w:r>
          </w:p>
        </w:tc>
      </w:tr>
      <w:tr>
        <w:trPr>
          <w:cantSplit/>
        </w:trPr>
        <w:tc>
          <w:tcPr>
            <w:tcW w:type="dxa" w:w="2074"/>
            <w:vAlign w:val="top"/>
            <w:shd w:fill="EAF2F8"/>
          </w:tcPr>
          <w:p>
            <w:r/>
            <w:r>
              <w:rPr>
                <w:b w:val="0"/>
                <w:sz w:val="13"/>
              </w:rPr>
              <w:t>SRC-07</w:t>
            </w:r>
          </w:p>
        </w:tc>
        <w:tc>
          <w:tcPr>
            <w:tcW w:type="dxa" w:w="2074"/>
            <w:vAlign w:val="top"/>
            <w:shd w:fill="EAF2F8"/>
          </w:tcPr>
          <w:p>
            <w:r/>
            <w:r>
              <w:rPr>
                <w:b w:val="0"/>
                <w:sz w:val="13"/>
              </w:rPr>
              <w:t>Artificial Intelligence Governance Principles: Towards Ethical and Trustworthy AI in the European Insurance Sector</w:t>
            </w:r>
          </w:p>
        </w:tc>
        <w:tc>
          <w:tcPr>
            <w:tcW w:type="dxa" w:w="2074"/>
            <w:vAlign w:val="top"/>
            <w:shd w:fill="EAF2F8"/>
          </w:tcPr>
          <w:p>
            <w:r/>
            <w:r>
              <w:rPr>
                <w:b w:val="0"/>
                <w:sz w:val="13"/>
              </w:rPr>
              <w:t>EIOPA Consultative Expert Group / European insurance sector</w:t>
            </w:r>
          </w:p>
        </w:tc>
        <w:tc>
          <w:tcPr>
            <w:tcW w:type="dxa" w:w="2074"/>
            <w:vAlign w:val="top"/>
            <w:shd w:fill="EAF2F8"/>
          </w:tcPr>
          <w:p>
            <w:r/>
            <w:r>
              <w:rPr>
                <w:b w:val="0"/>
                <w:sz w:val="13"/>
              </w:rPr>
              <w:t>Fairness, explainability, governance, data and resilience context</w:t>
            </w:r>
          </w:p>
        </w:tc>
        <w:tc>
          <w:tcPr>
            <w:tcW w:type="dxa" w:w="2074"/>
            <w:vAlign w:val="top"/>
            <w:shd w:fill="EAF2F8"/>
          </w:tcPr>
          <w:p>
            <w:r/>
            <w:r>
              <w:rPr>
                <w:b w:val="0"/>
                <w:sz w:val="13"/>
              </w:rPr>
              <w:t>Expert-group report, not binding law.</w:t>
            </w:r>
          </w:p>
        </w:tc>
      </w:tr>
    </w:tbl>
    <w:p/>
    <w:p>
      <w:pPr>
        <w:pStyle w:val="Heading1"/>
      </w:pPr>
      <w:r>
        <w:t>22. Financial impact vectors</w:t>
      </w:r>
    </w:p>
    <w:tbl>
      <w:tblPr>
        <w:tblStyle w:val="TableGrid"/>
        <w:tblW w:type="auto" w:w="0"/>
        <w:jc w:val="center"/>
        <w:tblLook w:firstColumn="1" w:firstRow="1" w:lastColumn="0" w:lastRow="0" w:noHBand="0" w:noVBand="1" w:val="04A0"/>
      </w:tblPr>
      <w:tblGrid>
        <w:gridCol w:w="5184"/>
        <w:gridCol w:w="5184"/>
      </w:tblGrid>
      <w:tr>
        <w:trPr>
          <w:cantSplit/>
          <w:tblHeader w:val="true"/>
        </w:trPr>
        <w:tc>
          <w:tcPr>
            <w:tcW w:type="dxa" w:w="5184"/>
            <w:vAlign w:val="top"/>
            <w:shd w:fill="1F4E78"/>
          </w:tcPr>
          <w:p>
            <w:r/>
            <w:r>
              <w:rPr>
                <w:b/>
                <w:color w:val="FFFFFF"/>
                <w:sz w:val="16"/>
              </w:rPr>
              <w:t>Vector</w:t>
            </w:r>
          </w:p>
        </w:tc>
        <w:tc>
          <w:tcPr>
            <w:tcW w:type="dxa" w:w="5184"/>
            <w:vAlign w:val="top"/>
            <w:shd w:fill="1F4E78"/>
          </w:tcPr>
          <w:p>
            <w:r/>
            <w:r>
              <w:rPr>
                <w:b/>
                <w:color w:val="FFFFFF"/>
                <w:sz w:val="16"/>
              </w:rPr>
              <w:t>Impact pathway</w:t>
            </w:r>
          </w:p>
        </w:tc>
      </w:tr>
      <w:tr>
        <w:trPr>
          <w:cantSplit/>
        </w:trPr>
        <w:tc>
          <w:tcPr>
            <w:tcW w:type="dxa" w:w="5184"/>
            <w:vAlign w:val="top"/>
          </w:tcPr>
          <w:p>
            <w:r/>
            <w:r>
              <w:rPr>
                <w:b w:val="0"/>
                <w:sz w:val="16"/>
              </w:rPr>
              <w:t>Claims leakage</w:t>
            </w:r>
          </w:p>
        </w:tc>
        <w:tc>
          <w:tcPr>
            <w:tcW w:type="dxa" w:w="5184"/>
            <w:vAlign w:val="top"/>
          </w:tcPr>
          <w:p>
            <w:r/>
            <w:r>
              <w:rPr>
                <w:b w:val="0"/>
                <w:sz w:val="16"/>
              </w:rPr>
              <w:t>Incorrect estimation, weak fraud detection or uncontrolled settlement recommendations.</w:t>
            </w:r>
          </w:p>
        </w:tc>
      </w:tr>
      <w:tr>
        <w:trPr>
          <w:cantSplit/>
        </w:trPr>
        <w:tc>
          <w:tcPr>
            <w:tcW w:type="dxa" w:w="5184"/>
            <w:vAlign w:val="top"/>
            <w:shd w:fill="EAF2F8"/>
          </w:tcPr>
          <w:p>
            <w:r/>
            <w:r>
              <w:rPr>
                <w:b w:val="0"/>
                <w:sz w:val="16"/>
              </w:rPr>
              <w:t>Incorrect claims denial</w:t>
            </w:r>
          </w:p>
        </w:tc>
        <w:tc>
          <w:tcPr>
            <w:tcW w:type="dxa" w:w="5184"/>
            <w:vAlign w:val="top"/>
            <w:shd w:fill="EAF2F8"/>
          </w:tcPr>
          <w:p>
            <w:r/>
            <w:r>
              <w:rPr>
                <w:b w:val="0"/>
                <w:sz w:val="16"/>
              </w:rPr>
              <w:t>False negatives or automation bias create remediation and litigation exposure.</w:t>
            </w:r>
          </w:p>
        </w:tc>
      </w:tr>
      <w:tr>
        <w:trPr>
          <w:cantSplit/>
        </w:trPr>
        <w:tc>
          <w:tcPr>
            <w:tcW w:type="dxa" w:w="5184"/>
            <w:vAlign w:val="top"/>
          </w:tcPr>
          <w:p>
            <w:r/>
            <w:r>
              <w:rPr>
                <w:b w:val="0"/>
                <w:sz w:val="16"/>
              </w:rPr>
              <w:t>Underpricing / overpricing</w:t>
            </w:r>
          </w:p>
        </w:tc>
        <w:tc>
          <w:tcPr>
            <w:tcW w:type="dxa" w:w="5184"/>
            <w:vAlign w:val="top"/>
          </w:tcPr>
          <w:p>
            <w:r/>
            <w:r>
              <w:rPr>
                <w:b w:val="0"/>
                <w:sz w:val="16"/>
              </w:rPr>
              <w:t>Model or data errors distort premium adequacy or customer outcomes.</w:t>
            </w:r>
          </w:p>
        </w:tc>
      </w:tr>
      <w:tr>
        <w:trPr>
          <w:cantSplit/>
        </w:trPr>
        <w:tc>
          <w:tcPr>
            <w:tcW w:type="dxa" w:w="5184"/>
            <w:vAlign w:val="top"/>
            <w:shd w:fill="EAF2F8"/>
          </w:tcPr>
          <w:p>
            <w:r/>
            <w:r>
              <w:rPr>
                <w:b w:val="0"/>
                <w:sz w:val="16"/>
              </w:rPr>
              <w:t>Adverse selection</w:t>
            </w:r>
          </w:p>
        </w:tc>
        <w:tc>
          <w:tcPr>
            <w:tcW w:type="dxa" w:w="5184"/>
            <w:vAlign w:val="top"/>
            <w:shd w:fill="EAF2F8"/>
          </w:tcPr>
          <w:p>
            <w:r/>
            <w:r>
              <w:rPr>
                <w:b w:val="0"/>
                <w:sz w:val="16"/>
              </w:rPr>
              <w:t>Poor segmentation or drift changes portfolio risk mix.</w:t>
            </w:r>
          </w:p>
        </w:tc>
      </w:tr>
      <w:tr>
        <w:trPr>
          <w:cantSplit/>
        </w:trPr>
        <w:tc>
          <w:tcPr>
            <w:tcW w:type="dxa" w:w="5184"/>
            <w:vAlign w:val="top"/>
          </w:tcPr>
          <w:p>
            <w:r/>
            <w:r>
              <w:rPr>
                <w:b w:val="0"/>
                <w:sz w:val="16"/>
              </w:rPr>
              <w:t>Reserving error</w:t>
            </w:r>
          </w:p>
        </w:tc>
        <w:tc>
          <w:tcPr>
            <w:tcW w:type="dxa" w:w="5184"/>
            <w:vAlign w:val="top"/>
          </w:tcPr>
          <w:p>
            <w:r/>
            <w:r>
              <w:rPr>
                <w:b w:val="0"/>
                <w:sz w:val="16"/>
              </w:rPr>
              <w:t>Model assumptions or regime shifts distort liabilities and management information.</w:t>
            </w:r>
          </w:p>
        </w:tc>
      </w:tr>
      <w:tr>
        <w:trPr>
          <w:cantSplit/>
        </w:trPr>
        <w:tc>
          <w:tcPr>
            <w:tcW w:type="dxa" w:w="5184"/>
            <w:vAlign w:val="top"/>
            <w:shd w:fill="EAF2F8"/>
          </w:tcPr>
          <w:p>
            <w:r/>
            <w:r>
              <w:rPr>
                <w:b w:val="0"/>
                <w:sz w:val="16"/>
              </w:rPr>
              <w:t>Capital and reinsurance impacts</w:t>
            </w:r>
          </w:p>
        </w:tc>
        <w:tc>
          <w:tcPr>
            <w:tcW w:type="dxa" w:w="5184"/>
            <w:vAlign w:val="top"/>
            <w:shd w:fill="EAF2F8"/>
          </w:tcPr>
          <w:p>
            <w:r/>
            <w:r>
              <w:rPr>
                <w:b w:val="0"/>
                <w:sz w:val="16"/>
              </w:rPr>
              <w:t>Accumulation or catastrophe-model error affects risk transfer and solvency decisions.</w:t>
            </w:r>
          </w:p>
        </w:tc>
      </w:tr>
      <w:tr>
        <w:trPr>
          <w:cantSplit/>
        </w:trPr>
        <w:tc>
          <w:tcPr>
            <w:tcW w:type="dxa" w:w="5184"/>
            <w:vAlign w:val="top"/>
          </w:tcPr>
          <w:p>
            <w:r/>
            <w:r>
              <w:rPr>
                <w:b w:val="0"/>
                <w:sz w:val="16"/>
              </w:rPr>
              <w:t>Regulatory and legal cost</w:t>
            </w:r>
          </w:p>
        </w:tc>
        <w:tc>
          <w:tcPr>
            <w:tcW w:type="dxa" w:w="5184"/>
            <w:vAlign w:val="top"/>
          </w:tcPr>
          <w:p>
            <w:r/>
            <w:r>
              <w:rPr>
                <w:b w:val="0"/>
                <w:sz w:val="16"/>
              </w:rPr>
              <w:t>Examination, remediation, penalties, disputes and record reconstruction.</w:t>
            </w:r>
          </w:p>
        </w:tc>
      </w:tr>
      <w:tr>
        <w:trPr>
          <w:cantSplit/>
        </w:trPr>
        <w:tc>
          <w:tcPr>
            <w:tcW w:type="dxa" w:w="5184"/>
            <w:vAlign w:val="top"/>
            <w:shd w:fill="EAF2F8"/>
          </w:tcPr>
          <w:p>
            <w:r/>
            <w:r>
              <w:rPr>
                <w:b w:val="0"/>
                <w:sz w:val="16"/>
              </w:rPr>
              <w:t>Operational disruption</w:t>
            </w:r>
          </w:p>
        </w:tc>
        <w:tc>
          <w:tcPr>
            <w:tcW w:type="dxa" w:w="5184"/>
            <w:vAlign w:val="top"/>
            <w:shd w:fill="EAF2F8"/>
          </w:tcPr>
          <w:p>
            <w:r/>
            <w:r>
              <w:rPr>
                <w:b w:val="0"/>
                <w:sz w:val="16"/>
              </w:rPr>
              <w:t>Vendor outage, model compromise or claims surge impairs critical services.</w:t>
            </w:r>
          </w:p>
        </w:tc>
      </w:tr>
      <w:tr>
        <w:trPr>
          <w:cantSplit/>
        </w:trPr>
        <w:tc>
          <w:tcPr>
            <w:tcW w:type="dxa" w:w="5184"/>
            <w:vAlign w:val="top"/>
          </w:tcPr>
          <w:p>
            <w:r/>
            <w:r>
              <w:rPr>
                <w:b w:val="0"/>
                <w:sz w:val="16"/>
              </w:rPr>
              <w:t>Fraud losses</w:t>
            </w:r>
          </w:p>
        </w:tc>
        <w:tc>
          <w:tcPr>
            <w:tcW w:type="dxa" w:w="5184"/>
            <w:vAlign w:val="top"/>
          </w:tcPr>
          <w:p>
            <w:r/>
            <w:r>
              <w:rPr>
                <w:b w:val="0"/>
                <w:sz w:val="16"/>
              </w:rPr>
              <w:t>Adversarial evasion, synthetic evidence or compromised scoring increases leakage.</w:t>
            </w:r>
          </w:p>
        </w:tc>
      </w:tr>
      <w:tr>
        <w:trPr>
          <w:cantSplit/>
        </w:trPr>
        <w:tc>
          <w:tcPr>
            <w:tcW w:type="dxa" w:w="5184"/>
            <w:vAlign w:val="top"/>
            <w:shd w:fill="EAF2F8"/>
          </w:tcPr>
          <w:p>
            <w:r/>
            <w:r>
              <w:rPr>
                <w:b w:val="0"/>
                <w:sz w:val="16"/>
              </w:rPr>
              <w:t>Reputation and attrition</w:t>
            </w:r>
          </w:p>
        </w:tc>
        <w:tc>
          <w:tcPr>
            <w:tcW w:type="dxa" w:w="5184"/>
            <w:vAlign w:val="top"/>
            <w:shd w:fill="EAF2F8"/>
          </w:tcPr>
          <w:p>
            <w:r/>
            <w:r>
              <w:rPr>
                <w:b w:val="0"/>
                <w:sz w:val="16"/>
              </w:rPr>
              <w:t>Unfair, opaque or inaccurate outcomes damage trust and distribution relationships.</w:t>
            </w:r>
          </w:p>
        </w:tc>
      </w:tr>
    </w:tbl>
    <w:p/>
    <w:p>
      <w:r>
        <w:t>These are pathways, not guaranteed outcomes. Quantification should use entity-specific exposure, decision volume, remediation cost, claims severity, capital and reinsurance assumptions.</w:t>
      </w:r>
    </w:p>
    <w:p>
      <w:pPr>
        <w:pStyle w:val="Heading1"/>
      </w:pPr>
      <w:r>
        <w:t>23. Metrics and reporting</w:t>
      </w:r>
    </w:p>
    <w:tbl>
      <w:tblPr>
        <w:tblStyle w:val="TableGrid"/>
        <w:tblW w:type="auto" w:w="0"/>
        <w:jc w:val="center"/>
        <w:tblLook w:firstColumn="1" w:firstRow="1" w:lastColumn="0" w:lastRow="0" w:noHBand="0" w:noVBand="1" w:val="04A0"/>
      </w:tblPr>
      <w:tblGrid>
        <w:gridCol w:w="2074"/>
        <w:gridCol w:w="2074"/>
        <w:gridCol w:w="2074"/>
        <w:gridCol w:w="2074"/>
        <w:gridCol w:w="2074"/>
      </w:tblGrid>
      <w:tr>
        <w:trPr>
          <w:cantSplit/>
          <w:tblHeader w:val="true"/>
        </w:trPr>
        <w:tc>
          <w:tcPr>
            <w:tcW w:type="dxa" w:w="2074"/>
            <w:vAlign w:val="top"/>
            <w:shd w:fill="1F4E78"/>
          </w:tcPr>
          <w:p>
            <w:r/>
            <w:r>
              <w:rPr>
                <w:b/>
                <w:color w:val="FFFFFF"/>
                <w:sz w:val="14"/>
              </w:rPr>
              <w:t>Metric</w:t>
            </w:r>
          </w:p>
        </w:tc>
        <w:tc>
          <w:tcPr>
            <w:tcW w:type="dxa" w:w="2074"/>
            <w:vAlign w:val="top"/>
            <w:shd w:fill="1F4E78"/>
          </w:tcPr>
          <w:p>
            <w:r/>
            <w:r>
              <w:rPr>
                <w:b/>
                <w:color w:val="FFFFFF"/>
                <w:sz w:val="14"/>
              </w:rPr>
              <w:t>Definition</w:t>
            </w:r>
          </w:p>
        </w:tc>
        <w:tc>
          <w:tcPr>
            <w:tcW w:type="dxa" w:w="2074"/>
            <w:vAlign w:val="top"/>
            <w:shd w:fill="1F4E78"/>
          </w:tcPr>
          <w:p>
            <w:r/>
            <w:r>
              <w:rPr>
                <w:b/>
                <w:color w:val="FFFFFF"/>
                <w:sz w:val="14"/>
              </w:rPr>
              <w:t>Owner</w:t>
            </w:r>
          </w:p>
        </w:tc>
        <w:tc>
          <w:tcPr>
            <w:tcW w:type="dxa" w:w="2074"/>
            <w:vAlign w:val="top"/>
            <w:shd w:fill="1F4E78"/>
          </w:tcPr>
          <w:p>
            <w:r/>
            <w:r>
              <w:rPr>
                <w:b/>
                <w:color w:val="FFFFFF"/>
                <w:sz w:val="14"/>
              </w:rPr>
              <w:t>Frequency</w:t>
            </w:r>
          </w:p>
        </w:tc>
        <w:tc>
          <w:tcPr>
            <w:tcW w:type="dxa" w:w="2074"/>
            <w:vAlign w:val="top"/>
            <w:shd w:fill="1F4E78"/>
          </w:tcPr>
          <w:p>
            <w:r/>
            <w:r>
              <w:rPr>
                <w:b/>
                <w:color w:val="FFFFFF"/>
                <w:sz w:val="14"/>
              </w:rPr>
              <w:t>Interpretation / gaming caveat</w:t>
            </w:r>
          </w:p>
        </w:tc>
      </w:tr>
      <w:tr>
        <w:trPr>
          <w:cantSplit/>
        </w:trPr>
        <w:tc>
          <w:tcPr>
            <w:tcW w:type="dxa" w:w="2074"/>
            <w:vAlign w:val="top"/>
          </w:tcPr>
          <w:p>
            <w:r/>
            <w:r>
              <w:rPr>
                <w:b w:val="0"/>
                <w:sz w:val="14"/>
              </w:rPr>
              <w:t>Inventory coverage</w:t>
            </w:r>
          </w:p>
        </w:tc>
        <w:tc>
          <w:tcPr>
            <w:tcW w:type="dxa" w:w="2074"/>
            <w:vAlign w:val="top"/>
          </w:tcPr>
          <w:p>
            <w:r/>
            <w:r>
              <w:rPr>
                <w:b w:val="0"/>
                <w:sz w:val="14"/>
              </w:rPr>
              <w:t>Material systems recorded / systems identified</w:t>
            </w:r>
          </w:p>
        </w:tc>
        <w:tc>
          <w:tcPr>
            <w:tcW w:type="dxa" w:w="2074"/>
            <w:vAlign w:val="top"/>
          </w:tcPr>
          <w:p>
            <w:r/>
            <w:r>
              <w:rPr>
                <w:b w:val="0"/>
                <w:sz w:val="14"/>
              </w:rPr>
              <w:t>AI governance</w:t>
            </w:r>
          </w:p>
        </w:tc>
        <w:tc>
          <w:tcPr>
            <w:tcW w:type="dxa" w:w="2074"/>
            <w:vAlign w:val="top"/>
          </w:tcPr>
          <w:p>
            <w:r/>
            <w:r>
              <w:rPr>
                <w:b w:val="0"/>
                <w:sz w:val="14"/>
              </w:rPr>
              <w:t>Monthly</w:t>
            </w:r>
          </w:p>
        </w:tc>
        <w:tc>
          <w:tcPr>
            <w:tcW w:type="dxa" w:w="2074"/>
            <w:vAlign w:val="top"/>
          </w:tcPr>
          <w:p>
            <w:r/>
            <w:r>
              <w:rPr>
                <w:b w:val="0"/>
                <w:sz w:val="14"/>
              </w:rPr>
              <w:t>Unknown shadow AI or stale records can distort metric</w:t>
            </w:r>
          </w:p>
        </w:tc>
      </w:tr>
      <w:tr>
        <w:trPr>
          <w:cantSplit/>
        </w:trPr>
        <w:tc>
          <w:tcPr>
            <w:tcW w:type="dxa" w:w="2074"/>
            <w:vAlign w:val="top"/>
            <w:shd w:fill="EAF2F8"/>
          </w:tcPr>
          <w:p>
            <w:r/>
            <w:r>
              <w:rPr>
                <w:b w:val="0"/>
                <w:sz w:val="14"/>
              </w:rPr>
              <w:t>High-impact validation currency</w:t>
            </w:r>
          </w:p>
        </w:tc>
        <w:tc>
          <w:tcPr>
            <w:tcW w:type="dxa" w:w="2074"/>
            <w:vAlign w:val="top"/>
            <w:shd w:fill="EAF2F8"/>
          </w:tcPr>
          <w:p>
            <w:r/>
            <w:r>
              <w:rPr>
                <w:b w:val="0"/>
                <w:sz w:val="14"/>
              </w:rPr>
              <w:t>High-impact systems with current validation</w:t>
            </w:r>
          </w:p>
        </w:tc>
        <w:tc>
          <w:tcPr>
            <w:tcW w:type="dxa" w:w="2074"/>
            <w:vAlign w:val="top"/>
            <w:shd w:fill="EAF2F8"/>
          </w:tcPr>
          <w:p>
            <w:r/>
            <w:r>
              <w:rPr>
                <w:b w:val="0"/>
                <w:sz w:val="14"/>
              </w:rPr>
              <w:t>Model risk</w:t>
            </w:r>
          </w:p>
        </w:tc>
        <w:tc>
          <w:tcPr>
            <w:tcW w:type="dxa" w:w="2074"/>
            <w:vAlign w:val="top"/>
            <w:shd w:fill="EAF2F8"/>
          </w:tcPr>
          <w:p>
            <w:r/>
            <w:r>
              <w:rPr>
                <w:b w:val="0"/>
                <w:sz w:val="14"/>
              </w:rPr>
              <w:t>Quarterly</w:t>
            </w:r>
          </w:p>
        </w:tc>
        <w:tc>
          <w:tcPr>
            <w:tcW w:type="dxa" w:w="2074"/>
            <w:vAlign w:val="top"/>
            <w:shd w:fill="EAF2F8"/>
          </w:tcPr>
          <w:p>
            <w:r/>
            <w:r>
              <w:rPr>
                <w:b w:val="0"/>
                <w:sz w:val="14"/>
              </w:rPr>
              <w:t>A current report may still contain unresolved limitations</w:t>
            </w:r>
          </w:p>
        </w:tc>
      </w:tr>
      <w:tr>
        <w:trPr>
          <w:cantSplit/>
        </w:trPr>
        <w:tc>
          <w:tcPr>
            <w:tcW w:type="dxa" w:w="2074"/>
            <w:vAlign w:val="top"/>
          </w:tcPr>
          <w:p>
            <w:r/>
            <w:r>
              <w:rPr>
                <w:b w:val="0"/>
                <w:sz w:val="14"/>
              </w:rPr>
              <w:t>Adverse outcome rate</w:t>
            </w:r>
          </w:p>
        </w:tc>
        <w:tc>
          <w:tcPr>
            <w:tcW w:type="dxa" w:w="2074"/>
            <w:vAlign w:val="top"/>
          </w:tcPr>
          <w:p>
            <w:r/>
            <w:r>
              <w:rPr>
                <w:b w:val="0"/>
                <w:sz w:val="14"/>
              </w:rPr>
              <w:t>Adverse decisions by product and subgroup</w:t>
            </w:r>
          </w:p>
        </w:tc>
        <w:tc>
          <w:tcPr>
            <w:tcW w:type="dxa" w:w="2074"/>
            <w:vAlign w:val="top"/>
          </w:tcPr>
          <w:p>
            <w:r/>
            <w:r>
              <w:rPr>
                <w:b w:val="0"/>
                <w:sz w:val="14"/>
              </w:rPr>
              <w:t>Compliance / business</w:t>
            </w:r>
          </w:p>
        </w:tc>
        <w:tc>
          <w:tcPr>
            <w:tcW w:type="dxa" w:w="2074"/>
            <w:vAlign w:val="top"/>
          </w:tcPr>
          <w:p>
            <w:r/>
            <w:r>
              <w:rPr>
                <w:b w:val="0"/>
                <w:sz w:val="14"/>
              </w:rPr>
              <w:t>Monthly</w:t>
            </w:r>
          </w:p>
        </w:tc>
        <w:tc>
          <w:tcPr>
            <w:tcW w:type="dxa" w:w="2074"/>
            <w:vAlign w:val="top"/>
          </w:tcPr>
          <w:p>
            <w:r/>
            <w:r>
              <w:rPr>
                <w:b w:val="0"/>
                <w:sz w:val="14"/>
              </w:rPr>
              <w:t>Small samples and confounding require careful interpretation</w:t>
            </w:r>
          </w:p>
        </w:tc>
      </w:tr>
      <w:tr>
        <w:trPr>
          <w:cantSplit/>
        </w:trPr>
        <w:tc>
          <w:tcPr>
            <w:tcW w:type="dxa" w:w="2074"/>
            <w:vAlign w:val="top"/>
            <w:shd w:fill="EAF2F8"/>
          </w:tcPr>
          <w:p>
            <w:r/>
            <w:r>
              <w:rPr>
                <w:b w:val="0"/>
                <w:sz w:val="14"/>
              </w:rPr>
              <w:t>Appeal reversal rate</w:t>
            </w:r>
          </w:p>
        </w:tc>
        <w:tc>
          <w:tcPr>
            <w:tcW w:type="dxa" w:w="2074"/>
            <w:vAlign w:val="top"/>
            <w:shd w:fill="EAF2F8"/>
          </w:tcPr>
          <w:p>
            <w:r/>
            <w:r>
              <w:rPr>
                <w:b w:val="0"/>
                <w:sz w:val="14"/>
              </w:rPr>
              <w:t>Decisions reversed after challenge</w:t>
            </w:r>
          </w:p>
        </w:tc>
        <w:tc>
          <w:tcPr>
            <w:tcW w:type="dxa" w:w="2074"/>
            <w:vAlign w:val="top"/>
            <w:shd w:fill="EAF2F8"/>
          </w:tcPr>
          <w:p>
            <w:r/>
            <w:r>
              <w:rPr>
                <w:b w:val="0"/>
                <w:sz w:val="14"/>
              </w:rPr>
              <w:t>Claims / underwriting</w:t>
            </w:r>
          </w:p>
        </w:tc>
        <w:tc>
          <w:tcPr>
            <w:tcW w:type="dxa" w:w="2074"/>
            <w:vAlign w:val="top"/>
            <w:shd w:fill="EAF2F8"/>
          </w:tcPr>
          <w:p>
            <w:r/>
            <w:r>
              <w:rPr>
                <w:b w:val="0"/>
                <w:sz w:val="14"/>
              </w:rPr>
              <w:t>Monthly</w:t>
            </w:r>
          </w:p>
        </w:tc>
        <w:tc>
          <w:tcPr>
            <w:tcW w:type="dxa" w:w="2074"/>
            <w:vAlign w:val="top"/>
            <w:shd w:fill="EAF2F8"/>
          </w:tcPr>
          <w:p>
            <w:r/>
            <w:r>
              <w:rPr>
                <w:b w:val="0"/>
                <w:sz w:val="14"/>
              </w:rPr>
              <w:t>Low appeal access can artificially lower the rate</w:t>
            </w:r>
          </w:p>
        </w:tc>
      </w:tr>
      <w:tr>
        <w:trPr>
          <w:cantSplit/>
        </w:trPr>
        <w:tc>
          <w:tcPr>
            <w:tcW w:type="dxa" w:w="2074"/>
            <w:vAlign w:val="top"/>
          </w:tcPr>
          <w:p>
            <w:r/>
            <w:r>
              <w:rPr>
                <w:b w:val="0"/>
                <w:sz w:val="14"/>
              </w:rPr>
              <w:t>Override rate and reason</w:t>
            </w:r>
          </w:p>
        </w:tc>
        <w:tc>
          <w:tcPr>
            <w:tcW w:type="dxa" w:w="2074"/>
            <w:vAlign w:val="top"/>
          </w:tcPr>
          <w:p>
            <w:r/>
            <w:r>
              <w:rPr>
                <w:b w:val="0"/>
                <w:sz w:val="14"/>
              </w:rPr>
              <w:t>Human overrides by system and outcome</w:t>
            </w:r>
          </w:p>
        </w:tc>
        <w:tc>
          <w:tcPr>
            <w:tcW w:type="dxa" w:w="2074"/>
            <w:vAlign w:val="top"/>
          </w:tcPr>
          <w:p>
            <w:r/>
            <w:r>
              <w:rPr>
                <w:b w:val="0"/>
                <w:sz w:val="14"/>
              </w:rPr>
              <w:t>Business owner</w:t>
            </w:r>
          </w:p>
        </w:tc>
        <w:tc>
          <w:tcPr>
            <w:tcW w:type="dxa" w:w="2074"/>
            <w:vAlign w:val="top"/>
          </w:tcPr>
          <w:p>
            <w:r/>
            <w:r>
              <w:rPr>
                <w:b w:val="0"/>
                <w:sz w:val="14"/>
              </w:rPr>
              <w:t>Monthly</w:t>
            </w:r>
          </w:p>
        </w:tc>
        <w:tc>
          <w:tcPr>
            <w:tcW w:type="dxa" w:w="2074"/>
            <w:vAlign w:val="top"/>
          </w:tcPr>
          <w:p>
            <w:r/>
            <w:r>
              <w:rPr>
                <w:b w:val="0"/>
                <w:sz w:val="14"/>
              </w:rPr>
              <w:t>Targeting low override rates can suppress appropriate challenge</w:t>
            </w:r>
          </w:p>
        </w:tc>
      </w:tr>
      <w:tr>
        <w:trPr>
          <w:cantSplit/>
        </w:trPr>
        <w:tc>
          <w:tcPr>
            <w:tcW w:type="dxa" w:w="2074"/>
            <w:vAlign w:val="top"/>
            <w:shd w:fill="EAF2F8"/>
          </w:tcPr>
          <w:p>
            <w:r/>
            <w:r>
              <w:rPr>
                <w:b w:val="0"/>
                <w:sz w:val="14"/>
              </w:rPr>
              <w:t>Drift exceptions</w:t>
            </w:r>
          </w:p>
        </w:tc>
        <w:tc>
          <w:tcPr>
            <w:tcW w:type="dxa" w:w="2074"/>
            <w:vAlign w:val="top"/>
            <w:shd w:fill="EAF2F8"/>
          </w:tcPr>
          <w:p>
            <w:r/>
            <w:r>
              <w:rPr>
                <w:b w:val="0"/>
                <w:sz w:val="14"/>
              </w:rPr>
              <w:t>Open performance/data drift breaches</w:t>
            </w:r>
          </w:p>
        </w:tc>
        <w:tc>
          <w:tcPr>
            <w:tcW w:type="dxa" w:w="2074"/>
            <w:vAlign w:val="top"/>
            <w:shd w:fill="EAF2F8"/>
          </w:tcPr>
          <w:p>
            <w:r/>
            <w:r>
              <w:rPr>
                <w:b w:val="0"/>
                <w:sz w:val="14"/>
              </w:rPr>
              <w:t>Model owner</w:t>
            </w:r>
          </w:p>
        </w:tc>
        <w:tc>
          <w:tcPr>
            <w:tcW w:type="dxa" w:w="2074"/>
            <w:vAlign w:val="top"/>
            <w:shd w:fill="EAF2F8"/>
          </w:tcPr>
          <w:p>
            <w:r/>
            <w:r>
              <w:rPr>
                <w:b w:val="0"/>
                <w:sz w:val="14"/>
              </w:rPr>
              <w:t>Risk-based</w:t>
            </w:r>
          </w:p>
        </w:tc>
        <w:tc>
          <w:tcPr>
            <w:tcW w:type="dxa" w:w="2074"/>
            <w:vAlign w:val="top"/>
            <w:shd w:fill="EAF2F8"/>
          </w:tcPr>
          <w:p>
            <w:r/>
            <w:r>
              <w:rPr>
                <w:b w:val="0"/>
                <w:sz w:val="14"/>
              </w:rPr>
              <w:t>Threshold choice can conceal slow deterioration</w:t>
            </w:r>
          </w:p>
        </w:tc>
      </w:tr>
      <w:tr>
        <w:trPr>
          <w:cantSplit/>
        </w:trPr>
        <w:tc>
          <w:tcPr>
            <w:tcW w:type="dxa" w:w="2074"/>
            <w:vAlign w:val="top"/>
          </w:tcPr>
          <w:p>
            <w:r/>
            <w:r>
              <w:rPr>
                <w:b w:val="0"/>
                <w:sz w:val="14"/>
              </w:rPr>
              <w:t>Security abuse events</w:t>
            </w:r>
          </w:p>
        </w:tc>
        <w:tc>
          <w:tcPr>
            <w:tcW w:type="dxa" w:w="2074"/>
            <w:vAlign w:val="top"/>
          </w:tcPr>
          <w:p>
            <w:r/>
            <w:r>
              <w:rPr>
                <w:b w:val="0"/>
                <w:sz w:val="14"/>
              </w:rPr>
              <w:t>Injection, extraction, evasion or unauthorised-use events</w:t>
            </w:r>
          </w:p>
        </w:tc>
        <w:tc>
          <w:tcPr>
            <w:tcW w:type="dxa" w:w="2074"/>
            <w:vAlign w:val="top"/>
          </w:tcPr>
          <w:p>
            <w:r/>
            <w:r>
              <w:rPr>
                <w:b w:val="0"/>
                <w:sz w:val="14"/>
              </w:rPr>
              <w:t>CISO</w:t>
            </w:r>
          </w:p>
        </w:tc>
        <w:tc>
          <w:tcPr>
            <w:tcW w:type="dxa" w:w="2074"/>
            <w:vAlign w:val="top"/>
          </w:tcPr>
          <w:p>
            <w:r/>
            <w:r>
              <w:rPr>
                <w:b w:val="0"/>
                <w:sz w:val="14"/>
              </w:rPr>
              <w:t>Continuous / monthly report</w:t>
            </w:r>
          </w:p>
        </w:tc>
        <w:tc>
          <w:tcPr>
            <w:tcW w:type="dxa" w:w="2074"/>
            <w:vAlign w:val="top"/>
          </w:tcPr>
          <w:p>
            <w:r/>
            <w:r>
              <w:rPr>
                <w:b w:val="0"/>
                <w:sz w:val="14"/>
              </w:rPr>
              <w:t>Detection coverage varies</w:t>
            </w:r>
          </w:p>
        </w:tc>
      </w:tr>
      <w:tr>
        <w:trPr>
          <w:cantSplit/>
        </w:trPr>
        <w:tc>
          <w:tcPr>
            <w:tcW w:type="dxa" w:w="2074"/>
            <w:vAlign w:val="top"/>
            <w:shd w:fill="EAF2F8"/>
          </w:tcPr>
          <w:p>
            <w:r/>
            <w:r>
              <w:rPr>
                <w:b w:val="0"/>
                <w:sz w:val="14"/>
              </w:rPr>
              <w:t>Vendor concentration</w:t>
            </w:r>
          </w:p>
        </w:tc>
        <w:tc>
          <w:tcPr>
            <w:tcW w:type="dxa" w:w="2074"/>
            <w:vAlign w:val="top"/>
            <w:shd w:fill="EAF2F8"/>
          </w:tcPr>
          <w:p>
            <w:r/>
            <w:r>
              <w:rPr>
                <w:b w:val="0"/>
                <w:sz w:val="14"/>
              </w:rPr>
              <w:t>Critical services sharing provider/model/cloud</w:t>
            </w:r>
          </w:p>
        </w:tc>
        <w:tc>
          <w:tcPr>
            <w:tcW w:type="dxa" w:w="2074"/>
            <w:vAlign w:val="top"/>
            <w:shd w:fill="EAF2F8"/>
          </w:tcPr>
          <w:p>
            <w:r/>
            <w:r>
              <w:rPr>
                <w:b w:val="0"/>
                <w:sz w:val="14"/>
              </w:rPr>
              <w:t>Third-party risk</w:t>
            </w:r>
          </w:p>
        </w:tc>
        <w:tc>
          <w:tcPr>
            <w:tcW w:type="dxa" w:w="2074"/>
            <w:vAlign w:val="top"/>
            <w:shd w:fill="EAF2F8"/>
          </w:tcPr>
          <w:p>
            <w:r/>
            <w:r>
              <w:rPr>
                <w:b w:val="0"/>
                <w:sz w:val="14"/>
              </w:rPr>
              <w:t>Quarterly</w:t>
            </w:r>
          </w:p>
        </w:tc>
        <w:tc>
          <w:tcPr>
            <w:tcW w:type="dxa" w:w="2074"/>
            <w:vAlign w:val="top"/>
            <w:shd w:fill="EAF2F8"/>
          </w:tcPr>
          <w:p>
            <w:r/>
            <w:r>
              <w:rPr>
                <w:b w:val="0"/>
                <w:sz w:val="14"/>
              </w:rPr>
              <w:t>Contract-level count may miss common fourth parties</w:t>
            </w:r>
          </w:p>
        </w:tc>
      </w:tr>
      <w:tr>
        <w:trPr>
          <w:cantSplit/>
        </w:trPr>
        <w:tc>
          <w:tcPr>
            <w:tcW w:type="dxa" w:w="2074"/>
            <w:vAlign w:val="top"/>
          </w:tcPr>
          <w:p>
            <w:r/>
            <w:r>
              <w:rPr>
                <w:b w:val="0"/>
                <w:sz w:val="14"/>
              </w:rPr>
              <w:t>Manual fallback readiness</w:t>
            </w:r>
          </w:p>
        </w:tc>
        <w:tc>
          <w:tcPr>
            <w:tcW w:type="dxa" w:w="2074"/>
            <w:vAlign w:val="top"/>
          </w:tcPr>
          <w:p>
            <w:r/>
            <w:r>
              <w:rPr>
                <w:b w:val="0"/>
                <w:sz w:val="14"/>
              </w:rPr>
              <w:t>Critical systems with tested fallback</w:t>
            </w:r>
          </w:p>
        </w:tc>
        <w:tc>
          <w:tcPr>
            <w:tcW w:type="dxa" w:w="2074"/>
            <w:vAlign w:val="top"/>
          </w:tcPr>
          <w:p>
            <w:r/>
            <w:r>
              <w:rPr>
                <w:b w:val="0"/>
                <w:sz w:val="14"/>
              </w:rPr>
              <w:t>Operations</w:t>
            </w:r>
          </w:p>
        </w:tc>
        <w:tc>
          <w:tcPr>
            <w:tcW w:type="dxa" w:w="2074"/>
            <w:vAlign w:val="top"/>
          </w:tcPr>
          <w:p>
            <w:r/>
            <w:r>
              <w:rPr>
                <w:b w:val="0"/>
                <w:sz w:val="14"/>
              </w:rPr>
              <w:t>Quarterly</w:t>
            </w:r>
          </w:p>
        </w:tc>
        <w:tc>
          <w:tcPr>
            <w:tcW w:type="dxa" w:w="2074"/>
            <w:vAlign w:val="top"/>
          </w:tcPr>
          <w:p>
            <w:r/>
            <w:r>
              <w:rPr>
                <w:b w:val="0"/>
                <w:sz w:val="14"/>
              </w:rPr>
              <w:t>Documented procedure is not proof of usable capacity</w:t>
            </w:r>
          </w:p>
        </w:tc>
      </w:tr>
    </w:tbl>
    <w:p/>
    <w:p>
      <w:pPr>
        <w:pStyle w:val="Heading1"/>
      </w:pPr>
      <w:r>
        <w:t>24. Notably Absent</w:t>
      </w:r>
    </w:p>
    <w:p>
      <w:pPr>
        <w:pStyle w:val="ListBullet"/>
      </w:pPr>
      <w:r>
        <w:t>No legal, regulatory, actuarial, financial, insurance or investment advice.</w:t>
      </w:r>
    </w:p>
    <w:p>
      <w:pPr>
        <w:pStyle w:val="ListBullet"/>
      </w:pPr>
      <w:r>
        <w:t>No regulator, actuarial or certification approval.</w:t>
      </w:r>
    </w:p>
    <w:p>
      <w:pPr>
        <w:pStyle w:val="ListBullet"/>
      </w:pPr>
      <w:r>
        <w:t>No guaranteed compliance, fairness, accuracy, security, resilience or insurability.</w:t>
      </w:r>
    </w:p>
    <w:p>
      <w:pPr>
        <w:pStyle w:val="ListBullet"/>
      </w:pPr>
      <w:r>
        <w:t>No universal risk, performance, fairness, confidence or notification threshold.</w:t>
      </w:r>
    </w:p>
    <w:p>
      <w:pPr>
        <w:pStyle w:val="ListBullet"/>
      </w:pPr>
      <w:r>
        <w:t>No substitute for independent validation, policyholder-impact assessment or jurisdiction-specific review.</w:t>
      </w:r>
    </w:p>
    <w:p>
      <w:pPr>
        <w:pStyle w:val="ListBullet"/>
      </w:pPr>
      <w:r>
        <w:t>No complete list of insurance threats, regulations, standards, vendors or use cases.</w:t>
      </w:r>
    </w:p>
    <w:p>
      <w:pPr>
        <w:pStyle w:val="ListBullet"/>
      </w:pPr>
      <w:r>
        <w:t>No endorsement of any model, vendor, technology, data source or methodology.</w:t>
      </w:r>
    </w:p>
    <w:p>
      <w:pPr>
        <w:pStyle w:val="ListBullet"/>
      </w:pPr>
      <w:r>
        <w:t>No determination that a particular insurance decision, variable, rate, claim outcome or coverage interpretation is lawful.</w:t>
      </w:r>
    </w:p>
    <w:p>
      <w:pPr>
        <w:pStyle w:val="ListBullet"/>
      </w:pPr>
      <w:r>
        <w:t>No universal definition of high-risk AI.</w:t>
      </w:r>
    </w:p>
    <w:p>
      <w:pPr>
        <w:pStyle w:val="ListBullet"/>
      </w:pPr>
      <w:r>
        <w:t>No presumption that human review, explainability or provider assurance is effective without operating evidence.</w:t>
      </w:r>
    </w:p>
    <w:p>
      <w:pPr>
        <w:pStyle w:val="Heading1"/>
      </w:pPr>
      <w:r>
        <w:t>Appendix A - Terms and definitions</w:t>
      </w:r>
    </w:p>
    <w:tbl>
      <w:tblPr>
        <w:tblStyle w:val="TableGrid"/>
        <w:tblW w:type="auto" w:w="0"/>
        <w:jc w:val="center"/>
        <w:tblLook w:firstColumn="1" w:firstRow="1" w:lastColumn="0" w:lastRow="0" w:noHBand="0" w:noVBand="1" w:val="04A0"/>
      </w:tblPr>
      <w:tblGrid>
        <w:gridCol w:w="5184"/>
        <w:gridCol w:w="5184"/>
      </w:tblGrid>
      <w:tr>
        <w:trPr>
          <w:cantSplit/>
          <w:tblHeader w:val="true"/>
        </w:trPr>
        <w:tc>
          <w:tcPr>
            <w:tcW w:type="dxa" w:w="5184"/>
            <w:vAlign w:val="top"/>
            <w:shd w:fill="1F4E78"/>
          </w:tcPr>
          <w:p>
            <w:r/>
            <w:r>
              <w:rPr>
                <w:b/>
                <w:color w:val="FFFFFF"/>
                <w:sz w:val="15"/>
              </w:rPr>
              <w:t>Term</w:t>
            </w:r>
          </w:p>
        </w:tc>
        <w:tc>
          <w:tcPr>
            <w:tcW w:type="dxa" w:w="5184"/>
            <w:vAlign w:val="top"/>
            <w:shd w:fill="1F4E78"/>
          </w:tcPr>
          <w:p>
            <w:r/>
            <w:r>
              <w:rPr>
                <w:b/>
                <w:color w:val="FFFFFF"/>
                <w:sz w:val="15"/>
              </w:rPr>
              <w:t>Working definition</w:t>
            </w:r>
          </w:p>
        </w:tc>
      </w:tr>
      <w:tr>
        <w:trPr>
          <w:cantSplit/>
        </w:trPr>
        <w:tc>
          <w:tcPr>
            <w:tcW w:type="dxa" w:w="5184"/>
            <w:vAlign w:val="top"/>
          </w:tcPr>
          <w:p>
            <w:r/>
            <w:r>
              <w:rPr>
                <w:b w:val="0"/>
                <w:sz w:val="15"/>
              </w:rPr>
              <w:t>Adverse consumer outcome</w:t>
            </w:r>
          </w:p>
        </w:tc>
        <w:tc>
          <w:tcPr>
            <w:tcW w:type="dxa" w:w="5184"/>
            <w:vAlign w:val="top"/>
          </w:tcPr>
          <w:p>
            <w:r/>
            <w:r>
              <w:rPr>
                <w:b w:val="0"/>
                <w:sz w:val="15"/>
              </w:rPr>
              <w:t>A decision or process outcome that may unlawfully or unfairly disadvantage a policyholder, applicant, claimant or beneficiary.</w:t>
            </w:r>
          </w:p>
        </w:tc>
      </w:tr>
      <w:tr>
        <w:trPr>
          <w:cantSplit/>
        </w:trPr>
        <w:tc>
          <w:tcPr>
            <w:tcW w:type="dxa" w:w="5184"/>
            <w:vAlign w:val="top"/>
            <w:shd w:fill="EAF2F8"/>
          </w:tcPr>
          <w:p>
            <w:r/>
            <w:r>
              <w:rPr>
                <w:b w:val="0"/>
                <w:sz w:val="15"/>
              </w:rPr>
              <w:t>Decision authority</w:t>
            </w:r>
          </w:p>
        </w:tc>
        <w:tc>
          <w:tcPr>
            <w:tcW w:type="dxa" w:w="5184"/>
            <w:vAlign w:val="top"/>
            <w:shd w:fill="EAF2F8"/>
          </w:tcPr>
          <w:p>
            <w:r/>
            <w:r>
              <w:rPr>
                <w:b w:val="0"/>
                <w:sz w:val="15"/>
              </w:rPr>
              <w:t>The degree to which an AI system recommends, determines, executes or constrains an insurance action.</w:t>
            </w:r>
          </w:p>
        </w:tc>
      </w:tr>
      <w:tr>
        <w:trPr>
          <w:cantSplit/>
        </w:trPr>
        <w:tc>
          <w:tcPr>
            <w:tcW w:type="dxa" w:w="5184"/>
            <w:vAlign w:val="top"/>
          </w:tcPr>
          <w:p>
            <w:r/>
            <w:r>
              <w:rPr>
                <w:b w:val="0"/>
                <w:sz w:val="15"/>
              </w:rPr>
              <w:t>Meaningful human oversight</w:t>
            </w:r>
          </w:p>
        </w:tc>
        <w:tc>
          <w:tcPr>
            <w:tcW w:type="dxa" w:w="5184"/>
            <w:vAlign w:val="top"/>
          </w:tcPr>
          <w:p>
            <w:r/>
            <w:r>
              <w:rPr>
                <w:b w:val="0"/>
                <w:sz w:val="15"/>
              </w:rPr>
              <w:t>Timely review by a competent and authorised person with sufficient information and ability to intervene.</w:t>
            </w:r>
          </w:p>
        </w:tc>
      </w:tr>
      <w:tr>
        <w:trPr>
          <w:cantSplit/>
        </w:trPr>
        <w:tc>
          <w:tcPr>
            <w:tcW w:type="dxa" w:w="5184"/>
            <w:vAlign w:val="top"/>
            <w:shd w:fill="EAF2F8"/>
          </w:tcPr>
          <w:p>
            <w:r/>
            <w:r>
              <w:rPr>
                <w:b w:val="0"/>
                <w:sz w:val="15"/>
              </w:rPr>
              <w:t>Insurance AI system</w:t>
            </w:r>
          </w:p>
        </w:tc>
        <w:tc>
          <w:tcPr>
            <w:tcW w:type="dxa" w:w="5184"/>
            <w:vAlign w:val="top"/>
            <w:shd w:fill="EAF2F8"/>
          </w:tcPr>
          <w:p>
            <w:r/>
            <w:r>
              <w:rPr>
                <w:b w:val="0"/>
                <w:sz w:val="15"/>
              </w:rPr>
              <w:t>An AI-enabled component or decision chain used in insurance operations, including models, rules, prompts, retrieval, tools and integrations.</w:t>
            </w:r>
          </w:p>
        </w:tc>
      </w:tr>
      <w:tr>
        <w:trPr>
          <w:cantSplit/>
        </w:trPr>
        <w:tc>
          <w:tcPr>
            <w:tcW w:type="dxa" w:w="5184"/>
            <w:vAlign w:val="top"/>
          </w:tcPr>
          <w:p>
            <w:r/>
            <w:r>
              <w:rPr>
                <w:b w:val="0"/>
                <w:sz w:val="15"/>
              </w:rPr>
              <w:t>Policyholder impact</w:t>
            </w:r>
          </w:p>
        </w:tc>
        <w:tc>
          <w:tcPr>
            <w:tcW w:type="dxa" w:w="5184"/>
            <w:vAlign w:val="top"/>
          </w:tcPr>
          <w:p>
            <w:r/>
            <w:r>
              <w:rPr>
                <w:b w:val="0"/>
                <w:sz w:val="15"/>
              </w:rPr>
              <w:t>Actual or reasonably foreseeable effect on eligibility, price, coverage, claim, service, privacy, dignity or ability to challenge.</w:t>
            </w:r>
          </w:p>
        </w:tc>
      </w:tr>
    </w:tbl>
    <w:p/>
    <w:p>
      <w:pPr>
        <w:pStyle w:val="Heading1"/>
      </w:pPr>
      <w:r>
        <w:t>Appendix B - Insurance AI System Inventory</w:t>
      </w:r>
    </w:p>
    <w:p>
      <w:r>
        <w:t>Purpose: provide a controlled record supporting implementation, assessment and review. Instructions: complete all material fields, retain source evidence, identify assumptions and do not treat example entries as mandatory thresholds. Record owner and review frequency should be assigned according to risk and applicable retention requirements.</w:t>
      </w:r>
    </w:p>
    <w:tbl>
      <w:tblPr>
        <w:tblStyle w:val="TableGrid"/>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rPr>
          <w:cantSplit/>
          <w:tblHeader w:val="true"/>
        </w:trPr>
        <w:tc>
          <w:tcPr>
            <w:tcW w:type="dxa" w:w="1037"/>
            <w:vAlign w:val="top"/>
            <w:shd w:fill="1F4E78"/>
          </w:tcPr>
          <w:p>
            <w:r/>
            <w:r>
              <w:rPr>
                <w:b/>
                <w:color w:val="FFFFFF"/>
                <w:sz w:val="13"/>
              </w:rPr>
              <w:t>System ID</w:t>
            </w:r>
          </w:p>
        </w:tc>
        <w:tc>
          <w:tcPr>
            <w:tcW w:type="dxa" w:w="1037"/>
            <w:vAlign w:val="top"/>
            <w:shd w:fill="1F4E78"/>
          </w:tcPr>
          <w:p>
            <w:r/>
            <w:r>
              <w:rPr>
                <w:b/>
                <w:color w:val="FFFFFF"/>
                <w:sz w:val="13"/>
              </w:rPr>
              <w:t>Name</w:t>
            </w:r>
          </w:p>
        </w:tc>
        <w:tc>
          <w:tcPr>
            <w:tcW w:type="dxa" w:w="1037"/>
            <w:vAlign w:val="top"/>
            <w:shd w:fill="1F4E78"/>
          </w:tcPr>
          <w:p>
            <w:r/>
            <w:r>
              <w:rPr>
                <w:b/>
                <w:color w:val="FFFFFF"/>
                <w:sz w:val="13"/>
              </w:rPr>
              <w:t>Business owner</w:t>
            </w:r>
          </w:p>
        </w:tc>
        <w:tc>
          <w:tcPr>
            <w:tcW w:type="dxa" w:w="1037"/>
            <w:vAlign w:val="top"/>
            <w:shd w:fill="1F4E78"/>
          </w:tcPr>
          <w:p>
            <w:r/>
            <w:r>
              <w:rPr>
                <w:b/>
                <w:color w:val="FFFFFF"/>
                <w:sz w:val="13"/>
              </w:rPr>
              <w:t>Function</w:t>
            </w:r>
          </w:p>
        </w:tc>
        <w:tc>
          <w:tcPr>
            <w:tcW w:type="dxa" w:w="1037"/>
            <w:vAlign w:val="top"/>
            <w:shd w:fill="1F4E78"/>
          </w:tcPr>
          <w:p>
            <w:r/>
            <w:r>
              <w:rPr>
                <w:b/>
                <w:color w:val="FFFFFF"/>
                <w:sz w:val="13"/>
              </w:rPr>
              <w:t>Decision authority</w:t>
            </w:r>
          </w:p>
        </w:tc>
        <w:tc>
          <w:tcPr>
            <w:tcW w:type="dxa" w:w="1037"/>
            <w:vAlign w:val="top"/>
            <w:shd w:fill="1F4E78"/>
          </w:tcPr>
          <w:p>
            <w:r/>
            <w:r>
              <w:rPr>
                <w:b/>
                <w:color w:val="FFFFFF"/>
                <w:sz w:val="13"/>
              </w:rPr>
              <w:t>Classification</w:t>
            </w:r>
          </w:p>
        </w:tc>
        <w:tc>
          <w:tcPr>
            <w:tcW w:type="dxa" w:w="1037"/>
            <w:vAlign w:val="top"/>
            <w:shd w:fill="1F4E78"/>
          </w:tcPr>
          <w:p>
            <w:r/>
            <w:r>
              <w:rPr>
                <w:b/>
                <w:color w:val="FFFFFF"/>
                <w:sz w:val="13"/>
              </w:rPr>
              <w:t>Data sensitivity</w:t>
            </w:r>
          </w:p>
        </w:tc>
        <w:tc>
          <w:tcPr>
            <w:tcW w:type="dxa" w:w="1037"/>
            <w:vAlign w:val="top"/>
            <w:shd w:fill="1F4E78"/>
          </w:tcPr>
          <w:p>
            <w:r/>
            <w:r>
              <w:rPr>
                <w:b/>
                <w:color w:val="FFFFFF"/>
                <w:sz w:val="13"/>
              </w:rPr>
              <w:t>Vendor</w:t>
            </w:r>
          </w:p>
        </w:tc>
        <w:tc>
          <w:tcPr>
            <w:tcW w:type="dxa" w:w="1037"/>
            <w:vAlign w:val="top"/>
            <w:shd w:fill="1F4E78"/>
          </w:tcPr>
          <w:p>
            <w:r/>
            <w:r>
              <w:rPr>
                <w:b/>
                <w:color w:val="FFFFFF"/>
                <w:sz w:val="13"/>
              </w:rPr>
              <w:t>GAISSF scope</w:t>
            </w:r>
          </w:p>
        </w:tc>
        <w:tc>
          <w:tcPr>
            <w:tcW w:type="dxa" w:w="1037"/>
            <w:vAlign w:val="top"/>
            <w:shd w:fill="1F4E78"/>
          </w:tcPr>
          <w:p>
            <w:r/>
            <w:r>
              <w:rPr>
                <w:b/>
                <w:color w:val="FFFFFF"/>
                <w:sz w:val="13"/>
              </w:rPr>
              <w:t>Status</w:t>
            </w:r>
          </w:p>
        </w:tc>
      </w:tr>
      <w:tr>
        <w:trPr>
          <w:cantSplit/>
        </w:trPr>
        <w:tc>
          <w:tcPr>
            <w:tcW w:type="dxa" w:w="1037"/>
            <w:vAlign w:val="top"/>
          </w:tcPr>
          <w:p>
            <w:r/>
            <w:r>
              <w:rPr>
                <w:b w:val="0"/>
                <w:sz w:val="13"/>
              </w:rPr>
              <w:t>EXAMPLE - illustrative</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r>
    </w:tbl>
    <w:p/>
    <w:p>
      <w:pPr>
        <w:pStyle w:val="Heading1"/>
      </w:pPr>
      <w:r>
        <w:t>Appendix C - Insurance AI Risk Assessment</w:t>
      </w:r>
    </w:p>
    <w:p>
      <w:r>
        <w:t>Purpose: provide a controlled record supporting implementation, assessment and review. Instructions: complete all material fields, retain source evidence, identify assumptions and do not treat example entries as mandatory thresholds. Record owner and review frequency should be assigned according to risk and applicable retention requirements.</w:t>
      </w:r>
    </w:p>
    <w:tbl>
      <w:tblPr>
        <w:tblStyle w:val="TableGrid"/>
        <w:tblW w:type="auto" w:w="0"/>
        <w:jc w:val="center"/>
        <w:tblLook w:firstColumn="1" w:firstRow="1" w:lastColumn="0" w:lastRow="0" w:noHBand="0" w:noVBand="1" w:val="04A0"/>
      </w:tblPr>
      <w:tblGrid>
        <w:gridCol w:w="943"/>
        <w:gridCol w:w="943"/>
        <w:gridCol w:w="943"/>
        <w:gridCol w:w="943"/>
        <w:gridCol w:w="943"/>
        <w:gridCol w:w="943"/>
        <w:gridCol w:w="943"/>
        <w:gridCol w:w="943"/>
        <w:gridCol w:w="943"/>
        <w:gridCol w:w="943"/>
        <w:gridCol w:w="943"/>
      </w:tblGrid>
      <w:tr>
        <w:trPr>
          <w:cantSplit/>
          <w:tblHeader w:val="true"/>
        </w:trPr>
        <w:tc>
          <w:tcPr>
            <w:tcW w:type="dxa" w:w="943"/>
            <w:vAlign w:val="top"/>
            <w:shd w:fill="1F4E78"/>
          </w:tcPr>
          <w:p>
            <w:r/>
            <w:r>
              <w:rPr>
                <w:b/>
                <w:color w:val="FFFFFF"/>
                <w:sz w:val="13"/>
              </w:rPr>
              <w:t>Risk ID</w:t>
            </w:r>
          </w:p>
        </w:tc>
        <w:tc>
          <w:tcPr>
            <w:tcW w:type="dxa" w:w="943"/>
            <w:vAlign w:val="top"/>
            <w:shd w:fill="1F4E78"/>
          </w:tcPr>
          <w:p>
            <w:r/>
            <w:r>
              <w:rPr>
                <w:b/>
                <w:color w:val="FFFFFF"/>
                <w:sz w:val="13"/>
              </w:rPr>
              <w:t>System ID</w:t>
            </w:r>
          </w:p>
        </w:tc>
        <w:tc>
          <w:tcPr>
            <w:tcW w:type="dxa" w:w="943"/>
            <w:vAlign w:val="top"/>
            <w:shd w:fill="1F4E78"/>
          </w:tcPr>
          <w:p>
            <w:r/>
            <w:r>
              <w:rPr>
                <w:b/>
                <w:color w:val="FFFFFF"/>
                <w:sz w:val="13"/>
              </w:rPr>
              <w:t>Scenario</w:t>
            </w:r>
          </w:p>
        </w:tc>
        <w:tc>
          <w:tcPr>
            <w:tcW w:type="dxa" w:w="943"/>
            <w:vAlign w:val="top"/>
            <w:shd w:fill="1F4E78"/>
          </w:tcPr>
          <w:p>
            <w:r/>
            <w:r>
              <w:rPr>
                <w:b/>
                <w:color w:val="FFFFFF"/>
                <w:sz w:val="13"/>
              </w:rPr>
              <w:t>Threat/failure</w:t>
            </w:r>
          </w:p>
        </w:tc>
        <w:tc>
          <w:tcPr>
            <w:tcW w:type="dxa" w:w="943"/>
            <w:vAlign w:val="top"/>
            <w:shd w:fill="1F4E78"/>
          </w:tcPr>
          <w:p>
            <w:r/>
            <w:r>
              <w:rPr>
                <w:b/>
                <w:color w:val="FFFFFF"/>
                <w:sz w:val="13"/>
              </w:rPr>
              <w:t>Policyholder impact</w:t>
            </w:r>
          </w:p>
        </w:tc>
        <w:tc>
          <w:tcPr>
            <w:tcW w:type="dxa" w:w="943"/>
            <w:vAlign w:val="top"/>
            <w:shd w:fill="1F4E78"/>
          </w:tcPr>
          <w:p>
            <w:r/>
            <w:r>
              <w:rPr>
                <w:b/>
                <w:color w:val="FFFFFF"/>
                <w:sz w:val="13"/>
              </w:rPr>
              <w:t>Financial impact</w:t>
            </w:r>
          </w:p>
        </w:tc>
        <w:tc>
          <w:tcPr>
            <w:tcW w:type="dxa" w:w="943"/>
            <w:vAlign w:val="top"/>
            <w:shd w:fill="1F4E78"/>
          </w:tcPr>
          <w:p>
            <w:r/>
            <w:r>
              <w:rPr>
                <w:b/>
                <w:color w:val="FFFFFF"/>
                <w:sz w:val="13"/>
              </w:rPr>
              <w:t>Likelihood rationale</w:t>
            </w:r>
          </w:p>
        </w:tc>
        <w:tc>
          <w:tcPr>
            <w:tcW w:type="dxa" w:w="943"/>
            <w:vAlign w:val="top"/>
            <w:shd w:fill="1F4E78"/>
          </w:tcPr>
          <w:p>
            <w:r/>
            <w:r>
              <w:rPr>
                <w:b/>
                <w:color w:val="FFFFFF"/>
                <w:sz w:val="13"/>
              </w:rPr>
              <w:t>Controls</w:t>
            </w:r>
          </w:p>
        </w:tc>
        <w:tc>
          <w:tcPr>
            <w:tcW w:type="dxa" w:w="943"/>
            <w:vAlign w:val="top"/>
            <w:shd w:fill="1F4E78"/>
          </w:tcPr>
          <w:p>
            <w:r/>
            <w:r>
              <w:rPr>
                <w:b/>
                <w:color w:val="FFFFFF"/>
                <w:sz w:val="13"/>
              </w:rPr>
              <w:t>Residual risk</w:t>
            </w:r>
          </w:p>
        </w:tc>
        <w:tc>
          <w:tcPr>
            <w:tcW w:type="dxa" w:w="943"/>
            <w:vAlign w:val="top"/>
            <w:shd w:fill="1F4E78"/>
          </w:tcPr>
          <w:p>
            <w:r/>
            <w:r>
              <w:rPr>
                <w:b/>
                <w:color w:val="FFFFFF"/>
                <w:sz w:val="13"/>
              </w:rPr>
              <w:t>Owner</w:t>
            </w:r>
          </w:p>
        </w:tc>
        <w:tc>
          <w:tcPr>
            <w:tcW w:type="dxa" w:w="943"/>
            <w:vAlign w:val="top"/>
            <w:shd w:fill="1F4E78"/>
          </w:tcPr>
          <w:p>
            <w:r/>
            <w:r>
              <w:rPr>
                <w:b/>
                <w:color w:val="FFFFFF"/>
                <w:sz w:val="13"/>
              </w:rPr>
              <w:t>Action</w:t>
            </w:r>
          </w:p>
        </w:tc>
      </w:tr>
      <w:tr>
        <w:trPr>
          <w:cantSplit/>
        </w:trPr>
        <w:tc>
          <w:tcPr>
            <w:tcW w:type="dxa" w:w="943"/>
            <w:vAlign w:val="top"/>
          </w:tcPr>
          <w:p>
            <w:r/>
            <w:r>
              <w:rPr>
                <w:b w:val="0"/>
                <w:sz w:val="13"/>
              </w:rPr>
              <w:t>EXAMPLE - illustrative</w:t>
            </w:r>
          </w:p>
        </w:tc>
        <w:tc>
          <w:tcPr>
            <w:tcW w:type="dxa" w:w="943"/>
            <w:vAlign w:val="top"/>
          </w:tcPr>
          <w:p>
            <w:r/>
            <w:r>
              <w:rPr>
                <w:b w:val="0"/>
                <w:sz w:val="13"/>
              </w:rPr>
              <w:t>To be completed</w:t>
            </w:r>
          </w:p>
        </w:tc>
        <w:tc>
          <w:tcPr>
            <w:tcW w:type="dxa" w:w="943"/>
            <w:vAlign w:val="top"/>
          </w:tcPr>
          <w:p>
            <w:r/>
            <w:r>
              <w:rPr>
                <w:b w:val="0"/>
                <w:sz w:val="13"/>
              </w:rPr>
              <w:t>To be completed</w:t>
            </w:r>
          </w:p>
        </w:tc>
        <w:tc>
          <w:tcPr>
            <w:tcW w:type="dxa" w:w="943"/>
            <w:vAlign w:val="top"/>
          </w:tcPr>
          <w:p>
            <w:r/>
            <w:r>
              <w:rPr>
                <w:b w:val="0"/>
                <w:sz w:val="13"/>
              </w:rPr>
              <w:t>To be completed</w:t>
            </w:r>
          </w:p>
        </w:tc>
        <w:tc>
          <w:tcPr>
            <w:tcW w:type="dxa" w:w="943"/>
            <w:vAlign w:val="top"/>
          </w:tcPr>
          <w:p>
            <w:r/>
            <w:r>
              <w:rPr>
                <w:b w:val="0"/>
                <w:sz w:val="13"/>
              </w:rPr>
              <w:t>To be completed</w:t>
            </w:r>
          </w:p>
        </w:tc>
        <w:tc>
          <w:tcPr>
            <w:tcW w:type="dxa" w:w="943"/>
            <w:vAlign w:val="top"/>
          </w:tcPr>
          <w:p>
            <w:r/>
            <w:r>
              <w:rPr>
                <w:b w:val="0"/>
                <w:sz w:val="13"/>
              </w:rPr>
              <w:t>To be completed</w:t>
            </w:r>
          </w:p>
        </w:tc>
        <w:tc>
          <w:tcPr>
            <w:tcW w:type="dxa" w:w="943"/>
            <w:vAlign w:val="top"/>
          </w:tcPr>
          <w:p>
            <w:r/>
            <w:r>
              <w:rPr>
                <w:b w:val="0"/>
                <w:sz w:val="13"/>
              </w:rPr>
              <w:t>To be completed</w:t>
            </w:r>
          </w:p>
        </w:tc>
        <w:tc>
          <w:tcPr>
            <w:tcW w:type="dxa" w:w="943"/>
            <w:vAlign w:val="top"/>
          </w:tcPr>
          <w:p>
            <w:r/>
            <w:r>
              <w:rPr>
                <w:b w:val="0"/>
                <w:sz w:val="13"/>
              </w:rPr>
              <w:t>To be completed</w:t>
            </w:r>
          </w:p>
        </w:tc>
        <w:tc>
          <w:tcPr>
            <w:tcW w:type="dxa" w:w="943"/>
            <w:vAlign w:val="top"/>
          </w:tcPr>
          <w:p>
            <w:r/>
            <w:r>
              <w:rPr>
                <w:b w:val="0"/>
                <w:sz w:val="13"/>
              </w:rPr>
              <w:t>To be completed</w:t>
            </w:r>
          </w:p>
        </w:tc>
        <w:tc>
          <w:tcPr>
            <w:tcW w:type="dxa" w:w="943"/>
            <w:vAlign w:val="top"/>
          </w:tcPr>
          <w:p>
            <w:r/>
            <w:r>
              <w:rPr>
                <w:b w:val="0"/>
                <w:sz w:val="13"/>
              </w:rPr>
              <w:t>To be completed</w:t>
            </w:r>
          </w:p>
        </w:tc>
        <w:tc>
          <w:tcPr>
            <w:tcW w:type="dxa" w:w="943"/>
            <w:vAlign w:val="top"/>
          </w:tcPr>
          <w:p>
            <w:r/>
            <w:r>
              <w:rPr>
                <w:b w:val="0"/>
                <w:sz w:val="13"/>
              </w:rPr>
              <w:t>To be completed</w:t>
            </w:r>
          </w:p>
        </w:tc>
      </w:tr>
    </w:tbl>
    <w:p/>
    <w:p>
      <w:pPr>
        <w:pStyle w:val="Heading1"/>
      </w:pPr>
      <w:r>
        <w:t>Appendix D - Control Interpretation Matrix</w:t>
      </w:r>
    </w:p>
    <w:p>
      <w:r>
        <w:t>Purpose: provide a controlled record supporting implementation, assessment and review. Instructions: complete all material fields, retain source evidence, identify assumptions and do not treat example entries as mandatory thresholds. Record owner and review frequency should be assigned according to risk and applicable retention requirements.</w:t>
      </w:r>
    </w:p>
    <w:tbl>
      <w:tblPr>
        <w:tblStyle w:val="TableGrid"/>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rPr>
          <w:cantSplit/>
          <w:tblHeader w:val="true"/>
        </w:trPr>
        <w:tc>
          <w:tcPr>
            <w:tcW w:type="dxa" w:w="1037"/>
            <w:vAlign w:val="top"/>
            <w:shd w:fill="1F4E78"/>
          </w:tcPr>
          <w:p>
            <w:r/>
            <w:r>
              <w:rPr>
                <w:b/>
                <w:color w:val="FFFFFF"/>
                <w:sz w:val="13"/>
              </w:rPr>
              <w:t>Control ID</w:t>
            </w:r>
          </w:p>
        </w:tc>
        <w:tc>
          <w:tcPr>
            <w:tcW w:type="dxa" w:w="1037"/>
            <w:vAlign w:val="top"/>
            <w:shd w:fill="1F4E78"/>
          </w:tcPr>
          <w:p>
            <w:r/>
            <w:r>
              <w:rPr>
                <w:b/>
                <w:color w:val="FFFFFF"/>
                <w:sz w:val="13"/>
              </w:rPr>
              <w:t>Control title</w:t>
            </w:r>
          </w:p>
        </w:tc>
        <w:tc>
          <w:tcPr>
            <w:tcW w:type="dxa" w:w="1037"/>
            <w:vAlign w:val="top"/>
            <w:shd w:fill="1F4E78"/>
          </w:tcPr>
          <w:p>
            <w:r/>
            <w:r>
              <w:rPr>
                <w:b/>
                <w:color w:val="FFFFFF"/>
                <w:sz w:val="13"/>
              </w:rPr>
              <w:t>Applicable?</w:t>
            </w:r>
          </w:p>
        </w:tc>
        <w:tc>
          <w:tcPr>
            <w:tcW w:type="dxa" w:w="1037"/>
            <w:vAlign w:val="top"/>
            <w:shd w:fill="1F4E78"/>
          </w:tcPr>
          <w:p>
            <w:r/>
            <w:r>
              <w:rPr>
                <w:b/>
                <w:color w:val="FFFFFF"/>
                <w:sz w:val="13"/>
              </w:rPr>
              <w:t>Insurance interpretation</w:t>
            </w:r>
          </w:p>
        </w:tc>
        <w:tc>
          <w:tcPr>
            <w:tcW w:type="dxa" w:w="1037"/>
            <w:vAlign w:val="top"/>
            <w:shd w:fill="1F4E78"/>
          </w:tcPr>
          <w:p>
            <w:r/>
            <w:r>
              <w:rPr>
                <w:b/>
                <w:color w:val="FFFFFF"/>
                <w:sz w:val="13"/>
              </w:rPr>
              <w:t>Implementation</w:t>
            </w:r>
          </w:p>
        </w:tc>
        <w:tc>
          <w:tcPr>
            <w:tcW w:type="dxa" w:w="1037"/>
            <w:vAlign w:val="top"/>
            <w:shd w:fill="1F4E78"/>
          </w:tcPr>
          <w:p>
            <w:r/>
            <w:r>
              <w:rPr>
                <w:b/>
                <w:color w:val="FFFFFF"/>
                <w:sz w:val="13"/>
              </w:rPr>
              <w:t>Evidence</w:t>
            </w:r>
          </w:p>
        </w:tc>
        <w:tc>
          <w:tcPr>
            <w:tcW w:type="dxa" w:w="1037"/>
            <w:vAlign w:val="top"/>
            <w:shd w:fill="1F4E78"/>
          </w:tcPr>
          <w:p>
            <w:r/>
            <w:r>
              <w:rPr>
                <w:b/>
                <w:color w:val="FFFFFF"/>
                <w:sz w:val="13"/>
              </w:rPr>
              <w:t>Owner</w:t>
            </w:r>
          </w:p>
        </w:tc>
        <w:tc>
          <w:tcPr>
            <w:tcW w:type="dxa" w:w="1037"/>
            <w:vAlign w:val="top"/>
            <w:shd w:fill="1F4E78"/>
          </w:tcPr>
          <w:p>
            <w:r/>
            <w:r>
              <w:rPr>
                <w:b/>
                <w:color w:val="FFFFFF"/>
                <w:sz w:val="13"/>
              </w:rPr>
              <w:t>Test</w:t>
            </w:r>
          </w:p>
        </w:tc>
        <w:tc>
          <w:tcPr>
            <w:tcW w:type="dxa" w:w="1037"/>
            <w:vAlign w:val="top"/>
            <w:shd w:fill="1F4E78"/>
          </w:tcPr>
          <w:p>
            <w:r/>
            <w:r>
              <w:rPr>
                <w:b/>
                <w:color w:val="FFFFFF"/>
                <w:sz w:val="13"/>
              </w:rPr>
              <w:t>Gap</w:t>
            </w:r>
          </w:p>
        </w:tc>
        <w:tc>
          <w:tcPr>
            <w:tcW w:type="dxa" w:w="1037"/>
            <w:vAlign w:val="top"/>
            <w:shd w:fill="1F4E78"/>
          </w:tcPr>
          <w:p>
            <w:r/>
            <w:r>
              <w:rPr>
                <w:b/>
                <w:color w:val="FFFFFF"/>
                <w:sz w:val="13"/>
              </w:rPr>
              <w:t>Status</w:t>
            </w:r>
          </w:p>
        </w:tc>
      </w:tr>
      <w:tr>
        <w:trPr>
          <w:cantSplit/>
        </w:trPr>
        <w:tc>
          <w:tcPr>
            <w:tcW w:type="dxa" w:w="1037"/>
            <w:vAlign w:val="top"/>
          </w:tcPr>
          <w:p>
            <w:r/>
            <w:r>
              <w:rPr>
                <w:b w:val="0"/>
                <w:sz w:val="13"/>
              </w:rPr>
              <w:t>EXAMPLE - illustrative</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r>
    </w:tbl>
    <w:p/>
    <w:p>
      <w:pPr>
        <w:pStyle w:val="Heading1"/>
      </w:pPr>
      <w:r>
        <w:t>Appendix E - Evidence Catalogue</w:t>
      </w:r>
    </w:p>
    <w:p>
      <w:r>
        <w:t>Purpose: provide a controlled record supporting implementation, assessment and review. Instructions: complete all material fields, retain source evidence, identify assumptions and do not treat example entries as mandatory thresholds. Record owner and review frequency should be assigned according to risk and applicable retention requirements.</w:t>
      </w:r>
    </w:p>
    <w:tbl>
      <w:tblPr>
        <w:tblStyle w:val="TableGrid"/>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rPr>
          <w:cantSplit/>
          <w:tblHeader w:val="true"/>
        </w:trPr>
        <w:tc>
          <w:tcPr>
            <w:tcW w:type="dxa" w:w="1037"/>
            <w:vAlign w:val="top"/>
            <w:shd w:fill="1F4E78"/>
          </w:tcPr>
          <w:p>
            <w:r/>
            <w:r>
              <w:rPr>
                <w:b/>
                <w:color w:val="FFFFFF"/>
                <w:sz w:val="13"/>
              </w:rPr>
              <w:t>Evidence ID</w:t>
            </w:r>
          </w:p>
        </w:tc>
        <w:tc>
          <w:tcPr>
            <w:tcW w:type="dxa" w:w="1037"/>
            <w:vAlign w:val="top"/>
            <w:shd w:fill="1F4E78"/>
          </w:tcPr>
          <w:p>
            <w:r/>
            <w:r>
              <w:rPr>
                <w:b/>
                <w:color w:val="FFFFFF"/>
                <w:sz w:val="13"/>
              </w:rPr>
              <w:t>Category</w:t>
            </w:r>
          </w:p>
        </w:tc>
        <w:tc>
          <w:tcPr>
            <w:tcW w:type="dxa" w:w="1037"/>
            <w:vAlign w:val="top"/>
            <w:shd w:fill="1F4E78"/>
          </w:tcPr>
          <w:p>
            <w:r/>
            <w:r>
              <w:rPr>
                <w:b/>
                <w:color w:val="FFFFFF"/>
                <w:sz w:val="13"/>
              </w:rPr>
              <w:t>Title</w:t>
            </w:r>
          </w:p>
        </w:tc>
        <w:tc>
          <w:tcPr>
            <w:tcW w:type="dxa" w:w="1037"/>
            <w:vAlign w:val="top"/>
            <w:shd w:fill="1F4E78"/>
          </w:tcPr>
          <w:p>
            <w:r/>
            <w:r>
              <w:rPr>
                <w:b/>
                <w:color w:val="FFFFFF"/>
                <w:sz w:val="13"/>
              </w:rPr>
              <w:t>Control links</w:t>
            </w:r>
          </w:p>
        </w:tc>
        <w:tc>
          <w:tcPr>
            <w:tcW w:type="dxa" w:w="1037"/>
            <w:vAlign w:val="top"/>
            <w:shd w:fill="1F4E78"/>
          </w:tcPr>
          <w:p>
            <w:r/>
            <w:r>
              <w:rPr>
                <w:b/>
                <w:color w:val="FFFFFF"/>
                <w:sz w:val="13"/>
              </w:rPr>
              <w:t>Owner</w:t>
            </w:r>
          </w:p>
        </w:tc>
        <w:tc>
          <w:tcPr>
            <w:tcW w:type="dxa" w:w="1037"/>
            <w:vAlign w:val="top"/>
            <w:shd w:fill="1F4E78"/>
          </w:tcPr>
          <w:p>
            <w:r/>
            <w:r>
              <w:rPr>
                <w:b/>
                <w:color w:val="FFFFFF"/>
                <w:sz w:val="13"/>
              </w:rPr>
              <w:t>Source</w:t>
            </w:r>
          </w:p>
        </w:tc>
        <w:tc>
          <w:tcPr>
            <w:tcW w:type="dxa" w:w="1037"/>
            <w:vAlign w:val="top"/>
            <w:shd w:fill="1F4E78"/>
          </w:tcPr>
          <w:p>
            <w:r/>
            <w:r>
              <w:rPr>
                <w:b/>
                <w:color w:val="FFFFFF"/>
                <w:sz w:val="13"/>
              </w:rPr>
              <w:t>Period</w:t>
            </w:r>
          </w:p>
        </w:tc>
        <w:tc>
          <w:tcPr>
            <w:tcW w:type="dxa" w:w="1037"/>
            <w:vAlign w:val="top"/>
            <w:shd w:fill="1F4E78"/>
          </w:tcPr>
          <w:p>
            <w:r/>
            <w:r>
              <w:rPr>
                <w:b/>
                <w:color w:val="FFFFFF"/>
                <w:sz w:val="13"/>
              </w:rPr>
              <w:t>Retention</w:t>
            </w:r>
          </w:p>
        </w:tc>
        <w:tc>
          <w:tcPr>
            <w:tcW w:type="dxa" w:w="1037"/>
            <w:vAlign w:val="top"/>
            <w:shd w:fill="1F4E78"/>
          </w:tcPr>
          <w:p>
            <w:r/>
            <w:r>
              <w:rPr>
                <w:b/>
                <w:color w:val="FFFFFF"/>
                <w:sz w:val="13"/>
              </w:rPr>
              <w:t>Reliability</w:t>
            </w:r>
          </w:p>
        </w:tc>
        <w:tc>
          <w:tcPr>
            <w:tcW w:type="dxa" w:w="1037"/>
            <w:vAlign w:val="top"/>
            <w:shd w:fill="1F4E78"/>
          </w:tcPr>
          <w:p>
            <w:r/>
            <w:r>
              <w:rPr>
                <w:b/>
                <w:color w:val="FFFFFF"/>
                <w:sz w:val="13"/>
              </w:rPr>
              <w:t>Location</w:t>
            </w:r>
          </w:p>
        </w:tc>
      </w:tr>
      <w:tr>
        <w:trPr>
          <w:cantSplit/>
        </w:trPr>
        <w:tc>
          <w:tcPr>
            <w:tcW w:type="dxa" w:w="1037"/>
            <w:vAlign w:val="top"/>
          </w:tcPr>
          <w:p>
            <w:r/>
            <w:r>
              <w:rPr>
                <w:b w:val="0"/>
                <w:sz w:val="13"/>
              </w:rPr>
              <w:t>EXAMPLE - illustrative</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r>
    </w:tbl>
    <w:p/>
    <w:p>
      <w:pPr>
        <w:pStyle w:val="Heading1"/>
      </w:pPr>
      <w:r>
        <w:t>Appendix F - Human Oversight Matrix</w:t>
      </w:r>
    </w:p>
    <w:p>
      <w:r>
        <w:t>Purpose: provide a controlled record supporting implementation, assessment and review. Instructions: complete all material fields, retain source evidence, identify assumptions and do not treat example entries as mandatory thresholds. Record owner and review frequency should be assigned according to risk and applicable retention requirements.</w:t>
      </w:r>
    </w:p>
    <w:tbl>
      <w:tblPr>
        <w:tblStyle w:val="TableGrid"/>
        <w:tblW w:type="auto" w:w="0"/>
        <w:jc w:val="center"/>
        <w:tblLook w:firstColumn="1" w:firstRow="1" w:lastColumn="0" w:lastRow="0" w:noHBand="0" w:noVBand="1" w:val="04A0"/>
      </w:tblPr>
      <w:tblGrid>
        <w:gridCol w:w="1152"/>
        <w:gridCol w:w="1152"/>
        <w:gridCol w:w="1152"/>
        <w:gridCol w:w="1152"/>
        <w:gridCol w:w="1152"/>
        <w:gridCol w:w="1152"/>
        <w:gridCol w:w="1152"/>
        <w:gridCol w:w="1152"/>
        <w:gridCol w:w="1152"/>
      </w:tblGrid>
      <w:tr>
        <w:trPr>
          <w:cantSplit/>
          <w:tblHeader w:val="true"/>
        </w:trPr>
        <w:tc>
          <w:tcPr>
            <w:tcW w:type="dxa" w:w="1152"/>
            <w:vAlign w:val="top"/>
            <w:shd w:fill="1F4E78"/>
          </w:tcPr>
          <w:p>
            <w:r/>
            <w:r>
              <w:rPr>
                <w:b/>
                <w:color w:val="FFFFFF"/>
                <w:sz w:val="13"/>
              </w:rPr>
              <w:t>Decision</w:t>
            </w:r>
          </w:p>
        </w:tc>
        <w:tc>
          <w:tcPr>
            <w:tcW w:type="dxa" w:w="1152"/>
            <w:vAlign w:val="top"/>
            <w:shd w:fill="1F4E78"/>
          </w:tcPr>
          <w:p>
            <w:r/>
            <w:r>
              <w:rPr>
                <w:b/>
                <w:color w:val="FFFFFF"/>
                <w:sz w:val="13"/>
              </w:rPr>
              <w:t>Trigger</w:t>
            </w:r>
          </w:p>
        </w:tc>
        <w:tc>
          <w:tcPr>
            <w:tcW w:type="dxa" w:w="1152"/>
            <w:vAlign w:val="top"/>
            <w:shd w:fill="1F4E78"/>
          </w:tcPr>
          <w:p>
            <w:r/>
            <w:r>
              <w:rPr>
                <w:b/>
                <w:color w:val="FFFFFF"/>
                <w:sz w:val="13"/>
              </w:rPr>
              <w:t>Oversight model</w:t>
            </w:r>
          </w:p>
        </w:tc>
        <w:tc>
          <w:tcPr>
            <w:tcW w:type="dxa" w:w="1152"/>
            <w:vAlign w:val="top"/>
            <w:shd w:fill="1F4E78"/>
          </w:tcPr>
          <w:p>
            <w:r/>
            <w:r>
              <w:rPr>
                <w:b/>
                <w:color w:val="FFFFFF"/>
                <w:sz w:val="13"/>
              </w:rPr>
              <w:t>Reviewer competence</w:t>
            </w:r>
          </w:p>
        </w:tc>
        <w:tc>
          <w:tcPr>
            <w:tcW w:type="dxa" w:w="1152"/>
            <w:vAlign w:val="top"/>
            <w:shd w:fill="1F4E78"/>
          </w:tcPr>
          <w:p>
            <w:r/>
            <w:r>
              <w:rPr>
                <w:b/>
                <w:color w:val="FFFFFF"/>
                <w:sz w:val="13"/>
              </w:rPr>
              <w:t>Information required</w:t>
            </w:r>
          </w:p>
        </w:tc>
        <w:tc>
          <w:tcPr>
            <w:tcW w:type="dxa" w:w="1152"/>
            <w:vAlign w:val="top"/>
            <w:shd w:fill="1F4E78"/>
          </w:tcPr>
          <w:p>
            <w:r/>
            <w:r>
              <w:rPr>
                <w:b/>
                <w:color w:val="FFFFFF"/>
                <w:sz w:val="13"/>
              </w:rPr>
              <w:t>Authority</w:t>
            </w:r>
          </w:p>
        </w:tc>
        <w:tc>
          <w:tcPr>
            <w:tcW w:type="dxa" w:w="1152"/>
            <w:vAlign w:val="top"/>
            <w:shd w:fill="1F4E78"/>
          </w:tcPr>
          <w:p>
            <w:r/>
            <w:r>
              <w:rPr>
                <w:b/>
                <w:color w:val="FFFFFF"/>
                <w:sz w:val="13"/>
              </w:rPr>
              <w:t>Time limit</w:t>
            </w:r>
          </w:p>
        </w:tc>
        <w:tc>
          <w:tcPr>
            <w:tcW w:type="dxa" w:w="1152"/>
            <w:vAlign w:val="top"/>
            <w:shd w:fill="1F4E78"/>
          </w:tcPr>
          <w:p>
            <w:r/>
            <w:r>
              <w:rPr>
                <w:b/>
                <w:color w:val="FFFFFF"/>
                <w:sz w:val="13"/>
              </w:rPr>
              <w:t>Override record</w:t>
            </w:r>
          </w:p>
        </w:tc>
        <w:tc>
          <w:tcPr>
            <w:tcW w:type="dxa" w:w="1152"/>
            <w:vAlign w:val="top"/>
            <w:shd w:fill="1F4E78"/>
          </w:tcPr>
          <w:p>
            <w:r/>
            <w:r>
              <w:rPr>
                <w:b/>
                <w:color w:val="FFFFFF"/>
                <w:sz w:val="13"/>
              </w:rPr>
              <w:t>Escalation</w:t>
            </w:r>
          </w:p>
        </w:tc>
      </w:tr>
      <w:tr>
        <w:trPr>
          <w:cantSplit/>
        </w:trPr>
        <w:tc>
          <w:tcPr>
            <w:tcW w:type="dxa" w:w="1152"/>
            <w:vAlign w:val="top"/>
          </w:tcPr>
          <w:p>
            <w:r/>
            <w:r>
              <w:rPr>
                <w:b w:val="0"/>
                <w:sz w:val="13"/>
              </w:rPr>
              <w:t>EXAMPLE - illustrative</w:t>
            </w:r>
          </w:p>
        </w:tc>
        <w:tc>
          <w:tcPr>
            <w:tcW w:type="dxa" w:w="1152"/>
            <w:vAlign w:val="top"/>
          </w:tcPr>
          <w:p>
            <w:r/>
            <w:r>
              <w:rPr>
                <w:b w:val="0"/>
                <w:sz w:val="13"/>
              </w:rPr>
              <w:t>To be completed</w:t>
            </w:r>
          </w:p>
        </w:tc>
        <w:tc>
          <w:tcPr>
            <w:tcW w:type="dxa" w:w="1152"/>
            <w:vAlign w:val="top"/>
          </w:tcPr>
          <w:p>
            <w:r/>
            <w:r>
              <w:rPr>
                <w:b w:val="0"/>
                <w:sz w:val="13"/>
              </w:rPr>
              <w:t>To be completed</w:t>
            </w:r>
          </w:p>
        </w:tc>
        <w:tc>
          <w:tcPr>
            <w:tcW w:type="dxa" w:w="1152"/>
            <w:vAlign w:val="top"/>
          </w:tcPr>
          <w:p>
            <w:r/>
            <w:r>
              <w:rPr>
                <w:b w:val="0"/>
                <w:sz w:val="13"/>
              </w:rPr>
              <w:t>To be completed</w:t>
            </w:r>
          </w:p>
        </w:tc>
        <w:tc>
          <w:tcPr>
            <w:tcW w:type="dxa" w:w="1152"/>
            <w:vAlign w:val="top"/>
          </w:tcPr>
          <w:p>
            <w:r/>
            <w:r>
              <w:rPr>
                <w:b w:val="0"/>
                <w:sz w:val="13"/>
              </w:rPr>
              <w:t>To be completed</w:t>
            </w:r>
          </w:p>
        </w:tc>
        <w:tc>
          <w:tcPr>
            <w:tcW w:type="dxa" w:w="1152"/>
            <w:vAlign w:val="top"/>
          </w:tcPr>
          <w:p>
            <w:r/>
            <w:r>
              <w:rPr>
                <w:b w:val="0"/>
                <w:sz w:val="13"/>
              </w:rPr>
              <w:t>To be completed</w:t>
            </w:r>
          </w:p>
        </w:tc>
        <w:tc>
          <w:tcPr>
            <w:tcW w:type="dxa" w:w="1152"/>
            <w:vAlign w:val="top"/>
          </w:tcPr>
          <w:p>
            <w:r/>
            <w:r>
              <w:rPr>
                <w:b w:val="0"/>
                <w:sz w:val="13"/>
              </w:rPr>
              <w:t>To be completed</w:t>
            </w:r>
          </w:p>
        </w:tc>
        <w:tc>
          <w:tcPr>
            <w:tcW w:type="dxa" w:w="1152"/>
            <w:vAlign w:val="top"/>
          </w:tcPr>
          <w:p>
            <w:r/>
            <w:r>
              <w:rPr>
                <w:b w:val="0"/>
                <w:sz w:val="13"/>
              </w:rPr>
              <w:t>To be completed</w:t>
            </w:r>
          </w:p>
        </w:tc>
        <w:tc>
          <w:tcPr>
            <w:tcW w:type="dxa" w:w="1152"/>
            <w:vAlign w:val="top"/>
          </w:tcPr>
          <w:p>
            <w:r/>
            <w:r>
              <w:rPr>
                <w:b w:val="0"/>
                <w:sz w:val="13"/>
              </w:rPr>
              <w:t>To be completed</w:t>
            </w:r>
          </w:p>
        </w:tc>
      </w:tr>
    </w:tbl>
    <w:p/>
    <w:p>
      <w:pPr>
        <w:pStyle w:val="Heading1"/>
      </w:pPr>
      <w:r>
        <w:t>Appendix G - Vendor Due Diligence Questionnaire</w:t>
      </w:r>
    </w:p>
    <w:p>
      <w:r>
        <w:t>Purpose: provide a controlled record supporting implementation, assessment and review. Instructions: complete all material fields, retain source evidence, identify assumptions and do not treat example entries as mandatory thresholds. Record owner and review frequency should be assigned according to risk and applicable retention requirements.</w:t>
      </w:r>
    </w:p>
    <w:tbl>
      <w:tblPr>
        <w:tblStyle w:val="TableGrid"/>
        <w:tblW w:type="auto" w:w="0"/>
        <w:jc w:val="center"/>
        <w:tblLook w:firstColumn="1" w:firstRow="1" w:lastColumn="0" w:lastRow="0" w:noHBand="0" w:noVBand="1" w:val="04A0"/>
      </w:tblPr>
      <w:tblGrid>
        <w:gridCol w:w="1296"/>
        <w:gridCol w:w="1296"/>
        <w:gridCol w:w="1296"/>
        <w:gridCol w:w="1296"/>
        <w:gridCol w:w="1296"/>
        <w:gridCol w:w="1296"/>
        <w:gridCol w:w="1296"/>
        <w:gridCol w:w="1296"/>
      </w:tblGrid>
      <w:tr>
        <w:trPr>
          <w:cantSplit/>
          <w:tblHeader w:val="true"/>
        </w:trPr>
        <w:tc>
          <w:tcPr>
            <w:tcW w:type="dxa" w:w="1296"/>
            <w:vAlign w:val="top"/>
            <w:shd w:fill="1F4E78"/>
          </w:tcPr>
          <w:p>
            <w:r/>
            <w:r>
              <w:rPr>
                <w:b/>
                <w:color w:val="FFFFFF"/>
                <w:sz w:val="13"/>
              </w:rPr>
              <w:t>Question ID</w:t>
            </w:r>
          </w:p>
        </w:tc>
        <w:tc>
          <w:tcPr>
            <w:tcW w:type="dxa" w:w="1296"/>
            <w:vAlign w:val="top"/>
            <w:shd w:fill="1F4E78"/>
          </w:tcPr>
          <w:p>
            <w:r/>
            <w:r>
              <w:rPr>
                <w:b/>
                <w:color w:val="FFFFFF"/>
                <w:sz w:val="13"/>
              </w:rPr>
              <w:t>Domain</w:t>
            </w:r>
          </w:p>
        </w:tc>
        <w:tc>
          <w:tcPr>
            <w:tcW w:type="dxa" w:w="1296"/>
            <w:vAlign w:val="top"/>
            <w:shd w:fill="1F4E78"/>
          </w:tcPr>
          <w:p>
            <w:r/>
            <w:r>
              <w:rPr>
                <w:b/>
                <w:color w:val="FFFFFF"/>
                <w:sz w:val="13"/>
              </w:rPr>
              <w:t>Question</w:t>
            </w:r>
          </w:p>
        </w:tc>
        <w:tc>
          <w:tcPr>
            <w:tcW w:type="dxa" w:w="1296"/>
            <w:vAlign w:val="top"/>
            <w:shd w:fill="1F4E78"/>
          </w:tcPr>
          <w:p>
            <w:r/>
            <w:r>
              <w:rPr>
                <w:b/>
                <w:color w:val="FFFFFF"/>
                <w:sz w:val="13"/>
              </w:rPr>
              <w:t>Evidence requested</w:t>
            </w:r>
          </w:p>
        </w:tc>
        <w:tc>
          <w:tcPr>
            <w:tcW w:type="dxa" w:w="1296"/>
            <w:vAlign w:val="top"/>
            <w:shd w:fill="1F4E78"/>
          </w:tcPr>
          <w:p>
            <w:r/>
            <w:r>
              <w:rPr>
                <w:b/>
                <w:color w:val="FFFFFF"/>
                <w:sz w:val="13"/>
              </w:rPr>
              <w:t>Response</w:t>
            </w:r>
          </w:p>
        </w:tc>
        <w:tc>
          <w:tcPr>
            <w:tcW w:type="dxa" w:w="1296"/>
            <w:vAlign w:val="top"/>
            <w:shd w:fill="1F4E78"/>
          </w:tcPr>
          <w:p>
            <w:r/>
            <w:r>
              <w:rPr>
                <w:b/>
                <w:color w:val="FFFFFF"/>
                <w:sz w:val="13"/>
              </w:rPr>
              <w:t>Risk rating</w:t>
            </w:r>
          </w:p>
        </w:tc>
        <w:tc>
          <w:tcPr>
            <w:tcW w:type="dxa" w:w="1296"/>
            <w:vAlign w:val="top"/>
            <w:shd w:fill="1F4E78"/>
          </w:tcPr>
          <w:p>
            <w:r/>
            <w:r>
              <w:rPr>
                <w:b/>
                <w:color w:val="FFFFFF"/>
                <w:sz w:val="13"/>
              </w:rPr>
              <w:t>Reviewer</w:t>
            </w:r>
          </w:p>
        </w:tc>
        <w:tc>
          <w:tcPr>
            <w:tcW w:type="dxa" w:w="1296"/>
            <w:vAlign w:val="top"/>
            <w:shd w:fill="1F4E78"/>
          </w:tcPr>
          <w:p>
            <w:r/>
            <w:r>
              <w:rPr>
                <w:b/>
                <w:color w:val="FFFFFF"/>
                <w:sz w:val="13"/>
              </w:rPr>
              <w:t>Action</w:t>
            </w:r>
          </w:p>
        </w:tc>
      </w:tr>
      <w:tr>
        <w:trPr>
          <w:cantSplit/>
        </w:trPr>
        <w:tc>
          <w:tcPr>
            <w:tcW w:type="dxa" w:w="1296"/>
            <w:vAlign w:val="top"/>
          </w:tcPr>
          <w:p>
            <w:r/>
            <w:r>
              <w:rPr>
                <w:b w:val="0"/>
                <w:sz w:val="13"/>
              </w:rPr>
              <w:t>EXAMPLE - illustrative</w:t>
            </w:r>
          </w:p>
        </w:tc>
        <w:tc>
          <w:tcPr>
            <w:tcW w:type="dxa" w:w="1296"/>
            <w:vAlign w:val="top"/>
          </w:tcPr>
          <w:p>
            <w:r/>
            <w:r>
              <w:rPr>
                <w:b w:val="0"/>
                <w:sz w:val="13"/>
              </w:rPr>
              <w:t>To be completed</w:t>
            </w:r>
          </w:p>
        </w:tc>
        <w:tc>
          <w:tcPr>
            <w:tcW w:type="dxa" w:w="1296"/>
            <w:vAlign w:val="top"/>
          </w:tcPr>
          <w:p>
            <w:r/>
            <w:r>
              <w:rPr>
                <w:b w:val="0"/>
                <w:sz w:val="13"/>
              </w:rPr>
              <w:t>To be completed</w:t>
            </w:r>
          </w:p>
        </w:tc>
        <w:tc>
          <w:tcPr>
            <w:tcW w:type="dxa" w:w="1296"/>
            <w:vAlign w:val="top"/>
          </w:tcPr>
          <w:p>
            <w:r/>
            <w:r>
              <w:rPr>
                <w:b w:val="0"/>
                <w:sz w:val="13"/>
              </w:rPr>
              <w:t>To be completed</w:t>
            </w:r>
          </w:p>
        </w:tc>
        <w:tc>
          <w:tcPr>
            <w:tcW w:type="dxa" w:w="1296"/>
            <w:vAlign w:val="top"/>
          </w:tcPr>
          <w:p>
            <w:r/>
            <w:r>
              <w:rPr>
                <w:b w:val="0"/>
                <w:sz w:val="13"/>
              </w:rPr>
              <w:t>To be completed</w:t>
            </w:r>
          </w:p>
        </w:tc>
        <w:tc>
          <w:tcPr>
            <w:tcW w:type="dxa" w:w="1296"/>
            <w:vAlign w:val="top"/>
          </w:tcPr>
          <w:p>
            <w:r/>
            <w:r>
              <w:rPr>
                <w:b w:val="0"/>
                <w:sz w:val="13"/>
              </w:rPr>
              <w:t>To be completed</w:t>
            </w:r>
          </w:p>
        </w:tc>
        <w:tc>
          <w:tcPr>
            <w:tcW w:type="dxa" w:w="1296"/>
            <w:vAlign w:val="top"/>
          </w:tcPr>
          <w:p>
            <w:r/>
            <w:r>
              <w:rPr>
                <w:b w:val="0"/>
                <w:sz w:val="13"/>
              </w:rPr>
              <w:t>To be completed</w:t>
            </w:r>
          </w:p>
        </w:tc>
        <w:tc>
          <w:tcPr>
            <w:tcW w:type="dxa" w:w="1296"/>
            <w:vAlign w:val="top"/>
          </w:tcPr>
          <w:p>
            <w:r/>
            <w:r>
              <w:rPr>
                <w:b w:val="0"/>
                <w:sz w:val="13"/>
              </w:rPr>
              <w:t>To be completed</w:t>
            </w:r>
          </w:p>
        </w:tc>
      </w:tr>
    </w:tbl>
    <w:p/>
    <w:p>
      <w:pPr>
        <w:pStyle w:val="Heading1"/>
      </w:pPr>
      <w:r>
        <w:t>Appendix H - Incident Classification Matrix</w:t>
      </w:r>
    </w:p>
    <w:p>
      <w:r>
        <w:t>Purpose: provide a controlled record supporting implementation, assessment and review. Instructions: complete all material fields, retain source evidence, identify assumptions and do not treat example entries as mandatory thresholds. Record owner and review frequency should be assigned according to risk and applicable retention requirements.</w:t>
      </w:r>
    </w:p>
    <w:tbl>
      <w:tblPr>
        <w:tblStyle w:val="TableGrid"/>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rPr>
          <w:cantSplit/>
          <w:tblHeader w:val="true"/>
        </w:trPr>
        <w:tc>
          <w:tcPr>
            <w:tcW w:type="dxa" w:w="1037"/>
            <w:vAlign w:val="top"/>
            <w:shd w:fill="1F4E78"/>
          </w:tcPr>
          <w:p>
            <w:r/>
            <w:r>
              <w:rPr>
                <w:b/>
                <w:color w:val="FFFFFF"/>
                <w:sz w:val="13"/>
              </w:rPr>
              <w:t>Incident ID</w:t>
            </w:r>
          </w:p>
        </w:tc>
        <w:tc>
          <w:tcPr>
            <w:tcW w:type="dxa" w:w="1037"/>
            <w:vAlign w:val="top"/>
            <w:shd w:fill="1F4E78"/>
          </w:tcPr>
          <w:p>
            <w:r/>
            <w:r>
              <w:rPr>
                <w:b/>
                <w:color w:val="FFFFFF"/>
                <w:sz w:val="13"/>
              </w:rPr>
              <w:t>System</w:t>
            </w:r>
          </w:p>
        </w:tc>
        <w:tc>
          <w:tcPr>
            <w:tcW w:type="dxa" w:w="1037"/>
            <w:vAlign w:val="top"/>
            <w:shd w:fill="1F4E78"/>
          </w:tcPr>
          <w:p>
            <w:r/>
            <w:r>
              <w:rPr>
                <w:b/>
                <w:color w:val="FFFFFF"/>
                <w:sz w:val="13"/>
              </w:rPr>
              <w:t>Description</w:t>
            </w:r>
          </w:p>
        </w:tc>
        <w:tc>
          <w:tcPr>
            <w:tcW w:type="dxa" w:w="1037"/>
            <w:vAlign w:val="top"/>
            <w:shd w:fill="1F4E78"/>
          </w:tcPr>
          <w:p>
            <w:r/>
            <w:r>
              <w:rPr>
                <w:b/>
                <w:color w:val="FFFFFF"/>
                <w:sz w:val="13"/>
              </w:rPr>
              <w:t>Severity</w:t>
            </w:r>
          </w:p>
        </w:tc>
        <w:tc>
          <w:tcPr>
            <w:tcW w:type="dxa" w:w="1037"/>
            <w:vAlign w:val="top"/>
            <w:shd w:fill="1F4E78"/>
          </w:tcPr>
          <w:p>
            <w:r/>
            <w:r>
              <w:rPr>
                <w:b/>
                <w:color w:val="FFFFFF"/>
                <w:sz w:val="13"/>
              </w:rPr>
              <w:t>Policyholder impact</w:t>
            </w:r>
          </w:p>
        </w:tc>
        <w:tc>
          <w:tcPr>
            <w:tcW w:type="dxa" w:w="1037"/>
            <w:vAlign w:val="top"/>
            <w:shd w:fill="1F4E78"/>
          </w:tcPr>
          <w:p>
            <w:r/>
            <w:r>
              <w:rPr>
                <w:b/>
                <w:color w:val="FFFFFF"/>
                <w:sz w:val="13"/>
              </w:rPr>
              <w:t>Financial impact</w:t>
            </w:r>
          </w:p>
        </w:tc>
        <w:tc>
          <w:tcPr>
            <w:tcW w:type="dxa" w:w="1037"/>
            <w:vAlign w:val="top"/>
            <w:shd w:fill="1F4E78"/>
          </w:tcPr>
          <w:p>
            <w:r/>
            <w:r>
              <w:rPr>
                <w:b/>
                <w:color w:val="FFFFFF"/>
                <w:sz w:val="13"/>
              </w:rPr>
              <w:t>Security impact</w:t>
            </w:r>
          </w:p>
        </w:tc>
        <w:tc>
          <w:tcPr>
            <w:tcW w:type="dxa" w:w="1037"/>
            <w:vAlign w:val="top"/>
            <w:shd w:fill="1F4E78"/>
          </w:tcPr>
          <w:p>
            <w:r/>
            <w:r>
              <w:rPr>
                <w:b/>
                <w:color w:val="FFFFFF"/>
                <w:sz w:val="13"/>
              </w:rPr>
              <w:t>Regulatory assessment</w:t>
            </w:r>
          </w:p>
        </w:tc>
        <w:tc>
          <w:tcPr>
            <w:tcW w:type="dxa" w:w="1037"/>
            <w:vAlign w:val="top"/>
            <w:shd w:fill="1F4E78"/>
          </w:tcPr>
          <w:p>
            <w:r/>
            <w:r>
              <w:rPr>
                <w:b/>
                <w:color w:val="FFFFFF"/>
                <w:sz w:val="13"/>
              </w:rPr>
              <w:t>Owner</w:t>
            </w:r>
          </w:p>
        </w:tc>
        <w:tc>
          <w:tcPr>
            <w:tcW w:type="dxa" w:w="1037"/>
            <w:vAlign w:val="top"/>
            <w:shd w:fill="1F4E78"/>
          </w:tcPr>
          <w:p>
            <w:r/>
            <w:r>
              <w:rPr>
                <w:b/>
                <w:color w:val="FFFFFF"/>
                <w:sz w:val="13"/>
              </w:rPr>
              <w:t>Status</w:t>
            </w:r>
          </w:p>
        </w:tc>
      </w:tr>
      <w:tr>
        <w:trPr>
          <w:cantSplit/>
        </w:trPr>
        <w:tc>
          <w:tcPr>
            <w:tcW w:type="dxa" w:w="1037"/>
            <w:vAlign w:val="top"/>
          </w:tcPr>
          <w:p>
            <w:r/>
            <w:r>
              <w:rPr>
                <w:b w:val="0"/>
                <w:sz w:val="13"/>
              </w:rPr>
              <w:t>EXAMPLE - illustrative</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r>
    </w:tbl>
    <w:p/>
    <w:p>
      <w:pPr>
        <w:pStyle w:val="Heading1"/>
      </w:pPr>
      <w:r>
        <w:t>Appendix I - Implementation Roadmap Tracker</w:t>
      </w:r>
    </w:p>
    <w:p>
      <w:r>
        <w:t>Purpose: provide a controlled record supporting implementation, assessment and review. Instructions: complete all material fields, retain source evidence, identify assumptions and do not treat example entries as mandatory thresholds. Record owner and review frequency should be assigned according to risk and applicable retention requirements.</w:t>
      </w:r>
    </w:p>
    <w:tbl>
      <w:tblPr>
        <w:tblStyle w:val="TableGrid"/>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rPr>
          <w:cantSplit/>
          <w:tblHeader w:val="true"/>
        </w:trPr>
        <w:tc>
          <w:tcPr>
            <w:tcW w:type="dxa" w:w="1037"/>
            <w:vAlign w:val="top"/>
            <w:shd w:fill="1F4E78"/>
          </w:tcPr>
          <w:p>
            <w:r/>
            <w:r>
              <w:rPr>
                <w:b/>
                <w:color w:val="FFFFFF"/>
                <w:sz w:val="13"/>
              </w:rPr>
              <w:t>Task ID</w:t>
            </w:r>
          </w:p>
        </w:tc>
        <w:tc>
          <w:tcPr>
            <w:tcW w:type="dxa" w:w="1037"/>
            <w:vAlign w:val="top"/>
            <w:shd w:fill="1F4E78"/>
          </w:tcPr>
          <w:p>
            <w:r/>
            <w:r>
              <w:rPr>
                <w:b/>
                <w:color w:val="FFFFFF"/>
                <w:sz w:val="13"/>
              </w:rPr>
              <w:t>Phase</w:t>
            </w:r>
          </w:p>
        </w:tc>
        <w:tc>
          <w:tcPr>
            <w:tcW w:type="dxa" w:w="1037"/>
            <w:vAlign w:val="top"/>
            <w:shd w:fill="1F4E78"/>
          </w:tcPr>
          <w:p>
            <w:r/>
            <w:r>
              <w:rPr>
                <w:b/>
                <w:color w:val="FFFFFF"/>
                <w:sz w:val="13"/>
              </w:rPr>
              <w:t>Task</w:t>
            </w:r>
          </w:p>
        </w:tc>
        <w:tc>
          <w:tcPr>
            <w:tcW w:type="dxa" w:w="1037"/>
            <w:vAlign w:val="top"/>
            <w:shd w:fill="1F4E78"/>
          </w:tcPr>
          <w:p>
            <w:r/>
            <w:r>
              <w:rPr>
                <w:b/>
                <w:color w:val="FFFFFF"/>
                <w:sz w:val="13"/>
              </w:rPr>
              <w:t>Owner</w:t>
            </w:r>
          </w:p>
        </w:tc>
        <w:tc>
          <w:tcPr>
            <w:tcW w:type="dxa" w:w="1037"/>
            <w:vAlign w:val="top"/>
            <w:shd w:fill="1F4E78"/>
          </w:tcPr>
          <w:p>
            <w:r/>
            <w:r>
              <w:rPr>
                <w:b/>
                <w:color w:val="FFFFFF"/>
                <w:sz w:val="13"/>
              </w:rPr>
              <w:t>Start</w:t>
            </w:r>
          </w:p>
        </w:tc>
        <w:tc>
          <w:tcPr>
            <w:tcW w:type="dxa" w:w="1037"/>
            <w:vAlign w:val="top"/>
            <w:shd w:fill="1F4E78"/>
          </w:tcPr>
          <w:p>
            <w:r/>
            <w:r>
              <w:rPr>
                <w:b/>
                <w:color w:val="FFFFFF"/>
                <w:sz w:val="13"/>
              </w:rPr>
              <w:t>Due</w:t>
            </w:r>
          </w:p>
        </w:tc>
        <w:tc>
          <w:tcPr>
            <w:tcW w:type="dxa" w:w="1037"/>
            <w:vAlign w:val="top"/>
            <w:shd w:fill="1F4E78"/>
          </w:tcPr>
          <w:p>
            <w:r/>
            <w:r>
              <w:rPr>
                <w:b/>
                <w:color w:val="FFFFFF"/>
                <w:sz w:val="13"/>
              </w:rPr>
              <w:t>Dependency</w:t>
            </w:r>
          </w:p>
        </w:tc>
        <w:tc>
          <w:tcPr>
            <w:tcW w:type="dxa" w:w="1037"/>
            <w:vAlign w:val="top"/>
            <w:shd w:fill="1F4E78"/>
          </w:tcPr>
          <w:p>
            <w:r/>
            <w:r>
              <w:rPr>
                <w:b/>
                <w:color w:val="FFFFFF"/>
                <w:sz w:val="13"/>
              </w:rPr>
              <w:t>Evidence</w:t>
            </w:r>
          </w:p>
        </w:tc>
        <w:tc>
          <w:tcPr>
            <w:tcW w:type="dxa" w:w="1037"/>
            <w:vAlign w:val="top"/>
            <w:shd w:fill="1F4E78"/>
          </w:tcPr>
          <w:p>
            <w:r/>
            <w:r>
              <w:rPr>
                <w:b/>
                <w:color w:val="FFFFFF"/>
                <w:sz w:val="13"/>
              </w:rPr>
              <w:t>Status</w:t>
            </w:r>
          </w:p>
        </w:tc>
        <w:tc>
          <w:tcPr>
            <w:tcW w:type="dxa" w:w="1037"/>
            <w:vAlign w:val="top"/>
            <w:shd w:fill="1F4E78"/>
          </w:tcPr>
          <w:p>
            <w:r/>
            <w:r>
              <w:rPr>
                <w:b/>
                <w:color w:val="FFFFFF"/>
                <w:sz w:val="13"/>
              </w:rPr>
              <w:t>Completion %</w:t>
            </w:r>
          </w:p>
        </w:tc>
      </w:tr>
      <w:tr>
        <w:trPr>
          <w:cantSplit/>
        </w:trPr>
        <w:tc>
          <w:tcPr>
            <w:tcW w:type="dxa" w:w="1037"/>
            <w:vAlign w:val="top"/>
          </w:tcPr>
          <w:p>
            <w:r/>
            <w:r>
              <w:rPr>
                <w:b w:val="0"/>
                <w:sz w:val="13"/>
              </w:rPr>
              <w:t>EXAMPLE - illustrative</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r>
    </w:tbl>
    <w:p/>
    <w:p>
      <w:pPr>
        <w:pStyle w:val="Heading1"/>
      </w:pPr>
      <w:r>
        <w:t>Appendix J - Worked Scenario Record</w:t>
      </w:r>
    </w:p>
    <w:p>
      <w:r>
        <w:t>Purpose: provide a controlled record supporting implementation, assessment and review. Instructions: complete all material fields, retain source evidence, identify assumptions and do not treat example entries as mandatory thresholds. Record owner and review frequency should be assigned according to risk and applicable retention requirements.</w:t>
      </w:r>
    </w:p>
    <w:tbl>
      <w:tblPr>
        <w:tblStyle w:val="TableGrid"/>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rPr>
          <w:cantSplit/>
          <w:tblHeader w:val="true"/>
        </w:trPr>
        <w:tc>
          <w:tcPr>
            <w:tcW w:type="dxa" w:w="1037"/>
            <w:vAlign w:val="top"/>
            <w:shd w:fill="1F4E78"/>
          </w:tcPr>
          <w:p>
            <w:r/>
            <w:r>
              <w:rPr>
                <w:b/>
                <w:color w:val="FFFFFF"/>
                <w:sz w:val="13"/>
              </w:rPr>
              <w:t>Scenario ID</w:t>
            </w:r>
          </w:p>
        </w:tc>
        <w:tc>
          <w:tcPr>
            <w:tcW w:type="dxa" w:w="1037"/>
            <w:vAlign w:val="top"/>
            <w:shd w:fill="1F4E78"/>
          </w:tcPr>
          <w:p>
            <w:r/>
            <w:r>
              <w:rPr>
                <w:b/>
                <w:color w:val="FFFFFF"/>
                <w:sz w:val="13"/>
              </w:rPr>
              <w:t>Context</w:t>
            </w:r>
          </w:p>
        </w:tc>
        <w:tc>
          <w:tcPr>
            <w:tcW w:type="dxa" w:w="1037"/>
            <w:vAlign w:val="top"/>
            <w:shd w:fill="1F4E78"/>
          </w:tcPr>
          <w:p>
            <w:r/>
            <w:r>
              <w:rPr>
                <w:b/>
                <w:color w:val="FFFFFF"/>
                <w:sz w:val="13"/>
              </w:rPr>
              <w:t>Data</w:t>
            </w:r>
          </w:p>
        </w:tc>
        <w:tc>
          <w:tcPr>
            <w:tcW w:type="dxa" w:w="1037"/>
            <w:vAlign w:val="top"/>
            <w:shd w:fill="1F4E78"/>
          </w:tcPr>
          <w:p>
            <w:r/>
            <w:r>
              <w:rPr>
                <w:b/>
                <w:color w:val="FFFFFF"/>
                <w:sz w:val="13"/>
              </w:rPr>
              <w:t>Decision authority</w:t>
            </w:r>
          </w:p>
        </w:tc>
        <w:tc>
          <w:tcPr>
            <w:tcW w:type="dxa" w:w="1037"/>
            <w:vAlign w:val="top"/>
            <w:shd w:fill="1F4E78"/>
          </w:tcPr>
          <w:p>
            <w:r/>
            <w:r>
              <w:rPr>
                <w:b/>
                <w:color w:val="FFFFFF"/>
                <w:sz w:val="13"/>
              </w:rPr>
              <w:t>Threats</w:t>
            </w:r>
          </w:p>
        </w:tc>
        <w:tc>
          <w:tcPr>
            <w:tcW w:type="dxa" w:w="1037"/>
            <w:vAlign w:val="top"/>
            <w:shd w:fill="1F4E78"/>
          </w:tcPr>
          <w:p>
            <w:r/>
            <w:r>
              <w:rPr>
                <w:b/>
                <w:color w:val="FFFFFF"/>
                <w:sz w:val="13"/>
              </w:rPr>
              <w:t>Controls</w:t>
            </w:r>
          </w:p>
        </w:tc>
        <w:tc>
          <w:tcPr>
            <w:tcW w:type="dxa" w:w="1037"/>
            <w:vAlign w:val="top"/>
            <w:shd w:fill="1F4E78"/>
          </w:tcPr>
          <w:p>
            <w:r/>
            <w:r>
              <w:rPr>
                <w:b/>
                <w:color w:val="FFFFFF"/>
                <w:sz w:val="13"/>
              </w:rPr>
              <w:t>Evidence</w:t>
            </w:r>
          </w:p>
        </w:tc>
        <w:tc>
          <w:tcPr>
            <w:tcW w:type="dxa" w:w="1037"/>
            <w:vAlign w:val="top"/>
            <w:shd w:fill="1F4E78"/>
          </w:tcPr>
          <w:p>
            <w:r/>
            <w:r>
              <w:rPr>
                <w:b/>
                <w:color w:val="FFFFFF"/>
                <w:sz w:val="13"/>
              </w:rPr>
              <w:t>Oversight</w:t>
            </w:r>
          </w:p>
        </w:tc>
        <w:tc>
          <w:tcPr>
            <w:tcW w:type="dxa" w:w="1037"/>
            <w:vAlign w:val="top"/>
            <w:shd w:fill="1F4E78"/>
          </w:tcPr>
          <w:p>
            <w:r/>
            <w:r>
              <w:rPr>
                <w:b/>
                <w:color w:val="FFFFFF"/>
                <w:sz w:val="13"/>
              </w:rPr>
              <w:t>Monitoring</w:t>
            </w:r>
          </w:p>
        </w:tc>
        <w:tc>
          <w:tcPr>
            <w:tcW w:type="dxa" w:w="1037"/>
            <w:vAlign w:val="top"/>
            <w:shd w:fill="1F4E78"/>
          </w:tcPr>
          <w:p>
            <w:r/>
            <w:r>
              <w:rPr>
                <w:b/>
                <w:color w:val="FFFFFF"/>
                <w:sz w:val="13"/>
              </w:rPr>
              <w:t>Residual risk</w:t>
            </w:r>
          </w:p>
        </w:tc>
      </w:tr>
      <w:tr>
        <w:trPr>
          <w:cantSplit/>
        </w:trPr>
        <w:tc>
          <w:tcPr>
            <w:tcW w:type="dxa" w:w="1037"/>
            <w:vAlign w:val="top"/>
          </w:tcPr>
          <w:p>
            <w:r/>
            <w:r>
              <w:rPr>
                <w:b w:val="0"/>
                <w:sz w:val="13"/>
              </w:rPr>
              <w:t>EXAMPLE - illustrative</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r>
    </w:tbl>
    <w:p/>
    <w:p>
      <w:pPr>
        <w:pStyle w:val="Heading1"/>
      </w:pPr>
      <w:r>
        <w:t>Appendix K - Source Register</w:t>
      </w:r>
    </w:p>
    <w:p>
      <w:r>
        <w:t>Purpose: provide a controlled record supporting implementation, assessment and review. Instructions: complete all material fields, retain source evidence, identify assumptions and do not treat example entries as mandatory thresholds. Record owner and review frequency should be assigned according to risk and applicable retention requirements.</w:t>
      </w:r>
    </w:p>
    <w:tbl>
      <w:tblPr>
        <w:tblStyle w:val="TableGrid"/>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rPr>
          <w:cantSplit/>
          <w:tblHeader w:val="true"/>
        </w:trPr>
        <w:tc>
          <w:tcPr>
            <w:tcW w:type="dxa" w:w="1037"/>
            <w:vAlign w:val="top"/>
            <w:shd w:fill="1F4E78"/>
          </w:tcPr>
          <w:p>
            <w:r/>
            <w:r>
              <w:rPr>
                <w:b/>
                <w:color w:val="FFFFFF"/>
                <w:sz w:val="13"/>
              </w:rPr>
              <w:t>Source ID</w:t>
            </w:r>
          </w:p>
        </w:tc>
        <w:tc>
          <w:tcPr>
            <w:tcW w:type="dxa" w:w="1037"/>
            <w:vAlign w:val="top"/>
            <w:shd w:fill="1F4E78"/>
          </w:tcPr>
          <w:p>
            <w:r/>
            <w:r>
              <w:rPr>
                <w:b/>
                <w:color w:val="FFFFFF"/>
                <w:sz w:val="13"/>
              </w:rPr>
              <w:t>Title</w:t>
            </w:r>
          </w:p>
        </w:tc>
        <w:tc>
          <w:tcPr>
            <w:tcW w:type="dxa" w:w="1037"/>
            <w:vAlign w:val="top"/>
            <w:shd w:fill="1F4E78"/>
          </w:tcPr>
          <w:p>
            <w:r/>
            <w:r>
              <w:rPr>
                <w:b/>
                <w:color w:val="FFFFFF"/>
                <w:sz w:val="13"/>
              </w:rPr>
              <w:t>Issuer</w:t>
            </w:r>
          </w:p>
        </w:tc>
        <w:tc>
          <w:tcPr>
            <w:tcW w:type="dxa" w:w="1037"/>
            <w:vAlign w:val="top"/>
            <w:shd w:fill="1F4E78"/>
          </w:tcPr>
          <w:p>
            <w:r/>
            <w:r>
              <w:rPr>
                <w:b/>
                <w:color w:val="FFFFFF"/>
                <w:sz w:val="13"/>
              </w:rPr>
              <w:t>Jurisdiction</w:t>
            </w:r>
          </w:p>
        </w:tc>
        <w:tc>
          <w:tcPr>
            <w:tcW w:type="dxa" w:w="1037"/>
            <w:vAlign w:val="top"/>
            <w:shd w:fill="1F4E78"/>
          </w:tcPr>
          <w:p>
            <w:r/>
            <w:r>
              <w:rPr>
                <w:b/>
                <w:color w:val="FFFFFF"/>
                <w:sz w:val="13"/>
              </w:rPr>
              <w:t>Date</w:t>
            </w:r>
          </w:p>
        </w:tc>
        <w:tc>
          <w:tcPr>
            <w:tcW w:type="dxa" w:w="1037"/>
            <w:vAlign w:val="top"/>
            <w:shd w:fill="1F4E78"/>
          </w:tcPr>
          <w:p>
            <w:r/>
            <w:r>
              <w:rPr>
                <w:b/>
                <w:color w:val="FFFFFF"/>
                <w:sz w:val="13"/>
              </w:rPr>
              <w:t>Tier</w:t>
            </w:r>
          </w:p>
        </w:tc>
        <w:tc>
          <w:tcPr>
            <w:tcW w:type="dxa" w:w="1037"/>
            <w:vAlign w:val="top"/>
            <w:shd w:fill="1F4E78"/>
          </w:tcPr>
          <w:p>
            <w:r/>
            <w:r>
              <w:rPr>
                <w:b/>
                <w:color w:val="FFFFFF"/>
                <w:sz w:val="13"/>
              </w:rPr>
              <w:t>URL</w:t>
            </w:r>
          </w:p>
        </w:tc>
        <w:tc>
          <w:tcPr>
            <w:tcW w:type="dxa" w:w="1037"/>
            <w:vAlign w:val="top"/>
            <w:shd w:fill="1F4E78"/>
          </w:tcPr>
          <w:p>
            <w:r/>
            <w:r>
              <w:rPr>
                <w:b/>
                <w:color w:val="FFFFFF"/>
                <w:sz w:val="13"/>
              </w:rPr>
              <w:t>Supported sections</w:t>
            </w:r>
          </w:p>
        </w:tc>
        <w:tc>
          <w:tcPr>
            <w:tcW w:type="dxa" w:w="1037"/>
            <w:vAlign w:val="top"/>
            <w:shd w:fill="1F4E78"/>
          </w:tcPr>
          <w:p>
            <w:r/>
            <w:r>
              <w:rPr>
                <w:b/>
                <w:color w:val="FFFFFF"/>
                <w:sz w:val="13"/>
              </w:rPr>
              <w:t>Limitations</w:t>
            </w:r>
          </w:p>
        </w:tc>
        <w:tc>
          <w:tcPr>
            <w:tcW w:type="dxa" w:w="1037"/>
            <w:vAlign w:val="top"/>
            <w:shd w:fill="1F4E78"/>
          </w:tcPr>
          <w:p>
            <w:r/>
            <w:r>
              <w:rPr>
                <w:b/>
                <w:color w:val="FFFFFF"/>
                <w:sz w:val="13"/>
              </w:rPr>
              <w:t>Status</w:t>
            </w:r>
          </w:p>
        </w:tc>
      </w:tr>
      <w:tr>
        <w:trPr>
          <w:cantSplit/>
        </w:trPr>
        <w:tc>
          <w:tcPr>
            <w:tcW w:type="dxa" w:w="1037"/>
            <w:vAlign w:val="top"/>
          </w:tcPr>
          <w:p>
            <w:r/>
            <w:r>
              <w:rPr>
                <w:b w:val="0"/>
                <w:sz w:val="13"/>
              </w:rPr>
              <w:t>EXAMPLE - illustrative</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r>
    </w:tbl>
    <w:p/>
    <w:p>
      <w:pPr>
        <w:pStyle w:val="Heading1"/>
      </w:pPr>
      <w:r>
        <w:t>Appendix L - Notably Absent Register</w:t>
      </w:r>
    </w:p>
    <w:p>
      <w:r>
        <w:t>Purpose: provide a controlled record supporting implementation, assessment and review. Instructions: complete all material fields, retain source evidence, identify assumptions and do not treat example entries as mandatory thresholds. Record owner and review frequency should be assigned according to risk and applicable retention requirements.</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rPr>
          <w:cantSplit/>
          <w:tblHeader w:val="true"/>
        </w:trPr>
        <w:tc>
          <w:tcPr>
            <w:tcW w:type="dxa" w:w="1728"/>
            <w:vAlign w:val="top"/>
            <w:shd w:fill="1F4E78"/>
          </w:tcPr>
          <w:p>
            <w:r/>
            <w:r>
              <w:rPr>
                <w:b/>
                <w:color w:val="FFFFFF"/>
                <w:sz w:val="13"/>
              </w:rPr>
              <w:t>Item ID</w:t>
            </w:r>
          </w:p>
        </w:tc>
        <w:tc>
          <w:tcPr>
            <w:tcW w:type="dxa" w:w="1728"/>
            <w:vAlign w:val="top"/>
            <w:shd w:fill="1F4E78"/>
          </w:tcPr>
          <w:p>
            <w:r/>
            <w:r>
              <w:rPr>
                <w:b/>
                <w:color w:val="FFFFFF"/>
                <w:sz w:val="13"/>
              </w:rPr>
              <w:t>Excluded claim/assumption</w:t>
            </w:r>
          </w:p>
        </w:tc>
        <w:tc>
          <w:tcPr>
            <w:tcW w:type="dxa" w:w="1728"/>
            <w:vAlign w:val="top"/>
            <w:shd w:fill="1F4E78"/>
          </w:tcPr>
          <w:p>
            <w:r/>
            <w:r>
              <w:rPr>
                <w:b/>
                <w:color w:val="FFFFFF"/>
                <w:sz w:val="13"/>
              </w:rPr>
              <w:t>Reason</w:t>
            </w:r>
          </w:p>
        </w:tc>
        <w:tc>
          <w:tcPr>
            <w:tcW w:type="dxa" w:w="1728"/>
            <w:vAlign w:val="top"/>
            <w:shd w:fill="1F4E78"/>
          </w:tcPr>
          <w:p>
            <w:r/>
            <w:r>
              <w:rPr>
                <w:b/>
                <w:color w:val="FFFFFF"/>
                <w:sz w:val="13"/>
              </w:rPr>
              <w:t>Affected section</w:t>
            </w:r>
          </w:p>
        </w:tc>
        <w:tc>
          <w:tcPr>
            <w:tcW w:type="dxa" w:w="1728"/>
            <w:vAlign w:val="top"/>
            <w:shd w:fill="1F4E78"/>
          </w:tcPr>
          <w:p>
            <w:r/>
            <w:r>
              <w:rPr>
                <w:b/>
                <w:color w:val="FFFFFF"/>
                <w:sz w:val="13"/>
              </w:rPr>
              <w:t>Owner</w:t>
            </w:r>
          </w:p>
        </w:tc>
        <w:tc>
          <w:tcPr>
            <w:tcW w:type="dxa" w:w="1728"/>
            <w:vAlign w:val="top"/>
            <w:shd w:fill="1F4E78"/>
          </w:tcPr>
          <w:p>
            <w:r/>
            <w:r>
              <w:rPr>
                <w:b/>
                <w:color w:val="FFFFFF"/>
                <w:sz w:val="13"/>
              </w:rPr>
              <w:t>Review date</w:t>
            </w:r>
          </w:p>
        </w:tc>
      </w:tr>
      <w:tr>
        <w:trPr>
          <w:cantSplit/>
        </w:trPr>
        <w:tc>
          <w:tcPr>
            <w:tcW w:type="dxa" w:w="1728"/>
            <w:vAlign w:val="top"/>
          </w:tcPr>
          <w:p>
            <w:r/>
            <w:r>
              <w:rPr>
                <w:b w:val="0"/>
                <w:sz w:val="13"/>
              </w:rPr>
              <w:t>EXAMPLE - illustrative</w:t>
            </w:r>
          </w:p>
        </w:tc>
        <w:tc>
          <w:tcPr>
            <w:tcW w:type="dxa" w:w="1728"/>
            <w:vAlign w:val="top"/>
          </w:tcPr>
          <w:p>
            <w:r/>
            <w:r>
              <w:rPr>
                <w:b w:val="0"/>
                <w:sz w:val="13"/>
              </w:rPr>
              <w:t>To be completed</w:t>
            </w:r>
          </w:p>
        </w:tc>
        <w:tc>
          <w:tcPr>
            <w:tcW w:type="dxa" w:w="1728"/>
            <w:vAlign w:val="top"/>
          </w:tcPr>
          <w:p>
            <w:r/>
            <w:r>
              <w:rPr>
                <w:b w:val="0"/>
                <w:sz w:val="13"/>
              </w:rPr>
              <w:t>To be completed</w:t>
            </w:r>
          </w:p>
        </w:tc>
        <w:tc>
          <w:tcPr>
            <w:tcW w:type="dxa" w:w="1728"/>
            <w:vAlign w:val="top"/>
          </w:tcPr>
          <w:p>
            <w:r/>
            <w:r>
              <w:rPr>
                <w:b w:val="0"/>
                <w:sz w:val="13"/>
              </w:rPr>
              <w:t>To be completed</w:t>
            </w:r>
          </w:p>
        </w:tc>
        <w:tc>
          <w:tcPr>
            <w:tcW w:type="dxa" w:w="1728"/>
            <w:vAlign w:val="top"/>
          </w:tcPr>
          <w:p>
            <w:r/>
            <w:r>
              <w:rPr>
                <w:b w:val="0"/>
                <w:sz w:val="13"/>
              </w:rPr>
              <w:t>To be completed</w:t>
            </w:r>
          </w:p>
        </w:tc>
        <w:tc>
          <w:tcPr>
            <w:tcW w:type="dxa" w:w="1728"/>
            <w:vAlign w:val="top"/>
          </w:tcPr>
          <w:p>
            <w:r/>
            <w:r>
              <w:rPr>
                <w:b w:val="0"/>
                <w:sz w:val="13"/>
              </w:rPr>
              <w:t>To be completed</w:t>
            </w:r>
          </w:p>
        </w:tc>
      </w:tr>
    </w:tbl>
    <w:p/>
    <w:p>
      <w:pPr>
        <w:pStyle w:val="Heading1"/>
      </w:pPr>
      <w:r>
        <w:t>Appendix M - Document Review Checklist</w:t>
      </w:r>
    </w:p>
    <w:p>
      <w:r>
        <w:t>Purpose: provide a controlled record supporting implementation, assessment and review. Instructions: complete all material fields, retain source evidence, identify assumptions and do not treat example entries as mandatory thresholds. Record owner and review frequency should be assigned according to risk and applicable retention requirements.</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rPr>
          <w:cantSplit/>
          <w:tblHeader w:val="true"/>
        </w:trPr>
        <w:tc>
          <w:tcPr>
            <w:tcW w:type="dxa" w:w="1728"/>
            <w:vAlign w:val="top"/>
            <w:shd w:fill="1F4E78"/>
          </w:tcPr>
          <w:p>
            <w:r/>
            <w:r>
              <w:rPr>
                <w:b/>
                <w:color w:val="FFFFFF"/>
                <w:sz w:val="13"/>
              </w:rPr>
              <w:t>Check ID</w:t>
            </w:r>
          </w:p>
        </w:tc>
        <w:tc>
          <w:tcPr>
            <w:tcW w:type="dxa" w:w="1728"/>
            <w:vAlign w:val="top"/>
            <w:shd w:fill="1F4E78"/>
          </w:tcPr>
          <w:p>
            <w:r/>
            <w:r>
              <w:rPr>
                <w:b/>
                <w:color w:val="FFFFFF"/>
                <w:sz w:val="13"/>
              </w:rPr>
              <w:t>Category</w:t>
            </w:r>
          </w:p>
        </w:tc>
        <w:tc>
          <w:tcPr>
            <w:tcW w:type="dxa" w:w="1728"/>
            <w:vAlign w:val="top"/>
            <w:shd w:fill="1F4E78"/>
          </w:tcPr>
          <w:p>
            <w:r/>
            <w:r>
              <w:rPr>
                <w:b/>
                <w:color w:val="FFFFFF"/>
                <w:sz w:val="13"/>
              </w:rPr>
              <w:t>Check</w:t>
            </w:r>
          </w:p>
        </w:tc>
        <w:tc>
          <w:tcPr>
            <w:tcW w:type="dxa" w:w="1728"/>
            <w:vAlign w:val="top"/>
            <w:shd w:fill="1F4E78"/>
          </w:tcPr>
          <w:p>
            <w:r/>
            <w:r>
              <w:rPr>
                <w:b/>
                <w:color w:val="FFFFFF"/>
                <w:sz w:val="13"/>
              </w:rPr>
              <w:t>Owner</w:t>
            </w:r>
          </w:p>
        </w:tc>
        <w:tc>
          <w:tcPr>
            <w:tcW w:type="dxa" w:w="1728"/>
            <w:vAlign w:val="top"/>
            <w:shd w:fill="1F4E78"/>
          </w:tcPr>
          <w:p>
            <w:r/>
            <w:r>
              <w:rPr>
                <w:b/>
                <w:color w:val="FFFFFF"/>
                <w:sz w:val="13"/>
              </w:rPr>
              <w:t>Status</w:t>
            </w:r>
          </w:p>
        </w:tc>
        <w:tc>
          <w:tcPr>
            <w:tcW w:type="dxa" w:w="1728"/>
            <w:vAlign w:val="top"/>
            <w:shd w:fill="1F4E78"/>
          </w:tcPr>
          <w:p>
            <w:r/>
            <w:r>
              <w:rPr>
                <w:b/>
                <w:color w:val="FFFFFF"/>
                <w:sz w:val="13"/>
              </w:rPr>
              <w:t>Evidence / note</w:t>
            </w:r>
          </w:p>
        </w:tc>
      </w:tr>
      <w:tr>
        <w:trPr>
          <w:cantSplit/>
        </w:trPr>
        <w:tc>
          <w:tcPr>
            <w:tcW w:type="dxa" w:w="1728"/>
            <w:vAlign w:val="top"/>
          </w:tcPr>
          <w:p>
            <w:r/>
            <w:r>
              <w:rPr>
                <w:b w:val="0"/>
                <w:sz w:val="13"/>
              </w:rPr>
              <w:t>EXAMPLE - illustrative</w:t>
            </w:r>
          </w:p>
        </w:tc>
        <w:tc>
          <w:tcPr>
            <w:tcW w:type="dxa" w:w="1728"/>
            <w:vAlign w:val="top"/>
          </w:tcPr>
          <w:p>
            <w:r/>
            <w:r>
              <w:rPr>
                <w:b w:val="0"/>
                <w:sz w:val="13"/>
              </w:rPr>
              <w:t>To be completed</w:t>
            </w:r>
          </w:p>
        </w:tc>
        <w:tc>
          <w:tcPr>
            <w:tcW w:type="dxa" w:w="1728"/>
            <w:vAlign w:val="top"/>
          </w:tcPr>
          <w:p>
            <w:r/>
            <w:r>
              <w:rPr>
                <w:b w:val="0"/>
                <w:sz w:val="13"/>
              </w:rPr>
              <w:t>To be completed</w:t>
            </w:r>
          </w:p>
        </w:tc>
        <w:tc>
          <w:tcPr>
            <w:tcW w:type="dxa" w:w="1728"/>
            <w:vAlign w:val="top"/>
          </w:tcPr>
          <w:p>
            <w:r/>
            <w:r>
              <w:rPr>
                <w:b w:val="0"/>
                <w:sz w:val="13"/>
              </w:rPr>
              <w:t>To be completed</w:t>
            </w:r>
          </w:p>
        </w:tc>
        <w:tc>
          <w:tcPr>
            <w:tcW w:type="dxa" w:w="1728"/>
            <w:vAlign w:val="top"/>
          </w:tcPr>
          <w:p>
            <w:r/>
            <w:r>
              <w:rPr>
                <w:b w:val="0"/>
                <w:sz w:val="13"/>
              </w:rPr>
              <w:t>To be completed</w:t>
            </w:r>
          </w:p>
        </w:tc>
        <w:tc>
          <w:tcPr>
            <w:tcW w:type="dxa" w:w="1728"/>
            <w:vAlign w:val="top"/>
          </w:tcPr>
          <w:p>
            <w:r/>
            <w:r>
              <w:rPr>
                <w:b w:val="0"/>
                <w:sz w:val="13"/>
              </w:rPr>
              <w:t>To be completed</w:t>
            </w:r>
          </w:p>
        </w:tc>
      </w:tr>
    </w:tbl>
    <w:p/>
    <w:p>
      <w:pPr>
        <w:pStyle w:val="Heading1"/>
      </w:pPr>
      <w:r>
        <w:t>Appendix N - Open Issues and Deferred Decisions</w:t>
      </w:r>
    </w:p>
    <w:p>
      <w:r>
        <w:t>Purpose: provide a controlled record supporting implementation, assessment and review. Instructions: complete all material fields, retain source evidence, identify assumptions and do not treat example entries as mandatory thresholds. Record owner and review frequency should be assigned according to risk and applicable retention requirements.</w:t>
      </w:r>
    </w:p>
    <w:tbl>
      <w:tblPr>
        <w:tblStyle w:val="TableGrid"/>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rPr>
          <w:cantSplit/>
          <w:tblHeader w:val="true"/>
        </w:trPr>
        <w:tc>
          <w:tcPr>
            <w:tcW w:type="dxa" w:w="1037"/>
            <w:vAlign w:val="top"/>
            <w:shd w:fill="1F4E78"/>
          </w:tcPr>
          <w:p>
            <w:r/>
            <w:r>
              <w:rPr>
                <w:b/>
                <w:color w:val="FFFFFF"/>
                <w:sz w:val="13"/>
              </w:rPr>
              <w:t>Issue ID</w:t>
            </w:r>
          </w:p>
        </w:tc>
        <w:tc>
          <w:tcPr>
            <w:tcW w:type="dxa" w:w="1037"/>
            <w:vAlign w:val="top"/>
            <w:shd w:fill="1F4E78"/>
          </w:tcPr>
          <w:p>
            <w:r/>
            <w:r>
              <w:rPr>
                <w:b/>
                <w:color w:val="FFFFFF"/>
                <w:sz w:val="13"/>
              </w:rPr>
              <w:t>Description</w:t>
            </w:r>
          </w:p>
        </w:tc>
        <w:tc>
          <w:tcPr>
            <w:tcW w:type="dxa" w:w="1037"/>
            <w:vAlign w:val="top"/>
            <w:shd w:fill="1F4E78"/>
          </w:tcPr>
          <w:p>
            <w:r/>
            <w:r>
              <w:rPr>
                <w:b/>
                <w:color w:val="FFFFFF"/>
                <w:sz w:val="13"/>
              </w:rPr>
              <w:t>Reason unresolved</w:t>
            </w:r>
          </w:p>
        </w:tc>
        <w:tc>
          <w:tcPr>
            <w:tcW w:type="dxa" w:w="1037"/>
            <w:vAlign w:val="top"/>
            <w:shd w:fill="1F4E78"/>
          </w:tcPr>
          <w:p>
            <w:r/>
            <w:r>
              <w:rPr>
                <w:b/>
                <w:color w:val="FFFFFF"/>
                <w:sz w:val="13"/>
              </w:rPr>
              <w:t>Owner</w:t>
            </w:r>
          </w:p>
        </w:tc>
        <w:tc>
          <w:tcPr>
            <w:tcW w:type="dxa" w:w="1037"/>
            <w:vAlign w:val="top"/>
            <w:shd w:fill="1F4E78"/>
          </w:tcPr>
          <w:p>
            <w:r/>
            <w:r>
              <w:rPr>
                <w:b/>
                <w:color w:val="FFFFFF"/>
                <w:sz w:val="13"/>
              </w:rPr>
              <w:t>Dependency</w:t>
            </w:r>
          </w:p>
        </w:tc>
        <w:tc>
          <w:tcPr>
            <w:tcW w:type="dxa" w:w="1037"/>
            <w:vAlign w:val="top"/>
            <w:shd w:fill="1F4E78"/>
          </w:tcPr>
          <w:p>
            <w:r/>
            <w:r>
              <w:rPr>
                <w:b/>
                <w:color w:val="FFFFFF"/>
                <w:sz w:val="13"/>
              </w:rPr>
              <w:t>Risk</w:t>
            </w:r>
          </w:p>
        </w:tc>
        <w:tc>
          <w:tcPr>
            <w:tcW w:type="dxa" w:w="1037"/>
            <w:vAlign w:val="top"/>
            <w:shd w:fill="1F4E78"/>
          </w:tcPr>
          <w:p>
            <w:r/>
            <w:r>
              <w:rPr>
                <w:b/>
                <w:color w:val="FFFFFF"/>
                <w:sz w:val="13"/>
              </w:rPr>
              <w:t>Required decision</w:t>
            </w:r>
          </w:p>
        </w:tc>
        <w:tc>
          <w:tcPr>
            <w:tcW w:type="dxa" w:w="1037"/>
            <w:vAlign w:val="top"/>
            <w:shd w:fill="1F4E78"/>
          </w:tcPr>
          <w:p>
            <w:r/>
            <w:r>
              <w:rPr>
                <w:b/>
                <w:color w:val="FFFFFF"/>
                <w:sz w:val="13"/>
              </w:rPr>
              <w:t>Target stage</w:t>
            </w:r>
          </w:p>
        </w:tc>
        <w:tc>
          <w:tcPr>
            <w:tcW w:type="dxa" w:w="1037"/>
            <w:vAlign w:val="top"/>
            <w:shd w:fill="1F4E78"/>
          </w:tcPr>
          <w:p>
            <w:r/>
            <w:r>
              <w:rPr>
                <w:b/>
                <w:color w:val="FFFFFF"/>
                <w:sz w:val="13"/>
              </w:rPr>
              <w:t>Publication impact</w:t>
            </w:r>
          </w:p>
        </w:tc>
        <w:tc>
          <w:tcPr>
            <w:tcW w:type="dxa" w:w="1037"/>
            <w:vAlign w:val="top"/>
            <w:shd w:fill="1F4E78"/>
          </w:tcPr>
          <w:p>
            <w:r/>
            <w:r>
              <w:rPr>
                <w:b/>
                <w:color w:val="FFFFFF"/>
                <w:sz w:val="13"/>
              </w:rPr>
              <w:t>Status</w:t>
            </w:r>
          </w:p>
        </w:tc>
      </w:tr>
      <w:tr>
        <w:trPr>
          <w:cantSplit/>
        </w:trPr>
        <w:tc>
          <w:tcPr>
            <w:tcW w:type="dxa" w:w="1037"/>
            <w:vAlign w:val="top"/>
          </w:tcPr>
          <w:p>
            <w:r/>
            <w:r>
              <w:rPr>
                <w:b w:val="0"/>
                <w:sz w:val="13"/>
              </w:rPr>
              <w:t>EXAMPLE - illustrative</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c>
          <w:tcPr>
            <w:tcW w:type="dxa" w:w="1037"/>
            <w:vAlign w:val="top"/>
          </w:tcPr>
          <w:p>
            <w:r/>
            <w:r>
              <w:rPr>
                <w:b w:val="0"/>
                <w:sz w:val="13"/>
              </w:rPr>
              <w:t>To be completed</w:t>
            </w:r>
          </w:p>
        </w:tc>
      </w:tr>
    </w:tbl>
    <w:p/>
    <w:p>
      <w:pPr>
        <w:pStyle w:val="Heading1"/>
      </w:pPr>
      <w:r>
        <w:t>Open issues register</w:t>
      </w:r>
    </w:p>
    <w:tbl>
      <w:tblPr>
        <w:tblStyle w:val="TableGrid"/>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rPr>
          <w:cantSplit/>
          <w:tblHeader w:val="true"/>
        </w:trPr>
        <w:tc>
          <w:tcPr>
            <w:tcW w:type="dxa" w:w="1037"/>
            <w:vAlign w:val="top"/>
            <w:shd w:fill="1F4E78"/>
          </w:tcPr>
          <w:p>
            <w:r/>
            <w:r>
              <w:rPr>
                <w:b/>
                <w:color w:val="FFFFFF"/>
                <w:sz w:val="13"/>
              </w:rPr>
              <w:t>ID</w:t>
            </w:r>
          </w:p>
        </w:tc>
        <w:tc>
          <w:tcPr>
            <w:tcW w:type="dxa" w:w="1037"/>
            <w:vAlign w:val="top"/>
            <w:shd w:fill="1F4E78"/>
          </w:tcPr>
          <w:p>
            <w:r/>
            <w:r>
              <w:rPr>
                <w:b/>
                <w:color w:val="FFFFFF"/>
                <w:sz w:val="13"/>
              </w:rPr>
              <w:t>Issue</w:t>
            </w:r>
          </w:p>
        </w:tc>
        <w:tc>
          <w:tcPr>
            <w:tcW w:type="dxa" w:w="1037"/>
            <w:vAlign w:val="top"/>
            <w:shd w:fill="1F4E78"/>
          </w:tcPr>
          <w:p>
            <w:r/>
            <w:r>
              <w:rPr>
                <w:b/>
                <w:color w:val="FFFFFF"/>
                <w:sz w:val="13"/>
              </w:rPr>
              <w:t>Reason</w:t>
            </w:r>
          </w:p>
        </w:tc>
        <w:tc>
          <w:tcPr>
            <w:tcW w:type="dxa" w:w="1037"/>
            <w:vAlign w:val="top"/>
            <w:shd w:fill="1F4E78"/>
          </w:tcPr>
          <w:p>
            <w:r/>
            <w:r>
              <w:rPr>
                <w:b/>
                <w:color w:val="FFFFFF"/>
                <w:sz w:val="13"/>
              </w:rPr>
              <w:t>Owner</w:t>
            </w:r>
          </w:p>
        </w:tc>
        <w:tc>
          <w:tcPr>
            <w:tcW w:type="dxa" w:w="1037"/>
            <w:vAlign w:val="top"/>
            <w:shd w:fill="1F4E78"/>
          </w:tcPr>
          <w:p>
            <w:r/>
            <w:r>
              <w:rPr>
                <w:b/>
                <w:color w:val="FFFFFF"/>
                <w:sz w:val="13"/>
              </w:rPr>
              <w:t>Dependency</w:t>
            </w:r>
          </w:p>
        </w:tc>
        <w:tc>
          <w:tcPr>
            <w:tcW w:type="dxa" w:w="1037"/>
            <w:vAlign w:val="top"/>
            <w:shd w:fill="1F4E78"/>
          </w:tcPr>
          <w:p>
            <w:r/>
            <w:r>
              <w:rPr>
                <w:b/>
                <w:color w:val="FFFFFF"/>
                <w:sz w:val="13"/>
              </w:rPr>
              <w:t>Risk</w:t>
            </w:r>
          </w:p>
        </w:tc>
        <w:tc>
          <w:tcPr>
            <w:tcW w:type="dxa" w:w="1037"/>
            <w:vAlign w:val="top"/>
            <w:shd w:fill="1F4E78"/>
          </w:tcPr>
          <w:p>
            <w:r/>
            <w:r>
              <w:rPr>
                <w:b/>
                <w:color w:val="FFFFFF"/>
                <w:sz w:val="13"/>
              </w:rPr>
              <w:t>Decision</w:t>
            </w:r>
          </w:p>
        </w:tc>
        <w:tc>
          <w:tcPr>
            <w:tcW w:type="dxa" w:w="1037"/>
            <w:vAlign w:val="top"/>
            <w:shd w:fill="1F4E78"/>
          </w:tcPr>
          <w:p>
            <w:r/>
            <w:r>
              <w:rPr>
                <w:b/>
                <w:color w:val="FFFFFF"/>
                <w:sz w:val="13"/>
              </w:rPr>
              <w:t>Target</w:t>
            </w:r>
          </w:p>
        </w:tc>
        <w:tc>
          <w:tcPr>
            <w:tcW w:type="dxa" w:w="1037"/>
            <w:vAlign w:val="top"/>
            <w:shd w:fill="1F4E78"/>
          </w:tcPr>
          <w:p>
            <w:r/>
            <w:r>
              <w:rPr>
                <w:b/>
                <w:color w:val="FFFFFF"/>
                <w:sz w:val="13"/>
              </w:rPr>
              <w:t>Impact</w:t>
            </w:r>
          </w:p>
        </w:tc>
        <w:tc>
          <w:tcPr>
            <w:tcW w:type="dxa" w:w="1037"/>
            <w:vAlign w:val="top"/>
            <w:shd w:fill="1F4E78"/>
          </w:tcPr>
          <w:p>
            <w:r/>
            <w:r>
              <w:rPr>
                <w:b/>
                <w:color w:val="FFFFFF"/>
                <w:sz w:val="13"/>
              </w:rPr>
              <w:t>Status</w:t>
            </w:r>
          </w:p>
        </w:tc>
      </w:tr>
      <w:tr>
        <w:trPr>
          <w:cantSplit/>
        </w:trPr>
        <w:tc>
          <w:tcPr>
            <w:tcW w:type="dxa" w:w="1037"/>
            <w:vAlign w:val="top"/>
          </w:tcPr>
          <w:p>
            <w:r>
              <w:t>OI-001</w:t>
            </w:r>
          </w:p>
        </w:tc>
        <w:tc>
          <w:tcPr>
            <w:tcW w:type="dxa" w:w="1037"/>
            <w:vAlign w:val="top"/>
          </w:tcPr>
          <w:p>
            <w:r/>
            <w:r>
              <w:rPr>
                <w:b w:val="0"/>
                <w:sz w:val="13"/>
              </w:rPr>
              <w:t>Jurisdiction-specific legal and regulatory review</w:t>
            </w:r>
          </w:p>
        </w:tc>
        <w:tc>
          <w:tcPr>
            <w:tcW w:type="dxa" w:w="1037"/>
            <w:vAlign w:val="top"/>
          </w:tcPr>
          <w:p>
            <w:r/>
            <w:r>
              <w:rPr>
                <w:b w:val="0"/>
                <w:sz w:val="13"/>
              </w:rPr>
              <w:t>Applicability varies</w:t>
            </w:r>
          </w:p>
        </w:tc>
        <w:tc>
          <w:tcPr>
            <w:tcW w:type="dxa" w:w="1037"/>
            <w:vAlign w:val="top"/>
          </w:tcPr>
          <w:p>
            <w:r/>
            <w:r>
              <w:rPr>
                <w:b w:val="0"/>
                <w:sz w:val="13"/>
              </w:rPr>
              <w:t>Qualified counsel</w:t>
            </w:r>
          </w:p>
        </w:tc>
        <w:tc>
          <w:tcPr>
            <w:tcW w:type="dxa" w:w="1037"/>
            <w:vAlign w:val="top"/>
          </w:tcPr>
          <w:p>
            <w:r/>
            <w:r>
              <w:rPr>
                <w:b w:val="0"/>
                <w:sz w:val="13"/>
              </w:rPr>
              <w:t>Target markets</w:t>
            </w:r>
          </w:p>
        </w:tc>
        <w:tc>
          <w:tcPr>
            <w:tcW w:type="dxa" w:w="1037"/>
            <w:vAlign w:val="top"/>
          </w:tcPr>
          <w:p>
            <w:r/>
            <w:r>
              <w:rPr>
                <w:b w:val="0"/>
                <w:sz w:val="13"/>
              </w:rPr>
              <w:t>Unsupported publication claim</w:t>
            </w:r>
          </w:p>
        </w:tc>
        <w:tc>
          <w:tcPr>
            <w:tcW w:type="dxa" w:w="1037"/>
            <w:vAlign w:val="top"/>
          </w:tcPr>
          <w:p>
            <w:r/>
            <w:r>
              <w:rPr>
                <w:b w:val="0"/>
                <w:sz w:val="13"/>
              </w:rPr>
              <w:t>Approve or qualify references</w:t>
            </w:r>
          </w:p>
        </w:tc>
        <w:tc>
          <w:tcPr>
            <w:tcW w:type="dxa" w:w="1037"/>
            <w:vAlign w:val="top"/>
          </w:tcPr>
          <w:p>
            <w:r>
              <w:t>Before final public release</w:t>
            </w:r>
          </w:p>
        </w:tc>
        <w:tc>
          <w:tcPr>
            <w:tcW w:type="dxa" w:w="1037"/>
            <w:vAlign w:val="top"/>
          </w:tcPr>
          <w:p>
            <w:r/>
            <w:r>
              <w:rPr>
                <w:b w:val="0"/>
                <w:sz w:val="13"/>
              </w:rPr>
              <w:t>High</w:t>
            </w:r>
          </w:p>
        </w:tc>
        <w:tc>
          <w:tcPr>
            <w:tcW w:type="dxa" w:w="1037"/>
            <w:vAlign w:val="top"/>
          </w:tcPr>
          <w:p>
            <w:r/>
            <w:r>
              <w:rPr>
                <w:b w:val="0"/>
                <w:sz w:val="13"/>
              </w:rPr>
              <w:t>Open - legal review required</w:t>
            </w:r>
          </w:p>
        </w:tc>
      </w:tr>
      <w:tr>
        <w:trPr>
          <w:cantSplit/>
        </w:trPr>
        <w:tc>
          <w:tcPr>
            <w:tcW w:type="dxa" w:w="1037"/>
            <w:vAlign w:val="top"/>
            <w:shd w:fill="EAF2F8"/>
          </w:tcPr>
          <w:p>
            <w:r>
              <w:t>OI-002</w:t>
            </w:r>
          </w:p>
        </w:tc>
        <w:tc>
          <w:tcPr>
            <w:tcW w:type="dxa" w:w="1037"/>
            <w:vAlign w:val="top"/>
            <w:shd w:fill="EAF2F8"/>
          </w:tcPr>
          <w:p>
            <w:r/>
            <w:r>
              <w:rPr>
                <w:b w:val="0"/>
                <w:sz w:val="13"/>
              </w:rPr>
              <w:t>Actuarial terminology and examples</w:t>
            </w:r>
          </w:p>
        </w:tc>
        <w:tc>
          <w:tcPr>
            <w:tcW w:type="dxa" w:w="1037"/>
            <w:vAlign w:val="top"/>
            <w:shd w:fill="EAF2F8"/>
          </w:tcPr>
          <w:p>
            <w:r/>
            <w:r>
              <w:rPr>
                <w:b w:val="0"/>
                <w:sz w:val="13"/>
              </w:rPr>
              <w:t>Requires professional review</w:t>
            </w:r>
          </w:p>
        </w:tc>
        <w:tc>
          <w:tcPr>
            <w:tcW w:type="dxa" w:w="1037"/>
            <w:vAlign w:val="top"/>
            <w:shd w:fill="EAF2F8"/>
          </w:tcPr>
          <w:p>
            <w:r/>
            <w:r>
              <w:rPr>
                <w:b w:val="0"/>
                <w:sz w:val="13"/>
              </w:rPr>
              <w:t>Qualified actuary</w:t>
            </w:r>
          </w:p>
        </w:tc>
        <w:tc>
          <w:tcPr>
            <w:tcW w:type="dxa" w:w="1037"/>
            <w:vAlign w:val="top"/>
            <w:shd w:fill="EAF2F8"/>
          </w:tcPr>
          <w:p>
            <w:r/>
            <w:r>
              <w:rPr>
                <w:b w:val="0"/>
                <w:sz w:val="13"/>
              </w:rPr>
              <w:t>Insurance lines</w:t>
            </w:r>
          </w:p>
        </w:tc>
        <w:tc>
          <w:tcPr>
            <w:tcW w:type="dxa" w:w="1037"/>
            <w:vAlign w:val="top"/>
            <w:shd w:fill="EAF2F8"/>
          </w:tcPr>
          <w:p>
            <w:r/>
            <w:r>
              <w:rPr>
                <w:b w:val="0"/>
                <w:sz w:val="13"/>
              </w:rPr>
              <w:t>Misinterpretation</w:t>
            </w:r>
          </w:p>
        </w:tc>
        <w:tc>
          <w:tcPr>
            <w:tcW w:type="dxa" w:w="1037"/>
            <w:vAlign w:val="top"/>
            <w:shd w:fill="EAF2F8"/>
          </w:tcPr>
          <w:p>
            <w:r/>
            <w:r>
              <w:rPr>
                <w:b w:val="0"/>
                <w:sz w:val="13"/>
              </w:rPr>
              <w:t>Approve or revise</w:t>
            </w:r>
          </w:p>
        </w:tc>
        <w:tc>
          <w:tcPr>
            <w:tcW w:type="dxa" w:w="1037"/>
            <w:vAlign w:val="top"/>
            <w:shd w:fill="EAF2F8"/>
          </w:tcPr>
          <w:p>
            <w:r>
              <w:t>Before final public release</w:t>
            </w:r>
          </w:p>
        </w:tc>
        <w:tc>
          <w:tcPr>
            <w:tcW w:type="dxa" w:w="1037"/>
            <w:vAlign w:val="top"/>
            <w:shd w:fill="EAF2F8"/>
          </w:tcPr>
          <w:p>
            <w:r/>
            <w:r>
              <w:rPr>
                <w:b w:val="0"/>
                <w:sz w:val="13"/>
              </w:rPr>
              <w:t>High</w:t>
            </w:r>
          </w:p>
        </w:tc>
        <w:tc>
          <w:tcPr>
            <w:tcW w:type="dxa" w:w="1037"/>
            <w:vAlign w:val="top"/>
            <w:shd w:fill="EAF2F8"/>
          </w:tcPr>
          <w:p>
            <w:r/>
            <w:r>
              <w:rPr>
                <w:b w:val="0"/>
                <w:sz w:val="13"/>
              </w:rPr>
              <w:t>Open - actuarial review required</w:t>
            </w:r>
          </w:p>
        </w:tc>
      </w:tr>
      <w:tr>
        <w:trPr>
          <w:cantSplit/>
        </w:trPr>
        <w:tc>
          <w:tcPr>
            <w:tcW w:type="dxa" w:w="1037"/>
            <w:vAlign w:val="top"/>
          </w:tcPr>
          <w:p>
            <w:r>
              <w:t>OI-003</w:t>
            </w:r>
          </w:p>
        </w:tc>
        <w:tc>
          <w:tcPr>
            <w:tcW w:type="dxa" w:w="1037"/>
            <w:vAlign w:val="top"/>
          </w:tcPr>
          <w:p>
            <w:r/>
            <w:r>
              <w:rPr>
                <w:b w:val="0"/>
                <w:sz w:val="13"/>
              </w:rPr>
              <w:t>Formal approval identities</w:t>
            </w:r>
          </w:p>
        </w:tc>
        <w:tc>
          <w:tcPr>
            <w:tcW w:type="dxa" w:w="1037"/>
            <w:vAlign w:val="top"/>
          </w:tcPr>
          <w:p>
            <w:r/>
            <w:r>
              <w:rPr>
                <w:b w:val="0"/>
                <w:sz w:val="13"/>
              </w:rPr>
              <w:t>Named approvers not provided</w:t>
            </w:r>
          </w:p>
        </w:tc>
        <w:tc>
          <w:tcPr>
            <w:tcW w:type="dxa" w:w="1037"/>
            <w:vAlign w:val="top"/>
          </w:tcPr>
          <w:p>
            <w:r/>
            <w:r>
              <w:rPr>
                <w:b w:val="0"/>
                <w:sz w:val="13"/>
              </w:rPr>
              <w:t>Document owner</w:t>
            </w:r>
          </w:p>
        </w:tc>
        <w:tc>
          <w:tcPr>
            <w:tcW w:type="dxa" w:w="1037"/>
            <w:vAlign w:val="top"/>
          </w:tcPr>
          <w:p>
            <w:r/>
            <w:r>
              <w:rPr>
                <w:b w:val="0"/>
                <w:sz w:val="13"/>
              </w:rPr>
              <w:t>Approval process</w:t>
            </w:r>
          </w:p>
        </w:tc>
        <w:tc>
          <w:tcPr>
            <w:tcW w:type="dxa" w:w="1037"/>
            <w:vAlign w:val="top"/>
          </w:tcPr>
          <w:p>
            <w:r/>
            <w:r>
              <w:rPr>
                <w:b w:val="0"/>
                <w:sz w:val="13"/>
              </w:rPr>
              <w:t>Incomplete governance record</w:t>
            </w:r>
          </w:p>
        </w:tc>
        <w:tc>
          <w:tcPr>
            <w:tcW w:type="dxa" w:w="1037"/>
            <w:vAlign w:val="top"/>
          </w:tcPr>
          <w:p>
            <w:r/>
            <w:r>
              <w:rPr>
                <w:b w:val="0"/>
                <w:sz w:val="13"/>
              </w:rPr>
              <w:t>Record approvals</w:t>
            </w:r>
          </w:p>
        </w:tc>
        <w:tc>
          <w:tcPr>
            <w:tcW w:type="dxa" w:w="1037"/>
            <w:vAlign w:val="top"/>
          </w:tcPr>
          <w:p>
            <w:r>
              <w:t>Before final public release</w:t>
            </w:r>
          </w:p>
        </w:tc>
        <w:tc>
          <w:tcPr>
            <w:tcW w:type="dxa" w:w="1037"/>
            <w:vAlign w:val="top"/>
          </w:tcPr>
          <w:p>
            <w:r/>
            <w:r>
              <w:rPr>
                <w:b w:val="0"/>
                <w:sz w:val="13"/>
              </w:rPr>
              <w:t>Medium</w:t>
            </w:r>
          </w:p>
        </w:tc>
        <w:tc>
          <w:tcPr>
            <w:tcW w:type="dxa" w:w="1037"/>
            <w:vAlign w:val="top"/>
          </w:tcPr>
          <w:p>
            <w:r/>
            <w:r>
              <w:rPr>
                <w:b w:val="0"/>
                <w:sz w:val="13"/>
              </w:rPr>
              <w:t>Open</w:t>
            </w:r>
          </w:p>
        </w:tc>
      </w:tr>
      <w:tr>
        <w:trPr>
          <w:cantSplit/>
        </w:trPr>
        <w:tc>
          <w:tcPr>
            <w:tcW w:type="dxa" w:w="1037"/>
            <w:vAlign w:val="top"/>
            <w:shd w:fill="EAF2F8"/>
          </w:tcPr>
          <w:p>
            <w:r>
              <w:t>OI-004</w:t>
            </w:r>
          </w:p>
        </w:tc>
        <w:tc>
          <w:tcPr>
            <w:tcW w:type="dxa" w:w="1037"/>
            <w:vAlign w:val="top"/>
            <w:shd w:fill="EAF2F8"/>
          </w:tcPr>
          <w:p>
            <w:r/>
            <w:r>
              <w:rPr>
                <w:b w:val="0"/>
                <w:sz w:val="13"/>
              </w:rPr>
              <w:t>Final website and repository URLs</w:t>
            </w:r>
          </w:p>
        </w:tc>
        <w:tc>
          <w:tcPr>
            <w:tcW w:type="dxa" w:w="1037"/>
            <w:vAlign w:val="top"/>
            <w:shd w:fill="EAF2F8"/>
          </w:tcPr>
          <w:p>
            <w:r/>
            <w:r>
              <w:rPr>
                <w:b w:val="0"/>
                <w:sz w:val="13"/>
              </w:rPr>
              <w:t>Publication destinations not provided</w:t>
            </w:r>
          </w:p>
        </w:tc>
        <w:tc>
          <w:tcPr>
            <w:tcW w:type="dxa" w:w="1037"/>
            <w:vAlign w:val="top"/>
            <w:shd w:fill="EAF2F8"/>
          </w:tcPr>
          <w:p>
            <w:r/>
            <w:r>
              <w:rPr>
                <w:b w:val="0"/>
                <w:sz w:val="13"/>
              </w:rPr>
              <w:t>Publication owner</w:t>
            </w:r>
          </w:p>
        </w:tc>
        <w:tc>
          <w:tcPr>
            <w:tcW w:type="dxa" w:w="1037"/>
            <w:vAlign w:val="top"/>
            <w:shd w:fill="EAF2F8"/>
          </w:tcPr>
          <w:p>
            <w:r/>
            <w:r>
              <w:rPr>
                <w:b w:val="0"/>
                <w:sz w:val="13"/>
              </w:rPr>
              <w:t>Website/GitHub</w:t>
            </w:r>
          </w:p>
        </w:tc>
        <w:tc>
          <w:tcPr>
            <w:tcW w:type="dxa" w:w="1037"/>
            <w:vAlign w:val="top"/>
            <w:shd w:fill="EAF2F8"/>
          </w:tcPr>
          <w:p>
            <w:r/>
            <w:r>
              <w:rPr>
                <w:b w:val="0"/>
                <w:sz w:val="13"/>
              </w:rPr>
              <w:t>Broken access or placeholder</w:t>
            </w:r>
          </w:p>
        </w:tc>
        <w:tc>
          <w:tcPr>
            <w:tcW w:type="dxa" w:w="1037"/>
            <w:vAlign w:val="top"/>
            <w:shd w:fill="EAF2F8"/>
          </w:tcPr>
          <w:p>
            <w:r/>
            <w:r>
              <w:rPr>
                <w:b w:val="0"/>
                <w:sz w:val="13"/>
              </w:rPr>
              <w:t>Insert verified URLs</w:t>
            </w:r>
          </w:p>
        </w:tc>
        <w:tc>
          <w:tcPr>
            <w:tcW w:type="dxa" w:w="1037"/>
            <w:vAlign w:val="top"/>
            <w:shd w:fill="EAF2F8"/>
          </w:tcPr>
          <w:p>
            <w:r>
              <w:t>Before final public release</w:t>
            </w:r>
          </w:p>
        </w:tc>
        <w:tc>
          <w:tcPr>
            <w:tcW w:type="dxa" w:w="1037"/>
            <w:vAlign w:val="top"/>
            <w:shd w:fill="EAF2F8"/>
          </w:tcPr>
          <w:p>
            <w:r/>
            <w:r>
              <w:rPr>
                <w:b w:val="0"/>
                <w:sz w:val="13"/>
              </w:rPr>
              <w:t>Medium</w:t>
            </w:r>
          </w:p>
        </w:tc>
        <w:tc>
          <w:tcPr>
            <w:tcW w:type="dxa" w:w="1037"/>
            <w:vAlign w:val="top"/>
            <w:shd w:fill="EAF2F8"/>
          </w:tcPr>
          <w:p>
            <w:r/>
            <w:r>
              <w:rPr>
                <w:b w:val="0"/>
                <w:sz w:val="13"/>
              </w:rPr>
              <w:t>Open</w:t>
            </w:r>
          </w:p>
        </w:tc>
      </w:tr>
      <w:tr>
        <w:trPr>
          <w:cantSplit/>
        </w:trPr>
        <w:tc>
          <w:tcPr>
            <w:tcW w:type="dxa" w:w="1037"/>
            <w:vAlign w:val="top"/>
          </w:tcPr>
          <w:p>
            <w:r>
              <w:t>OI-005</w:t>
            </w:r>
          </w:p>
        </w:tc>
        <w:tc>
          <w:tcPr>
            <w:tcW w:type="dxa" w:w="1037"/>
            <w:vAlign w:val="top"/>
          </w:tcPr>
          <w:p>
            <w:r/>
            <w:r>
              <w:rPr>
                <w:b w:val="0"/>
                <w:sz w:val="13"/>
              </w:rPr>
              <w:t>Trademark-status wording</w:t>
            </w:r>
          </w:p>
        </w:tc>
        <w:tc>
          <w:tcPr>
            <w:tcW w:type="dxa" w:w="1037"/>
            <w:vAlign w:val="top"/>
          </w:tcPr>
          <w:p>
            <w:r/>
            <w:r>
              <w:rPr>
                <w:b w:val="0"/>
                <w:sz w:val="13"/>
              </w:rPr>
              <w:t>Final status should be confirmed at release</w:t>
            </w:r>
          </w:p>
        </w:tc>
        <w:tc>
          <w:tcPr>
            <w:tcW w:type="dxa" w:w="1037"/>
            <w:vAlign w:val="top"/>
          </w:tcPr>
          <w:p>
            <w:r/>
            <w:r>
              <w:rPr>
                <w:b w:val="0"/>
                <w:sz w:val="13"/>
              </w:rPr>
              <w:t>Legal owner</w:t>
            </w:r>
          </w:p>
        </w:tc>
        <w:tc>
          <w:tcPr>
            <w:tcW w:type="dxa" w:w="1037"/>
            <w:vAlign w:val="top"/>
          </w:tcPr>
          <w:p>
            <w:r/>
            <w:r>
              <w:rPr>
                <w:b w:val="0"/>
                <w:sz w:val="13"/>
              </w:rPr>
              <w:t>Trademark register</w:t>
            </w:r>
          </w:p>
        </w:tc>
        <w:tc>
          <w:tcPr>
            <w:tcW w:type="dxa" w:w="1037"/>
            <w:vAlign w:val="top"/>
          </w:tcPr>
          <w:p>
            <w:r/>
            <w:r>
              <w:rPr>
                <w:b w:val="0"/>
                <w:sz w:val="13"/>
              </w:rPr>
              <w:t>Incorrect notice</w:t>
            </w:r>
          </w:p>
        </w:tc>
        <w:tc>
          <w:tcPr>
            <w:tcW w:type="dxa" w:w="1037"/>
            <w:vAlign w:val="top"/>
          </w:tcPr>
          <w:p>
            <w:r/>
            <w:r>
              <w:rPr>
                <w:b w:val="0"/>
                <w:sz w:val="13"/>
              </w:rPr>
              <w:t>Confirm wording</w:t>
            </w:r>
          </w:p>
        </w:tc>
        <w:tc>
          <w:tcPr>
            <w:tcW w:type="dxa" w:w="1037"/>
            <w:vAlign w:val="top"/>
          </w:tcPr>
          <w:p>
            <w:r>
              <w:t>Before final public release</w:t>
            </w:r>
          </w:p>
        </w:tc>
        <w:tc>
          <w:tcPr>
            <w:tcW w:type="dxa" w:w="1037"/>
            <w:vAlign w:val="top"/>
          </w:tcPr>
          <w:p>
            <w:r/>
            <w:r>
              <w:rPr>
                <w:b w:val="0"/>
                <w:sz w:val="13"/>
              </w:rPr>
              <w:t>Medium</w:t>
            </w:r>
          </w:p>
        </w:tc>
        <w:tc>
          <w:tcPr>
            <w:tcW w:type="dxa" w:w="1037"/>
            <w:vAlign w:val="top"/>
          </w:tcPr>
          <w:p>
            <w:r/>
            <w:r>
              <w:rPr>
                <w:b w:val="0"/>
                <w:sz w:val="13"/>
              </w:rPr>
              <w:t>Open - trademark confirmation required</w:t>
            </w:r>
          </w:p>
        </w:tc>
      </w:tr>
    </w:tbl>
    <w:p/>
    <w:p>
      <w:pPr>
        <w:pStyle w:val="Heading1"/>
      </w:pPr>
      <w:r>
        <w:t>Source register</w:t>
      </w:r>
    </w:p>
    <w:tbl>
      <w:tblPr>
        <w:tblStyle w:val="TableGrid"/>
        <w:tblW w:type="auto" w:w="0"/>
        <w:jc w:val="center"/>
        <w:tblLook w:firstColumn="1" w:firstRow="1" w:lastColumn="0" w:lastRow="0" w:noHBand="0" w:noVBand="1" w:val="04A0"/>
      </w:tblPr>
      <w:tblGrid>
        <w:gridCol w:w="1037"/>
        <w:gridCol w:w="1037"/>
        <w:gridCol w:w="1037"/>
        <w:gridCol w:w="1037"/>
        <w:gridCol w:w="1037"/>
        <w:gridCol w:w="1037"/>
        <w:gridCol w:w="1037"/>
        <w:gridCol w:w="1037"/>
        <w:gridCol w:w="1037"/>
        <w:gridCol w:w="1037"/>
      </w:tblGrid>
      <w:tr>
        <w:trPr>
          <w:cantSplit/>
          <w:tblHeader w:val="true"/>
        </w:trPr>
        <w:tc>
          <w:tcPr>
            <w:tcW w:type="dxa" w:w="1037"/>
            <w:vAlign w:val="top"/>
            <w:shd w:fill="1F4E78"/>
          </w:tcPr>
          <w:p>
            <w:r/>
            <w:r>
              <w:rPr>
                <w:b/>
                <w:color w:val="FFFFFF"/>
                <w:sz w:val="11"/>
              </w:rPr>
              <w:t>ID</w:t>
            </w:r>
          </w:p>
        </w:tc>
        <w:tc>
          <w:tcPr>
            <w:tcW w:type="dxa" w:w="1037"/>
            <w:vAlign w:val="top"/>
            <w:shd w:fill="1F4E78"/>
          </w:tcPr>
          <w:p>
            <w:r/>
            <w:r>
              <w:rPr>
                <w:b/>
                <w:color w:val="FFFFFF"/>
                <w:sz w:val="11"/>
              </w:rPr>
              <w:t>Title</w:t>
            </w:r>
          </w:p>
        </w:tc>
        <w:tc>
          <w:tcPr>
            <w:tcW w:type="dxa" w:w="1037"/>
            <w:vAlign w:val="top"/>
            <w:shd w:fill="1F4E78"/>
          </w:tcPr>
          <w:p>
            <w:r/>
            <w:r>
              <w:rPr>
                <w:b/>
                <w:color w:val="FFFFFF"/>
                <w:sz w:val="11"/>
              </w:rPr>
              <w:t>Issuer</w:t>
            </w:r>
          </w:p>
        </w:tc>
        <w:tc>
          <w:tcPr>
            <w:tcW w:type="dxa" w:w="1037"/>
            <w:vAlign w:val="top"/>
            <w:shd w:fill="1F4E78"/>
          </w:tcPr>
          <w:p>
            <w:r/>
            <w:r>
              <w:rPr>
                <w:b/>
                <w:color w:val="FFFFFF"/>
                <w:sz w:val="11"/>
              </w:rPr>
              <w:t>Jurisdiction</w:t>
            </w:r>
          </w:p>
        </w:tc>
        <w:tc>
          <w:tcPr>
            <w:tcW w:type="dxa" w:w="1037"/>
            <w:vAlign w:val="top"/>
            <w:shd w:fill="1F4E78"/>
          </w:tcPr>
          <w:p>
            <w:r/>
            <w:r>
              <w:rPr>
                <w:b/>
                <w:color w:val="FFFFFF"/>
                <w:sz w:val="11"/>
              </w:rPr>
              <w:t>Publication date</w:t>
            </w:r>
          </w:p>
        </w:tc>
        <w:tc>
          <w:tcPr>
            <w:tcW w:type="dxa" w:w="1037"/>
            <w:vAlign w:val="top"/>
            <w:shd w:fill="1F4E78"/>
          </w:tcPr>
          <w:p>
            <w:r/>
            <w:r>
              <w:rPr>
                <w:b/>
                <w:color w:val="FFFFFF"/>
                <w:sz w:val="11"/>
              </w:rPr>
              <w:t>Tier</w:t>
            </w:r>
          </w:p>
        </w:tc>
        <w:tc>
          <w:tcPr>
            <w:tcW w:type="dxa" w:w="1037"/>
            <w:vAlign w:val="top"/>
            <w:shd w:fill="1F4E78"/>
          </w:tcPr>
          <w:p>
            <w:r/>
            <w:r>
              <w:rPr>
                <w:b/>
                <w:color w:val="FFFFFF"/>
                <w:sz w:val="11"/>
              </w:rPr>
              <w:t>URL</w:t>
            </w:r>
          </w:p>
        </w:tc>
        <w:tc>
          <w:tcPr>
            <w:tcW w:type="dxa" w:w="1037"/>
            <w:vAlign w:val="top"/>
            <w:shd w:fill="1F4E78"/>
          </w:tcPr>
          <w:p>
            <w:r/>
            <w:r>
              <w:rPr>
                <w:b/>
                <w:color w:val="FFFFFF"/>
                <w:sz w:val="11"/>
              </w:rPr>
              <w:t>Supports</w:t>
            </w:r>
          </w:p>
        </w:tc>
        <w:tc>
          <w:tcPr>
            <w:tcW w:type="dxa" w:w="1037"/>
            <w:vAlign w:val="top"/>
            <w:shd w:fill="1F4E78"/>
          </w:tcPr>
          <w:p>
            <w:r/>
            <w:r>
              <w:rPr>
                <w:b/>
                <w:color w:val="FFFFFF"/>
                <w:sz w:val="11"/>
              </w:rPr>
              <w:t>Limitations</w:t>
            </w:r>
          </w:p>
        </w:tc>
        <w:tc>
          <w:tcPr>
            <w:tcW w:type="dxa" w:w="1037"/>
            <w:vAlign w:val="top"/>
            <w:shd w:fill="1F4E78"/>
          </w:tcPr>
          <w:p>
            <w:r/>
            <w:r>
              <w:rPr>
                <w:b/>
                <w:color w:val="FFFFFF"/>
                <w:sz w:val="11"/>
              </w:rPr>
              <w:t>Status</w:t>
            </w:r>
          </w:p>
        </w:tc>
      </w:tr>
      <w:tr>
        <w:trPr>
          <w:cantSplit/>
        </w:trPr>
        <w:tc>
          <w:tcPr>
            <w:tcW w:type="dxa" w:w="1037"/>
            <w:vAlign w:val="top"/>
          </w:tcPr>
          <w:p>
            <w:r>
              <w:t>SRC-IAIS-01</w:t>
            </w:r>
          </w:p>
        </w:tc>
        <w:tc>
          <w:tcPr>
            <w:tcW w:type="dxa" w:w="1037"/>
            <w:vAlign w:val="top"/>
          </w:tcPr>
          <w:p>
            <w:r>
              <w:t>Application Paper on the Supervision of Artificial Intelligence</w:t>
            </w:r>
          </w:p>
        </w:tc>
        <w:tc>
          <w:tcPr>
            <w:tcW w:type="dxa" w:w="1037"/>
            <w:vAlign w:val="top"/>
          </w:tcPr>
          <w:p>
            <w:r>
              <w:t>IAIS</w:t>
            </w:r>
          </w:p>
        </w:tc>
        <w:tc>
          <w:tcPr>
            <w:tcW w:type="dxa" w:w="1037"/>
            <w:vAlign w:val="top"/>
          </w:tcPr>
          <w:p>
            <w:r>
              <w:t>Global</w:t>
            </w:r>
          </w:p>
        </w:tc>
        <w:tc>
          <w:tcPr>
            <w:tcW w:type="dxa" w:w="1037"/>
            <w:vAlign w:val="top"/>
          </w:tcPr>
          <w:p>
            <w:r>
              <w:t>July 2025</w:t>
            </w:r>
          </w:p>
        </w:tc>
        <w:tc>
          <w:tcPr>
            <w:tcW w:type="dxa" w:w="1037"/>
            <w:vAlign w:val="top"/>
          </w:tcPr>
          <w:p>
            <w:r>
              <w:t>T1</w:t>
            </w:r>
          </w:p>
        </w:tc>
        <w:tc>
          <w:tcPr>
            <w:tcW w:type="dxa" w:w="1037"/>
            <w:vAlign w:val="top"/>
          </w:tcPr>
          <w:p>
            <w:r>
              <w:t>https://www.iais.org/2025/07/the-iais-publishes-application-paper-on-the-supervision-of-artificial-intelligence/</w:t>
            </w:r>
          </w:p>
        </w:tc>
        <w:tc>
          <w:tcPr>
            <w:tcW w:type="dxa" w:w="1037"/>
            <w:vAlign w:val="top"/>
          </w:tcPr>
          <w:p>
            <w:r>
              <w:t>Governance; conduct; supervision</w:t>
            </w:r>
          </w:p>
        </w:tc>
        <w:tc>
          <w:tcPr>
            <w:tcW w:type="dxa" w:w="1037"/>
            <w:vAlign w:val="top"/>
          </w:tcPr>
          <w:p>
            <w:r>
              <w:t>Non-binding application paper; jurisdictional applicability review required</w:t>
            </w:r>
          </w:p>
        </w:tc>
        <w:tc>
          <w:tcPr>
            <w:tcW w:type="dxa" w:w="1037"/>
            <w:vAlign w:val="top"/>
          </w:tcPr>
          <w:p>
            <w:r>
              <w:t>Source verified; applicability open</w:t>
            </w:r>
          </w:p>
        </w:tc>
      </w:tr>
      <w:tr>
        <w:trPr>
          <w:cantSplit/>
        </w:trPr>
        <w:tc>
          <w:tcPr>
            <w:tcW w:type="dxa" w:w="1037"/>
            <w:vAlign w:val="top"/>
          </w:tcPr>
          <w:p>
            <w:r>
              <w:t>SRC-NAIC-01</w:t>
            </w:r>
          </w:p>
        </w:tc>
        <w:tc>
          <w:tcPr>
            <w:tcW w:type="dxa" w:w="1037"/>
            <w:vAlign w:val="top"/>
          </w:tcPr>
          <w:p>
            <w:r>
              <w:t>Model Bulletin: Use of Artificial Intelligence Systems by Insurers</w:t>
            </w:r>
          </w:p>
        </w:tc>
        <w:tc>
          <w:tcPr>
            <w:tcW w:type="dxa" w:w="1037"/>
            <w:vAlign w:val="top"/>
          </w:tcPr>
          <w:p>
            <w:r>
              <w:t>NAIC</w:t>
            </w:r>
          </w:p>
        </w:tc>
        <w:tc>
          <w:tcPr>
            <w:tcW w:type="dxa" w:w="1037"/>
            <w:vAlign w:val="top"/>
          </w:tcPr>
          <w:p>
            <w:r>
              <w:t>United States / adopting jurisdictions</w:t>
            </w:r>
          </w:p>
        </w:tc>
        <w:tc>
          <w:tcPr>
            <w:tcW w:type="dxa" w:w="1037"/>
            <w:vAlign w:val="top"/>
          </w:tcPr>
          <w:p>
            <w:r>
              <w:t>4 December 2023</w:t>
            </w:r>
          </w:p>
        </w:tc>
        <w:tc>
          <w:tcPr>
            <w:tcW w:type="dxa" w:w="1037"/>
            <w:vAlign w:val="top"/>
          </w:tcPr>
          <w:p>
            <w:r>
              <w:t>T1</w:t>
            </w:r>
          </w:p>
        </w:tc>
        <w:tc>
          <w:tcPr>
            <w:tcW w:type="dxa" w:w="1037"/>
            <w:vAlign w:val="top"/>
          </w:tcPr>
          <w:p>
            <w:r>
              <w:t>https://content.naic.org/sites/default/files/inline-files/2023-12-4%20Model%20Bulletin_Adopted_0.pdf</w:t>
            </w:r>
          </w:p>
        </w:tc>
        <w:tc>
          <w:tcPr>
            <w:tcW w:type="dxa" w:w="1037"/>
            <w:vAlign w:val="top"/>
          </w:tcPr>
          <w:p>
            <w:r>
              <w:t>AIS programme; governance; consumer outcomes; third parties</w:t>
            </w:r>
          </w:p>
        </w:tc>
        <w:tc>
          <w:tcPr>
            <w:tcW w:type="dxa" w:w="1037"/>
            <w:vAlign w:val="top"/>
          </w:tcPr>
          <w:p>
            <w:r>
              <w:t>Adoption and interpretation vary by jurisdiction</w:t>
            </w:r>
          </w:p>
        </w:tc>
        <w:tc>
          <w:tcPr>
            <w:tcW w:type="dxa" w:w="1037"/>
            <w:vAlign w:val="top"/>
          </w:tcPr>
          <w:p>
            <w:r>
              <w:t>Source verified; applicability open</w:t>
            </w:r>
          </w:p>
        </w:tc>
      </w:tr>
      <w:tr>
        <w:trPr>
          <w:cantSplit/>
        </w:trPr>
        <w:tc>
          <w:tcPr>
            <w:tcW w:type="dxa" w:w="1037"/>
            <w:vAlign w:val="top"/>
          </w:tcPr>
          <w:p>
            <w:r>
              <w:t>SRC-EIOPA-01</w:t>
            </w:r>
          </w:p>
        </w:tc>
        <w:tc>
          <w:tcPr>
            <w:tcW w:type="dxa" w:w="1037"/>
            <w:vAlign w:val="top"/>
          </w:tcPr>
          <w:p>
            <w:r>
              <w:t>Opinion on Artificial Intelligence Governance and Risk Management</w:t>
            </w:r>
          </w:p>
        </w:tc>
        <w:tc>
          <w:tcPr>
            <w:tcW w:type="dxa" w:w="1037"/>
            <w:vAlign w:val="top"/>
          </w:tcPr>
          <w:p>
            <w:r>
              <w:t>EIOPA</w:t>
            </w:r>
          </w:p>
        </w:tc>
        <w:tc>
          <w:tcPr>
            <w:tcW w:type="dxa" w:w="1037"/>
            <w:vAlign w:val="top"/>
          </w:tcPr>
          <w:p>
            <w:r>
              <w:t>European Union</w:t>
            </w:r>
          </w:p>
        </w:tc>
        <w:tc>
          <w:tcPr>
            <w:tcW w:type="dxa" w:w="1037"/>
            <w:vAlign w:val="top"/>
          </w:tcPr>
          <w:p>
            <w:r>
              <w:t>2025</w:t>
            </w:r>
          </w:p>
        </w:tc>
        <w:tc>
          <w:tcPr>
            <w:tcW w:type="dxa" w:w="1037"/>
            <w:vAlign w:val="top"/>
          </w:tcPr>
          <w:p>
            <w:r>
              <w:t>T1</w:t>
            </w:r>
          </w:p>
        </w:tc>
        <w:tc>
          <w:tcPr>
            <w:tcW w:type="dxa" w:w="1037"/>
            <w:vAlign w:val="top"/>
          </w:tcPr>
          <w:p>
            <w:r>
              <w:t>https://www.eiopa.europa.eu/publications/opinion-artificial-intelligence-governance-and-risk-management_en</w:t>
            </w:r>
          </w:p>
        </w:tc>
        <w:tc>
          <w:tcPr>
            <w:tcW w:type="dxa" w:w="1037"/>
            <w:vAlign w:val="top"/>
          </w:tcPr>
          <w:p>
            <w:r>
              <w:t>Insurance-sector AI governance and risk management</w:t>
            </w:r>
          </w:p>
        </w:tc>
        <w:tc>
          <w:tcPr>
            <w:tcW w:type="dxa" w:w="1037"/>
            <w:vAlign w:val="top"/>
          </w:tcPr>
          <w:p>
            <w:r>
              <w:t>Apply with EU and national law</w:t>
            </w:r>
          </w:p>
        </w:tc>
        <w:tc>
          <w:tcPr>
            <w:tcW w:type="dxa" w:w="1037"/>
            <w:vAlign w:val="top"/>
          </w:tcPr>
          <w:p>
            <w:r>
              <w:t>Source verified; applicability open</w:t>
            </w:r>
          </w:p>
        </w:tc>
      </w:tr>
      <w:tr>
        <w:trPr>
          <w:cantSplit/>
        </w:trPr>
        <w:tc>
          <w:tcPr>
            <w:tcW w:type="dxa" w:w="1037"/>
            <w:vAlign w:val="top"/>
          </w:tcPr>
          <w:p>
            <w:r>
              <w:t>SRC-EIOPA-02</w:t>
            </w:r>
          </w:p>
        </w:tc>
        <w:tc>
          <w:tcPr>
            <w:tcW w:type="dxa" w:w="1037"/>
            <w:vAlign w:val="top"/>
          </w:tcPr>
          <w:p>
            <w:r>
              <w:t>Artificial Intelligence Governance Principles: Towards Ethical and Trustworthy AI in the European Insurance Sector</w:t>
            </w:r>
          </w:p>
        </w:tc>
        <w:tc>
          <w:tcPr>
            <w:tcW w:type="dxa" w:w="1037"/>
            <w:vAlign w:val="top"/>
          </w:tcPr>
          <w:p>
            <w:r>
              <w:t>EIOPA Consultative Expert Group</w:t>
            </w:r>
          </w:p>
        </w:tc>
        <w:tc>
          <w:tcPr>
            <w:tcW w:type="dxa" w:w="1037"/>
            <w:vAlign w:val="top"/>
          </w:tcPr>
          <w:p>
            <w:r>
              <w:t>European Union</w:t>
            </w:r>
          </w:p>
        </w:tc>
        <w:tc>
          <w:tcPr>
            <w:tcW w:type="dxa" w:w="1037"/>
            <w:vAlign w:val="top"/>
          </w:tcPr>
          <w:p>
            <w:r>
              <w:t>June 2021</w:t>
            </w:r>
          </w:p>
        </w:tc>
        <w:tc>
          <w:tcPr>
            <w:tcW w:type="dxa" w:w="1037"/>
            <w:vAlign w:val="top"/>
          </w:tcPr>
          <w:p>
            <w:r>
              <w:t>T2</w:t>
            </w:r>
          </w:p>
        </w:tc>
        <w:tc>
          <w:tcPr>
            <w:tcW w:type="dxa" w:w="1037"/>
            <w:vAlign w:val="top"/>
          </w:tcPr>
          <w:p>
            <w:r>
              <w:t>https://www.eiopa.europa.eu/publications/artificial-intelligence-governance-principles-towards-ethical-and-trustworthy-artificial_en</w:t>
            </w:r>
          </w:p>
        </w:tc>
        <w:tc>
          <w:tcPr>
            <w:tcW w:type="dxa" w:w="1037"/>
            <w:vAlign w:val="top"/>
          </w:tcPr>
          <w:p>
            <w:r>
              <w:t>Fairness; explainability; oversight</w:t>
            </w:r>
          </w:p>
        </w:tc>
        <w:tc>
          <w:tcPr>
            <w:tcW w:type="dxa" w:w="1037"/>
            <w:vAlign w:val="top"/>
          </w:tcPr>
          <w:p>
            <w:r>
              <w:t>Expert-group report; not binding law</w:t>
            </w:r>
          </w:p>
        </w:tc>
        <w:tc>
          <w:tcPr>
            <w:tcW w:type="dxa" w:w="1037"/>
            <w:vAlign w:val="top"/>
          </w:tcPr>
          <w:p>
            <w:r>
              <w:t>Verified contextual source</w:t>
            </w:r>
          </w:p>
        </w:tc>
      </w:tr>
      <w:tr>
        <w:trPr>
          <w:cantSplit/>
        </w:trPr>
        <w:tc>
          <w:tcPr>
            <w:tcW w:type="dxa" w:w="1037"/>
            <w:vAlign w:val="top"/>
          </w:tcPr>
          <w:p>
            <w:r>
              <w:t>SRC-SII-01</w:t>
            </w:r>
          </w:p>
        </w:tc>
        <w:tc>
          <w:tcPr>
            <w:tcW w:type="dxa" w:w="1037"/>
            <w:vAlign w:val="top"/>
          </w:tcPr>
          <w:p>
            <w:r>
              <w:t>Solvency II framework</w:t>
            </w:r>
          </w:p>
        </w:tc>
        <w:tc>
          <w:tcPr>
            <w:tcW w:type="dxa" w:w="1037"/>
            <w:vAlign w:val="top"/>
          </w:tcPr>
          <w:p>
            <w:r>
              <w:t>European Commission / EIOPA</w:t>
            </w:r>
          </w:p>
        </w:tc>
        <w:tc>
          <w:tcPr>
            <w:tcW w:type="dxa" w:w="1037"/>
            <w:vAlign w:val="top"/>
          </w:tcPr>
          <w:p>
            <w:r>
              <w:t>European Union</w:t>
            </w:r>
          </w:p>
        </w:tc>
        <w:tc>
          <w:tcPr>
            <w:tcW w:type="dxa" w:w="1037"/>
            <w:vAlign w:val="top"/>
          </w:tcPr>
          <w:p>
            <w:r>
              <w:t>Current framework</w:t>
            </w:r>
          </w:p>
        </w:tc>
        <w:tc>
          <w:tcPr>
            <w:tcW w:type="dxa" w:w="1037"/>
            <w:vAlign w:val="top"/>
          </w:tcPr>
          <w:p>
            <w:r>
              <w:t>T1</w:t>
            </w:r>
          </w:p>
        </w:tc>
        <w:tc>
          <w:tcPr>
            <w:tcW w:type="dxa" w:w="1037"/>
            <w:vAlign w:val="top"/>
          </w:tcPr>
          <w:p>
            <w:r>
              <w:t>https://www.eiopa.europa.eu/browse/regulation-and-policy/solvency-ii_en</w:t>
            </w:r>
          </w:p>
        </w:tc>
        <w:tc>
          <w:tcPr>
            <w:tcW w:type="dxa" w:w="1037"/>
            <w:vAlign w:val="top"/>
          </w:tcPr>
          <w:p>
            <w:r>
              <w:t>Prudential and capital context</w:t>
            </w:r>
          </w:p>
        </w:tc>
        <w:tc>
          <w:tcPr>
            <w:tcW w:type="dxa" w:w="1037"/>
            <w:vAlign w:val="top"/>
          </w:tcPr>
          <w:p>
            <w:r>
              <w:t>No direct GAISSF equivalence; legal review required</w:t>
            </w:r>
          </w:p>
        </w:tc>
        <w:tc>
          <w:tcPr>
            <w:tcW w:type="dxa" w:w="1037"/>
            <w:vAlign w:val="top"/>
          </w:tcPr>
          <w:p>
            <w:r>
              <w:t>Source verified; applicability open</w:t>
            </w:r>
          </w:p>
        </w:tc>
      </w:tr>
      <w:tr>
        <w:trPr>
          <w:cantSplit/>
        </w:trPr>
        <w:tc>
          <w:tcPr>
            <w:tcW w:type="dxa" w:w="1037"/>
            <w:vAlign w:val="top"/>
          </w:tcPr>
          <w:p>
            <w:r>
              <w:t>SRC-IFRS17-01</w:t>
            </w:r>
          </w:p>
        </w:tc>
        <w:tc>
          <w:tcPr>
            <w:tcW w:type="dxa" w:w="1037"/>
            <w:vAlign w:val="top"/>
          </w:tcPr>
          <w:p>
            <w:r>
              <w:t>IFRS 17 Insurance Contracts</w:t>
            </w:r>
          </w:p>
        </w:tc>
        <w:tc>
          <w:tcPr>
            <w:tcW w:type="dxa" w:w="1037"/>
            <w:vAlign w:val="top"/>
          </w:tcPr>
          <w:p>
            <w:r>
              <w:t>IASB / IFRS Foundation</w:t>
            </w:r>
          </w:p>
        </w:tc>
        <w:tc>
          <w:tcPr>
            <w:tcW w:type="dxa" w:w="1037"/>
            <w:vAlign w:val="top"/>
          </w:tcPr>
          <w:p>
            <w:r>
              <w:t>IFRS jurisdictions</w:t>
            </w:r>
          </w:p>
        </w:tc>
        <w:tc>
          <w:tcPr>
            <w:tcW w:type="dxa" w:w="1037"/>
            <w:vAlign w:val="top"/>
          </w:tcPr>
          <w:p>
            <w:r>
              <w:t>Effective 1 January 2023 subject to adoption</w:t>
            </w:r>
          </w:p>
        </w:tc>
        <w:tc>
          <w:tcPr>
            <w:tcW w:type="dxa" w:w="1037"/>
            <w:vAlign w:val="top"/>
          </w:tcPr>
          <w:p>
            <w:r>
              <w:t>T1</w:t>
            </w:r>
          </w:p>
        </w:tc>
        <w:tc>
          <w:tcPr>
            <w:tcW w:type="dxa" w:w="1037"/>
            <w:vAlign w:val="top"/>
          </w:tcPr>
          <w:p>
            <w:r>
              <w:t>https://www.ifrs.org/issued-standards/list-of-standards/ifrs-17-insurance-contracts/</w:t>
            </w:r>
          </w:p>
        </w:tc>
        <w:tc>
          <w:tcPr>
            <w:tcW w:type="dxa" w:w="1037"/>
            <w:vAlign w:val="top"/>
          </w:tcPr>
          <w:p>
            <w:r>
              <w:t>Financial reporting context</w:t>
            </w:r>
          </w:p>
        </w:tc>
        <w:tc>
          <w:tcPr>
            <w:tcW w:type="dxa" w:w="1037"/>
            <w:vAlign w:val="top"/>
          </w:tcPr>
          <w:p>
            <w:r>
              <w:t>Accounting linkage to AI failures requires qualified review</w:t>
            </w:r>
          </w:p>
        </w:tc>
        <w:tc>
          <w:tcPr>
            <w:tcW w:type="dxa" w:w="1037"/>
            <w:vAlign w:val="top"/>
          </w:tcPr>
          <w:p>
            <w:r>
              <w:t>Source verified; applicability open</w:t>
            </w:r>
          </w:p>
        </w:tc>
      </w:tr>
    </w:tbl>
    <w:p/>
    <w:p>
      <w:pPr>
        <w:pStyle w:val="Heading1"/>
      </w:pPr>
      <w:r>
        <w:t>Final quality-control report</w:t>
      </w:r>
    </w:p>
    <w:tbl>
      <w:tblPr>
        <w:tblStyle w:val="TableGrid"/>
        <w:tblW w:type="auto" w:w="0"/>
        <w:jc w:val="center"/>
        <w:tblLook w:firstColumn="1" w:firstRow="1" w:lastColumn="0" w:lastRow="0" w:noHBand="0" w:noVBand="1" w:val="04A0"/>
      </w:tblPr>
      <w:tblGrid>
        <w:gridCol w:w="3456"/>
        <w:gridCol w:w="3456"/>
        <w:gridCol w:w="3456"/>
      </w:tblGrid>
      <w:tr>
        <w:trPr>
          <w:cantSplit/>
          <w:tblHeader w:val="true"/>
        </w:trPr>
        <w:tc>
          <w:tcPr>
            <w:tcW w:type="dxa" w:w="3456"/>
            <w:vAlign w:val="top"/>
            <w:shd w:fill="1F4E78"/>
          </w:tcPr>
          <w:p>
            <w:r/>
            <w:r>
              <w:rPr>
                <w:b/>
                <w:color w:val="FFFFFF"/>
                <w:sz w:val="15"/>
              </w:rPr>
              <w:t>Review</w:t>
            </w:r>
          </w:p>
        </w:tc>
        <w:tc>
          <w:tcPr>
            <w:tcW w:type="dxa" w:w="3456"/>
            <w:vAlign w:val="top"/>
            <w:shd w:fill="1F4E78"/>
          </w:tcPr>
          <w:p>
            <w:r/>
            <w:r>
              <w:rPr>
                <w:b/>
                <w:color w:val="FFFFFF"/>
                <w:sz w:val="15"/>
              </w:rPr>
              <w:t>Result</w:t>
            </w:r>
          </w:p>
        </w:tc>
        <w:tc>
          <w:tcPr>
            <w:tcW w:type="dxa" w:w="3456"/>
            <w:vAlign w:val="top"/>
            <w:shd w:fill="1F4E78"/>
          </w:tcPr>
          <w:p>
            <w:r/>
            <w:r>
              <w:rPr>
                <w:b/>
                <w:color w:val="FFFFFF"/>
                <w:sz w:val="15"/>
              </w:rPr>
              <w:t>Finding</w:t>
            </w:r>
          </w:p>
        </w:tc>
      </w:tr>
      <w:tr>
        <w:trPr>
          <w:cantSplit/>
        </w:trPr>
        <w:tc>
          <w:tcPr>
            <w:tcW w:type="dxa" w:w="3456"/>
            <w:vAlign w:val="top"/>
          </w:tcPr>
          <w:p>
            <w:r/>
            <w:r>
              <w:rPr>
                <w:b w:val="0"/>
                <w:sz w:val="15"/>
              </w:rPr>
              <w:t>Structural review</w:t>
            </w:r>
          </w:p>
        </w:tc>
        <w:tc>
          <w:tcPr>
            <w:tcW w:type="dxa" w:w="3456"/>
            <w:vAlign w:val="top"/>
          </w:tcPr>
          <w:p>
            <w:r/>
            <w:r>
              <w:rPr>
                <w:b w:val="0"/>
                <w:sz w:val="15"/>
              </w:rPr>
              <w:t>Pass</w:t>
            </w:r>
          </w:p>
        </w:tc>
        <w:tc>
          <w:tcPr>
            <w:tcW w:type="dxa" w:w="3456"/>
            <w:vAlign w:val="top"/>
          </w:tcPr>
          <w:p>
            <w:r/>
            <w:r>
              <w:rPr>
                <w:b w:val="0"/>
                <w:sz w:val="15"/>
              </w:rPr>
              <w:t>All required sections, appendices, scenarios and registers included.</w:t>
            </w:r>
          </w:p>
        </w:tc>
      </w:tr>
      <w:tr>
        <w:trPr>
          <w:cantSplit/>
        </w:trPr>
        <w:tc>
          <w:tcPr>
            <w:tcW w:type="dxa" w:w="3456"/>
            <w:vAlign w:val="top"/>
            <w:shd w:fill="EAF2F8"/>
          </w:tcPr>
          <w:p>
            <w:r/>
            <w:r>
              <w:rPr>
                <w:b w:val="0"/>
                <w:sz w:val="15"/>
              </w:rPr>
              <w:t>Normative-language review</w:t>
            </w:r>
          </w:p>
        </w:tc>
        <w:tc>
          <w:tcPr>
            <w:tcW w:type="dxa" w:w="3456"/>
            <w:vAlign w:val="top"/>
            <w:shd w:fill="EAF2F8"/>
          </w:tcPr>
          <w:p>
            <w:r/>
            <w:r>
              <w:rPr>
                <w:b w:val="0"/>
                <w:sz w:val="15"/>
              </w:rPr>
              <w:t>Pass</w:t>
            </w:r>
          </w:p>
        </w:tc>
        <w:tc>
          <w:tcPr>
            <w:tcW w:type="dxa" w:w="3456"/>
            <w:vAlign w:val="top"/>
            <w:shd w:fill="EAF2F8"/>
          </w:tcPr>
          <w:p>
            <w:r/>
            <w:r>
              <w:rPr>
                <w:b w:val="0"/>
                <w:sz w:val="15"/>
              </w:rPr>
              <w:t>No new mandatory sector requirements; verified GAISSF IDs used.</w:t>
            </w:r>
          </w:p>
        </w:tc>
      </w:tr>
      <w:tr>
        <w:trPr>
          <w:cantSplit/>
        </w:trPr>
        <w:tc>
          <w:tcPr>
            <w:tcW w:type="dxa" w:w="3456"/>
            <w:vAlign w:val="top"/>
          </w:tcPr>
          <w:p>
            <w:r/>
            <w:r>
              <w:rPr>
                <w:b w:val="0"/>
                <w:sz w:val="15"/>
              </w:rPr>
              <w:t>Cross-reference review</w:t>
            </w:r>
          </w:p>
        </w:tc>
        <w:tc>
          <w:tcPr>
            <w:tcW w:type="dxa" w:w="3456"/>
            <w:vAlign w:val="top"/>
          </w:tcPr>
          <w:p>
            <w:r/>
            <w:r>
              <w:rPr>
                <w:b w:val="0"/>
                <w:sz w:val="15"/>
              </w:rPr>
              <w:t>Pass with approval caveat</w:t>
            </w:r>
          </w:p>
        </w:tc>
        <w:tc>
          <w:tcPr>
            <w:tcW w:type="dxa" w:w="3456"/>
            <w:vAlign w:val="top"/>
          </w:tcPr>
          <w:p>
            <w:r/>
            <w:r>
              <w:rPr>
                <w:b w:val="0"/>
                <w:sz w:val="15"/>
              </w:rPr>
              <w:t>Control IDs verified to GAISSF-NOR-001; named approval records remain open.</w:t>
            </w:r>
          </w:p>
        </w:tc>
      </w:tr>
      <w:tr>
        <w:trPr>
          <w:cantSplit/>
        </w:trPr>
        <w:tc>
          <w:tcPr>
            <w:tcW w:type="dxa" w:w="3456"/>
            <w:vAlign w:val="top"/>
            <w:shd w:fill="EAF2F8"/>
          </w:tcPr>
          <w:p>
            <w:r/>
            <w:r>
              <w:rPr>
                <w:b w:val="0"/>
                <w:sz w:val="15"/>
              </w:rPr>
              <w:t>Citation/source review</w:t>
            </w:r>
          </w:p>
        </w:tc>
        <w:tc>
          <w:tcPr>
            <w:tcW w:type="dxa" w:w="3456"/>
            <w:vAlign w:val="top"/>
            <w:shd w:fill="EAF2F8"/>
          </w:tcPr>
          <w:p>
            <w:r/>
            <w:r>
              <w:rPr>
                <w:b w:val="0"/>
                <w:sz w:val="15"/>
              </w:rPr>
              <w:t>Pass with applicability caveat</w:t>
            </w:r>
          </w:p>
        </w:tc>
        <w:tc>
          <w:tcPr>
            <w:tcW w:type="dxa" w:w="3456"/>
            <w:vAlign w:val="top"/>
            <w:shd w:fill="EAF2F8"/>
          </w:tcPr>
          <w:p>
            <w:r/>
            <w:r>
              <w:rPr>
                <w:b w:val="0"/>
                <w:sz w:val="15"/>
              </w:rPr>
              <w:t>Authoritative sources listed; jurisdictional applicability requires qualified review.</w:t>
            </w:r>
          </w:p>
        </w:tc>
      </w:tr>
      <w:tr>
        <w:trPr>
          <w:cantSplit/>
        </w:trPr>
        <w:tc>
          <w:tcPr>
            <w:tcW w:type="dxa" w:w="3456"/>
            <w:vAlign w:val="top"/>
          </w:tcPr>
          <w:p>
            <w:r/>
            <w:r>
              <w:rPr>
                <w:b w:val="0"/>
                <w:sz w:val="15"/>
              </w:rPr>
              <w:t>Legal/regulatory review</w:t>
            </w:r>
          </w:p>
        </w:tc>
        <w:tc>
          <w:tcPr>
            <w:tcW w:type="dxa" w:w="3456"/>
            <w:vAlign w:val="top"/>
          </w:tcPr>
          <w:p>
            <w:r/>
            <w:r>
              <w:rPr>
                <w:b w:val="0"/>
                <w:sz w:val="15"/>
              </w:rPr>
              <w:t>Open</w:t>
            </w:r>
          </w:p>
        </w:tc>
        <w:tc>
          <w:tcPr>
            <w:tcW w:type="dxa" w:w="3456"/>
            <w:vAlign w:val="top"/>
          </w:tcPr>
          <w:p>
            <w:r/>
            <w:r>
              <w:rPr>
                <w:b w:val="0"/>
                <w:sz w:val="15"/>
              </w:rPr>
              <w:t>Qualified review required before public reliance in target jurisdictions.</w:t>
            </w:r>
          </w:p>
        </w:tc>
      </w:tr>
      <w:tr>
        <w:trPr>
          <w:cantSplit/>
        </w:trPr>
        <w:tc>
          <w:tcPr>
            <w:tcW w:type="dxa" w:w="3456"/>
            <w:vAlign w:val="top"/>
            <w:shd w:fill="EAF2F8"/>
          </w:tcPr>
          <w:p>
            <w:r/>
            <w:r>
              <w:rPr>
                <w:b w:val="0"/>
                <w:sz w:val="15"/>
              </w:rPr>
              <w:t>Sector review</w:t>
            </w:r>
          </w:p>
        </w:tc>
        <w:tc>
          <w:tcPr>
            <w:tcW w:type="dxa" w:w="3456"/>
            <w:vAlign w:val="top"/>
            <w:shd w:fill="EAF2F8"/>
          </w:tcPr>
          <w:p>
            <w:r/>
            <w:r>
              <w:rPr>
                <w:b w:val="0"/>
                <w:sz w:val="15"/>
              </w:rPr>
              <w:t>Open</w:t>
            </w:r>
          </w:p>
        </w:tc>
        <w:tc>
          <w:tcPr>
            <w:tcW w:type="dxa" w:w="3456"/>
            <w:vAlign w:val="top"/>
            <w:shd w:fill="EAF2F8"/>
          </w:tcPr>
          <w:p>
            <w:r/>
            <w:r>
              <w:rPr>
                <w:b w:val="0"/>
                <w:sz w:val="15"/>
              </w:rPr>
              <w:t>Qualified insurance and actuarial review required.</w:t>
            </w:r>
          </w:p>
        </w:tc>
      </w:tr>
      <w:tr>
        <w:trPr>
          <w:cantSplit/>
        </w:trPr>
        <w:tc>
          <w:tcPr>
            <w:tcW w:type="dxa" w:w="3456"/>
            <w:vAlign w:val="top"/>
          </w:tcPr>
          <w:p>
            <w:r/>
            <w:r>
              <w:rPr>
                <w:b w:val="0"/>
                <w:sz w:val="15"/>
              </w:rPr>
              <w:t>Publication review</w:t>
            </w:r>
          </w:p>
        </w:tc>
        <w:tc>
          <w:tcPr>
            <w:tcW w:type="dxa" w:w="3456"/>
            <w:vAlign w:val="top"/>
          </w:tcPr>
          <w:p>
            <w:r/>
            <w:r>
              <w:rPr>
                <w:b w:val="0"/>
                <w:sz w:val="15"/>
              </w:rPr>
              <w:t>Pass with open release metadata</w:t>
            </w:r>
          </w:p>
        </w:tc>
        <w:tc>
          <w:tcPr>
            <w:tcW w:type="dxa" w:w="3456"/>
            <w:vAlign w:val="top"/>
          </w:tcPr>
          <w:p>
            <w:r/>
            <w:r>
              <w:rPr>
                <w:b w:val="0"/>
                <w:sz w:val="15"/>
              </w:rPr>
              <w:t>Final URLs and approval identities remain open.</w:t>
            </w:r>
          </w:p>
        </w:tc>
      </w:tr>
    </w:tbl>
    <w:p/>
    <w:p>
      <w:pPr>
        <w:pStyle w:val="Heading1"/>
      </w:pPr>
      <w:r>
        <w:t>Reader guide</w:t>
      </w:r>
    </w:p>
    <w:tbl>
      <w:tblPr>
        <w:tblStyle w:val="TableGrid"/>
        <w:tblW w:type="auto" w:w="0"/>
        <w:jc w:val="center"/>
        <w:tblLook w:firstColumn="1" w:firstRow="1" w:lastColumn="0" w:lastRow="0" w:noHBand="0" w:noVBand="1" w:val="04A0"/>
      </w:tblPr>
      <w:tblGrid>
        <w:gridCol w:w="3456"/>
        <w:gridCol w:w="3456"/>
        <w:gridCol w:w="3456"/>
      </w:tblGrid>
      <w:tr>
        <w:trPr>
          <w:cantSplit/>
          <w:tblHeader w:val="true"/>
        </w:trPr>
        <w:tc>
          <w:tcPr>
            <w:tcW w:type="dxa" w:w="3456"/>
            <w:vAlign w:val="top"/>
          </w:tcPr>
          <w:p>
            <w:r>
              <w:t>Reader</w:t>
            </w:r>
          </w:p>
        </w:tc>
        <w:tc>
          <w:tcPr>
            <w:tcW w:type="dxa" w:w="3456"/>
            <w:vAlign w:val="top"/>
          </w:tcPr>
          <w:p>
            <w:r>
              <w:t>Priority sections</w:t>
            </w:r>
          </w:p>
        </w:tc>
        <w:tc>
          <w:tcPr>
            <w:tcW w:type="dxa" w:w="3456"/>
            <w:vAlign w:val="top"/>
          </w:tcPr>
          <w:p>
            <w:r>
              <w:t>Key appendices / artifacts</w:t>
            </w:r>
          </w:p>
        </w:tc>
      </w:tr>
      <w:tr>
        <w:trPr>
          <w:cantSplit/>
        </w:trPr>
        <w:tc>
          <w:tcPr>
            <w:tcW w:type="dxa" w:w="3456"/>
            <w:vAlign w:val="top"/>
          </w:tcPr>
          <w:p>
            <w:r>
              <w:t>Board, CFO, CRO and Appointed Actuary</w:t>
            </w:r>
          </w:p>
        </w:tc>
        <w:tc>
          <w:tcPr>
            <w:tcW w:type="dxa" w:w="3456"/>
            <w:vAlign w:val="top"/>
          </w:tcPr>
          <w:p>
            <w:r>
              <w:t>Executive summary; prudential and actuarial impact vectors; governance; Notably Absent</w:t>
            </w:r>
          </w:p>
        </w:tc>
        <w:tc>
          <w:tcPr>
            <w:tcW w:type="dxa" w:w="3456"/>
            <w:vAlign w:val="top"/>
          </w:tcPr>
          <w:p>
            <w:r>
              <w:t>Open issues; workbook dashboard and risk register</w:t>
            </w:r>
          </w:p>
        </w:tc>
      </w:tr>
      <w:tr>
        <w:trPr>
          <w:cantSplit/>
        </w:trPr>
        <w:tc>
          <w:tcPr>
            <w:tcW w:type="dxa" w:w="3456"/>
            <w:vAlign w:val="top"/>
          </w:tcPr>
          <w:p>
            <w:r>
              <w:t>CISO and security architecture</w:t>
            </w:r>
          </w:p>
        </w:tc>
        <w:tc>
          <w:tcPr>
            <w:tcW w:type="dxa" w:w="3456"/>
            <w:vAlign w:val="top"/>
          </w:tcPr>
          <w:p>
            <w:r>
              <w:t>Risk landscape; security architecture; agentic AI; control mapping</w:t>
            </w:r>
          </w:p>
        </w:tc>
        <w:tc>
          <w:tcPr>
            <w:tcW w:type="dxa" w:w="3456"/>
            <w:vAlign w:val="top"/>
          </w:tcPr>
          <w:p>
            <w:r>
              <w:t>Control Mapping and Incident Register</w:t>
            </w:r>
          </w:p>
        </w:tc>
      </w:tr>
      <w:tr>
        <w:trPr>
          <w:cantSplit/>
        </w:trPr>
        <w:tc>
          <w:tcPr>
            <w:tcW w:type="dxa" w:w="3456"/>
            <w:vAlign w:val="top"/>
          </w:tcPr>
          <w:p>
            <w:r>
              <w:t>Claims and underwriting leaders</w:t>
            </w:r>
          </w:p>
        </w:tc>
        <w:tc>
          <w:tcPr>
            <w:tcW w:type="dxa" w:w="3456"/>
            <w:vAlign w:val="top"/>
          </w:tcPr>
          <w:p>
            <w:r>
              <w:t>Function interpretations; human oversight; worked scenarios</w:t>
            </w:r>
          </w:p>
        </w:tc>
        <w:tc>
          <w:tcPr>
            <w:tcW w:type="dxa" w:w="3456"/>
            <w:vAlign w:val="top"/>
          </w:tcPr>
          <w:p>
            <w:r>
              <w:t>Human Oversight and Scenarios sheets</w:t>
            </w:r>
          </w:p>
        </w:tc>
      </w:tr>
      <w:tr>
        <w:trPr>
          <w:cantSplit/>
        </w:trPr>
        <w:tc>
          <w:tcPr>
            <w:tcW w:type="dxa" w:w="3456"/>
            <w:vAlign w:val="top"/>
          </w:tcPr>
          <w:p>
            <w:r>
              <w:t>Compliance, conduct and privacy</w:t>
            </w:r>
          </w:p>
        </w:tc>
        <w:tc>
          <w:tcPr>
            <w:tcW w:type="dxa" w:w="3456"/>
            <w:vAlign w:val="top"/>
          </w:tcPr>
          <w:p>
            <w:r>
              <w:t>Transparency and contestability; data governance; incident management</w:t>
            </w:r>
          </w:p>
        </w:tc>
        <w:tc>
          <w:tcPr>
            <w:tcW w:type="dxa" w:w="3456"/>
            <w:vAlign w:val="top"/>
          </w:tcPr>
          <w:p>
            <w:r>
              <w:t>Source Register and Evidence Register</w:t>
            </w:r>
          </w:p>
        </w:tc>
      </w:tr>
      <w:tr>
        <w:trPr>
          <w:cantSplit/>
        </w:trPr>
        <w:tc>
          <w:tcPr>
            <w:tcW w:type="dxa" w:w="3456"/>
            <w:vAlign w:val="top"/>
          </w:tcPr>
          <w:p>
            <w:r>
              <w:t>Procurement and vendor risk</w:t>
            </w:r>
          </w:p>
        </w:tc>
        <w:tc>
          <w:tcPr>
            <w:tcW w:type="dxa" w:w="3456"/>
            <w:vAlign w:val="top"/>
          </w:tcPr>
          <w:p>
            <w:r>
              <w:t>Third-party management and concentration</w:t>
            </w:r>
          </w:p>
        </w:tc>
        <w:tc>
          <w:tcPr>
            <w:tcW w:type="dxa" w:w="3456"/>
            <w:vAlign w:val="top"/>
          </w:tcPr>
          <w:p>
            <w:r>
              <w:t>Vendor Assessment and AI/SBOM evidence</w:t>
            </w:r>
          </w:p>
        </w:tc>
      </w:tr>
    </w:tbl>
    <w:p>
      <w:pPr>
        <w:pStyle w:val="Heading1"/>
      </w:pPr>
      <w:r>
        <w:t>Prudential and actuarial impact vectors</w:t>
      </w:r>
    </w:p>
    <w:p>
      <w:r>
        <w:t>The following table translates security and AI-control failures into potential balance-sheet, actuarial and prudential pathways. It does not assert that a control failure automatically creates an accounting, capital or regulatory breach.</w:t>
      </w:r>
    </w:p>
    <w:tbl>
      <w:tblPr>
        <w:tblStyle w:val="TableGrid"/>
        <w:tblW w:type="auto" w:w="0"/>
        <w:jc w:val="center"/>
        <w:tblLook w:firstColumn="1" w:firstRow="1" w:lastColumn="0" w:lastRow="0" w:noHBand="0" w:noVBand="1" w:val="04A0"/>
      </w:tblPr>
      <w:tblGrid>
        <w:gridCol w:w="3456"/>
        <w:gridCol w:w="3456"/>
        <w:gridCol w:w="3456"/>
      </w:tblGrid>
      <w:tr>
        <w:trPr>
          <w:cantSplit/>
          <w:tblHeader w:val="true"/>
        </w:trPr>
        <w:tc>
          <w:tcPr>
            <w:tcW w:type="dxa" w:w="3456"/>
            <w:vAlign w:val="top"/>
          </w:tcPr>
          <w:p>
            <w:r>
              <w:t>GAISSF domain</w:t>
            </w:r>
          </w:p>
        </w:tc>
        <w:tc>
          <w:tcPr>
            <w:tcW w:type="dxa" w:w="3456"/>
            <w:vAlign w:val="top"/>
          </w:tcPr>
          <w:p>
            <w:r>
              <w:t>Insurance failure pathway</w:t>
            </w:r>
          </w:p>
        </w:tc>
        <w:tc>
          <w:tcPr>
            <w:tcW w:type="dxa" w:w="3456"/>
            <w:vAlign w:val="top"/>
          </w:tcPr>
          <w:p>
            <w:r>
              <w:t>Potential prudential / actuarial consequence</w:t>
            </w:r>
          </w:p>
        </w:tc>
      </w:tr>
      <w:tr>
        <w:trPr>
          <w:cantSplit/>
        </w:trPr>
        <w:tc>
          <w:tcPr>
            <w:tcW w:type="dxa" w:w="3456"/>
            <w:vAlign w:val="top"/>
          </w:tcPr>
          <w:p>
            <w:r>
              <w:t>D1 - Model integrity</w:t>
            </w:r>
          </w:p>
        </w:tc>
        <w:tc>
          <w:tcPr>
            <w:tcW w:type="dxa" w:w="3456"/>
            <w:vAlign w:val="top"/>
          </w:tcPr>
          <w:p>
            <w:r>
              <w:t>Pricing or underwriting instability, poisoning or drift</w:t>
            </w:r>
          </w:p>
        </w:tc>
        <w:tc>
          <w:tcPr>
            <w:tcW w:type="dxa" w:w="3456"/>
            <w:vAlign w:val="top"/>
          </w:tcPr>
          <w:p>
            <w:r>
              <w:t>Adverse selection, margin erosion, reserve assumption distortion and rate-filing challenge.</w:t>
            </w:r>
          </w:p>
        </w:tc>
      </w:tr>
      <w:tr>
        <w:trPr>
          <w:cantSplit/>
        </w:trPr>
        <w:tc>
          <w:tcPr>
            <w:tcW w:type="dxa" w:w="3456"/>
            <w:vAlign w:val="top"/>
          </w:tcPr>
          <w:p>
            <w:r>
              <w:t>D4 - Third-party AI security</w:t>
            </w:r>
          </w:p>
        </w:tc>
        <w:tc>
          <w:tcPr>
            <w:tcW w:type="dxa" w:w="3456"/>
            <w:vAlign w:val="top"/>
          </w:tcPr>
          <w:p>
            <w:r>
              <w:t>Common catastrophe, cloud, data or foundation-model dependency failure</w:t>
            </w:r>
          </w:p>
        </w:tc>
        <w:tc>
          <w:tcPr>
            <w:tcW w:type="dxa" w:w="3456"/>
            <w:vAlign w:val="top"/>
          </w:tcPr>
          <w:p>
            <w:r>
              <w:t>Correlated portfolio error, accumulation underestimation, service interruption and reinsurance treaty dispute.</w:t>
            </w:r>
          </w:p>
        </w:tc>
      </w:tr>
      <w:tr>
        <w:trPr>
          <w:cantSplit/>
        </w:trPr>
        <w:tc>
          <w:tcPr>
            <w:tcW w:type="dxa" w:w="3456"/>
            <w:vAlign w:val="top"/>
          </w:tcPr>
          <w:p>
            <w:r>
              <w:t>D5 - Output integrity</w:t>
            </w:r>
          </w:p>
        </w:tc>
        <w:tc>
          <w:tcPr>
            <w:tcW w:type="dxa" w:w="3456"/>
            <w:vAlign w:val="top"/>
          </w:tcPr>
          <w:p>
            <w:r>
              <w:t>Misleading claims, policy or financial-reporting content</w:t>
            </w:r>
          </w:p>
        </w:tc>
        <w:tc>
          <w:tcPr>
            <w:tcW w:type="dxa" w:w="3456"/>
            <w:vAlign w:val="top"/>
          </w:tcPr>
          <w:p>
            <w:r>
              <w:t>Claims leakage, customer remediation, reporting control failure and audit qualification risk.</w:t>
            </w:r>
          </w:p>
        </w:tc>
      </w:tr>
      <w:tr>
        <w:trPr>
          <w:cantSplit/>
        </w:trPr>
        <w:tc>
          <w:tcPr>
            <w:tcW w:type="dxa" w:w="3456"/>
            <w:vAlign w:val="top"/>
          </w:tcPr>
          <w:p>
            <w:r>
              <w:t>D6 - Governance</w:t>
            </w:r>
          </w:p>
        </w:tc>
        <w:tc>
          <w:tcPr>
            <w:tcW w:type="dxa" w:w="3456"/>
            <w:vAlign w:val="top"/>
          </w:tcPr>
          <w:p>
            <w:r>
              <w:t>Weak accountability, oversight or continuity</w:t>
            </w:r>
          </w:p>
        </w:tc>
        <w:tc>
          <w:tcPr>
            <w:tcW w:type="dxa" w:w="3456"/>
            <w:vAlign w:val="top"/>
          </w:tcPr>
          <w:p>
            <w:r>
              <w:t>Operational resilience failure, delayed catastrophe response and governance or supervisory findings.</w:t>
            </w:r>
          </w:p>
        </w:tc>
      </w:tr>
      <w:tr>
        <w:trPr>
          <w:cantSplit/>
        </w:trPr>
        <w:tc>
          <w:tcPr>
            <w:tcW w:type="dxa" w:w="3456"/>
            <w:vAlign w:val="top"/>
          </w:tcPr>
          <w:p>
            <w:r>
              <w:t>D8 - Model risk</w:t>
            </w:r>
          </w:p>
        </w:tc>
        <w:tc>
          <w:tcPr>
            <w:tcW w:type="dxa" w:w="3456"/>
            <w:vAlign w:val="top"/>
          </w:tcPr>
          <w:p>
            <w:r>
              <w:t>Invalid reserving, capital or catastrophe-model assumptions</w:t>
            </w:r>
          </w:p>
        </w:tc>
        <w:tc>
          <w:tcPr>
            <w:tcW w:type="dxa" w:w="3456"/>
            <w:vAlign w:val="top"/>
          </w:tcPr>
          <w:p>
            <w:r>
              <w:t>Potential IFRS 17 reporting misstatement, solvency-capital distortion and board risk-appetite breach; applicability requires qualified review.</w:t>
            </w:r>
          </w:p>
        </w:tc>
      </w:tr>
    </w:tbl>
    <w:p>
      <w:pPr>
        <w:pStyle w:val="Heading1"/>
      </w:pPr>
      <w:r>
        <w:t>Evidence quality tiers</w:t>
      </w:r>
    </w:p>
    <w:p>
      <w:pPr>
        <w:pStyle w:val="ListBullet"/>
      </w:pPr>
      <w:r>
        <w:t>T1: Primary verified operating evidence: automated logs, immutable decision/claims trails, access records, telemetry and approved source records.</w:t>
      </w:r>
    </w:p>
    <w:p>
      <w:pPr>
        <w:pStyle w:val="ListBullet"/>
      </w:pPr>
      <w:r>
        <w:t>T2: Independent or second-line verified evidence: MRM validation, Appointed Actuary sign-off, internal audit, privacy, legal or security review.</w:t>
      </w:r>
    </w:p>
    <w:p>
      <w:pPr>
        <w:pStyle w:val="ListBullet"/>
      </w:pPr>
      <w:r>
        <w:t>T3: Controlled simulation evidence: adversarial testing, deepfake-claim injection, stress testing, catastrophe surge, failover and out-of-distribution exercises.</w:t>
      </w:r>
    </w:p>
    <w:p>
      <w:pPr>
        <w:pStyle w:val="ListBullet"/>
      </w:pPr>
      <w:r>
        <w:t>T4: Anecdotal or unverified context: vendor benchmarks, surveys and generic white papers; insufficient alone for high-impact underwriting, pricing or claims conclusions.</w:t>
      </w:r>
    </w:p>
    <w:p>
      <w:pPr>
        <w:pStyle w:val="Heading1"/>
      </w:pPr>
      <w:r>
        <w:t>Agentic AI in insurance workflows</w:t>
      </w:r>
    </w:p>
    <w:p>
      <w:r>
        <w:t>Multi-agent insurance workflows can connect broker, insurer, reinsurer, claims, data and payment services. The decision boundary must include the full delegation chain rather than assessing each agent in isolation.</w:t>
      </w:r>
    </w:p>
    <w:p>
      <w:pPr>
        <w:pStyle w:val="ListBullet"/>
      </w:pPr>
      <w:r>
        <w:t>Agent-to-agent authentication failure between broker, insurer, reinsurer and service-provider agents</w:t>
      </w:r>
    </w:p>
    <w:p>
      <w:pPr>
        <w:pStyle w:val="ListBullet"/>
      </w:pPr>
      <w:r>
        <w:t>Compounding error in autonomous underwriting, claims adjustment or reinsurance placement</w:t>
      </w:r>
    </w:p>
    <w:p>
      <w:pPr>
        <w:pStyle w:val="ListBullet"/>
      </w:pPr>
      <w:r>
        <w:t>Orphaned execution loops that repeatedly request evidence, change reserves, issue communications or invoke payment tools</w:t>
      </w:r>
    </w:p>
    <w:p>
      <w:pPr>
        <w:pStyle w:val="ListBullet"/>
      </w:pPr>
      <w:r>
        <w:t>Delegation-chain ambiguity, excessive tool authority and inability to reconstruct which agent made or executed a decision</w:t>
      </w:r>
    </w:p>
    <w:p>
      <w:r>
        <w:t>Minimum implementation controls:</w:t>
      </w:r>
    </w:p>
    <w:p>
      <w:pPr>
        <w:pStyle w:val="ListBullet"/>
      </w:pPr>
      <w:r>
        <w:t>Unique workload identity and mutual authentication for each agent</w:t>
      </w:r>
    </w:p>
    <w:p>
      <w:pPr>
        <w:pStyle w:val="ListBullet"/>
      </w:pPr>
      <w:r>
        <w:t>Explicit delegation scope, transaction limits, segregation of duties and expiry</w:t>
      </w:r>
    </w:p>
    <w:p>
      <w:pPr>
        <w:pStyle w:val="ListBullet"/>
      </w:pPr>
      <w:r>
        <w:t>Loop, cost, time and action-count circuit breakers</w:t>
      </w:r>
    </w:p>
    <w:p>
      <w:pPr>
        <w:pStyle w:val="ListBullet"/>
      </w:pPr>
      <w:r>
        <w:t>Human approval before binding coverage, denying claims, changing reserves, placing reinsurance or initiating payment</w:t>
      </w:r>
    </w:p>
    <w:p>
      <w:pPr>
        <w:pStyle w:val="ListBullet"/>
      </w:pPr>
      <w:r>
        <w:t>Complete agent-to-agent message, tool-call, model-version and approval trace</w:t>
      </w:r>
    </w:p>
    <w:p>
      <w:pPr>
        <w:pStyle w:val="Heading1"/>
      </w:pPr>
      <w:r>
        <w:t>Maintenance plan</w:t>
      </w:r>
    </w:p>
    <w:p>
      <w:r>
        <w:t>Review SEC-039 at least annually and after a material GAISSF revision, insurance supervisory development, significant sector incident, material technology change or substantiated practitioner feedback. Use minor versions for corrections and clarifications and major versions for substantive architecture or control-interpretation changes. Publish change notices through the official ODA3 Institute website and repository.</w:t>
      </w:r>
    </w:p>
    <w:tbl>
      <w:tblPr>
        <w:tblStyle w:val="TableGrid"/>
        <w:tblW w:type="auto" w:w="0"/>
        <w:tblLook w:firstColumn="1" w:firstRow="1" w:lastColumn="0" w:lastRow="0" w:noHBand="0" w:noVBand="1" w:val="04A0"/>
      </w:tblPr>
      <w:tblGrid>
        <w:gridCol w:w="10368"/>
      </w:tblGrid>
      <w:tr>
        <w:trPr>
          <w:cantSplit/>
          <w:tblHeader w:val="true"/>
        </w:trPr>
        <w:tc>
          <w:tcPr>
            <w:tcW w:type="dxa" w:w="10368"/>
            <w:shd w:fill="EAF2F8"/>
            <w:vAlign w:val="top"/>
          </w:tcPr>
          <w:p>
            <w:r>
              <w:t>Publication-readiness declaration</w:t>
              <w:br/>
              <w:t>CONTROLLED PRE-RELEASE DRAFT FOR PEER REVIEW. The substantive implementation package and verified GAISSF control mapping are complete. Final public release is not authorised until qualified insurance/actuarial and jurisdiction-specific legal/regulatory applicability reviews, named approvals, trademark/legal-entity verification and final publication URLs are closed.</w:t>
            </w:r>
          </w:p>
        </w:tc>
      </w:tr>
    </w:tbl>
    <w:p/>
    <w:p>
      <w:r>
        <w:t>End of SEC-039 v1.0</w:t>
      </w:r>
    </w:p>
    <w:sectPr w:rsidR="00FC693F" w:rsidRPr="0006063C" w:rsidSect="00034616">
      <w:headerReference w:type="default" r:id="rId9"/>
      <w:footerReference w:type="default" r:id="rId10"/>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2026 ODA3 Pvt Ltd. Published by ODA3 Institute. | Final Publication Candidate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SEC-039 | GAISSF™ Insurance Sector Implementation Guide | v1.0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1F4E78"/>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2F5496"/>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472C4"/>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