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11961"/>
          <w:sz w:val="36"/>
        </w:rPr>
        <w:t>GAISSF® v1.0</w:t>
      </w:r>
    </w:p>
    <w:p>
      <w:pPr>
        <w:jc w:val="center"/>
      </w:pPr>
      <w:r>
        <w:rPr>
          <w:rFonts w:ascii="Arial" w:hAnsi="Arial"/>
          <w:b/>
          <w:color w:val="011961"/>
          <w:sz w:val="54"/>
        </w:rPr>
        <w:t>Defence Sector Executive Brief</w:t>
      </w:r>
    </w:p>
    <w:p>
      <w:pPr>
        <w:jc w:val="center"/>
      </w:pPr>
      <w:r>
        <w:rPr>
          <w:b/>
        </w:rPr>
        <w:t>SEC-040 | Version 1.0 | Board, executive and risk-committee briefing</w:t>
      </w:r>
    </w:p>
    <w:p>
      <w:pPr>
        <w:jc w:val="center"/>
      </w:pPr>
      <w:r>
        <w:rPr>
          <w:b/>
          <w:color w:val="A61B1B"/>
        </w:rPr>
        <w:t>PUBLICATION GATE: OPEN - CONTROLLED PRE-RELEASE DRAFT FOR PEER REVIEW</w:t>
      </w:r>
    </w:p>
    <w:p>
      <w:r>
        <w:t>Methodology Note: This brief synthesises the technical guide and official contextual sources for governance decision-making. It contains no inline evidence-tier tags. Detailed source verification, control mapping and limitations are maintained in the Technical Guide, Source Register and Workbook.</w:t>
      </w:r>
    </w:p>
    <w:p>
      <w:pPr>
        <w:pStyle w:val="Heading1"/>
      </w:pPr>
      <w:r>
        <w:t>Decision Context</w:t>
      </w:r>
    </w:p>
    <w:p>
      <w:r>
        <w:t>Defence AI changes operational risk through speed, scale, opacity, supplier dependency and reduced intervention time. The principal governance question is not whether a model is accurate in isolation, but whether the complete system remains within approved authority under realistic mission, adversarial and degraded conditions.</w:t>
      </w:r>
    </w:p>
    <w:p>
      <w:pPr>
        <w:pStyle w:val="Heading1"/>
      </w:pPr>
      <w:r>
        <w:t>Board and Executive Exposure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Exposure</w:t>
            </w:r>
          </w:p>
        </w:tc>
        <w:tc>
          <w:tcPr>
            <w:tcW w:type="dxa" w:w="3456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What can go wrong</w:t>
            </w:r>
          </w:p>
        </w:tc>
        <w:tc>
          <w:tcPr>
            <w:tcW w:type="dxa" w:w="3456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Executive question</w:t>
            </w:r>
          </w:p>
        </w:tc>
      </w:tr>
      <w:tr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Operational continuity</w:t>
            </w:r>
          </w:p>
        </w:tc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Model, API, sensor or supplier failure disrupts mission support</w:t>
            </w:r>
          </w:p>
        </w:tc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What is the tested fallback and who can invoke it?</w:t>
            </w:r>
          </w:p>
        </w:tc>
      </w:tr>
      <w:tr>
        <w:tc>
          <w:tcPr>
            <w:tcW w:type="dxa" w:w="3456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Human and safety</w:t>
            </w:r>
          </w:p>
        </w:tc>
        <w:tc>
          <w:tcPr>
            <w:tcW w:type="dxa" w:w="3456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Automation bias or unsafe actuation causes harm</w:t>
            </w:r>
          </w:p>
        </w:tc>
        <w:tc>
          <w:tcPr>
            <w:tcW w:type="dxa" w:w="3456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Is human authority effective within the intervention window?</w:t>
            </w:r>
          </w:p>
        </w:tc>
      </w:tr>
      <w:tr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Security and sovereignty</w:t>
            </w:r>
          </w:p>
        </w:tc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Models, data or dependencies are compromised or externally controlled</w:t>
            </w:r>
          </w:p>
        </w:tc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Which critical capabilities can be independently operated, tested and exited?</w:t>
            </w:r>
          </w:p>
        </w:tc>
      </w:tr>
      <w:tr>
        <w:tc>
          <w:tcPr>
            <w:tcW w:type="dxa" w:w="3456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Legal and policy</w:t>
            </w:r>
          </w:p>
        </w:tc>
        <w:tc>
          <w:tcPr>
            <w:tcW w:type="dxa" w:w="3456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Use exceeds approved purpose or applicable authority</w:t>
            </w:r>
          </w:p>
        </w:tc>
        <w:tc>
          <w:tcPr>
            <w:tcW w:type="dxa" w:w="3456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Which decisions require qualified legal, IHL, safety or command review?</w:t>
            </w:r>
          </w:p>
        </w:tc>
      </w:tr>
      <w:tr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Programme and financial</w:t>
            </w:r>
          </w:p>
        </w:tc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Rework, failed acceptance, lock-in and sustainment cost</w:t>
            </w:r>
          </w:p>
        </w:tc>
        <w:tc>
          <w:tcPr>
            <w:tcW w:type="dxa" w:w="3456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Are evidence and exit rights contractually enforceable?</w:t>
            </w:r>
          </w:p>
        </w:tc>
      </w:tr>
    </w:tbl>
    <w:p>
      <w:r>
        <w:br w:type="page"/>
      </w:r>
    </w:p>
    <w:p>
      <w:pPr>
        <w:pStyle w:val="Heading1"/>
      </w:pPr>
      <w:r>
        <w:t>Five Governance Decisions Required Before Deployment</w:t>
      </w:r>
    </w:p>
    <w:p>
      <w:pPr>
        <w:pStyle w:val="ListBullet"/>
      </w:pPr>
      <w:r>
        <w:t>Approve the intended and prohibited uses, including explicit authority boundaries.</w:t>
      </w:r>
    </w:p>
    <w:p>
      <w:pPr>
        <w:pStyle w:val="ListBullet"/>
      </w:pPr>
      <w:r>
        <w:t>Name the System Authority, Mission Owner, Security Authority, Safety Authority, Acquisition Authority and suspension/abort authority.</w:t>
      </w:r>
    </w:p>
    <w:p>
      <w:pPr>
        <w:pStyle w:val="ListBullet"/>
      </w:pPr>
      <w:r>
        <w:t>Require mission-representative evidence rather than supplier claims or generic benchmarks.</w:t>
      </w:r>
    </w:p>
    <w:p>
      <w:pPr>
        <w:pStyle w:val="ListBullet"/>
      </w:pPr>
      <w:r>
        <w:t>Approve fallback, downgrade and suspension conditions before operational use.</w:t>
      </w:r>
    </w:p>
    <w:p>
      <w:pPr>
        <w:pStyle w:val="ListBullet"/>
      </w:pPr>
      <w:r>
        <w:t>Maintain reauthorisation triggers for material changes to mission, model, data, supplier, environment or autonomy.</w:t>
      </w:r>
    </w:p>
    <w:p>
      <w:r>
        <w:br w:type="page"/>
      </w:r>
    </w:p>
    <w:p>
      <w:pPr>
        <w:pStyle w:val="Heading1"/>
      </w:pPr>
      <w:r>
        <w:t>Supplier Assurance: What the Board Should Not Accept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Do not accept</w:t>
            </w:r>
          </w:p>
        </w:tc>
        <w:tc>
          <w:tcPr>
            <w:tcW w:type="dxa" w:w="5184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Require instead</w:t>
            </w:r>
          </w:p>
        </w:tc>
      </w:tr>
      <w:tr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“Certified model” as a substitute for programme testing</w:t>
            </w:r>
          </w:p>
        </w:tc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Independent access to representative testing, limitations and residual risk</w:t>
            </w:r>
          </w:p>
        </w:tc>
      </w:tr>
      <w:tr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Opaque automatic updates</w:t>
            </w:r>
          </w:p>
        </w:tc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Material-change notice, version pinning, regression evidence and rollback</w:t>
            </w:r>
          </w:p>
        </w:tc>
      </w:tr>
      <w:tr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Generic provenance claims</w:t>
            </w:r>
          </w:p>
        </w:tc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Versioned model, data, adapter, dependency and custody records</w:t>
            </w:r>
          </w:p>
        </w:tc>
      </w:tr>
      <w:tr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No practical exit route</w:t>
            </w:r>
          </w:p>
        </w:tc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Export, deletion, continuity, replacement and dependency-removal plan</w:t>
            </w:r>
          </w:p>
        </w:tc>
      </w:tr>
    </w:tbl>
    <w:p>
      <w:pPr>
        <w:pStyle w:val="Heading1"/>
      </w:pPr>
      <w:r>
        <w:t>Financial and Programme Control</w:t>
      </w:r>
    </w:p>
    <w:p>
      <w:r>
        <w:t>The strongest financial controls are preventive: evidence rights before contract signature, staged acceptance, testable performance obligations, update/change clauses, incident notification, supportability, continuity and exit. Uncontrolled model changes and hidden dependencies convert technical uncertainty into programme delay and rework.</w:t>
      </w:r>
    </w:p>
    <w:p>
      <w:r>
        <w:br w:type="page"/>
      </w:r>
    </w:p>
    <w:p>
      <w:pPr>
        <w:pStyle w:val="Heading1"/>
      </w:pPr>
      <w:r>
        <w:t>Operational Assurance Model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5184"/>
            <w:vAlign w:val="center"/>
            <w:shd w:fill="011961"/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Executive evidence</w:t>
            </w:r>
          </w:p>
        </w:tc>
      </w:tr>
      <w:tr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Scope and classification</w:t>
            </w:r>
          </w:p>
        </w:tc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Approved mission context, consequence profile and authority state</w:t>
            </w:r>
          </w:p>
        </w:tc>
      </w:tr>
      <w:tr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Acquisition</w:t>
            </w:r>
          </w:p>
        </w:tc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Supplier evidence schedule, test rights, update and exit clauses</w:t>
            </w:r>
          </w:p>
        </w:tc>
      </w:tr>
      <w:tr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Acceptance</w:t>
            </w:r>
          </w:p>
        </w:tc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Independent security, safety, human-factor and operational test results</w:t>
            </w:r>
          </w:p>
        </w:tc>
      </w:tr>
      <w:tr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Deployment</w:t>
            </w:r>
          </w:p>
        </w:tc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Approved baseline, fallback, monitoring and suspension thresholds</w:t>
            </w:r>
          </w:p>
        </w:tc>
      </w:tr>
      <w:tr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Operation</w:t>
            </w:r>
          </w:p>
        </w:tc>
        <w:tc>
          <w:tcPr>
            <w:tcW w:type="dxa" w:w="5184"/>
            <w:vAlign w:val="center"/>
            <w:shd w:fill="FFFFFF"/>
          </w:tcPr>
          <w:p>
            <w:r/>
            <w:r>
              <w:rPr>
                <w:rFonts w:ascii="Arial" w:hAnsi="Arial"/>
                <w:b w:val="0"/>
                <w:sz w:val="16"/>
              </w:rPr>
              <w:t>Trend, incident, override, change and residual-risk reports</w:t>
            </w:r>
          </w:p>
        </w:tc>
      </w:tr>
      <w:tr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Retirement</w:t>
            </w:r>
          </w:p>
        </w:tc>
        <w:tc>
          <w:tcPr>
            <w:tcW w:type="dxa" w:w="5184"/>
            <w:vAlign w:val="center"/>
            <w:shd w:fill="F4F7FA"/>
          </w:tcPr>
          <w:p>
            <w:r/>
            <w:r>
              <w:rPr>
                <w:rFonts w:ascii="Arial" w:hAnsi="Arial"/>
                <w:b w:val="0"/>
                <w:sz w:val="16"/>
              </w:rPr>
              <w:t>Dependency removal, record preservation and data/model disposal</w:t>
            </w:r>
          </w:p>
        </w:tc>
      </w:tr>
    </w:tbl>
    <w:p>
      <w:pPr>
        <w:pStyle w:val="Heading1"/>
      </w:pPr>
      <w:r>
        <w:t>Escalation and Downgrade</w:t>
      </w:r>
    </w:p>
    <w:p>
      <w:r>
        <w:t>A system should be downgraded to a lower-risk role or suspended when evidence becomes stale, a material supplier or mission change occurs, monitoring crosses an approved threshold, or control effectiveness cannot be demonstrated. Authority to downgrade must be named in advance; it should not depend on ad hoc programme negotiation during an incident.</w:t>
      </w:r>
    </w:p>
    <w:p>
      <w:r>
        <w:br w:type="page"/>
      </w:r>
    </w:p>
    <w:p>
      <w:pPr>
        <w:pStyle w:val="Heading1"/>
      </w:pPr>
      <w:r>
        <w:t>Notably Absent</w:t>
      </w:r>
    </w:p>
    <w:p>
      <w:pPr>
        <w:pStyle w:val="ListBullet"/>
      </w:pPr>
      <w:r>
        <w:t>This brief does not establish legal, IHL, regulatory or export-control compliance.</w:t>
      </w:r>
    </w:p>
    <w:p>
      <w:pPr>
        <w:pStyle w:val="ListBullet"/>
      </w:pPr>
      <w:r>
        <w:t>It does not provide rules of engagement or authorise weapons employment.</w:t>
      </w:r>
    </w:p>
    <w:p>
      <w:pPr>
        <w:pStyle w:val="ListBullet"/>
      </w:pPr>
      <w:r>
        <w:t>It does not claim that certification, testing, logging or human presence eliminates operational risk.</w:t>
      </w:r>
    </w:p>
    <w:p>
      <w:pPr>
        <w:pStyle w:val="ListBullet"/>
      </w:pPr>
      <w:r>
        <w:t>It does not establish universal acceptance thresholds for defence systems.</w:t>
      </w:r>
    </w:p>
    <w:p>
      <w:pPr>
        <w:pStyle w:val="Heading1"/>
      </w:pPr>
      <w:r>
        <w:t>Publication Status</w:t>
      </w:r>
    </w:p>
    <w:p>
      <w:r>
        <w:t>Controlled pre-release candidate. Defence technical, cybersecurity, safety, human-factors, operational T&amp;E, autonomy, legal/IHL, export-control, classified-handling and final publication approvals remain open. IHL review is planned before full publication; findings will be incorporated or documented as limitations.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© 2026 ODA3 Pvt Ltd | Published by ODA3 Institute | GEL 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SEC-040 | GAISSF® Defence Sector Executive Brief | Controlled pre-release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1196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D8C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D1B2E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1196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