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011961"/>
          <w:sz w:val="36"/>
        </w:rPr>
        <w:t>GAISSF® v1.0</w:t>
      </w:r>
    </w:p>
    <w:p>
      <w:pPr>
        <w:jc w:val="center"/>
      </w:pPr>
      <w:r>
        <w:rPr>
          <w:rFonts w:ascii="Arial" w:hAnsi="Arial"/>
          <w:b/>
          <w:color w:val="011961"/>
          <w:sz w:val="54"/>
        </w:rPr>
        <w:t>Defence Sector Implementation Guide</w:t>
      </w:r>
    </w:p>
    <w:p>
      <w:pPr>
        <w:jc w:val="center"/>
      </w:pPr>
      <w:r>
        <w:rPr>
          <w:b/>
        </w:rPr>
        <w:t>Website summary | SEC-040 v1.0</w:t>
      </w:r>
    </w:p>
    <w:p>
      <w:pPr>
        <w:jc w:val="center"/>
      </w:pPr>
      <w:r>
        <w:rPr>
          <w:b/>
          <w:color w:val="A61B1B"/>
        </w:rPr>
        <w:t>PUBLICATION GATE: OPEN - CONTROLLED PRE-RELEASE DRAFT FOR PEER REVIEW</w:t>
      </w:r>
    </w:p>
    <w:p>
      <w:pPr>
        <w:pStyle w:val="Heading1"/>
      </w:pPr>
      <w:r>
        <w:t>Purpose</w:t>
      </w:r>
    </w:p>
    <w:p>
      <w:r>
        <w:t>Practitioner guidance for applying the 59-control GAISSF baseline to defence AI systems.</w:t>
      </w:r>
    </w:p>
    <w:p>
      <w:pPr>
        <w:pStyle w:val="Heading1"/>
      </w:pPr>
      <w:r>
        <w:t>Coordinated publication pair</w:t>
      </w:r>
    </w:p>
    <w:p>
      <w:r>
        <w:t>Technical Guide for practitioners and a separate Executive Brief for boards, executives and risk committees.</w:t>
      </w:r>
    </w:p>
    <w:p>
      <w:pPr>
        <w:pStyle w:val="Heading1"/>
      </w:pPr>
      <w:r>
        <w:t>Coverage</w:t>
      </w:r>
    </w:p>
    <w:p>
      <w:r>
        <w:t>Mission context, authority, data/model provenance, adversarial security, autonomy, suppliers, testing, monitoring, incidents and evidence.</w:t>
      </w:r>
    </w:p>
    <w:p>
      <w:pPr>
        <w:pStyle w:val="Heading1"/>
      </w:pPr>
      <w:r>
        <w:t>Notably Absent</w:t>
      </w:r>
    </w:p>
    <w:p>
      <w:r>
        <w:t>No legal or IHL compliance claim, rules of engagement, weapons-employment authority, product certification or guarantee of safety, security or mission effectiveness.</w:t>
      </w:r>
    </w:p>
    <w:p>
      <w:pPr>
        <w:pStyle w:val="Heading1"/>
      </w:pPr>
      <w:r>
        <w:t>Status</w:t>
      </w:r>
    </w:p>
    <w:p>
      <w:r>
        <w:t>Controlled pre-release candidate. Specialist and final approval gates remain open.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© 2026 ODA3 Pvt Ltd | Published by ODA3 Institute | GEL v1.0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t>SEC-040 | Website Summary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11961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D8C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D1B2E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1196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