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ODA3 Institute</w:t>
      </w:r>
    </w:p>
    <w:p>
      <w:pPr>
        <w:jc w:val="center"/>
      </w:pPr>
      <w:r>
        <w:rPr>
          <w:b/>
          <w:sz w:val="50"/>
        </w:rPr>
        <w:t>GAISSF Energy Sector Implementation Guide</w:t>
      </w:r>
    </w:p>
    <w:p>
      <w:pPr>
        <w:jc w:val="center"/>
      </w:pPr>
      <w:r>
        <w:rPr>
          <w:i/>
        </w:rPr>
        <w:t>Operational interpretation of GAISSF v1.0 for electricity, oil and gas, storage, renewables and energy-market environments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8"/>
              </w:rPr>
              <w:t>Field</w:t>
            </w:r>
          </w:p>
        </w:tc>
        <w:tc>
          <w:tcPr>
            <w:tcW w:type="dxa" w:w="5112"/>
            <w:shd w:fill="17365D"/>
          </w:tcPr>
          <w:p>
            <w:r>
              <w:rPr>
                <w:b/>
                <w:sz w:val="18"/>
              </w:rPr>
              <w:t>Value</w:t>
            </w:r>
          </w:p>
        </w:tc>
      </w:tr>
      <w:tr>
        <w:tc>
          <w:tcPr>
            <w:tcW w:type="dxa" w:w="5112"/>
            <w:vAlign w:val="top"/>
          </w:tcPr>
          <w:p>
            <w:r>
              <w:rPr>
                <w:sz w:val="18"/>
              </w:rPr>
              <w:t>Document ID</w:t>
            </w:r>
          </w:p>
        </w:tc>
        <w:tc>
          <w:tcPr>
            <w:tcW w:type="dxa" w:w="5112"/>
            <w:vAlign w:val="top"/>
          </w:tcPr>
          <w:p>
            <w:r>
              <w:rPr>
                <w:sz w:val="18"/>
              </w:rPr>
              <w:t>SEC-044</w:t>
            </w:r>
          </w:p>
        </w:tc>
      </w:tr>
      <w:tr>
        <w:tc>
          <w:tcPr>
            <w:tcW w:type="dxa" w:w="5112"/>
            <w:vAlign w:val="top"/>
          </w:tcPr>
          <w:p>
            <w:r>
              <w:rPr>
                <w:sz w:val="18"/>
              </w:rPr>
              <w:t>Version</w:t>
            </w:r>
          </w:p>
        </w:tc>
        <w:tc>
          <w:tcPr>
            <w:tcW w:type="dxa" w:w="5112"/>
            <w:vAlign w:val="top"/>
          </w:tcPr>
          <w:p>
            <w:r>
              <w:rPr>
                <w:sz w:val="18"/>
              </w:rPr>
              <w:t>1.0</w:t>
            </w:r>
          </w:p>
        </w:tc>
      </w:tr>
      <w:tr>
        <w:tc>
          <w:tcPr>
            <w:tcW w:type="dxa" w:w="5112"/>
            <w:vAlign w:val="top"/>
          </w:tcPr>
          <w:p>
            <w:r>
              <w:rPr>
                <w:sz w:val="18"/>
              </w:rPr>
              <w:t>Classification</w:t>
            </w:r>
          </w:p>
        </w:tc>
        <w:tc>
          <w:tcPr>
            <w:tcW w:type="dxa" w:w="5112"/>
            <w:vAlign w:val="top"/>
          </w:tcPr>
          <w:p>
            <w:r>
              <w:rPr>
                <w:sz w:val="18"/>
              </w:rPr>
              <w:t>Informative sector implementation guidance</w:t>
            </w:r>
          </w:p>
        </w:tc>
      </w:tr>
      <w:tr>
        <w:tc>
          <w:tcPr>
            <w:tcW w:type="dxa" w:w="5112"/>
            <w:vAlign w:val="top"/>
          </w:tcPr>
          <w:p>
            <w:r>
              <w:rPr>
                <w:sz w:val="18"/>
              </w:rPr>
              <w:t>Status</w:t>
            </w:r>
          </w:p>
        </w:tc>
        <w:tc>
          <w:tcPr>
            <w:tcW w:type="dxa" w:w="5112"/>
            <w:vAlign w:val="top"/>
          </w:tcPr>
          <w:p>
            <w:r>
              <w:rPr>
                <w:sz w:val="18"/>
              </w:rPr>
              <w:t>Publication Candidate - specialist approvals open</w:t>
            </w:r>
          </w:p>
        </w:tc>
      </w:tr>
      <w:tr>
        <w:tc>
          <w:tcPr>
            <w:tcW w:type="dxa" w:w="5112"/>
            <w:vAlign w:val="top"/>
          </w:tcPr>
          <w:p>
            <w:r>
              <w:rPr>
                <w:sz w:val="18"/>
              </w:rPr>
              <w:t>Publisher</w:t>
            </w:r>
          </w:p>
        </w:tc>
        <w:tc>
          <w:tcPr>
            <w:tcW w:type="dxa" w:w="5112"/>
            <w:vAlign w:val="top"/>
          </w:tcPr>
          <w:p>
            <w:r>
              <w:rPr>
                <w:sz w:val="18"/>
              </w:rPr>
              <w:t>ODA3 Institute</w:t>
            </w:r>
          </w:p>
        </w:tc>
      </w:tr>
      <w:tr>
        <w:tc>
          <w:tcPr>
            <w:tcW w:type="dxa" w:w="5112"/>
            <w:vAlign w:val="top"/>
          </w:tcPr>
          <w:p>
            <w:r>
              <w:rPr>
                <w:sz w:val="18"/>
              </w:rPr>
              <w:t>Publication date</w:t>
            </w:r>
          </w:p>
        </w:tc>
        <w:tc>
          <w:tcPr>
            <w:tcW w:type="dxa" w:w="5112"/>
            <w:vAlign w:val="top"/>
          </w:tcPr>
          <w:p>
            <w:r>
              <w:rPr>
                <w:sz w:val="18"/>
              </w:rPr>
              <w:t>30 June 2026</w:t>
            </w:r>
          </w:p>
        </w:tc>
      </w:tr>
      <w:tr>
        <w:tc>
          <w:tcPr>
            <w:tcW w:type="dxa" w:w="5112"/>
            <w:vAlign w:val="top"/>
          </w:tcPr>
          <w:p>
            <w:r>
              <w:rPr>
                <w:sz w:val="18"/>
              </w:rPr>
              <w:t>Authoritative source</w:t>
            </w:r>
          </w:p>
        </w:tc>
        <w:tc>
          <w:tcPr>
            <w:tcW w:type="dxa" w:w="5112"/>
            <w:vAlign w:val="top"/>
          </w:tcPr>
          <w:p>
            <w:r>
              <w:rPr>
                <w:sz w:val="18"/>
              </w:rPr>
              <w:t>GAISSF-NOR-001 v1.0</w:t>
            </w:r>
          </w:p>
        </w:tc>
      </w:tr>
      <w:tr>
        <w:tc>
          <w:tcPr>
            <w:tcW w:type="dxa" w:w="5112"/>
            <w:vAlign w:val="top"/>
          </w:tcPr>
          <w:p>
            <w:r>
              <w:rPr>
                <w:sz w:val="18"/>
              </w:rPr>
              <w:t>Control baseline</w:t>
            </w:r>
          </w:p>
        </w:tc>
        <w:tc>
          <w:tcPr>
            <w:tcW w:type="dxa" w:w="5112"/>
            <w:vAlign w:val="top"/>
          </w:tcPr>
          <w:p>
            <w:r>
              <w:rPr>
                <w:sz w:val="18"/>
              </w:rPr>
              <w:t>59 controls across D1-D9</w:t>
            </w:r>
          </w:p>
        </w:tc>
      </w:tr>
      <w:tr>
        <w:tc>
          <w:tcPr>
            <w:tcW w:type="dxa" w:w="5112"/>
            <w:vAlign w:val="top"/>
          </w:tcPr>
          <w:p>
            <w:r>
              <w:rPr>
                <w:sz w:val="18"/>
              </w:rPr>
              <w:t>Publication channel</w:t>
            </w:r>
          </w:p>
        </w:tc>
        <w:tc>
          <w:tcPr>
            <w:tcW w:type="dxa" w:w="5112"/>
            <w:vAlign w:val="top"/>
          </w:tcPr>
          <w:p>
            <w:r>
              <w:rPr>
                <w:sz w:val="18"/>
              </w:rPr>
              <w:t>Website / GitHub</w:t>
            </w:r>
          </w:p>
        </w:tc>
      </w:tr>
    </w:tbl>
    <w:p>
      <w:r>
        <w:t>© 2026 ODA3 Pvt Ltd. All rights reserved. Published by ODA3 Institute.</w:t>
      </w:r>
    </w:p>
    <w:p>
      <w:r>
        <w:t>This document does not constitute legal, regulatory, engineering, safety, audit or certification advice and does not guarantee security, safety, reliability, compliance or absence of harmful outcomes.</w:t>
      </w:r>
    </w:p>
    <w:p>
      <w:r>
        <w:br w:type="page"/>
      </w:r>
    </w:p>
    <w:p>
      <w:pPr>
        <w:pStyle w:val="Heading1"/>
      </w:pPr>
      <w:r>
        <w:t>Document control and precedence</w:t>
      </w:r>
    </w:p>
    <w:p>
      <w:r>
        <w:t>GAISSF-NOR-001 is the authoritative normative source. This guide is informative and does not amend, replace, narrow or create GAISSF requirements. The F/O/A sequencing labels in this guide are implementation aids, not GAISSF conformance tiers and not universal priorities.</w:t>
      </w:r>
    </w:p>
    <w:p>
      <w:pPr>
        <w:pStyle w:val="Heading1"/>
      </w:pPr>
      <w:r>
        <w:t>Executive overview</w:t>
      </w:r>
    </w:p>
    <w:p>
      <w:r>
        <w:t>Energy-sector AI can influence planning, maintenance, cybersecurity, markets, restoration and physical operation. Risk increases materially when AI output can affect commands, operating envelopes, safety functions, grid or process stability, essential customer service or emergency restoration. The implementation objective is to bound authority, preserve independent protection, test realistic failure modes and retain reconstructable evidence.</w:t>
      </w:r>
    </w:p>
    <w:p>
      <w:pPr>
        <w:pStyle w:val="ListBullet"/>
      </w:pPr>
      <w:r>
        <w:t>Accountability remains with the energy organisation even where models, cloud services, data or support are outsourced.</w:t>
      </w:r>
    </w:p>
    <w:p>
      <w:pPr>
        <w:pStyle w:val="ListBullet"/>
      </w:pPr>
      <w:r>
        <w:t>Recommendation, approval, scheduling, command, physical actuation and verified outcome are separate control states.</w:t>
      </w:r>
    </w:p>
    <w:p>
      <w:pPr>
        <w:pStyle w:val="ListBullet"/>
      </w:pPr>
      <w:r>
        <w:t>Model accuracy is not evidence of operational safety; degraded-mode, communications-loss, fallback and recovery require validation.</w:t>
      </w:r>
    </w:p>
    <w:p>
      <w:pPr>
        <w:pStyle w:val="ListBullet"/>
      </w:pPr>
      <w:r>
        <w:t>Human presence is not effective oversight without competence, information, time, authority, override and escalation.</w:t>
      </w:r>
    </w:p>
    <w:p>
      <w:pPr>
        <w:pStyle w:val="ListBullet"/>
      </w:pPr>
      <w:r>
        <w:t>Crosswalks support analysis but do not prove legal or regulatory equivalence.</w:t>
      </w:r>
    </w:p>
    <w:p>
      <w:pPr>
        <w:pStyle w:val="Heading1"/>
      </w:pPr>
      <w:r>
        <w:t>Scope, exclusions and applicability</w:t>
      </w:r>
    </w:p>
    <w:p>
      <w:r>
        <w:t>The guide covers electricity generation, transmission, distribution, markets and retail; oil and gas; renewable generation; energy storage; hydrogen; field operations; customer systems; enterprise functions and supporting cybersecurity. Nuclear applications require specialist nuclear safety, security and regulatory review. Aviation assurance references are contextual only where airborne systems are actually in scope.</w:t>
      </w:r>
    </w:p>
    <w:p>
      <w:pPr>
        <w:pStyle w:val="Heading2"/>
      </w:pPr>
      <w:r>
        <w:t>Not Applicable criteria</w:t>
      </w:r>
    </w:p>
    <w:p>
      <w:pPr>
        <w:pStyle w:val="ListBullet"/>
      </w:pPr>
      <w:r>
        <w:t>A control may be marked Not Applicable only where the system boundary is explicit and evidence shows the addressed risk is absent.</w:t>
      </w:r>
    </w:p>
    <w:p>
      <w:pPr>
        <w:pStyle w:val="ListBullet"/>
      </w:pPr>
      <w:r>
        <w:t>The rationale must be approved by an accountable owner and include a reassessment trigger.</w:t>
      </w:r>
    </w:p>
    <w:p>
      <w:pPr>
        <w:pStyle w:val="ListBullet"/>
      </w:pPr>
      <w:r>
        <w:t>Technical difficulty, cost, supplier refusal or low maturity does not make a control Not Applicable; those conditions require treatment, compensation or accepted residual risk.</w:t>
      </w:r>
    </w:p>
    <w:p>
      <w:pPr>
        <w:pStyle w:val="ListBullet"/>
      </w:pPr>
      <w:r>
        <w:t>Example: a purely analytical load-forecast model with no actuator, SCADA or command interface may justify non-applicability of a direct physical-actuation control, subject to documented verification.</w:t>
      </w:r>
    </w:p>
    <w:p>
      <w:pPr>
        <w:pStyle w:val="Heading1"/>
      </w:pPr>
      <w:r>
        <w:t>Operational Technology and AI: a primer</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Concept</w:t>
            </w:r>
          </w:p>
        </w:tc>
        <w:tc>
          <w:tcPr>
            <w:tcW w:type="dxa" w:w="5112"/>
            <w:shd w:fill="17365D"/>
          </w:tcPr>
          <w:p>
            <w:r>
              <w:rPr>
                <w:b/>
                <w:sz w:val="16"/>
              </w:rPr>
              <w:t>Energy-sector meaning</w:t>
            </w:r>
          </w:p>
        </w:tc>
      </w:tr>
      <w:tr>
        <w:tc>
          <w:tcPr>
            <w:tcW w:type="dxa" w:w="5112"/>
            <w:vAlign w:val="top"/>
          </w:tcPr>
          <w:p>
            <w:r>
              <w:rPr>
                <w:sz w:val="16"/>
              </w:rPr>
              <w:t>IT and OT objectives</w:t>
            </w:r>
          </w:p>
        </w:tc>
        <w:tc>
          <w:tcPr>
            <w:tcW w:type="dxa" w:w="5112"/>
            <w:vAlign w:val="top"/>
          </w:tcPr>
          <w:p>
            <w:r>
              <w:rPr>
                <w:sz w:val="16"/>
              </w:rPr>
              <w:t>IT commonly emphasises confidentiality, integrity and availability. OT often orders priorities as availability, integrity and confidentiality, while safety and resilience remain separate critical outcomes.</w:t>
            </w:r>
          </w:p>
        </w:tc>
      </w:tr>
      <w:tr>
        <w:tc>
          <w:tcPr>
            <w:tcW w:type="dxa" w:w="5112"/>
            <w:vAlign w:val="top"/>
          </w:tcPr>
          <w:p>
            <w:r>
              <w:rPr>
                <w:sz w:val="16"/>
              </w:rPr>
              <w:t>Deterministic control vs probabilistic AI</w:t>
            </w:r>
          </w:p>
        </w:tc>
        <w:tc>
          <w:tcPr>
            <w:tcW w:type="dxa" w:w="5112"/>
            <w:vAlign w:val="top"/>
          </w:tcPr>
          <w:p>
            <w:r>
              <w:rPr>
                <w:sz w:val="16"/>
              </w:rPr>
              <w:t>Control and protection functions require predictable bounded behaviour. AI output is probabilistic and should not silently replace deterministic constraints, interlocks or protection logic.</w:t>
            </w:r>
          </w:p>
        </w:tc>
      </w:tr>
      <w:tr>
        <w:tc>
          <w:tcPr>
            <w:tcW w:type="dxa" w:w="5112"/>
            <w:vAlign w:val="top"/>
          </w:tcPr>
          <w:p>
            <w:r>
              <w:rPr>
                <w:sz w:val="16"/>
              </w:rPr>
              <w:t>Purdue-style layering</w:t>
            </w:r>
          </w:p>
        </w:tc>
        <w:tc>
          <w:tcPr>
            <w:tcW w:type="dxa" w:w="5112"/>
            <w:vAlign w:val="top"/>
          </w:tcPr>
          <w:p>
            <w:r>
              <w:rPr>
                <w:sz w:val="16"/>
              </w:rPr>
              <w:t>AI may appear in enterprise, operations-management, supervisory, control or edge layers. Trust boundaries and permitted data/command flows must be explicit; the model is a reference pattern, not a mandatory architecture.</w:t>
            </w:r>
          </w:p>
        </w:tc>
      </w:tr>
      <w:tr>
        <w:tc>
          <w:tcPr>
            <w:tcW w:type="dxa" w:w="5112"/>
            <w:vAlign w:val="top"/>
          </w:tcPr>
          <w:p>
            <w:r>
              <w:rPr>
                <w:sz w:val="16"/>
              </w:rPr>
              <w:t>Independent Protection Layer</w:t>
            </w:r>
          </w:p>
        </w:tc>
        <w:tc>
          <w:tcPr>
            <w:tcW w:type="dxa" w:w="5112"/>
            <w:vAlign w:val="top"/>
          </w:tcPr>
          <w:p>
            <w:r>
              <w:rPr>
                <w:sz w:val="16"/>
              </w:rPr>
              <w:t>A protection layer reduces risk independently of the initiating event and the AI path. AI must not be the sole protection against a hazard it can create or fail to detect.</w:t>
            </w:r>
          </w:p>
        </w:tc>
      </w:tr>
      <w:tr>
        <w:tc>
          <w:tcPr>
            <w:tcW w:type="dxa" w:w="5112"/>
            <w:vAlign w:val="top"/>
          </w:tcPr>
          <w:p>
            <w:r>
              <w:rPr>
                <w:sz w:val="16"/>
              </w:rPr>
              <w:t>Safety instrumented/protection systems</w:t>
            </w:r>
          </w:p>
        </w:tc>
        <w:tc>
          <w:tcPr>
            <w:tcW w:type="dxa" w:w="5112"/>
            <w:vAlign w:val="top"/>
          </w:tcPr>
          <w:p>
            <w:r>
              <w:rPr>
                <w:sz w:val="16"/>
              </w:rPr>
              <w:t>Safety and protection functions require specialist engineering and lifecycle assurance. AI should not bypass or weaken their independence, integrity or safe-state behaviour.</w:t>
            </w:r>
          </w:p>
        </w:tc>
      </w:tr>
    </w:tbl>
    <w:p>
      <w:pPr>
        <w:pStyle w:val="Heading1"/>
      </w:pPr>
      <w:r>
        <w:t>Energy AI system taxonomy</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17365D"/>
          </w:tcPr>
          <w:p>
            <w:r>
              <w:rPr>
                <w:b/>
                <w:sz w:val="16"/>
              </w:rPr>
              <w:t>Class</w:t>
            </w:r>
          </w:p>
        </w:tc>
        <w:tc>
          <w:tcPr>
            <w:tcW w:type="dxa" w:w="2556"/>
            <w:shd w:fill="17365D"/>
          </w:tcPr>
          <w:p>
            <w:r>
              <w:rPr>
                <w:b/>
                <w:sz w:val="16"/>
              </w:rPr>
              <w:t>Role</w:t>
            </w:r>
          </w:p>
        </w:tc>
        <w:tc>
          <w:tcPr>
            <w:tcW w:type="dxa" w:w="2556"/>
            <w:shd w:fill="17365D"/>
          </w:tcPr>
          <w:p>
            <w:r>
              <w:rPr>
                <w:b/>
                <w:sz w:val="16"/>
              </w:rPr>
              <w:t>Authority</w:t>
            </w:r>
          </w:p>
        </w:tc>
        <w:tc>
          <w:tcPr>
            <w:tcW w:type="dxa" w:w="2556"/>
            <w:shd w:fill="17365D"/>
          </w:tcPr>
          <w:p>
            <w:r>
              <w:rPr>
                <w:b/>
                <w:sz w:val="16"/>
              </w:rPr>
              <w:t>Assurance expectation</w:t>
            </w:r>
          </w:p>
        </w:tc>
      </w:tr>
      <w:tr>
        <w:tc>
          <w:tcPr>
            <w:tcW w:type="dxa" w:w="2556"/>
            <w:vAlign w:val="top"/>
          </w:tcPr>
          <w:p>
            <w:r>
              <w:rPr>
                <w:sz w:val="16"/>
              </w:rPr>
              <w:t>1</w:t>
            </w:r>
          </w:p>
        </w:tc>
        <w:tc>
          <w:tcPr>
            <w:tcW w:type="dxa" w:w="2556"/>
            <w:vAlign w:val="top"/>
          </w:tcPr>
          <w:p>
            <w:r>
              <w:rPr>
                <w:sz w:val="16"/>
              </w:rPr>
              <w:t>Enterprise support</w:t>
            </w:r>
          </w:p>
        </w:tc>
        <w:tc>
          <w:tcPr>
            <w:tcW w:type="dxa" w:w="2556"/>
            <w:vAlign w:val="top"/>
          </w:tcPr>
          <w:p>
            <w:r>
              <w:rPr>
                <w:sz w:val="16"/>
              </w:rPr>
              <w:t>No operational authority</w:t>
            </w:r>
          </w:p>
        </w:tc>
        <w:tc>
          <w:tcPr>
            <w:tcW w:type="dxa" w:w="2556"/>
            <w:vAlign w:val="top"/>
          </w:tcPr>
          <w:p>
            <w:r>
              <w:rPr>
                <w:sz w:val="16"/>
              </w:rPr>
              <w:t>Standard governance, security and evidence.</w:t>
            </w:r>
          </w:p>
        </w:tc>
      </w:tr>
      <w:tr>
        <w:tc>
          <w:tcPr>
            <w:tcW w:type="dxa" w:w="2556"/>
            <w:vAlign w:val="top"/>
          </w:tcPr>
          <w:p>
            <w:r>
              <w:rPr>
                <w:sz w:val="16"/>
              </w:rPr>
              <w:t>2</w:t>
            </w:r>
          </w:p>
        </w:tc>
        <w:tc>
          <w:tcPr>
            <w:tcW w:type="dxa" w:w="2556"/>
            <w:vAlign w:val="top"/>
          </w:tcPr>
          <w:p>
            <w:r>
              <w:rPr>
                <w:sz w:val="16"/>
              </w:rPr>
              <w:t>Operational advisory</w:t>
            </w:r>
          </w:p>
        </w:tc>
        <w:tc>
          <w:tcPr>
            <w:tcW w:type="dxa" w:w="2556"/>
            <w:vAlign w:val="top"/>
          </w:tcPr>
          <w:p>
            <w:r>
              <w:rPr>
                <w:sz w:val="16"/>
              </w:rPr>
              <w:t>Recommendation only</w:t>
            </w:r>
          </w:p>
        </w:tc>
        <w:tc>
          <w:tcPr>
            <w:tcW w:type="dxa" w:w="2556"/>
            <w:vAlign w:val="top"/>
          </w:tcPr>
          <w:p>
            <w:r>
              <w:rPr>
                <w:sz w:val="16"/>
              </w:rPr>
              <w:t>Representative validation and operator review.</w:t>
            </w:r>
          </w:p>
        </w:tc>
      </w:tr>
      <w:tr>
        <w:tc>
          <w:tcPr>
            <w:tcW w:type="dxa" w:w="2556"/>
            <w:vAlign w:val="top"/>
          </w:tcPr>
          <w:p>
            <w:r>
              <w:rPr>
                <w:sz w:val="16"/>
              </w:rPr>
              <w:t>3</w:t>
            </w:r>
          </w:p>
        </w:tc>
        <w:tc>
          <w:tcPr>
            <w:tcW w:type="dxa" w:w="2556"/>
            <w:vAlign w:val="top"/>
          </w:tcPr>
          <w:p>
            <w:r>
              <w:rPr>
                <w:sz w:val="16"/>
              </w:rPr>
              <w:t>Operational decision support</w:t>
            </w:r>
          </w:p>
        </w:tc>
        <w:tc>
          <w:tcPr>
            <w:tcW w:type="dxa" w:w="2556"/>
            <w:vAlign w:val="top"/>
          </w:tcPr>
          <w:p>
            <w:r>
              <w:rPr>
                <w:sz w:val="16"/>
              </w:rPr>
              <w:t>Influences material decision</w:t>
            </w:r>
          </w:p>
        </w:tc>
        <w:tc>
          <w:tcPr>
            <w:tcW w:type="dxa" w:w="2556"/>
            <w:vAlign w:val="top"/>
          </w:tcPr>
          <w:p>
            <w:r>
              <w:rPr>
                <w:sz w:val="16"/>
              </w:rPr>
              <w:t>Independent validation, uncertainty display and tested fallback.</w:t>
            </w:r>
          </w:p>
        </w:tc>
      </w:tr>
      <w:tr>
        <w:tc>
          <w:tcPr>
            <w:tcW w:type="dxa" w:w="2556"/>
            <w:vAlign w:val="top"/>
          </w:tcPr>
          <w:p>
            <w:r>
              <w:rPr>
                <w:sz w:val="16"/>
              </w:rPr>
              <w:t>4</w:t>
            </w:r>
          </w:p>
        </w:tc>
        <w:tc>
          <w:tcPr>
            <w:tcW w:type="dxa" w:w="2556"/>
            <w:vAlign w:val="top"/>
          </w:tcPr>
          <w:p>
            <w:r>
              <w:rPr>
                <w:sz w:val="16"/>
              </w:rPr>
              <w:t>High-impact automated</w:t>
            </w:r>
          </w:p>
        </w:tc>
        <w:tc>
          <w:tcPr>
            <w:tcW w:type="dxa" w:w="2556"/>
            <w:vAlign w:val="top"/>
          </w:tcPr>
          <w:p>
            <w:r>
              <w:rPr>
                <w:sz w:val="16"/>
              </w:rPr>
              <w:t>Executes bounded action/workflow</w:t>
            </w:r>
          </w:p>
        </w:tc>
        <w:tc>
          <w:tcPr>
            <w:tcW w:type="dxa" w:w="2556"/>
            <w:vAlign w:val="top"/>
          </w:tcPr>
          <w:p>
            <w:r>
              <w:rPr>
                <w:sz w:val="16"/>
              </w:rPr>
              <w:t>Machine identity, action constraints, monitoring, rollback and stronger assurance.</w:t>
            </w:r>
          </w:p>
        </w:tc>
      </w:tr>
      <w:tr>
        <w:tc>
          <w:tcPr>
            <w:tcW w:type="dxa" w:w="2556"/>
            <w:vAlign w:val="top"/>
          </w:tcPr>
          <w:p>
            <w:r>
              <w:rPr>
                <w:sz w:val="16"/>
              </w:rPr>
              <w:t>5</w:t>
            </w:r>
          </w:p>
        </w:tc>
        <w:tc>
          <w:tcPr>
            <w:tcW w:type="dxa" w:w="2556"/>
            <w:vAlign w:val="top"/>
          </w:tcPr>
          <w:p>
            <w:r>
              <w:rPr>
                <w:sz w:val="16"/>
              </w:rPr>
              <w:t>Closed-loop or safety-relevant</w:t>
            </w:r>
          </w:p>
        </w:tc>
        <w:tc>
          <w:tcPr>
            <w:tcW w:type="dxa" w:w="2556"/>
            <w:vAlign w:val="top"/>
          </w:tcPr>
          <w:p>
            <w:r>
              <w:rPr>
                <w:sz w:val="16"/>
              </w:rPr>
              <w:t>Direct physical or safety consequence</w:t>
            </w:r>
          </w:p>
        </w:tc>
        <w:tc>
          <w:tcPr>
            <w:tcW w:type="dxa" w:w="2556"/>
            <w:vAlign w:val="top"/>
          </w:tcPr>
          <w:p>
            <w:r>
              <w:rPr>
                <w:sz w:val="16"/>
              </w:rPr>
              <w:t>Independent protection, safe state, override, simulation/HIL where feasible, and ordinarily A4-A5 assurance.</w:t>
            </w:r>
          </w:p>
        </w:tc>
      </w:tr>
    </w:tbl>
    <w:p>
      <w:pPr>
        <w:pStyle w:val="Heading1"/>
      </w:pPr>
      <w:r>
        <w:t>Energy risk model: Confidentiality, Integrity, Availability, Safety and Resilience</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17365D"/>
          </w:tcPr>
          <w:p>
            <w:r>
              <w:rPr>
                <w:b/>
                <w:sz w:val="16"/>
              </w:rPr>
              <w:t>Dimension</w:t>
            </w:r>
          </w:p>
        </w:tc>
        <w:tc>
          <w:tcPr>
            <w:tcW w:type="dxa" w:w="3408"/>
            <w:shd w:fill="17365D"/>
          </w:tcPr>
          <w:p>
            <w:r>
              <w:rPr>
                <w:b/>
                <w:sz w:val="16"/>
              </w:rPr>
              <w:t>Definition in energy AI</w:t>
            </w:r>
          </w:p>
        </w:tc>
        <w:tc>
          <w:tcPr>
            <w:tcW w:type="dxa" w:w="3408"/>
            <w:shd w:fill="17365D"/>
          </w:tcPr>
          <w:p>
            <w:r>
              <w:rPr>
                <w:b/>
                <w:sz w:val="16"/>
              </w:rPr>
              <w:t>Representative questions</w:t>
            </w:r>
          </w:p>
        </w:tc>
      </w:tr>
      <w:tr>
        <w:tc>
          <w:tcPr>
            <w:tcW w:type="dxa" w:w="3408"/>
            <w:vAlign w:val="top"/>
          </w:tcPr>
          <w:p>
            <w:r>
              <w:rPr>
                <w:sz w:val="16"/>
              </w:rPr>
              <w:t>Confidentiality</w:t>
            </w:r>
          </w:p>
        </w:tc>
        <w:tc>
          <w:tcPr>
            <w:tcW w:type="dxa" w:w="3408"/>
            <w:vAlign w:val="top"/>
          </w:tcPr>
          <w:p>
            <w:r>
              <w:rPr>
                <w:sz w:val="16"/>
              </w:rPr>
              <w:t>Protection of sensitive topology, asset, vulnerability, customer, commercial and operational data.</w:t>
            </w:r>
          </w:p>
        </w:tc>
        <w:tc>
          <w:tcPr>
            <w:tcW w:type="dxa" w:w="3408"/>
            <w:vAlign w:val="top"/>
          </w:tcPr>
          <w:p>
            <w:r>
              <w:rPr>
                <w:sz w:val="16"/>
              </w:rPr>
              <w:t>Could disclosure enable physical, cyber, privacy, market or competitive harm?</w:t>
            </w:r>
          </w:p>
        </w:tc>
      </w:tr>
      <w:tr>
        <w:tc>
          <w:tcPr>
            <w:tcW w:type="dxa" w:w="3408"/>
            <w:vAlign w:val="top"/>
          </w:tcPr>
          <w:p>
            <w:r>
              <w:rPr>
                <w:sz w:val="16"/>
              </w:rPr>
              <w:t>Integrity</w:t>
            </w:r>
          </w:p>
        </w:tc>
        <w:tc>
          <w:tcPr>
            <w:tcW w:type="dxa" w:w="3408"/>
            <w:vAlign w:val="top"/>
          </w:tcPr>
          <w:p>
            <w:r>
              <w:rPr>
                <w:sz w:val="16"/>
              </w:rPr>
              <w:t>Confidence that data, model, configuration, recommendation, command and record are complete, authentic and unmanipulated.</w:t>
            </w:r>
          </w:p>
        </w:tc>
        <w:tc>
          <w:tcPr>
            <w:tcW w:type="dxa" w:w="3408"/>
            <w:vAlign w:val="top"/>
          </w:tcPr>
          <w:p>
            <w:r>
              <w:rPr>
                <w:sz w:val="16"/>
              </w:rPr>
              <w:t>Can the organisation detect poisoned data, altered topology, substituted models or modified commands?</w:t>
            </w:r>
          </w:p>
        </w:tc>
      </w:tr>
      <w:tr>
        <w:tc>
          <w:tcPr>
            <w:tcW w:type="dxa" w:w="3408"/>
            <w:vAlign w:val="top"/>
          </w:tcPr>
          <w:p>
            <w:r>
              <w:rPr>
                <w:sz w:val="16"/>
              </w:rPr>
              <w:t>Availability</w:t>
            </w:r>
          </w:p>
        </w:tc>
        <w:tc>
          <w:tcPr>
            <w:tcW w:type="dxa" w:w="3408"/>
            <w:vAlign w:val="top"/>
          </w:tcPr>
          <w:p>
            <w:r>
              <w:rPr>
                <w:sz w:val="16"/>
              </w:rPr>
              <w:t>Ability to provide required capability within operational time constraints without unsafe dependence.</w:t>
            </w:r>
          </w:p>
        </w:tc>
        <w:tc>
          <w:tcPr>
            <w:tcW w:type="dxa" w:w="3408"/>
            <w:vAlign w:val="top"/>
          </w:tcPr>
          <w:p>
            <w:r>
              <w:rPr>
                <w:sz w:val="16"/>
              </w:rPr>
              <w:t>What happens during cloud, telecom, data-source, model-service or identity-system loss?</w:t>
            </w:r>
          </w:p>
        </w:tc>
      </w:tr>
      <w:tr>
        <w:tc>
          <w:tcPr>
            <w:tcW w:type="dxa" w:w="3408"/>
            <w:vAlign w:val="top"/>
          </w:tcPr>
          <w:p>
            <w:r>
              <w:rPr>
                <w:sz w:val="16"/>
              </w:rPr>
              <w:t>Safety</w:t>
            </w:r>
          </w:p>
        </w:tc>
        <w:tc>
          <w:tcPr>
            <w:tcW w:type="dxa" w:w="3408"/>
            <w:vAlign w:val="top"/>
          </w:tcPr>
          <w:p>
            <w:r>
              <w:rPr>
                <w:sz w:val="16"/>
              </w:rPr>
              <w:t>Prevention of unacceptable harm to people, equipment, environment and critical operations.</w:t>
            </w:r>
          </w:p>
        </w:tc>
        <w:tc>
          <w:tcPr>
            <w:tcW w:type="dxa" w:w="3408"/>
            <w:vAlign w:val="top"/>
          </w:tcPr>
          <w:p>
            <w:r>
              <w:rPr>
                <w:sz w:val="16"/>
              </w:rPr>
              <w:t>Can an AI-induced action exceed an operating envelope, defeat protection or delay emergency action?</w:t>
            </w:r>
          </w:p>
        </w:tc>
      </w:tr>
      <w:tr>
        <w:tc>
          <w:tcPr>
            <w:tcW w:type="dxa" w:w="3408"/>
            <w:vAlign w:val="top"/>
          </w:tcPr>
          <w:p>
            <w:r>
              <w:rPr>
                <w:sz w:val="16"/>
              </w:rPr>
              <w:t>Resilience</w:t>
            </w:r>
          </w:p>
        </w:tc>
        <w:tc>
          <w:tcPr>
            <w:tcW w:type="dxa" w:w="3408"/>
            <w:vAlign w:val="top"/>
          </w:tcPr>
          <w:p>
            <w:r>
              <w:rPr>
                <w:sz w:val="16"/>
              </w:rPr>
              <w:t>Ability to degrade gracefully, retain safe or essential operation, recover trusted state and learn from events.</w:t>
            </w:r>
          </w:p>
        </w:tc>
        <w:tc>
          <w:tcPr>
            <w:tcW w:type="dxa" w:w="3408"/>
            <w:vAlign w:val="top"/>
          </w:tcPr>
          <w:p>
            <w:r>
              <w:rPr>
                <w:sz w:val="16"/>
              </w:rPr>
              <w:t>Are fallback, rollback, restoration, evidence preservation and post-event reassessment tested?</w:t>
            </w:r>
          </w:p>
        </w:tc>
      </w:tr>
    </w:tbl>
    <w:p>
      <w:r>
        <w:t>Assess consequence, likelihood, exposure, detectability, reversibility and confidence separately. Do not collapse safety or resilience into a single generic cybersecurity score.</w:t>
      </w:r>
    </w:p>
    <w:p>
      <w:pPr>
        <w:pStyle w:val="Heading1"/>
      </w:pPr>
      <w:r>
        <w:t>Implementation sequencing aid</w:t>
      </w:r>
    </w:p>
    <w:p>
      <w:r>
        <w:t>F - Foundational identifies controls usually needed to establish scope, authority, evidence and basic containment. O - Operational identifies controls generally applied as systems are deployed and operated. A - Advanced/contextual identifies controls whose applicability or implementation depth is more technology- or risk-specific. These labels do not change normative applicability.</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17365D"/>
          </w:tcPr>
          <w:p>
            <w:r>
              <w:rPr>
                <w:b/>
                <w:sz w:val="16"/>
              </w:rPr>
              <w:t>Label</w:t>
            </w:r>
          </w:p>
        </w:tc>
        <w:tc>
          <w:tcPr>
            <w:tcW w:type="dxa" w:w="3408"/>
            <w:shd w:fill="17365D"/>
          </w:tcPr>
          <w:p>
            <w:r>
              <w:rPr>
                <w:b/>
                <w:sz w:val="16"/>
              </w:rPr>
              <w:t>Purpose</w:t>
            </w:r>
          </w:p>
        </w:tc>
        <w:tc>
          <w:tcPr>
            <w:tcW w:type="dxa" w:w="3408"/>
            <w:shd w:fill="17365D"/>
          </w:tcPr>
          <w:p>
            <w:r>
              <w:rPr>
                <w:b/>
                <w:sz w:val="16"/>
              </w:rPr>
              <w:t>Caution</w:t>
            </w:r>
          </w:p>
        </w:tc>
      </w:tr>
      <w:tr>
        <w:tc>
          <w:tcPr>
            <w:tcW w:type="dxa" w:w="3408"/>
            <w:vAlign w:val="top"/>
          </w:tcPr>
          <w:p>
            <w:r>
              <w:rPr>
                <w:sz w:val="16"/>
              </w:rPr>
              <w:t>F - Foundational</w:t>
            </w:r>
          </w:p>
        </w:tc>
        <w:tc>
          <w:tcPr>
            <w:tcW w:type="dxa" w:w="3408"/>
            <w:vAlign w:val="top"/>
          </w:tcPr>
          <w:p>
            <w:r>
              <w:rPr>
                <w:sz w:val="16"/>
              </w:rPr>
              <w:t>Start with inventory, accountability, auditability, authority and core integrity/monitoring.</w:t>
            </w:r>
          </w:p>
        </w:tc>
        <w:tc>
          <w:tcPr>
            <w:tcW w:type="dxa" w:w="3408"/>
            <w:vAlign w:val="top"/>
          </w:tcPr>
          <w:p>
            <w:r>
              <w:rPr>
                <w:sz w:val="16"/>
              </w:rPr>
              <w:t>Foundational does not mean sufficient for high-consequence operation.</w:t>
            </w:r>
          </w:p>
        </w:tc>
      </w:tr>
      <w:tr>
        <w:tc>
          <w:tcPr>
            <w:tcW w:type="dxa" w:w="3408"/>
            <w:vAlign w:val="top"/>
          </w:tcPr>
          <w:p>
            <w:r>
              <w:rPr>
                <w:sz w:val="16"/>
              </w:rPr>
              <w:t>O - Operational</w:t>
            </w:r>
          </w:p>
        </w:tc>
        <w:tc>
          <w:tcPr>
            <w:tcW w:type="dxa" w:w="3408"/>
            <w:vAlign w:val="top"/>
          </w:tcPr>
          <w:p>
            <w:r>
              <w:rPr>
                <w:sz w:val="16"/>
              </w:rPr>
              <w:t>Implement, test and operate controls proportionate to system risk and authority.</w:t>
            </w:r>
          </w:p>
        </w:tc>
        <w:tc>
          <w:tcPr>
            <w:tcW w:type="dxa" w:w="3408"/>
            <w:vAlign w:val="top"/>
          </w:tcPr>
          <w:p>
            <w:r>
              <w:rPr>
                <w:sz w:val="16"/>
              </w:rPr>
              <w:t>Operational controls may be required from day one for a particular system.</w:t>
            </w:r>
          </w:p>
        </w:tc>
      </w:tr>
      <w:tr>
        <w:tc>
          <w:tcPr>
            <w:tcW w:type="dxa" w:w="3408"/>
            <w:vAlign w:val="top"/>
          </w:tcPr>
          <w:p>
            <w:r>
              <w:rPr>
                <w:sz w:val="16"/>
              </w:rPr>
              <w:t>A - Advanced/contextual</w:t>
            </w:r>
          </w:p>
        </w:tc>
        <w:tc>
          <w:tcPr>
            <w:tcW w:type="dxa" w:w="3408"/>
            <w:vAlign w:val="top"/>
          </w:tcPr>
          <w:p>
            <w:r>
              <w:rPr>
                <w:sz w:val="16"/>
              </w:rPr>
              <w:t>Address specialised technologies, threats or higher-assurance contexts.</w:t>
            </w:r>
          </w:p>
        </w:tc>
        <w:tc>
          <w:tcPr>
            <w:tcW w:type="dxa" w:w="3408"/>
            <w:vAlign w:val="top"/>
          </w:tcPr>
          <w:p>
            <w:r>
              <w:rPr>
                <w:sz w:val="16"/>
              </w:rPr>
              <w:t>Advanced does not mean optional when the underlying risk is present.</w:t>
            </w:r>
          </w:p>
        </w:tc>
      </w:tr>
    </w:tbl>
    <w:p>
      <w:pPr>
        <w:pStyle w:val="Heading1"/>
      </w:pPr>
      <w:r>
        <w:t>Control-by-control energy interpretations</w:t>
      </w:r>
    </w:p>
    <w:p>
      <w:pPr>
        <w:pStyle w:val="Heading2"/>
      </w:pPr>
      <w:r>
        <w:t>D1-CTL-01 - DATASET PROVENANCE &amp; POISONING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D1-CTL-01</w:t>
            </w:r>
          </w:p>
        </w:tc>
      </w:tr>
      <w:tr>
        <w:tc>
          <w:tcPr>
            <w:tcW w:type="dxa" w:w="5112"/>
            <w:vAlign w:val="top"/>
          </w:tcPr>
          <w:p>
            <w:r>
              <w:rPr>
                <w:sz w:val="14"/>
              </w:rPr>
              <w:t>Interpretation</w:t>
            </w:r>
          </w:p>
        </w:tc>
        <w:tc>
          <w:tcPr>
            <w:tcW w:type="dxa" w:w="5112"/>
            <w:vAlign w:val="top"/>
          </w:tcPr>
          <w:p>
            <w:r>
              <w:rPr>
                <w:sz w:val="14"/>
              </w:rPr>
              <w:t>In an energy environment, dataset provenance &amp; poisoning prevention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dataset provenance &amp; poisoning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D1-CTL-02 - MODEL EXTRACTION RESISTANCE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D1-CTL-02</w:t>
            </w:r>
          </w:p>
        </w:tc>
      </w:tr>
      <w:tr>
        <w:tc>
          <w:tcPr>
            <w:tcW w:type="dxa" w:w="5112"/>
            <w:vAlign w:val="top"/>
          </w:tcPr>
          <w:p>
            <w:r>
              <w:rPr>
                <w:sz w:val="14"/>
              </w:rPr>
              <w:t>Interpretation</w:t>
            </w:r>
          </w:p>
        </w:tc>
        <w:tc>
          <w:tcPr>
            <w:tcW w:type="dxa" w:w="5112"/>
            <w:vAlign w:val="top"/>
          </w:tcPr>
          <w:p>
            <w:r>
              <w:rPr>
                <w:sz w:val="14"/>
              </w:rPr>
              <w:t>In an energy environment, model extraction resistance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model extraction resistance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D1-CTL-03 - BEHAVIORAL DRIFT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D1-CTL-03</w:t>
            </w:r>
          </w:p>
        </w:tc>
      </w:tr>
      <w:tr>
        <w:tc>
          <w:tcPr>
            <w:tcW w:type="dxa" w:w="5112"/>
            <w:vAlign w:val="top"/>
          </w:tcPr>
          <w:p>
            <w:r>
              <w:rPr>
                <w:sz w:val="14"/>
              </w:rPr>
              <w:t>Interpretation</w:t>
            </w:r>
          </w:p>
        </w:tc>
        <w:tc>
          <w:tcPr>
            <w:tcW w:type="dxa" w:w="5112"/>
            <w:vAlign w:val="top"/>
          </w:tcPr>
          <w:p>
            <w:r>
              <w:rPr>
                <w:sz w:val="14"/>
              </w:rPr>
              <w:t>In an energy environment, behavioral drift detection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behavioral drift detection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D1-CTL-04 - FEDERATED LEARNING POISONING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D1-CTL-04</w:t>
            </w:r>
          </w:p>
        </w:tc>
      </w:tr>
      <w:tr>
        <w:tc>
          <w:tcPr>
            <w:tcW w:type="dxa" w:w="5112"/>
            <w:vAlign w:val="top"/>
          </w:tcPr>
          <w:p>
            <w:r>
              <w:rPr>
                <w:sz w:val="14"/>
              </w:rPr>
              <w:t>Interpretation</w:t>
            </w:r>
          </w:p>
        </w:tc>
        <w:tc>
          <w:tcPr>
            <w:tcW w:type="dxa" w:w="5112"/>
            <w:vAlign w:val="top"/>
          </w:tcPr>
          <w:p>
            <w:r>
              <w:rPr>
                <w:sz w:val="14"/>
              </w:rPr>
              <w:t>In an energy environment, federated learning poisoning prevention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federated learning poisoning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D1-CTL-05 - EMBEDDING SPACE ROBUSTNESS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D1-CTL-05</w:t>
            </w:r>
          </w:p>
        </w:tc>
      </w:tr>
      <w:tr>
        <w:tc>
          <w:tcPr>
            <w:tcW w:type="dxa" w:w="5112"/>
            <w:vAlign w:val="top"/>
          </w:tcPr>
          <w:p>
            <w:r>
              <w:rPr>
                <w:sz w:val="14"/>
              </w:rPr>
              <w:t>Interpretation</w:t>
            </w:r>
          </w:p>
        </w:tc>
        <w:tc>
          <w:tcPr>
            <w:tcW w:type="dxa" w:w="5112"/>
            <w:vAlign w:val="top"/>
          </w:tcPr>
          <w:p>
            <w:r>
              <w:rPr>
                <w:sz w:val="14"/>
              </w:rPr>
              <w:t>In an energy environment, embedding space robustness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embedding space robustness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D1-CTL-06 - POST-QUANTUM MODEL SIGNING &amp; CRYPTO HARDENING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A - Advanced / contextual</w:t>
            </w:r>
          </w:p>
        </w:tc>
      </w:tr>
      <w:tr>
        <w:tc>
          <w:tcPr>
            <w:tcW w:type="dxa" w:w="5112"/>
            <w:vAlign w:val="top"/>
          </w:tcPr>
          <w:p>
            <w:r>
              <w:rPr>
                <w:sz w:val="14"/>
              </w:rPr>
              <w:t>Normative reference</w:t>
            </w:r>
          </w:p>
        </w:tc>
        <w:tc>
          <w:tcPr>
            <w:tcW w:type="dxa" w:w="5112"/>
            <w:vAlign w:val="top"/>
          </w:tcPr>
          <w:p>
            <w:r>
              <w:rPr>
                <w:sz w:val="14"/>
              </w:rPr>
              <w:t>GAISSF-NOR-001, D1-CTL-06</w:t>
            </w:r>
          </w:p>
        </w:tc>
      </w:tr>
      <w:tr>
        <w:tc>
          <w:tcPr>
            <w:tcW w:type="dxa" w:w="5112"/>
            <w:vAlign w:val="top"/>
          </w:tcPr>
          <w:p>
            <w:r>
              <w:rPr>
                <w:sz w:val="14"/>
              </w:rPr>
              <w:t>Interpretation</w:t>
            </w:r>
          </w:p>
        </w:tc>
        <w:tc>
          <w:tcPr>
            <w:tcW w:type="dxa" w:w="5112"/>
            <w:vAlign w:val="top"/>
          </w:tcPr>
          <w:p>
            <w:r>
              <w:rPr>
                <w:sz w:val="14"/>
              </w:rPr>
              <w:t>In an energy environment, post-quantum model signing &amp; crypto hardening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post-quantum model signing &amp; crypto hardening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D1-CTL-07 - LORA/ADAPTER INTEGRITY VERIFICATION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D1-CTL-07</w:t>
            </w:r>
          </w:p>
        </w:tc>
      </w:tr>
      <w:tr>
        <w:tc>
          <w:tcPr>
            <w:tcW w:type="dxa" w:w="5112"/>
            <w:vAlign w:val="top"/>
          </w:tcPr>
          <w:p>
            <w:r>
              <w:rPr>
                <w:sz w:val="14"/>
              </w:rPr>
              <w:t>Interpretation</w:t>
            </w:r>
          </w:p>
        </w:tc>
        <w:tc>
          <w:tcPr>
            <w:tcW w:type="dxa" w:w="5112"/>
            <w:vAlign w:val="top"/>
          </w:tcPr>
          <w:p>
            <w:r>
              <w:rPr>
                <w:sz w:val="14"/>
              </w:rPr>
              <w:t>In an energy environment, lora/adapter integrity verification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lora/adapter integrity verification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D1-CTL-08 - MODEL MERGE ATTACK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D1-CTL-08</w:t>
            </w:r>
          </w:p>
        </w:tc>
      </w:tr>
      <w:tr>
        <w:tc>
          <w:tcPr>
            <w:tcW w:type="dxa" w:w="5112"/>
            <w:vAlign w:val="top"/>
          </w:tcPr>
          <w:p>
            <w:r>
              <w:rPr>
                <w:sz w:val="14"/>
              </w:rPr>
              <w:t>Interpretation</w:t>
            </w:r>
          </w:p>
        </w:tc>
        <w:tc>
          <w:tcPr>
            <w:tcW w:type="dxa" w:w="5112"/>
            <w:vAlign w:val="top"/>
          </w:tcPr>
          <w:p>
            <w:r>
              <w:rPr>
                <w:sz w:val="14"/>
              </w:rPr>
              <w:t>In an energy environment, model merge attack detection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model merge attack detection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D1-CTL-09 - QUANTIZATION BACKDOOR SCREENING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D1: MODEL INTEGRITY &amp; ADVERSARIAL ROBUSTNESS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D1-CTL-09</w:t>
            </w:r>
          </w:p>
        </w:tc>
      </w:tr>
      <w:tr>
        <w:tc>
          <w:tcPr>
            <w:tcW w:type="dxa" w:w="5112"/>
            <w:vAlign w:val="top"/>
          </w:tcPr>
          <w:p>
            <w:r>
              <w:rPr>
                <w:sz w:val="14"/>
              </w:rPr>
              <w:t>Interpretation</w:t>
            </w:r>
          </w:p>
        </w:tc>
        <w:tc>
          <w:tcPr>
            <w:tcW w:type="dxa" w:w="5112"/>
            <w:vAlign w:val="top"/>
          </w:tcPr>
          <w:p>
            <w:r>
              <w:rPr>
                <w:sz w:val="14"/>
              </w:rPr>
              <w:t>In an energy environment, quantization backdoor screening is implemented by applying verify provenance, representativeness, topology and telemetry integrity, drift, poisoning resistance, version integrity and reproducibility.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signed or otherwise verifiable lineage; validate seasonal and post-reconfiguration conditions; test stale, missing and manipulated telemetry; validate topology and time synchronisation.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Lineage/provenance record; representative-data assessment; integrity or drift test report; version and approval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quantization backdoor screening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D2-CTL-01 - DIRECT PROMPT INJECTION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D2-CTL-01</w:t>
            </w:r>
          </w:p>
        </w:tc>
      </w:tr>
      <w:tr>
        <w:tc>
          <w:tcPr>
            <w:tcW w:type="dxa" w:w="5112"/>
            <w:vAlign w:val="top"/>
          </w:tcPr>
          <w:p>
            <w:r>
              <w:rPr>
                <w:sz w:val="14"/>
              </w:rPr>
              <w:t>Interpretation</w:t>
            </w:r>
          </w:p>
        </w:tc>
        <w:tc>
          <w:tcPr>
            <w:tcW w:type="dxa" w:w="5112"/>
            <w:vAlign w:val="top"/>
          </w:tcPr>
          <w:p>
            <w:r>
              <w:rPr>
                <w:sz w:val="14"/>
              </w:rPr>
              <w:t>In an energy environment, direct prompt injection prevention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direct prompt injection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D2-CTL-02 - INDIRECT PROMPT INJECTION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D2-CTL-02</w:t>
            </w:r>
          </w:p>
        </w:tc>
      </w:tr>
      <w:tr>
        <w:tc>
          <w:tcPr>
            <w:tcW w:type="dxa" w:w="5112"/>
            <w:vAlign w:val="top"/>
          </w:tcPr>
          <w:p>
            <w:r>
              <w:rPr>
                <w:sz w:val="14"/>
              </w:rPr>
              <w:t>Interpretation</w:t>
            </w:r>
          </w:p>
        </w:tc>
        <w:tc>
          <w:tcPr>
            <w:tcW w:type="dxa" w:w="5112"/>
            <w:vAlign w:val="top"/>
          </w:tcPr>
          <w:p>
            <w:r>
              <w:rPr>
                <w:sz w:val="14"/>
              </w:rPr>
              <w:t>In an energy environment, indirect prompt injection prevention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indirect prompt injection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D2-CTL-03 - JAILBREAK RESISTANCE TESTING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D2-CTL-03</w:t>
            </w:r>
          </w:p>
        </w:tc>
      </w:tr>
      <w:tr>
        <w:tc>
          <w:tcPr>
            <w:tcW w:type="dxa" w:w="5112"/>
            <w:vAlign w:val="top"/>
          </w:tcPr>
          <w:p>
            <w:r>
              <w:rPr>
                <w:sz w:val="14"/>
              </w:rPr>
              <w:t>Interpretation</w:t>
            </w:r>
          </w:p>
        </w:tc>
        <w:tc>
          <w:tcPr>
            <w:tcW w:type="dxa" w:w="5112"/>
            <w:vAlign w:val="top"/>
          </w:tcPr>
          <w:p>
            <w:r>
              <w:rPr>
                <w:sz w:val="14"/>
              </w:rPr>
              <w:t>In an energy environment, jailbreak resistance testing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jailbreak resistance testing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D2-CTL-04 - MULTI-MODAL INJECTION DEFENSE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D2-CTL-04</w:t>
            </w:r>
          </w:p>
        </w:tc>
      </w:tr>
      <w:tr>
        <w:tc>
          <w:tcPr>
            <w:tcW w:type="dxa" w:w="5112"/>
            <w:vAlign w:val="top"/>
          </w:tcPr>
          <w:p>
            <w:r>
              <w:rPr>
                <w:sz w:val="14"/>
              </w:rPr>
              <w:t>Interpretation</w:t>
            </w:r>
          </w:p>
        </w:tc>
        <w:tc>
          <w:tcPr>
            <w:tcW w:type="dxa" w:w="5112"/>
            <w:vAlign w:val="top"/>
          </w:tcPr>
          <w:p>
            <w:r>
              <w:rPr>
                <w:sz w:val="14"/>
              </w:rPr>
              <w:t>In an energy environment, multi-modal injection defense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multi-modal injection defense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D2-CTL-05 - FUNCTION CALL/TOOL CALL INJECTION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D2-CTL-05</w:t>
            </w:r>
          </w:p>
        </w:tc>
      </w:tr>
      <w:tr>
        <w:tc>
          <w:tcPr>
            <w:tcW w:type="dxa" w:w="5112"/>
            <w:vAlign w:val="top"/>
          </w:tcPr>
          <w:p>
            <w:r>
              <w:rPr>
                <w:sz w:val="14"/>
              </w:rPr>
              <w:t>Interpretation</w:t>
            </w:r>
          </w:p>
        </w:tc>
        <w:tc>
          <w:tcPr>
            <w:tcW w:type="dxa" w:w="5112"/>
            <w:vAlign w:val="top"/>
          </w:tcPr>
          <w:p>
            <w:r>
              <w:rPr>
                <w:sz w:val="14"/>
              </w:rPr>
              <w:t>In an energy environment, function call/tool call injection prevention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function call/tool call injection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D2-CTL-06 - CROSS-CONTEXT HIJACKING MITIGATION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D2: RUNTIME SECURITY &amp; ADVERSARIAL DEFENSE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D2-CTL-06</w:t>
            </w:r>
          </w:p>
        </w:tc>
      </w:tr>
      <w:tr>
        <w:tc>
          <w:tcPr>
            <w:tcW w:type="dxa" w:w="5112"/>
            <w:vAlign w:val="top"/>
          </w:tcPr>
          <w:p>
            <w:r>
              <w:rPr>
                <w:sz w:val="14"/>
              </w:rPr>
              <w:t>Interpretation</w:t>
            </w:r>
          </w:p>
        </w:tc>
        <w:tc>
          <w:tcPr>
            <w:tcW w:type="dxa" w:w="5112"/>
            <w:vAlign w:val="top"/>
          </w:tcPr>
          <w:p>
            <w:r>
              <w:rPr>
                <w:sz w:val="14"/>
              </w:rPr>
              <w:t>In an energy environment, cross-context hijacking mitigation is implemented by applying separate untrusted content from trusted operational instructions; constrain interfaces, retrieval, multimodal inputs and tool calls.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schema validation, trust separation, interface allow-lists, rate limits and monitoring for rejected or anomalous requests; prevent external content from becoming operational instruction.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Threat model; interface and input-control configuration; adversarial test report; runtime alert and response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cross-context hijacking mitigation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D3-CTL-01 - LEAST AGENCY ENFORCEMENT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D3-CTL-01</w:t>
            </w:r>
          </w:p>
        </w:tc>
      </w:tr>
      <w:tr>
        <w:tc>
          <w:tcPr>
            <w:tcW w:type="dxa" w:w="5112"/>
            <w:vAlign w:val="top"/>
          </w:tcPr>
          <w:p>
            <w:r>
              <w:rPr>
                <w:sz w:val="14"/>
              </w:rPr>
              <w:t>Interpretation</w:t>
            </w:r>
          </w:p>
        </w:tc>
        <w:tc>
          <w:tcPr>
            <w:tcW w:type="dxa" w:w="5112"/>
            <w:vAlign w:val="top"/>
          </w:tcPr>
          <w:p>
            <w:r>
              <w:rPr>
                <w:sz w:val="14"/>
              </w:rPr>
              <w:t>In an energy environment, least agency enforcement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least agency enforcement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D3-CTL-02 - INTER-AGENT COMMUNICATION SECURITY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D3-CTL-02</w:t>
            </w:r>
          </w:p>
        </w:tc>
      </w:tr>
      <w:tr>
        <w:tc>
          <w:tcPr>
            <w:tcW w:type="dxa" w:w="5112"/>
            <w:vAlign w:val="top"/>
          </w:tcPr>
          <w:p>
            <w:r>
              <w:rPr>
                <w:sz w:val="14"/>
              </w:rPr>
              <w:t>Interpretation</w:t>
            </w:r>
          </w:p>
        </w:tc>
        <w:tc>
          <w:tcPr>
            <w:tcW w:type="dxa" w:w="5112"/>
            <w:vAlign w:val="top"/>
          </w:tcPr>
          <w:p>
            <w:r>
              <w:rPr>
                <w:sz w:val="14"/>
              </w:rPr>
              <w:t>In an energy environment, inter-agent communication security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inter-agent communication security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D3-CTL-03 - AGENTIC PROMPT CHAINING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D3-CTL-03</w:t>
            </w:r>
          </w:p>
        </w:tc>
      </w:tr>
      <w:tr>
        <w:tc>
          <w:tcPr>
            <w:tcW w:type="dxa" w:w="5112"/>
            <w:vAlign w:val="top"/>
          </w:tcPr>
          <w:p>
            <w:r>
              <w:rPr>
                <w:sz w:val="14"/>
              </w:rPr>
              <w:t>Interpretation</w:t>
            </w:r>
          </w:p>
        </w:tc>
        <w:tc>
          <w:tcPr>
            <w:tcW w:type="dxa" w:w="5112"/>
            <w:vAlign w:val="top"/>
          </w:tcPr>
          <w:p>
            <w:r>
              <w:rPr>
                <w:sz w:val="14"/>
              </w:rPr>
              <w:t>In an energy environment, agentic prompt chaining detection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agentic prompt chaining detection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D3-CTL-04 - EMBODIED AI SAFETY CONTROLS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D3-CTL-04</w:t>
            </w:r>
          </w:p>
        </w:tc>
      </w:tr>
      <w:tr>
        <w:tc>
          <w:tcPr>
            <w:tcW w:type="dxa" w:w="5112"/>
            <w:vAlign w:val="top"/>
          </w:tcPr>
          <w:p>
            <w:r>
              <w:rPr>
                <w:sz w:val="14"/>
              </w:rPr>
              <w:t>Interpretation</w:t>
            </w:r>
          </w:p>
        </w:tc>
        <w:tc>
          <w:tcPr>
            <w:tcW w:type="dxa" w:w="5112"/>
            <w:vAlign w:val="top"/>
          </w:tcPr>
          <w:p>
            <w:r>
              <w:rPr>
                <w:sz w:val="14"/>
              </w:rPr>
              <w:t>In an energy environment, embodied ai safety controls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embodied ai safety controls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D3-CTL-05 - MULTI-AGENT TRUST CHAIN ATTESTATION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D3-CTL-05</w:t>
            </w:r>
          </w:p>
        </w:tc>
      </w:tr>
      <w:tr>
        <w:tc>
          <w:tcPr>
            <w:tcW w:type="dxa" w:w="5112"/>
            <w:vAlign w:val="top"/>
          </w:tcPr>
          <w:p>
            <w:r>
              <w:rPr>
                <w:sz w:val="14"/>
              </w:rPr>
              <w:t>Interpretation</w:t>
            </w:r>
          </w:p>
        </w:tc>
        <w:tc>
          <w:tcPr>
            <w:tcW w:type="dxa" w:w="5112"/>
            <w:vAlign w:val="top"/>
          </w:tcPr>
          <w:p>
            <w:r>
              <w:rPr>
                <w:sz w:val="14"/>
              </w:rPr>
              <w:t>In an energy environment, multi-agent trust chain attestation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multi-agent trust chain attestation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D3-CTL-06 - PERSISTENT MEMORY EXFILTRATION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D3-CTL-06</w:t>
            </w:r>
          </w:p>
        </w:tc>
      </w:tr>
      <w:tr>
        <w:tc>
          <w:tcPr>
            <w:tcW w:type="dxa" w:w="5112"/>
            <w:vAlign w:val="top"/>
          </w:tcPr>
          <w:p>
            <w:r>
              <w:rPr>
                <w:sz w:val="14"/>
              </w:rPr>
              <w:t>Interpretation</w:t>
            </w:r>
          </w:p>
        </w:tc>
        <w:tc>
          <w:tcPr>
            <w:tcW w:type="dxa" w:w="5112"/>
            <w:vAlign w:val="top"/>
          </w:tcPr>
          <w:p>
            <w:r>
              <w:rPr>
                <w:sz w:val="14"/>
              </w:rPr>
              <w:t>In an energy environment, persistent memory exfiltration prevention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persistent memory exfiltration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D3-CTL-07 - SECURE MEMORY LIFECYCLE MANAGEMENT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D3: AGENTIC RISK &amp; AUTONOMOUS SYSTEM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D3-CTL-07</w:t>
            </w:r>
          </w:p>
        </w:tc>
      </w:tr>
      <w:tr>
        <w:tc>
          <w:tcPr>
            <w:tcW w:type="dxa" w:w="5112"/>
            <w:vAlign w:val="top"/>
          </w:tcPr>
          <w:p>
            <w:r>
              <w:rPr>
                <w:sz w:val="14"/>
              </w:rPr>
              <w:t>Interpretation</w:t>
            </w:r>
          </w:p>
        </w:tc>
        <w:tc>
          <w:tcPr>
            <w:tcW w:type="dxa" w:w="5112"/>
            <w:vAlign w:val="top"/>
          </w:tcPr>
          <w:p>
            <w:r>
              <w:rPr>
                <w:sz w:val="14"/>
              </w:rPr>
              <w:t>In an energy environment, secure memory lifecycle management is implemented by applying separate recommendation, approval, scheduling, command and actuation; apply least agency, machine identity and bounded actions.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machine identity, least agency, dual authorisation for material actions, action envelopes, rate-of-change constraints and post-action reconciliation.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Authority matrix; machine-identity record; action-policy configuration; approval, override and command-reconciliation logs.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secure memory lifecycle management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D4-CTL-01 - AI BILL OF MATERIALS (AI BOM) MAINTENANCE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D4-CTL-01</w:t>
            </w:r>
          </w:p>
        </w:tc>
      </w:tr>
      <w:tr>
        <w:tc>
          <w:tcPr>
            <w:tcW w:type="dxa" w:w="5112"/>
            <w:vAlign w:val="top"/>
          </w:tcPr>
          <w:p>
            <w:r>
              <w:rPr>
                <w:sz w:val="14"/>
              </w:rPr>
              <w:t>Interpretation</w:t>
            </w:r>
          </w:p>
        </w:tc>
        <w:tc>
          <w:tcPr>
            <w:tcW w:type="dxa" w:w="5112"/>
            <w:vAlign w:val="top"/>
          </w:tcPr>
          <w:p>
            <w:r>
              <w:rPr>
                <w:sz w:val="14"/>
              </w:rPr>
              <w:t>In an energy environment, ai bill of materials (ai bom) maintenance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bill of materials (ai bom) maintenance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D4-CTL-02 - MODEL FILE &amp; ARTIFACT SCANNING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D4-CTL-02</w:t>
            </w:r>
          </w:p>
        </w:tc>
      </w:tr>
      <w:tr>
        <w:tc>
          <w:tcPr>
            <w:tcW w:type="dxa" w:w="5112"/>
            <w:vAlign w:val="top"/>
          </w:tcPr>
          <w:p>
            <w:r>
              <w:rPr>
                <w:sz w:val="14"/>
              </w:rPr>
              <w:t>Interpretation</w:t>
            </w:r>
          </w:p>
        </w:tc>
        <w:tc>
          <w:tcPr>
            <w:tcW w:type="dxa" w:w="5112"/>
            <w:vAlign w:val="top"/>
          </w:tcPr>
          <w:p>
            <w:r>
              <w:rPr>
                <w:sz w:val="14"/>
              </w:rPr>
              <w:t>In an energy environment, model file &amp; artifact scanning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model file &amp; artifact scanning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D4-CTL-03 - MODEL HUB &amp; REGISTRY VETTING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D4-CTL-03</w:t>
            </w:r>
          </w:p>
        </w:tc>
      </w:tr>
      <w:tr>
        <w:tc>
          <w:tcPr>
            <w:tcW w:type="dxa" w:w="5112"/>
            <w:vAlign w:val="top"/>
          </w:tcPr>
          <w:p>
            <w:r>
              <w:rPr>
                <w:sz w:val="14"/>
              </w:rPr>
              <w:t>Interpretation</w:t>
            </w:r>
          </w:p>
        </w:tc>
        <w:tc>
          <w:tcPr>
            <w:tcW w:type="dxa" w:w="5112"/>
            <w:vAlign w:val="top"/>
          </w:tcPr>
          <w:p>
            <w:r>
              <w:rPr>
                <w:sz w:val="14"/>
              </w:rPr>
              <w:t>In an energy environment, model hub &amp; registry vetting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model hub &amp; registry vetting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D4-CTL-04 - MCP SERVER BEHAVIORAL MONITORING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D4-CTL-04</w:t>
            </w:r>
          </w:p>
        </w:tc>
      </w:tr>
      <w:tr>
        <w:tc>
          <w:tcPr>
            <w:tcW w:type="dxa" w:w="5112"/>
            <w:vAlign w:val="top"/>
          </w:tcPr>
          <w:p>
            <w:r>
              <w:rPr>
                <w:sz w:val="14"/>
              </w:rPr>
              <w:t>Interpretation</w:t>
            </w:r>
          </w:p>
        </w:tc>
        <w:tc>
          <w:tcPr>
            <w:tcW w:type="dxa" w:w="5112"/>
            <w:vAlign w:val="top"/>
          </w:tcPr>
          <w:p>
            <w:r>
              <w:rPr>
                <w:sz w:val="14"/>
              </w:rPr>
              <w:t>In an energy environment, mcp server behavioral monitoring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mcp server behavioral monitoring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D4-CTL-05 - THIRD-PARTY AI API SECURITY ASSESSMENT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D4-CTL-05</w:t>
            </w:r>
          </w:p>
        </w:tc>
      </w:tr>
      <w:tr>
        <w:tc>
          <w:tcPr>
            <w:tcW w:type="dxa" w:w="5112"/>
            <w:vAlign w:val="top"/>
          </w:tcPr>
          <w:p>
            <w:r>
              <w:rPr>
                <w:sz w:val="14"/>
              </w:rPr>
              <w:t>Interpretation</w:t>
            </w:r>
          </w:p>
        </w:tc>
        <w:tc>
          <w:tcPr>
            <w:tcW w:type="dxa" w:w="5112"/>
            <w:vAlign w:val="top"/>
          </w:tcPr>
          <w:p>
            <w:r>
              <w:rPr>
                <w:sz w:val="14"/>
              </w:rPr>
              <w:t>In an energy environment, third-party ai api security assessment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third-party ai api security assessment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D4-CTL-06 - SHADOW AI DISCOVERY &amp; GOVERNANCE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D4-CTL-06</w:t>
            </w:r>
          </w:p>
        </w:tc>
      </w:tr>
      <w:tr>
        <w:tc>
          <w:tcPr>
            <w:tcW w:type="dxa" w:w="5112"/>
            <w:vAlign w:val="top"/>
          </w:tcPr>
          <w:p>
            <w:r>
              <w:rPr>
                <w:sz w:val="14"/>
              </w:rPr>
              <w:t>Interpretation</w:t>
            </w:r>
          </w:p>
        </w:tc>
        <w:tc>
          <w:tcPr>
            <w:tcW w:type="dxa" w:w="5112"/>
            <w:vAlign w:val="top"/>
          </w:tcPr>
          <w:p>
            <w:r>
              <w:rPr>
                <w:sz w:val="14"/>
              </w:rPr>
              <w:t>In an energy environment, shadow ai discovery &amp; governance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shadow ai discovery &amp; governance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D4-CTL-07 - AI SOFTWARE COMPOSITION ANALYSIS (SCA)</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D4: SUPPLY CHAIN &amp; THIRD-PARTY AI SECURITY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D4-CTL-07</w:t>
            </w:r>
          </w:p>
        </w:tc>
      </w:tr>
      <w:tr>
        <w:tc>
          <w:tcPr>
            <w:tcW w:type="dxa" w:w="5112"/>
            <w:vAlign w:val="top"/>
          </w:tcPr>
          <w:p>
            <w:r>
              <w:rPr>
                <w:sz w:val="14"/>
              </w:rPr>
              <w:t>Interpretation</w:t>
            </w:r>
          </w:p>
        </w:tc>
        <w:tc>
          <w:tcPr>
            <w:tcW w:type="dxa" w:w="5112"/>
            <w:vAlign w:val="top"/>
          </w:tcPr>
          <w:p>
            <w:r>
              <w:rPr>
                <w:sz w:val="14"/>
              </w:rPr>
              <w:t>In an energy environment, ai software composition analysis (sca) is implemented by applying assess model, component, data, cloud, integrator and remote-support provenance, update security, continuity and concentration risk.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Require provenance, secure update and rollback, vulnerability and incident terms, subcontractor transparency, continuity tests and exit arrangements.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Supplier due-diligence record; AI/component inventory; provenance attestation; update validation; continuity and exit test.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software composition analysis (sca)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D5-CTL-01 - HARMFUL CONTENT BLOCKING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D5-CTL-01</w:t>
            </w:r>
          </w:p>
        </w:tc>
      </w:tr>
      <w:tr>
        <w:tc>
          <w:tcPr>
            <w:tcW w:type="dxa" w:w="5112"/>
            <w:vAlign w:val="top"/>
          </w:tcPr>
          <w:p>
            <w:r>
              <w:rPr>
                <w:sz w:val="14"/>
              </w:rPr>
              <w:t>Interpretation</w:t>
            </w:r>
          </w:p>
        </w:tc>
        <w:tc>
          <w:tcPr>
            <w:tcW w:type="dxa" w:w="5112"/>
            <w:vAlign w:val="top"/>
          </w:tcPr>
          <w:p>
            <w:r>
              <w:rPr>
                <w:sz w:val="14"/>
              </w:rPr>
              <w:t>In an energy environment, harmful content blocking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harmful content blocking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D5-CTL-02 - PII LEAKAGE PREVENTION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D5-CTL-02</w:t>
            </w:r>
          </w:p>
        </w:tc>
      </w:tr>
      <w:tr>
        <w:tc>
          <w:tcPr>
            <w:tcW w:type="dxa" w:w="5112"/>
            <w:vAlign w:val="top"/>
          </w:tcPr>
          <w:p>
            <w:r>
              <w:rPr>
                <w:sz w:val="14"/>
              </w:rPr>
              <w:t>Interpretation</w:t>
            </w:r>
          </w:p>
        </w:tc>
        <w:tc>
          <w:tcPr>
            <w:tcW w:type="dxa" w:w="5112"/>
            <w:vAlign w:val="top"/>
          </w:tcPr>
          <w:p>
            <w:r>
              <w:rPr>
                <w:sz w:val="14"/>
              </w:rPr>
              <w:t>In an energy environment, pii leakage prevention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pii leakage prevention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D5-CTL-03 - COPYRIGHT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D5-CTL-03</w:t>
            </w:r>
          </w:p>
        </w:tc>
      </w:tr>
      <w:tr>
        <w:tc>
          <w:tcPr>
            <w:tcW w:type="dxa" w:w="5112"/>
            <w:vAlign w:val="top"/>
          </w:tcPr>
          <w:p>
            <w:r>
              <w:rPr>
                <w:sz w:val="14"/>
              </w:rPr>
              <w:t>Interpretation</w:t>
            </w:r>
          </w:p>
        </w:tc>
        <w:tc>
          <w:tcPr>
            <w:tcW w:type="dxa" w:w="5112"/>
            <w:vAlign w:val="top"/>
          </w:tcPr>
          <w:p>
            <w:r>
              <w:rPr>
                <w:sz w:val="14"/>
              </w:rPr>
              <w:t>In an energy environment, copyright detection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copyright detection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D5-CTL-04 - AI WATERMARKING ROBUSTNESS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A - Advanced / contextual</w:t>
            </w:r>
          </w:p>
        </w:tc>
      </w:tr>
      <w:tr>
        <w:tc>
          <w:tcPr>
            <w:tcW w:type="dxa" w:w="5112"/>
            <w:vAlign w:val="top"/>
          </w:tcPr>
          <w:p>
            <w:r>
              <w:rPr>
                <w:sz w:val="14"/>
              </w:rPr>
              <w:t>Normative reference</w:t>
            </w:r>
          </w:p>
        </w:tc>
        <w:tc>
          <w:tcPr>
            <w:tcW w:type="dxa" w:w="5112"/>
            <w:vAlign w:val="top"/>
          </w:tcPr>
          <w:p>
            <w:r>
              <w:rPr>
                <w:sz w:val="14"/>
              </w:rPr>
              <w:t>GAISSF-NOR-001, D5-CTL-04</w:t>
            </w:r>
          </w:p>
        </w:tc>
      </w:tr>
      <w:tr>
        <w:tc>
          <w:tcPr>
            <w:tcW w:type="dxa" w:w="5112"/>
            <w:vAlign w:val="top"/>
          </w:tcPr>
          <w:p>
            <w:r>
              <w:rPr>
                <w:sz w:val="14"/>
              </w:rPr>
              <w:t>Interpretation</w:t>
            </w:r>
          </w:p>
        </w:tc>
        <w:tc>
          <w:tcPr>
            <w:tcW w:type="dxa" w:w="5112"/>
            <w:vAlign w:val="top"/>
          </w:tcPr>
          <w:p>
            <w:r>
              <w:rPr>
                <w:sz w:val="14"/>
              </w:rPr>
              <w:t>In an energy environment, ai watermarking robustness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watermarking robustness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D5-CTL-05 - PRIVACY-BY-DESIGN VERIFICATION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D5-CTL-05</w:t>
            </w:r>
          </w:p>
        </w:tc>
      </w:tr>
      <w:tr>
        <w:tc>
          <w:tcPr>
            <w:tcW w:type="dxa" w:w="5112"/>
            <w:vAlign w:val="top"/>
          </w:tcPr>
          <w:p>
            <w:r>
              <w:rPr>
                <w:sz w:val="14"/>
              </w:rPr>
              <w:t>Interpretation</w:t>
            </w:r>
          </w:p>
        </w:tc>
        <w:tc>
          <w:tcPr>
            <w:tcW w:type="dxa" w:w="5112"/>
            <w:vAlign w:val="top"/>
          </w:tcPr>
          <w:p>
            <w:r>
              <w:rPr>
                <w:sz w:val="14"/>
              </w:rPr>
              <w:t>In an energy environment, privacy-by-design verification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privacy-by-design verification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D5-CTL-06 - PRIVACY-PRESERVING ML VALIDATION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D5: CONTENT SAFETY &amp; OUTPUT INTEGRITY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D5-CTL-06</w:t>
            </w:r>
          </w:p>
        </w:tc>
      </w:tr>
      <w:tr>
        <w:tc>
          <w:tcPr>
            <w:tcW w:type="dxa" w:w="5112"/>
            <w:vAlign w:val="top"/>
          </w:tcPr>
          <w:p>
            <w:r>
              <w:rPr>
                <w:sz w:val="14"/>
              </w:rPr>
              <w:t>Interpretation</w:t>
            </w:r>
          </w:p>
        </w:tc>
        <w:tc>
          <w:tcPr>
            <w:tcW w:type="dxa" w:w="5112"/>
            <w:vAlign w:val="top"/>
          </w:tcPr>
          <w:p>
            <w:r>
              <w:rPr>
                <w:sz w:val="14"/>
              </w:rPr>
              <w:t>In an energy environment, privacy-preserving ml validation is implemented by applying test outputs for unsafe, deceptive, confidential or operationally misleading content; communicate uncertainty and freshness.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Display confidence, uncertainty, freshness and operational limitations; prevent unreviewed output from becoming a command, authoritative record or safety conclusion.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Output evaluation; safety/content test record; uncertainty-display evidence; exception and escalation record.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privacy-preserving ml validation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D6-CTL-01 - HUMAN-IN-THE-LOOP FOR HIGH-RISK ACTIONS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D6-CTL-01</w:t>
            </w:r>
          </w:p>
        </w:tc>
      </w:tr>
      <w:tr>
        <w:tc>
          <w:tcPr>
            <w:tcW w:type="dxa" w:w="5112"/>
            <w:vAlign w:val="top"/>
          </w:tcPr>
          <w:p>
            <w:r>
              <w:rPr>
                <w:sz w:val="14"/>
              </w:rPr>
              <w:t>Interpretation</w:t>
            </w:r>
          </w:p>
        </w:tc>
        <w:tc>
          <w:tcPr>
            <w:tcW w:type="dxa" w:w="5112"/>
            <w:vAlign w:val="top"/>
          </w:tcPr>
          <w:p>
            <w:r>
              <w:rPr>
                <w:sz w:val="14"/>
              </w:rPr>
              <w:t>In an energy environment, human-in-the-loop for high-risk actions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human-in-the-loop for high-risk actions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D6-CTL-02 - AUDIT TRAIL COMPLETENESS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D6-CTL-02</w:t>
            </w:r>
          </w:p>
        </w:tc>
      </w:tr>
      <w:tr>
        <w:tc>
          <w:tcPr>
            <w:tcW w:type="dxa" w:w="5112"/>
            <w:vAlign w:val="top"/>
          </w:tcPr>
          <w:p>
            <w:r>
              <w:rPr>
                <w:sz w:val="14"/>
              </w:rPr>
              <w:t>Interpretation</w:t>
            </w:r>
          </w:p>
        </w:tc>
        <w:tc>
          <w:tcPr>
            <w:tcW w:type="dxa" w:w="5112"/>
            <w:vAlign w:val="top"/>
          </w:tcPr>
          <w:p>
            <w:r>
              <w:rPr>
                <w:sz w:val="14"/>
              </w:rPr>
              <w:t>In an energy environment, audit trail completeness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audit trail completeness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D6-CTL-03 - AI MODEL CARD COMPLETENESS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D6-CTL-03</w:t>
            </w:r>
          </w:p>
        </w:tc>
      </w:tr>
      <w:tr>
        <w:tc>
          <w:tcPr>
            <w:tcW w:type="dxa" w:w="5112"/>
            <w:vAlign w:val="top"/>
          </w:tcPr>
          <w:p>
            <w:r>
              <w:rPr>
                <w:sz w:val="14"/>
              </w:rPr>
              <w:t>Interpretation</w:t>
            </w:r>
          </w:p>
        </w:tc>
        <w:tc>
          <w:tcPr>
            <w:tcW w:type="dxa" w:w="5112"/>
            <w:vAlign w:val="top"/>
          </w:tcPr>
          <w:p>
            <w:r>
              <w:rPr>
                <w:sz w:val="14"/>
              </w:rPr>
              <w:t>In an energy environment, ai model card completeness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model card completeness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D6-CTL-04 - AI INCIDENT RESPONSE READINESS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D6-CTL-04</w:t>
            </w:r>
          </w:p>
        </w:tc>
      </w:tr>
      <w:tr>
        <w:tc>
          <w:tcPr>
            <w:tcW w:type="dxa" w:w="5112"/>
            <w:vAlign w:val="top"/>
          </w:tcPr>
          <w:p>
            <w:r>
              <w:rPr>
                <w:sz w:val="14"/>
              </w:rPr>
              <w:t>Interpretation</w:t>
            </w:r>
          </w:p>
        </w:tc>
        <w:tc>
          <w:tcPr>
            <w:tcW w:type="dxa" w:w="5112"/>
            <w:vAlign w:val="top"/>
          </w:tcPr>
          <w:p>
            <w:r>
              <w:rPr>
                <w:sz w:val="14"/>
              </w:rPr>
              <w:t>In an energy environment, ai incident response readiness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incident response readiness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D6-CTL-05 - MODEL DEPRECATION &amp; DECOMMISSIONING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D6-CTL-05</w:t>
            </w:r>
          </w:p>
        </w:tc>
      </w:tr>
      <w:tr>
        <w:tc>
          <w:tcPr>
            <w:tcW w:type="dxa" w:w="5112"/>
            <w:vAlign w:val="top"/>
          </w:tcPr>
          <w:p>
            <w:r>
              <w:rPr>
                <w:sz w:val="14"/>
              </w:rPr>
              <w:t>Interpretation</w:t>
            </w:r>
          </w:p>
        </w:tc>
        <w:tc>
          <w:tcPr>
            <w:tcW w:type="dxa" w:w="5112"/>
            <w:vAlign w:val="top"/>
          </w:tcPr>
          <w:p>
            <w:r>
              <w:rPr>
                <w:sz w:val="14"/>
              </w:rPr>
              <w:t>In an energy environment, model deprecation &amp; decommissioning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model deprecation &amp; decommissioning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D6-CTL-06 - THIRD-PARTY AI VENDOR GOVERNANCE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D6-CTL-06</w:t>
            </w:r>
          </w:p>
        </w:tc>
      </w:tr>
      <w:tr>
        <w:tc>
          <w:tcPr>
            <w:tcW w:type="dxa" w:w="5112"/>
            <w:vAlign w:val="top"/>
          </w:tcPr>
          <w:p>
            <w:r>
              <w:rPr>
                <w:sz w:val="14"/>
              </w:rPr>
              <w:t>Interpretation</w:t>
            </w:r>
          </w:p>
        </w:tc>
        <w:tc>
          <w:tcPr>
            <w:tcW w:type="dxa" w:w="5112"/>
            <w:vAlign w:val="top"/>
          </w:tcPr>
          <w:p>
            <w:r>
              <w:rPr>
                <w:sz w:val="14"/>
              </w:rPr>
              <w:t>In an energy environment, third-party ai vendor governance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third-party ai vendor governance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D6-CTL-07 - AI RESILIENCE &amp; BUSINESS CONTINUITY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D6: GOVERNANCE, ACCOUNTABILITY &amp; HUMAN OVERSIGHT</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D6-CTL-07</w:t>
            </w:r>
          </w:p>
        </w:tc>
      </w:tr>
      <w:tr>
        <w:tc>
          <w:tcPr>
            <w:tcW w:type="dxa" w:w="5112"/>
            <w:vAlign w:val="top"/>
          </w:tcPr>
          <w:p>
            <w:r>
              <w:rPr>
                <w:sz w:val="14"/>
              </w:rPr>
              <w:t>Interpretation</w:t>
            </w:r>
          </w:p>
        </w:tc>
        <w:tc>
          <w:tcPr>
            <w:tcW w:type="dxa" w:w="5112"/>
            <w:vAlign w:val="top"/>
          </w:tcPr>
          <w:p>
            <w:r>
              <w:rPr>
                <w:sz w:val="14"/>
              </w:rPr>
              <w:t>In an energy environment, ai resilience &amp; business continuity is implemented by applying assign accountable owners, decision rights, audit trails, incident management, rollback and lifecycle governance.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Use cross-functional gates involving operations, OT security, safety/reliability, AI governance and accountable ownership; retain decisions, exceptions and review triggers.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Approved policy or procedure; named accountability; audit trail; incident, rollback, change and governance decision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resilience &amp; business continuity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D7-CTL-H01 - AI-GENERATED PHISHING SIMULATION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D7: HUMAN &amp; SOCIETAL HARMS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D7-CTL-H01</w:t>
            </w:r>
          </w:p>
        </w:tc>
      </w:tr>
      <w:tr>
        <w:tc>
          <w:tcPr>
            <w:tcW w:type="dxa" w:w="5112"/>
            <w:vAlign w:val="top"/>
          </w:tcPr>
          <w:p>
            <w:r>
              <w:rPr>
                <w:sz w:val="14"/>
              </w:rPr>
              <w:t>Interpretation</w:t>
            </w:r>
          </w:p>
        </w:tc>
        <w:tc>
          <w:tcPr>
            <w:tcW w:type="dxa" w:w="5112"/>
            <w:vAlign w:val="top"/>
          </w:tcPr>
          <w:p>
            <w:r>
              <w:rPr>
                <w:sz w:val="14"/>
              </w:rPr>
              <w:t>In an energy environment, ai-generated phishing simulation is implemented by applying design competent oversight, out-of-band verification, escalation, workload controls and resistance to impersonation or automation bias.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Train through realistic exercises; test override, dissent, escalation and out-of-band verification; monitor automation bias and workload.</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Human-factors assessment; training and exercise record; out-of-band verification evidence; override and escalation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ai-generated phishing simulation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D7-CTL-H02 - DEEPFAKE DETECTION TRAINING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D7: HUMAN &amp; SOCIETAL HARMS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D7-CTL-H02</w:t>
            </w:r>
          </w:p>
        </w:tc>
      </w:tr>
      <w:tr>
        <w:tc>
          <w:tcPr>
            <w:tcW w:type="dxa" w:w="5112"/>
            <w:vAlign w:val="top"/>
          </w:tcPr>
          <w:p>
            <w:r>
              <w:rPr>
                <w:sz w:val="14"/>
              </w:rPr>
              <w:t>Interpretation</w:t>
            </w:r>
          </w:p>
        </w:tc>
        <w:tc>
          <w:tcPr>
            <w:tcW w:type="dxa" w:w="5112"/>
            <w:vAlign w:val="top"/>
          </w:tcPr>
          <w:p>
            <w:r>
              <w:rPr>
                <w:sz w:val="14"/>
              </w:rPr>
              <w:t>In an energy environment, deepfake detection training is implemented by applying design competent oversight, out-of-band verification, escalation, workload controls and resistance to impersonation or automation bias.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Train through realistic exercises; test override, dissent, escalation and out-of-band verification; monitor automation bias and workload.</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Human-factors assessment; training and exercise record; out-of-band verification evidence; override and escalation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deepfake detection training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D7-CTL-H03 - OUT-OF-BAND AUTHENTICATION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D7: HUMAN &amp; SOCIETAL HARMS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D7-CTL-H03</w:t>
            </w:r>
          </w:p>
        </w:tc>
      </w:tr>
      <w:tr>
        <w:tc>
          <w:tcPr>
            <w:tcW w:type="dxa" w:w="5112"/>
            <w:vAlign w:val="top"/>
          </w:tcPr>
          <w:p>
            <w:r>
              <w:rPr>
                <w:sz w:val="14"/>
              </w:rPr>
              <w:t>Interpretation</w:t>
            </w:r>
          </w:p>
        </w:tc>
        <w:tc>
          <w:tcPr>
            <w:tcW w:type="dxa" w:w="5112"/>
            <w:vAlign w:val="top"/>
          </w:tcPr>
          <w:p>
            <w:r>
              <w:rPr>
                <w:sz w:val="14"/>
              </w:rPr>
              <w:t>In an energy environment, out-of-band authentication is implemented by applying design competent oversight, out-of-band verification, escalation, workload controls and resistance to impersonation or automation bias.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Train through realistic exercises; test override, dissent, escalation and out-of-band verification; monitor automation bias and workload.</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Human-factors assessment; training and exercise record; out-of-band verification evidence; override and escalation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out-of-band authentication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D7-CTL-H04 - AI SOCIAL ENGINEERING IR</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D7: HUMAN &amp; SOCIETAL HARMS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D7-CTL-H04</w:t>
            </w:r>
          </w:p>
        </w:tc>
      </w:tr>
      <w:tr>
        <w:tc>
          <w:tcPr>
            <w:tcW w:type="dxa" w:w="5112"/>
            <w:vAlign w:val="top"/>
          </w:tcPr>
          <w:p>
            <w:r>
              <w:rPr>
                <w:sz w:val="14"/>
              </w:rPr>
              <w:t>Interpretation</w:t>
            </w:r>
          </w:p>
        </w:tc>
        <w:tc>
          <w:tcPr>
            <w:tcW w:type="dxa" w:w="5112"/>
            <w:vAlign w:val="top"/>
          </w:tcPr>
          <w:p>
            <w:r>
              <w:rPr>
                <w:sz w:val="14"/>
              </w:rPr>
              <w:t>In an energy environment, ai social engineering ir is implemented by applying design competent oversight, out-of-band verification, escalation, workload controls and resistance to impersonation or automation bias.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Train through realistic exercises; test override, dissent, escalation and out-of-band verification; monitor automation bias and workload.</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Human-factors assessment; training and exercise record; out-of-band verification evidence; override and escalation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 social engineering ir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D7-CTL-H05 - AI-ENHANCED EXTERNAL ATTACK DEFENSE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D7: HUMAN &amp; SOCIETAL HARMS</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D7-CTL-H05</w:t>
            </w:r>
          </w:p>
        </w:tc>
      </w:tr>
      <w:tr>
        <w:tc>
          <w:tcPr>
            <w:tcW w:type="dxa" w:w="5112"/>
            <w:vAlign w:val="top"/>
          </w:tcPr>
          <w:p>
            <w:r>
              <w:rPr>
                <w:sz w:val="14"/>
              </w:rPr>
              <w:t>Interpretation</w:t>
            </w:r>
          </w:p>
        </w:tc>
        <w:tc>
          <w:tcPr>
            <w:tcW w:type="dxa" w:w="5112"/>
            <w:vAlign w:val="top"/>
          </w:tcPr>
          <w:p>
            <w:r>
              <w:rPr>
                <w:sz w:val="14"/>
              </w:rPr>
              <w:t>In an energy environment, ai-enhanced external attack defense is implemented by applying design competent oversight, out-of-band verification, escalation, workload controls and resistance to impersonation or automation bias.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Train through realistic exercises; test override, dissent, escalation and out-of-band verification; monitor automation bias and workload.</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Human-factors assessment; training and exercise record; out-of-band verification evidence; override and escalation records.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ai-enhanced external attack defense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D8-CTL-01 - EU AI ACT RISK TIER MAPPING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D8: REGULATORY ALIGNMENT &amp; COMPLIANCE</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D8-CTL-01</w:t>
            </w:r>
          </w:p>
        </w:tc>
      </w:tr>
      <w:tr>
        <w:tc>
          <w:tcPr>
            <w:tcW w:type="dxa" w:w="5112"/>
            <w:vAlign w:val="top"/>
          </w:tcPr>
          <w:p>
            <w:r>
              <w:rPr>
                <w:sz w:val="14"/>
              </w:rPr>
              <w:t>Interpretation</w:t>
            </w:r>
          </w:p>
        </w:tc>
        <w:tc>
          <w:tcPr>
            <w:tcW w:type="dxa" w:w="5112"/>
            <w:vAlign w:val="top"/>
          </w:tcPr>
          <w:p>
            <w:r>
              <w:rPr>
                <w:sz w:val="14"/>
              </w:rPr>
              <w:t>In an energy environment, eu ai act risk tier mapping is implemented by applying maintain applicable-obligation records, evidence, assessments and incident reporting without asserting cross-framework equivalence.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Maintain a jurisdiction-specific obligations register; use crosswalks only as informative support; obtain qualified interpretation for legal or regulatory claims.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Obligations register; applicability rationale; mapping record; assessment report; incident/reporting evidence where legally applicable.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eu ai act risk tier mapping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D8-CTL-02 - ISO 42001 GAP ANALYSIS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D8: REGULATORY ALIGNMENT &amp; COMPLIANCE</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D8-CTL-02</w:t>
            </w:r>
          </w:p>
        </w:tc>
      </w:tr>
      <w:tr>
        <w:tc>
          <w:tcPr>
            <w:tcW w:type="dxa" w:w="5112"/>
            <w:vAlign w:val="top"/>
          </w:tcPr>
          <w:p>
            <w:r>
              <w:rPr>
                <w:sz w:val="14"/>
              </w:rPr>
              <w:t>Interpretation</w:t>
            </w:r>
          </w:p>
        </w:tc>
        <w:tc>
          <w:tcPr>
            <w:tcW w:type="dxa" w:w="5112"/>
            <w:vAlign w:val="top"/>
          </w:tcPr>
          <w:p>
            <w:r>
              <w:rPr>
                <w:sz w:val="14"/>
              </w:rPr>
              <w:t>In an energy environment, iso 42001 gap analysis is implemented by applying maintain applicable-obligation records, evidence, assessments and incident reporting without asserting cross-framework equivalence.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Maintain a jurisdiction-specific obligations register; use crosswalks only as informative support; obtain qualified interpretation for legal or regulatory claims.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Obligations register; applicability rationale; mapping record; assessment report; incident/reporting evidence where legally applicable.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iso 42001 gap analysis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D8-CTL-03 - GPAI TECHNICAL DOCUMENTATION VERIFICATION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D8: REGULATORY ALIGNMENT &amp; COMPLIANCE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D8-CTL-03</w:t>
            </w:r>
          </w:p>
        </w:tc>
      </w:tr>
      <w:tr>
        <w:tc>
          <w:tcPr>
            <w:tcW w:type="dxa" w:w="5112"/>
            <w:vAlign w:val="top"/>
          </w:tcPr>
          <w:p>
            <w:r>
              <w:rPr>
                <w:sz w:val="14"/>
              </w:rPr>
              <w:t>Interpretation</w:t>
            </w:r>
          </w:p>
        </w:tc>
        <w:tc>
          <w:tcPr>
            <w:tcW w:type="dxa" w:w="5112"/>
            <w:vAlign w:val="top"/>
          </w:tcPr>
          <w:p>
            <w:r>
              <w:rPr>
                <w:sz w:val="14"/>
              </w:rPr>
              <w:t>In an energy environment, gpai technical documentation verification is implemented by applying maintain applicable-obligation records, evidence, assessments and incident reporting without asserting cross-framework equivalence.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Maintain a jurisdiction-specific obligations register; use crosswalks only as informative support; obtain qualified interpretation for legal or regulatory claims.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Obligations register; applicability rationale; mapping record; assessment report; incident/reporting evidence where legally applicable.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gpai technical documentation verification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D8-CTL-04 - DORA ICT INCIDENT REPORTING (FINANCIAL SECTOR)</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D8: REGULATORY ALIGNMENT &amp; COMPLIANCE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D8-CTL-04</w:t>
            </w:r>
          </w:p>
        </w:tc>
      </w:tr>
      <w:tr>
        <w:tc>
          <w:tcPr>
            <w:tcW w:type="dxa" w:w="5112"/>
            <w:vAlign w:val="top"/>
          </w:tcPr>
          <w:p>
            <w:r>
              <w:rPr>
                <w:sz w:val="14"/>
              </w:rPr>
              <w:t>Interpretation</w:t>
            </w:r>
          </w:p>
        </w:tc>
        <w:tc>
          <w:tcPr>
            <w:tcW w:type="dxa" w:w="5112"/>
            <w:vAlign w:val="top"/>
          </w:tcPr>
          <w:p>
            <w:r>
              <w:rPr>
                <w:sz w:val="14"/>
              </w:rPr>
              <w:t>In an energy environment, dora ict incident reporting (financial sector) is implemented by applying maintain applicable-obligation records, evidence, assessments and incident reporting without asserting cross-framework equivalence.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Maintain a jurisdiction-specific obligations register; use crosswalks only as informative support; obtain qualified interpretation for legal or regulatory claims.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Obligations register; applicability rationale; mapping record; assessment report; incident/reporting evidence where legally applicable.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dora ict incident reporting (financial sector)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D8-CTL-05 - NIST SP 800-218A COMPLIANCE CHECK</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D8: REGULATORY ALIGNMENT &amp; COMPLIANCE</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D8-CTL-05</w:t>
            </w:r>
          </w:p>
        </w:tc>
      </w:tr>
      <w:tr>
        <w:tc>
          <w:tcPr>
            <w:tcW w:type="dxa" w:w="5112"/>
            <w:vAlign w:val="top"/>
          </w:tcPr>
          <w:p>
            <w:r>
              <w:rPr>
                <w:sz w:val="14"/>
              </w:rPr>
              <w:t>Interpretation</w:t>
            </w:r>
          </w:p>
        </w:tc>
        <w:tc>
          <w:tcPr>
            <w:tcW w:type="dxa" w:w="5112"/>
            <w:vAlign w:val="top"/>
          </w:tcPr>
          <w:p>
            <w:r>
              <w:rPr>
                <w:sz w:val="14"/>
              </w:rPr>
              <w:t>In an energy environment, nist sp 800-218a compliance check is implemented by applying maintain applicable-obligation records, evidence, assessments and incident reporting without asserting cross-framework equivalence.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Maintain a jurisdiction-specific obligations register; use crosswalks only as informative support; obtain qualified interpretation for legal or regulatory claims.</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Obligations register; applicability rationale; mapping record; assessment report; incident/reporting evidence where legally applicable.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nist sp 800-218a compliance check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D9-CTL-01 - PHYSICAL HARM BOUNDARY ENFORCEMENT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D9-CTL-01</w:t>
            </w:r>
          </w:p>
        </w:tc>
      </w:tr>
      <w:tr>
        <w:tc>
          <w:tcPr>
            <w:tcW w:type="dxa" w:w="5112"/>
            <w:vAlign w:val="top"/>
          </w:tcPr>
          <w:p>
            <w:r>
              <w:rPr>
                <w:sz w:val="14"/>
              </w:rPr>
              <w:t>Interpretation</w:t>
            </w:r>
          </w:p>
        </w:tc>
        <w:tc>
          <w:tcPr>
            <w:tcW w:type="dxa" w:w="5112"/>
            <w:vAlign w:val="top"/>
          </w:tcPr>
          <w:p>
            <w:r>
              <w:rPr>
                <w:sz w:val="14"/>
              </w:rPr>
              <w:t>In an energy environment, physical harm boundary enforcement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physical harm boundary enforcement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D9-CTL-02 - SAFE STATE AND GRACEFUL DEGRADATION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D9-CTL-02</w:t>
            </w:r>
          </w:p>
        </w:tc>
      </w:tr>
      <w:tr>
        <w:tc>
          <w:tcPr>
            <w:tcW w:type="dxa" w:w="5112"/>
            <w:vAlign w:val="top"/>
          </w:tcPr>
          <w:p>
            <w:r>
              <w:rPr>
                <w:sz w:val="14"/>
              </w:rPr>
              <w:t>Interpretation</w:t>
            </w:r>
          </w:p>
        </w:tc>
        <w:tc>
          <w:tcPr>
            <w:tcW w:type="dxa" w:w="5112"/>
            <w:vAlign w:val="top"/>
          </w:tcPr>
          <w:p>
            <w:r>
              <w:rPr>
                <w:sz w:val="14"/>
              </w:rPr>
              <w:t>In an energy environment, safe state and graceful degradation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safe state and graceful degradation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D9-CTL-03 - HUMAN OVERRIDE AND EMERGENCY STOP</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F - Foundational</w:t>
            </w:r>
          </w:p>
        </w:tc>
      </w:tr>
      <w:tr>
        <w:tc>
          <w:tcPr>
            <w:tcW w:type="dxa" w:w="5112"/>
            <w:vAlign w:val="top"/>
          </w:tcPr>
          <w:p>
            <w:r>
              <w:rPr>
                <w:sz w:val="14"/>
              </w:rPr>
              <w:t>Normative reference</w:t>
            </w:r>
          </w:p>
        </w:tc>
        <w:tc>
          <w:tcPr>
            <w:tcW w:type="dxa" w:w="5112"/>
            <w:vAlign w:val="top"/>
          </w:tcPr>
          <w:p>
            <w:r>
              <w:rPr>
                <w:sz w:val="14"/>
              </w:rPr>
              <w:t>GAISSF-NOR-001, D9-CTL-03</w:t>
            </w:r>
          </w:p>
        </w:tc>
      </w:tr>
      <w:tr>
        <w:tc>
          <w:tcPr>
            <w:tcW w:type="dxa" w:w="5112"/>
            <w:vAlign w:val="top"/>
          </w:tcPr>
          <w:p>
            <w:r>
              <w:rPr>
                <w:sz w:val="14"/>
              </w:rPr>
              <w:t>Interpretation</w:t>
            </w:r>
          </w:p>
        </w:tc>
        <w:tc>
          <w:tcPr>
            <w:tcW w:type="dxa" w:w="5112"/>
            <w:vAlign w:val="top"/>
          </w:tcPr>
          <w:p>
            <w:r>
              <w:rPr>
                <w:sz w:val="14"/>
              </w:rPr>
              <w:t>In an energy environment, human override and emergency stop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human override and emergency stop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D9-CTL-04 - CYBER-PHYSICAL ATTACK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D9-CTL-04</w:t>
            </w:r>
          </w:p>
        </w:tc>
      </w:tr>
      <w:tr>
        <w:tc>
          <w:tcPr>
            <w:tcW w:type="dxa" w:w="5112"/>
            <w:vAlign w:val="top"/>
          </w:tcPr>
          <w:p>
            <w:r>
              <w:rPr>
                <w:sz w:val="14"/>
              </w:rPr>
              <w:t>Interpretation</w:t>
            </w:r>
          </w:p>
        </w:tc>
        <w:tc>
          <w:tcPr>
            <w:tcW w:type="dxa" w:w="5112"/>
            <w:vAlign w:val="top"/>
          </w:tcPr>
          <w:p>
            <w:r>
              <w:rPr>
                <w:sz w:val="14"/>
              </w:rPr>
              <w:t>In an energy environment, cyber-physical attack detection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cyber-physical attack detection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D9-CTL-05 - PHYSICAL ENVIRONMENT INTEGRITY MONITORING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O - Operational</w:t>
            </w:r>
          </w:p>
        </w:tc>
      </w:tr>
      <w:tr>
        <w:tc>
          <w:tcPr>
            <w:tcW w:type="dxa" w:w="5112"/>
            <w:vAlign w:val="top"/>
          </w:tcPr>
          <w:p>
            <w:r>
              <w:rPr>
                <w:sz w:val="14"/>
              </w:rPr>
              <w:t>Normative reference</w:t>
            </w:r>
          </w:p>
        </w:tc>
        <w:tc>
          <w:tcPr>
            <w:tcW w:type="dxa" w:w="5112"/>
            <w:vAlign w:val="top"/>
          </w:tcPr>
          <w:p>
            <w:r>
              <w:rPr>
                <w:sz w:val="14"/>
              </w:rPr>
              <w:t>GAISSF-NOR-001, D9-CTL-05</w:t>
            </w:r>
          </w:p>
        </w:tc>
      </w:tr>
      <w:tr>
        <w:tc>
          <w:tcPr>
            <w:tcW w:type="dxa" w:w="5112"/>
            <w:vAlign w:val="top"/>
          </w:tcPr>
          <w:p>
            <w:r>
              <w:rPr>
                <w:sz w:val="14"/>
              </w:rPr>
              <w:t>Interpretation</w:t>
            </w:r>
          </w:p>
        </w:tc>
        <w:tc>
          <w:tcPr>
            <w:tcW w:type="dxa" w:w="5112"/>
            <w:vAlign w:val="top"/>
          </w:tcPr>
          <w:p>
            <w:r>
              <w:rPr>
                <w:sz w:val="14"/>
              </w:rPr>
              <w:t>In an energy environment, physical environment integrity monitoring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physical environment integrity monitoring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D9-CTL-06 - ACTUATOR COMMAND VERIFICATION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A - Advanced / contextual</w:t>
            </w:r>
          </w:p>
        </w:tc>
      </w:tr>
      <w:tr>
        <w:tc>
          <w:tcPr>
            <w:tcW w:type="dxa" w:w="5112"/>
            <w:vAlign w:val="top"/>
          </w:tcPr>
          <w:p>
            <w:r>
              <w:rPr>
                <w:sz w:val="14"/>
              </w:rPr>
              <w:t>Normative reference</w:t>
            </w:r>
          </w:p>
        </w:tc>
        <w:tc>
          <w:tcPr>
            <w:tcW w:type="dxa" w:w="5112"/>
            <w:vAlign w:val="top"/>
          </w:tcPr>
          <w:p>
            <w:r>
              <w:rPr>
                <w:sz w:val="14"/>
              </w:rPr>
              <w:t>GAISSF-NOR-001, D9-CTL-06</w:t>
            </w:r>
          </w:p>
        </w:tc>
      </w:tr>
      <w:tr>
        <w:tc>
          <w:tcPr>
            <w:tcW w:type="dxa" w:w="5112"/>
            <w:vAlign w:val="top"/>
          </w:tcPr>
          <w:p>
            <w:r>
              <w:rPr>
                <w:sz w:val="14"/>
              </w:rPr>
              <w:t>Interpretation</w:t>
            </w:r>
          </w:p>
        </w:tc>
        <w:tc>
          <w:tcPr>
            <w:tcW w:type="dxa" w:w="5112"/>
            <w:vAlign w:val="top"/>
          </w:tcPr>
          <w:p>
            <w:r>
              <w:rPr>
                <w:sz w:val="14"/>
              </w:rPr>
              <w:t>In an energy environment, actuator command verification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actuator command verification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2"/>
      </w:pPr>
      <w:r>
        <w:t>D9-CTL-07 - PHYSICAL INCIDENT EVIDENCE PRESERVATION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4"/>
              </w:rPr>
              <w:t>Field</w:t>
            </w:r>
          </w:p>
        </w:tc>
        <w:tc>
          <w:tcPr>
            <w:tcW w:type="dxa" w:w="5112"/>
            <w:shd w:fill="17365D"/>
          </w:tcPr>
          <w:p>
            <w:r>
              <w:rPr>
                <w:b/>
                <w:sz w:val="14"/>
              </w:rPr>
              <w:t>Energy-sector treatment</w:t>
            </w:r>
          </w:p>
        </w:tc>
      </w:tr>
      <w:tr>
        <w:tc>
          <w:tcPr>
            <w:tcW w:type="dxa" w:w="5112"/>
            <w:vAlign w:val="top"/>
          </w:tcPr>
          <w:p>
            <w:r>
              <w:rPr>
                <w:sz w:val="14"/>
              </w:rPr>
              <w:t>Domain</w:t>
            </w:r>
          </w:p>
        </w:tc>
        <w:tc>
          <w:tcPr>
            <w:tcW w:type="dxa" w:w="5112"/>
            <w:vAlign w:val="top"/>
          </w:tcPr>
          <w:p>
            <w:r>
              <w:rPr>
                <w:sz w:val="14"/>
              </w:rPr>
              <w:t>D9: PHYSICAL AI SAFETY</w:t>
            </w:r>
          </w:p>
        </w:tc>
      </w:tr>
      <w:tr>
        <w:tc>
          <w:tcPr>
            <w:tcW w:type="dxa" w:w="5112"/>
            <w:vAlign w:val="top"/>
          </w:tcPr>
          <w:p>
            <w:r>
              <w:rPr>
                <w:sz w:val="14"/>
              </w:rPr>
              <w:t>Implementation sequence</w:t>
            </w:r>
          </w:p>
        </w:tc>
        <w:tc>
          <w:tcPr>
            <w:tcW w:type="dxa" w:w="5112"/>
            <w:vAlign w:val="top"/>
          </w:tcPr>
          <w:p>
            <w:r>
              <w:rPr>
                <w:sz w:val="14"/>
              </w:rPr>
              <w:t>A - Advanced / contextual</w:t>
            </w:r>
          </w:p>
        </w:tc>
      </w:tr>
      <w:tr>
        <w:tc>
          <w:tcPr>
            <w:tcW w:type="dxa" w:w="5112"/>
            <w:vAlign w:val="top"/>
          </w:tcPr>
          <w:p>
            <w:r>
              <w:rPr>
                <w:sz w:val="14"/>
              </w:rPr>
              <w:t>Normative reference</w:t>
            </w:r>
          </w:p>
        </w:tc>
        <w:tc>
          <w:tcPr>
            <w:tcW w:type="dxa" w:w="5112"/>
            <w:vAlign w:val="top"/>
          </w:tcPr>
          <w:p>
            <w:r>
              <w:rPr>
                <w:sz w:val="14"/>
              </w:rPr>
              <w:t>GAISSF-NOR-001, D9-CTL-07</w:t>
            </w:r>
          </w:p>
        </w:tc>
      </w:tr>
      <w:tr>
        <w:tc>
          <w:tcPr>
            <w:tcW w:type="dxa" w:w="5112"/>
            <w:vAlign w:val="top"/>
          </w:tcPr>
          <w:p>
            <w:r>
              <w:rPr>
                <w:sz w:val="14"/>
              </w:rPr>
              <w:t>Interpretation</w:t>
            </w:r>
          </w:p>
        </w:tc>
        <w:tc>
          <w:tcPr>
            <w:tcW w:type="dxa" w:w="5112"/>
            <w:vAlign w:val="top"/>
          </w:tcPr>
          <w:p>
            <w:r>
              <w:rPr>
                <w:sz w:val="14"/>
              </w:rPr>
              <w:t>In an energy environment, physical incident evidence preservation is implemented by applying preserve independent protection layers, safe states, sensor integrity, command verification, override, fail-safe and forensic evidence. Implementation intensity is determined by operational authority, safety and reliability consequence, criticality, connectivity, reversibility and dependency concentration.</w:t>
            </w:r>
          </w:p>
        </w:tc>
      </w:tr>
      <w:tr>
        <w:tc>
          <w:tcPr>
            <w:tcW w:type="dxa" w:w="5112"/>
            <w:vAlign w:val="top"/>
          </w:tcPr>
          <w:p>
            <w:r>
              <w:rPr>
                <w:sz w:val="14"/>
              </w:rPr>
              <w:t>Applicability / N/A rule</w:t>
            </w:r>
          </w:p>
        </w:tc>
        <w:tc>
          <w:tcPr>
            <w:tcW w:type="dxa" w:w="5112"/>
            <w:vAlign w:val="top"/>
          </w:tcPr>
          <w:p>
            <w:r>
              <w:rPr>
                <w:sz w:val="14"/>
              </w:rPr>
              <w:t>Assess for every in-scope AI system. Marking Not Applicable requires a defined system boundary, evidence that the addressed risk is absent, an accountable approval, and a reassessment trigger. Technical difficulty alone is not a valid N/A rationale.</w:t>
            </w:r>
          </w:p>
        </w:tc>
      </w:tr>
      <w:tr>
        <w:tc>
          <w:tcPr>
            <w:tcW w:type="dxa" w:w="5112"/>
            <w:vAlign w:val="top"/>
          </w:tcPr>
          <w:p>
            <w:r>
              <w:rPr>
                <w:sz w:val="14"/>
              </w:rPr>
              <w:t>Required outcomes</w:t>
            </w:r>
          </w:p>
        </w:tc>
        <w:tc>
          <w:tcPr>
            <w:tcW w:type="dxa" w:w="5112"/>
            <w:vAlign w:val="top"/>
          </w:tcPr>
          <w:p>
            <w:r>
              <w:rPr>
                <w:sz w:val="14"/>
              </w:rPr>
              <w:t>Documented applicability; accountable owner; approved implementation or time-bound compensating measure; representative testing; operational monitoring; reconstructable evidence.</w:t>
            </w:r>
          </w:p>
        </w:tc>
      </w:tr>
      <w:tr>
        <w:tc>
          <w:tcPr>
            <w:tcW w:type="dxa" w:w="5112"/>
            <w:vAlign w:val="top"/>
          </w:tcPr>
          <w:p>
            <w:r>
              <w:rPr>
                <w:sz w:val="14"/>
              </w:rPr>
              <w:t>Recommended practices</w:t>
            </w:r>
          </w:p>
        </w:tc>
        <w:tc>
          <w:tcPr>
            <w:tcW w:type="dxa" w:w="5112"/>
            <w:vAlign w:val="top"/>
          </w:tcPr>
          <w:p>
            <w:r>
              <w:rPr>
                <w:sz w:val="14"/>
              </w:rPr>
              <w:t>Preserve independent interlocks and protection layers; use safe states, manual override, command verification, sensor plausibility, deterministic fallback and tested restoration.</w:t>
            </w:r>
          </w:p>
        </w:tc>
      </w:tr>
      <w:tr>
        <w:tc>
          <w:tcPr>
            <w:tcW w:type="dxa" w:w="5112"/>
            <w:vAlign w:val="top"/>
          </w:tcPr>
          <w:p>
            <w:r>
              <w:rPr>
                <w:sz w:val="14"/>
              </w:rPr>
              <w:t>OT/ICS considerations</w:t>
            </w:r>
          </w:p>
        </w:tc>
        <w:tc>
          <w:tcPr>
            <w:tcW w:type="dxa" w:w="5112"/>
            <w:vAlign w:val="top"/>
          </w:tcPr>
          <w:p>
            <w:r>
              <w:rPr>
                <w:sz w:val="14"/>
              </w:rPr>
              <w:t>Protect deterministic control and availability; avoid unplanned operational disruption; respect maintenance windows, legacy protocols, segmentation, latency and offline operation.</w:t>
            </w:r>
          </w:p>
        </w:tc>
      </w:tr>
      <w:tr>
        <w:tc>
          <w:tcPr>
            <w:tcW w:type="dxa" w:w="5112"/>
            <w:vAlign w:val="top"/>
          </w:tcPr>
          <w:p>
            <w:r>
              <w:rPr>
                <w:sz w:val="14"/>
              </w:rPr>
              <w:t>Safety/reliability</w:t>
            </w:r>
          </w:p>
        </w:tc>
        <w:tc>
          <w:tcPr>
            <w:tcW w:type="dxa" w:w="5112"/>
            <w:vAlign w:val="top"/>
          </w:tcPr>
          <w:p>
            <w:r>
              <w:rPr>
                <w:sz w:val="14"/>
              </w:rPr>
              <w:t>AI must not bypass an independent safety, protection or reliability function. Test degraded modes, communications loss, stale data, fallback, rollback and recovery.</w:t>
            </w:r>
          </w:p>
        </w:tc>
      </w:tr>
      <w:tr>
        <w:tc>
          <w:tcPr>
            <w:tcW w:type="dxa" w:w="5112"/>
            <w:vAlign w:val="top"/>
          </w:tcPr>
          <w:p>
            <w:r>
              <w:rPr>
                <w:sz w:val="14"/>
              </w:rPr>
              <w:t>Human oversight</w:t>
            </w:r>
          </w:p>
        </w:tc>
        <w:tc>
          <w:tcPr>
            <w:tcW w:type="dxa" w:w="5112"/>
            <w:vAlign w:val="top"/>
          </w:tcPr>
          <w:p>
            <w:r>
              <w:rPr>
                <w:sz w:val="14"/>
              </w:rPr>
              <w:t>Define the human decision point, competence, available time and information, approval authority, override mechanism, escalation threshold and evidence of action.</w:t>
            </w:r>
          </w:p>
        </w:tc>
      </w:tr>
      <w:tr>
        <w:tc>
          <w:tcPr>
            <w:tcW w:type="dxa" w:w="5112"/>
            <w:vAlign w:val="top"/>
          </w:tcPr>
          <w:p>
            <w:r>
              <w:rPr>
                <w:sz w:val="14"/>
              </w:rPr>
              <w:t>Evidence requirements</w:t>
            </w:r>
          </w:p>
        </w:tc>
        <w:tc>
          <w:tcPr>
            <w:tcW w:type="dxa" w:w="5112"/>
            <w:vAlign w:val="top"/>
          </w:tcPr>
          <w:p>
            <w:r>
              <w:rPr>
                <w:sz w:val="14"/>
              </w:rPr>
              <w:t>Hazard and boundary analysis; independent-protection evidence; safe-state, override, sensor, command and recovery test reports. Retention follows applicable law, contract, safety case and organisational records policy.</w:t>
            </w:r>
          </w:p>
        </w:tc>
      </w:tr>
      <w:tr>
        <w:tc>
          <w:tcPr>
            <w:tcW w:type="dxa" w:w="5112"/>
            <w:vAlign w:val="top"/>
          </w:tcPr>
          <w:p>
            <w:r>
              <w:rPr>
                <w:sz w:val="14"/>
              </w:rPr>
              <w:t>Metrics</w:t>
            </w:r>
          </w:p>
        </w:tc>
        <w:tc>
          <w:tcPr>
            <w:tcW w:type="dxa" w:w="5112"/>
            <w:vAlign w:val="top"/>
          </w:tcPr>
          <w:p>
            <w:r>
              <w:rPr>
                <w:sz w:val="14"/>
              </w:rPr>
              <w:t>Applicability coverage; test completion and pass rate; rejected/overridden actions; drift or integrity alerts; open findings; fallback invocations; incidents and near misses.</w:t>
            </w:r>
          </w:p>
        </w:tc>
      </w:tr>
      <w:tr>
        <w:tc>
          <w:tcPr>
            <w:tcW w:type="dxa" w:w="5112"/>
            <w:vAlign w:val="top"/>
          </w:tcPr>
          <w:p>
            <w:r>
              <w:rPr>
                <w:sz w:val="14"/>
              </w:rPr>
              <w:t>Assessment question</w:t>
            </w:r>
          </w:p>
        </w:tc>
        <w:tc>
          <w:tcPr>
            <w:tcW w:type="dxa" w:w="5112"/>
            <w:vAlign w:val="top"/>
          </w:tcPr>
          <w:p>
            <w:r>
              <w:rPr>
                <w:sz w:val="14"/>
              </w:rPr>
              <w:t>How is physical incident evidence preservation scoped, implemented, tested, monitored and evidenced for this system's energy-sector consequence and authority?</w:t>
            </w:r>
          </w:p>
        </w:tc>
      </w:tr>
      <w:tr>
        <w:tc>
          <w:tcPr>
            <w:tcW w:type="dxa" w:w="5112"/>
            <w:vAlign w:val="top"/>
          </w:tcPr>
          <w:p>
            <w:r>
              <w:rPr>
                <w:sz w:val="14"/>
              </w:rPr>
              <w:t>Common failure modes</w:t>
            </w:r>
          </w:p>
        </w:tc>
        <w:tc>
          <w:tcPr>
            <w:tcW w:type="dxa" w:w="5112"/>
            <w:vAlign w:val="top"/>
          </w:tcPr>
          <w:p>
            <w:r>
              <w:rPr>
                <w:sz w:val="14"/>
              </w:rPr>
              <w:t>Policy-only evidence; copied supplier assertions; stale applicability; missing OT or safety constraints; untested fallback; evidence created only for assessment.</w:t>
            </w:r>
          </w:p>
        </w:tc>
      </w:tr>
      <w:tr>
        <w:tc>
          <w:tcPr>
            <w:tcW w:type="dxa" w:w="5112"/>
            <w:vAlign w:val="top"/>
          </w:tcPr>
          <w:p>
            <w:r>
              <w:rPr>
                <w:sz w:val="14"/>
              </w:rPr>
              <w:t>Compensating measures</w:t>
            </w:r>
          </w:p>
        </w:tc>
        <w:tc>
          <w:tcPr>
            <w:tcW w:type="dxa" w:w="5112"/>
            <w:vAlign w:val="top"/>
          </w:tcPr>
          <w:p>
            <w:r>
              <w:rPr>
                <w:sz w:val="14"/>
              </w:rPr>
              <w:t>Document equivalent risk reduction, accountable approval, monitoring, expiry and a remediation or reassessment date.</w:t>
            </w:r>
          </w:p>
        </w:tc>
      </w:tr>
      <w:tr>
        <w:tc>
          <w:tcPr>
            <w:tcW w:type="dxa" w:w="5112"/>
            <w:vAlign w:val="top"/>
          </w:tcPr>
          <w:p>
            <w:r>
              <w:rPr>
                <w:sz w:val="14"/>
              </w:rPr>
              <w:t>Limitations</w:t>
            </w:r>
          </w:p>
        </w:tc>
        <w:tc>
          <w:tcPr>
            <w:tcW w:type="dxa" w:w="5112"/>
            <w:vAlign w:val="top"/>
          </w:tcPr>
          <w:p>
            <w:r>
              <w:rPr>
                <w:sz w:val="14"/>
              </w:rPr>
              <w:t>This interpretation is informative and requires system-, engineering- and jurisdiction-specific review.</w:t>
            </w:r>
          </w:p>
        </w:tc>
      </w:tr>
    </w:tbl>
    <w:p>
      <w:pPr>
        <w:pStyle w:val="Heading1"/>
      </w:pPr>
      <w:r>
        <w:t>Energy AI use cases and differentiated mappings</w:t>
      </w:r>
    </w:p>
    <w:p>
      <w:r>
        <w:t>Mappings are informative implementation relationships. They do not narrow the full GAISSF applicability assessment.</w:t>
      </w:r>
    </w:p>
    <w:p>
      <w:pPr>
        <w:pStyle w:val="Heading2"/>
      </w:pPr>
      <w:r>
        <w:t>UC-01 - Short-term load forecasting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Operational decision support</w:t>
            </w:r>
          </w:p>
        </w:tc>
      </w:tr>
      <w:tr>
        <w:tc>
          <w:tcPr>
            <w:tcW w:type="dxa" w:w="5112"/>
            <w:vAlign w:val="top"/>
          </w:tcPr>
          <w:p>
            <w:r>
              <w:rPr>
                <w:sz w:val="16"/>
              </w:rPr>
              <w:t>Objective</w:t>
            </w:r>
          </w:p>
        </w:tc>
        <w:tc>
          <w:tcPr>
            <w:tcW w:type="dxa" w:w="5112"/>
            <w:vAlign w:val="top"/>
          </w:tcPr>
          <w:p>
            <w:r>
              <w:rPr>
                <w:sz w:val="16"/>
              </w:rPr>
              <w:t>Use AI to support short-term load forecasting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D1-CTL-04; D4-CTL-02; D5-CTL-01; D6-CTL-01; D6-CTL-02; D6-CTL-04; D6-CTL-05; D8-CTL-01</w:t>
            </w:r>
          </w:p>
        </w:tc>
      </w:tr>
      <w:tr>
        <w:tc>
          <w:tcPr>
            <w:tcW w:type="dxa" w:w="5112"/>
            <w:vAlign w:val="top"/>
          </w:tcPr>
          <w:p>
            <w:r>
              <w:rPr>
                <w:sz w:val="16"/>
              </w:rPr>
              <w:t>Mapping Rationale</w:t>
            </w:r>
          </w:p>
        </w:tc>
        <w:tc>
          <w:tcPr>
            <w:tcW w:type="dxa" w:w="5112"/>
            <w:vAlign w:val="top"/>
          </w:tcPr>
          <w:p>
            <w:r>
              <w:rPr>
                <w:sz w:val="16"/>
              </w:rPr>
              <w:t>Selected for the operational decision support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UC-02 - Renewable generation forecasting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Operational advisory</w:t>
            </w:r>
          </w:p>
        </w:tc>
      </w:tr>
      <w:tr>
        <w:tc>
          <w:tcPr>
            <w:tcW w:type="dxa" w:w="5112"/>
            <w:vAlign w:val="top"/>
          </w:tcPr>
          <w:p>
            <w:r>
              <w:rPr>
                <w:sz w:val="16"/>
              </w:rPr>
              <w:t>Objective</w:t>
            </w:r>
          </w:p>
        </w:tc>
        <w:tc>
          <w:tcPr>
            <w:tcW w:type="dxa" w:w="5112"/>
            <w:vAlign w:val="top"/>
          </w:tcPr>
          <w:p>
            <w:r>
              <w:rPr>
                <w:sz w:val="16"/>
              </w:rPr>
              <w:t>Use AI to support renewable generation forecasting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D1-CTL-04; D4-CTL-02; D5-CTL-01; D6-CTL-02; D6-CTL-04; D8-CTL-01</w:t>
            </w:r>
          </w:p>
        </w:tc>
      </w:tr>
      <w:tr>
        <w:tc>
          <w:tcPr>
            <w:tcW w:type="dxa" w:w="5112"/>
            <w:vAlign w:val="top"/>
          </w:tcPr>
          <w:p>
            <w:r>
              <w:rPr>
                <w:sz w:val="16"/>
              </w:rPr>
              <w:t>Mapping Rationale</w:t>
            </w:r>
          </w:p>
        </w:tc>
        <w:tc>
          <w:tcPr>
            <w:tcW w:type="dxa" w:w="5112"/>
            <w:vAlign w:val="top"/>
          </w:tcPr>
          <w:p>
            <w:r>
              <w:rPr>
                <w:sz w:val="16"/>
              </w:rPr>
              <w:t>Selected for the operational advisory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UC-03 - Transformer health analytics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Predictive maintenance</w:t>
            </w:r>
          </w:p>
        </w:tc>
      </w:tr>
      <w:tr>
        <w:tc>
          <w:tcPr>
            <w:tcW w:type="dxa" w:w="5112"/>
            <w:vAlign w:val="top"/>
          </w:tcPr>
          <w:p>
            <w:r>
              <w:rPr>
                <w:sz w:val="16"/>
              </w:rPr>
              <w:t>Objective</w:t>
            </w:r>
          </w:p>
        </w:tc>
        <w:tc>
          <w:tcPr>
            <w:tcW w:type="dxa" w:w="5112"/>
            <w:vAlign w:val="top"/>
          </w:tcPr>
          <w:p>
            <w:r>
              <w:rPr>
                <w:sz w:val="16"/>
              </w:rPr>
              <w:t>Use AI to support transformer health analytics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D1-CTL-08; D4-CTL-01; D4-CTL-02; D6-CTL-02; D6-CTL-04; D6-CTL-05; D9-CTL-03</w:t>
            </w:r>
          </w:p>
        </w:tc>
      </w:tr>
      <w:tr>
        <w:tc>
          <w:tcPr>
            <w:tcW w:type="dxa" w:w="5112"/>
            <w:vAlign w:val="top"/>
          </w:tcPr>
          <w:p>
            <w:r>
              <w:rPr>
                <w:sz w:val="16"/>
              </w:rPr>
              <w:t>Mapping Rationale</w:t>
            </w:r>
          </w:p>
        </w:tc>
        <w:tc>
          <w:tcPr>
            <w:tcW w:type="dxa" w:w="5112"/>
            <w:vAlign w:val="top"/>
          </w:tcPr>
          <w:p>
            <w:r>
              <w:rPr>
                <w:sz w:val="16"/>
              </w:rPr>
              <w:t>Selected for the predictive maintenance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UC-04 - Fault detection and localisation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High-impact advisory</w:t>
            </w:r>
          </w:p>
        </w:tc>
      </w:tr>
      <w:tr>
        <w:tc>
          <w:tcPr>
            <w:tcW w:type="dxa" w:w="5112"/>
            <w:vAlign w:val="top"/>
          </w:tcPr>
          <w:p>
            <w:r>
              <w:rPr>
                <w:sz w:val="16"/>
              </w:rPr>
              <w:t>Objective</w:t>
            </w:r>
          </w:p>
        </w:tc>
        <w:tc>
          <w:tcPr>
            <w:tcW w:type="dxa" w:w="5112"/>
            <w:vAlign w:val="top"/>
          </w:tcPr>
          <w:p>
            <w:r>
              <w:rPr>
                <w:sz w:val="16"/>
              </w:rPr>
              <w:t>Use AI to support fault detection and localisation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D2-CTL-04; D3-CTL-01; D5-CTL-01; D6-CTL-01; D6-CTL-02; D6-CTL-04; D9-CTL-02; D9-CTL-03</w:t>
            </w:r>
          </w:p>
        </w:tc>
      </w:tr>
      <w:tr>
        <w:tc>
          <w:tcPr>
            <w:tcW w:type="dxa" w:w="5112"/>
            <w:vAlign w:val="top"/>
          </w:tcPr>
          <w:p>
            <w:r>
              <w:rPr>
                <w:sz w:val="16"/>
              </w:rPr>
              <w:t>Mapping Rationale</w:t>
            </w:r>
          </w:p>
        </w:tc>
        <w:tc>
          <w:tcPr>
            <w:tcW w:type="dxa" w:w="5112"/>
            <w:vAlign w:val="top"/>
          </w:tcPr>
          <w:p>
            <w:r>
              <w:rPr>
                <w:sz w:val="16"/>
              </w:rPr>
              <w:t>Selected for the high-impact advisory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UC-05 - Outage prediction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Operational advisory</w:t>
            </w:r>
          </w:p>
        </w:tc>
      </w:tr>
      <w:tr>
        <w:tc>
          <w:tcPr>
            <w:tcW w:type="dxa" w:w="5112"/>
            <w:vAlign w:val="top"/>
          </w:tcPr>
          <w:p>
            <w:r>
              <w:rPr>
                <w:sz w:val="16"/>
              </w:rPr>
              <w:t>Objective</w:t>
            </w:r>
          </w:p>
        </w:tc>
        <w:tc>
          <w:tcPr>
            <w:tcW w:type="dxa" w:w="5112"/>
            <w:vAlign w:val="top"/>
          </w:tcPr>
          <w:p>
            <w:r>
              <w:rPr>
                <w:sz w:val="16"/>
              </w:rPr>
              <w:t>Use AI to support outage prediction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D4-CTL-02; D5-CTL-01; D6-CTL-02; D6-CTL-04; D7-CTL-04; D8-CTL-01</w:t>
            </w:r>
          </w:p>
        </w:tc>
      </w:tr>
      <w:tr>
        <w:tc>
          <w:tcPr>
            <w:tcW w:type="dxa" w:w="5112"/>
            <w:vAlign w:val="top"/>
          </w:tcPr>
          <w:p>
            <w:r>
              <w:rPr>
                <w:sz w:val="16"/>
              </w:rPr>
              <w:t>Mapping Rationale</w:t>
            </w:r>
          </w:p>
        </w:tc>
        <w:tc>
          <w:tcPr>
            <w:tcW w:type="dxa" w:w="5112"/>
            <w:vAlign w:val="top"/>
          </w:tcPr>
          <w:p>
            <w:r>
              <w:rPr>
                <w:sz w:val="16"/>
              </w:rPr>
              <w:t>Selected for the operational advisory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UC-06 - Restoration prioritisation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High-impact decision support</w:t>
            </w:r>
          </w:p>
        </w:tc>
      </w:tr>
      <w:tr>
        <w:tc>
          <w:tcPr>
            <w:tcW w:type="dxa" w:w="5112"/>
            <w:vAlign w:val="top"/>
          </w:tcPr>
          <w:p>
            <w:r>
              <w:rPr>
                <w:sz w:val="16"/>
              </w:rPr>
              <w:t>Objective</w:t>
            </w:r>
          </w:p>
        </w:tc>
        <w:tc>
          <w:tcPr>
            <w:tcW w:type="dxa" w:w="5112"/>
            <w:vAlign w:val="top"/>
          </w:tcPr>
          <w:p>
            <w:r>
              <w:rPr>
                <w:sz w:val="16"/>
              </w:rPr>
              <w:t>Use AI to support restoration prioritisation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D3-CTL-01; D5-CTL-01; D5-CTL-02; D6-CTL-01; D6-CTL-02; D6-CTL-04; D7-CTL-04; D8-CTL-01; D9-CTL-02</w:t>
            </w:r>
          </w:p>
        </w:tc>
      </w:tr>
      <w:tr>
        <w:tc>
          <w:tcPr>
            <w:tcW w:type="dxa" w:w="5112"/>
            <w:vAlign w:val="top"/>
          </w:tcPr>
          <w:p>
            <w:r>
              <w:rPr>
                <w:sz w:val="16"/>
              </w:rPr>
              <w:t>Mapping Rationale</w:t>
            </w:r>
          </w:p>
        </w:tc>
        <w:tc>
          <w:tcPr>
            <w:tcW w:type="dxa" w:w="5112"/>
            <w:vAlign w:val="top"/>
          </w:tcPr>
          <w:p>
            <w:r>
              <w:rPr>
                <w:sz w:val="16"/>
              </w:rPr>
              <w:t>Selected for the high-impact decision support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UC-07 - Voltage and reactive-power optimisation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High-impact automated</w:t>
            </w:r>
          </w:p>
        </w:tc>
      </w:tr>
      <w:tr>
        <w:tc>
          <w:tcPr>
            <w:tcW w:type="dxa" w:w="5112"/>
            <w:vAlign w:val="top"/>
          </w:tcPr>
          <w:p>
            <w:r>
              <w:rPr>
                <w:sz w:val="16"/>
              </w:rPr>
              <w:t>Objective</w:t>
            </w:r>
          </w:p>
        </w:tc>
        <w:tc>
          <w:tcPr>
            <w:tcW w:type="dxa" w:w="5112"/>
            <w:vAlign w:val="top"/>
          </w:tcPr>
          <w:p>
            <w:r>
              <w:rPr>
                <w:sz w:val="16"/>
              </w:rPr>
              <w:t>Use AI to support voltage and reactive-power optimisation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D3-CTL-01; D3-CTL-02; D3-CTL-04; D6-CTL-01; D6-CTL-02; D6-CTL-04; D6-CTL-05; D9-CTL-01; D9-CTL-02; D9-CTL-03; D9-CTL-06</w:t>
            </w:r>
          </w:p>
        </w:tc>
      </w:tr>
      <w:tr>
        <w:tc>
          <w:tcPr>
            <w:tcW w:type="dxa" w:w="5112"/>
            <w:vAlign w:val="top"/>
          </w:tcPr>
          <w:p>
            <w:r>
              <w:rPr>
                <w:sz w:val="16"/>
              </w:rPr>
              <w:t>Mapping Rationale</w:t>
            </w:r>
          </w:p>
        </w:tc>
        <w:tc>
          <w:tcPr>
            <w:tcW w:type="dxa" w:w="5112"/>
            <w:vAlign w:val="top"/>
          </w:tcPr>
          <w:p>
            <w:r>
              <w:rPr>
                <w:sz w:val="16"/>
              </w:rPr>
              <w:t>Selected for the high-impact automated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UC-08 - Distributed energy-resource orchestration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Electricity</w:t>
            </w:r>
          </w:p>
        </w:tc>
      </w:tr>
      <w:tr>
        <w:tc>
          <w:tcPr>
            <w:tcW w:type="dxa" w:w="5112"/>
            <w:vAlign w:val="top"/>
          </w:tcPr>
          <w:p>
            <w:r>
              <w:rPr>
                <w:sz w:val="16"/>
              </w:rPr>
              <w:t>Authority Level</w:t>
            </w:r>
          </w:p>
        </w:tc>
        <w:tc>
          <w:tcPr>
            <w:tcW w:type="dxa" w:w="5112"/>
            <w:vAlign w:val="top"/>
          </w:tcPr>
          <w:p>
            <w:r>
              <w:rPr>
                <w:sz w:val="16"/>
              </w:rPr>
              <w:t>Closed-loop operational</w:t>
            </w:r>
          </w:p>
        </w:tc>
      </w:tr>
      <w:tr>
        <w:tc>
          <w:tcPr>
            <w:tcW w:type="dxa" w:w="5112"/>
            <w:vAlign w:val="top"/>
          </w:tcPr>
          <w:p>
            <w:r>
              <w:rPr>
                <w:sz w:val="16"/>
              </w:rPr>
              <w:t>Objective</w:t>
            </w:r>
          </w:p>
        </w:tc>
        <w:tc>
          <w:tcPr>
            <w:tcW w:type="dxa" w:w="5112"/>
            <w:vAlign w:val="top"/>
          </w:tcPr>
          <w:p>
            <w:r>
              <w:rPr>
                <w:sz w:val="16"/>
              </w:rPr>
              <w:t>Use AI to support distributed energy-resource orchestration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D2-CTL-04; D3-CTL-01; D3-CTL-02; D3-CTL-04; D4-CTL-01; D4-CTL-02; D6-CTL-01; D6-CTL-02; D6-CTL-04; D6-CTL-05; D9-CTL-01; D9-CTL-02; D9-CTL-03; D9-CTL-04; D9-CTL-05; D9-CTL-06</w:t>
            </w:r>
          </w:p>
        </w:tc>
      </w:tr>
      <w:tr>
        <w:tc>
          <w:tcPr>
            <w:tcW w:type="dxa" w:w="5112"/>
            <w:vAlign w:val="top"/>
          </w:tcPr>
          <w:p>
            <w:r>
              <w:rPr>
                <w:sz w:val="16"/>
              </w:rPr>
              <w:t>Mapping Rationale</w:t>
            </w:r>
          </w:p>
        </w:tc>
        <w:tc>
          <w:tcPr>
            <w:tcW w:type="dxa" w:w="5112"/>
            <w:vAlign w:val="top"/>
          </w:tcPr>
          <w:p>
            <w:r>
              <w:rPr>
                <w:sz w:val="16"/>
              </w:rPr>
              <w:t>Selected for the closed-loop operational authority class,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UC-09 - Battery energy-storage optimisation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Storage</w:t>
            </w:r>
          </w:p>
        </w:tc>
      </w:tr>
      <w:tr>
        <w:tc>
          <w:tcPr>
            <w:tcW w:type="dxa" w:w="5112"/>
            <w:vAlign w:val="top"/>
          </w:tcPr>
          <w:p>
            <w:r>
              <w:rPr>
                <w:sz w:val="16"/>
              </w:rPr>
              <w:t>Authority Level</w:t>
            </w:r>
          </w:p>
        </w:tc>
        <w:tc>
          <w:tcPr>
            <w:tcW w:type="dxa" w:w="5112"/>
            <w:vAlign w:val="top"/>
          </w:tcPr>
          <w:p>
            <w:r>
              <w:rPr>
                <w:sz w:val="16"/>
              </w:rPr>
              <w:t>High-impact automated</w:t>
            </w:r>
          </w:p>
        </w:tc>
      </w:tr>
      <w:tr>
        <w:tc>
          <w:tcPr>
            <w:tcW w:type="dxa" w:w="5112"/>
            <w:vAlign w:val="top"/>
          </w:tcPr>
          <w:p>
            <w:r>
              <w:rPr>
                <w:sz w:val="16"/>
              </w:rPr>
              <w:t>Objective</w:t>
            </w:r>
          </w:p>
        </w:tc>
        <w:tc>
          <w:tcPr>
            <w:tcW w:type="dxa" w:w="5112"/>
            <w:vAlign w:val="top"/>
          </w:tcPr>
          <w:p>
            <w:r>
              <w:rPr>
                <w:sz w:val="16"/>
              </w:rPr>
              <w:t>Use AI to support battery energy-storage optimisation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D3-CTL-01; D3-CTL-02; D6-CTL-01; D6-CTL-02; D6-CTL-04; D6-CTL-05; D9-CTL-01; D9-CTL-02; D9-CTL-03; D9-CTL-06</w:t>
            </w:r>
          </w:p>
        </w:tc>
      </w:tr>
      <w:tr>
        <w:tc>
          <w:tcPr>
            <w:tcW w:type="dxa" w:w="5112"/>
            <w:vAlign w:val="top"/>
          </w:tcPr>
          <w:p>
            <w:r>
              <w:rPr>
                <w:sz w:val="16"/>
              </w:rPr>
              <w:t>Mapping Rationale</w:t>
            </w:r>
          </w:p>
        </w:tc>
        <w:tc>
          <w:tcPr>
            <w:tcW w:type="dxa" w:w="5112"/>
            <w:vAlign w:val="top"/>
          </w:tcPr>
          <w:p>
            <w:r>
              <w:rPr>
                <w:sz w:val="16"/>
              </w:rPr>
              <w:t>Selected for the high-impact automated authority class, storage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UC-10 - Pipeline anomaly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Oil and gas</w:t>
            </w:r>
          </w:p>
        </w:tc>
      </w:tr>
      <w:tr>
        <w:tc>
          <w:tcPr>
            <w:tcW w:type="dxa" w:w="5112"/>
            <w:vAlign w:val="top"/>
          </w:tcPr>
          <w:p>
            <w:r>
              <w:rPr>
                <w:sz w:val="16"/>
              </w:rPr>
              <w:t>Authority Level</w:t>
            </w:r>
          </w:p>
        </w:tc>
        <w:tc>
          <w:tcPr>
            <w:tcW w:type="dxa" w:w="5112"/>
            <w:vAlign w:val="top"/>
          </w:tcPr>
          <w:p>
            <w:r>
              <w:rPr>
                <w:sz w:val="16"/>
              </w:rPr>
              <w:t>Safety-relevant advisory</w:t>
            </w:r>
          </w:p>
        </w:tc>
      </w:tr>
      <w:tr>
        <w:tc>
          <w:tcPr>
            <w:tcW w:type="dxa" w:w="5112"/>
            <w:vAlign w:val="top"/>
          </w:tcPr>
          <w:p>
            <w:r>
              <w:rPr>
                <w:sz w:val="16"/>
              </w:rPr>
              <w:t>Objective</w:t>
            </w:r>
          </w:p>
        </w:tc>
        <w:tc>
          <w:tcPr>
            <w:tcW w:type="dxa" w:w="5112"/>
            <w:vAlign w:val="top"/>
          </w:tcPr>
          <w:p>
            <w:r>
              <w:rPr>
                <w:sz w:val="16"/>
              </w:rPr>
              <w:t>Use AI to support pipeline anomaly detection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D1-CTL-08; D2-CTL-04; D4-CTL-02; D6-CTL-02; D6-CTL-04; D8-CTL-01; D9-CTL-02; D9-CTL-03</w:t>
            </w:r>
          </w:p>
        </w:tc>
      </w:tr>
      <w:tr>
        <w:tc>
          <w:tcPr>
            <w:tcW w:type="dxa" w:w="5112"/>
            <w:vAlign w:val="top"/>
          </w:tcPr>
          <w:p>
            <w:r>
              <w:rPr>
                <w:sz w:val="16"/>
              </w:rPr>
              <w:t>Mapping Rationale</w:t>
            </w:r>
          </w:p>
        </w:tc>
        <w:tc>
          <w:tcPr>
            <w:tcW w:type="dxa" w:w="5112"/>
            <w:vAlign w:val="top"/>
          </w:tcPr>
          <w:p>
            <w:r>
              <w:rPr>
                <w:sz w:val="16"/>
              </w:rPr>
              <w:t>Selected for the safety-relevant advisory authority class, oil and gas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UC-11 - Leak-detection support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Oil and gas</w:t>
            </w:r>
          </w:p>
        </w:tc>
      </w:tr>
      <w:tr>
        <w:tc>
          <w:tcPr>
            <w:tcW w:type="dxa" w:w="5112"/>
            <w:vAlign w:val="top"/>
          </w:tcPr>
          <w:p>
            <w:r>
              <w:rPr>
                <w:sz w:val="16"/>
              </w:rPr>
              <w:t>Authority Level</w:t>
            </w:r>
          </w:p>
        </w:tc>
        <w:tc>
          <w:tcPr>
            <w:tcW w:type="dxa" w:w="5112"/>
            <w:vAlign w:val="top"/>
          </w:tcPr>
          <w:p>
            <w:r>
              <w:rPr>
                <w:sz w:val="16"/>
              </w:rPr>
              <w:t>Safety-relevant decision support</w:t>
            </w:r>
          </w:p>
        </w:tc>
      </w:tr>
      <w:tr>
        <w:tc>
          <w:tcPr>
            <w:tcW w:type="dxa" w:w="5112"/>
            <w:vAlign w:val="top"/>
          </w:tcPr>
          <w:p>
            <w:r>
              <w:rPr>
                <w:sz w:val="16"/>
              </w:rPr>
              <w:t>Objective</w:t>
            </w:r>
          </w:p>
        </w:tc>
        <w:tc>
          <w:tcPr>
            <w:tcW w:type="dxa" w:w="5112"/>
            <w:vAlign w:val="top"/>
          </w:tcPr>
          <w:p>
            <w:r>
              <w:rPr>
                <w:sz w:val="16"/>
              </w:rPr>
              <w:t>Use AI to support leak-detection support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D3-CTL-01; D5-CTL-01; D6-CTL-01; D6-CTL-02; D6-CTL-04; D7-CTL-04; D9-CTL-01; D9-CTL-02; D9-CTL-03</w:t>
            </w:r>
          </w:p>
        </w:tc>
      </w:tr>
      <w:tr>
        <w:tc>
          <w:tcPr>
            <w:tcW w:type="dxa" w:w="5112"/>
            <w:vAlign w:val="top"/>
          </w:tcPr>
          <w:p>
            <w:r>
              <w:rPr>
                <w:sz w:val="16"/>
              </w:rPr>
              <w:t>Mapping Rationale</w:t>
            </w:r>
          </w:p>
        </w:tc>
        <w:tc>
          <w:tcPr>
            <w:tcW w:type="dxa" w:w="5112"/>
            <w:vAlign w:val="top"/>
          </w:tcPr>
          <w:p>
            <w:r>
              <w:rPr>
                <w:sz w:val="16"/>
              </w:rPr>
              <w:t>Selected for the safety-relevant decision support authority class, oil and gas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UC-12 - Refinery process optimisation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Oil and gas</w:t>
            </w:r>
          </w:p>
        </w:tc>
      </w:tr>
      <w:tr>
        <w:tc>
          <w:tcPr>
            <w:tcW w:type="dxa" w:w="5112"/>
            <w:vAlign w:val="top"/>
          </w:tcPr>
          <w:p>
            <w:r>
              <w:rPr>
                <w:sz w:val="16"/>
              </w:rPr>
              <w:t>Authority Level</w:t>
            </w:r>
          </w:p>
        </w:tc>
        <w:tc>
          <w:tcPr>
            <w:tcW w:type="dxa" w:w="5112"/>
            <w:vAlign w:val="top"/>
          </w:tcPr>
          <w:p>
            <w:r>
              <w:rPr>
                <w:sz w:val="16"/>
              </w:rPr>
              <w:t>High-impact automated</w:t>
            </w:r>
          </w:p>
        </w:tc>
      </w:tr>
      <w:tr>
        <w:tc>
          <w:tcPr>
            <w:tcW w:type="dxa" w:w="5112"/>
            <w:vAlign w:val="top"/>
          </w:tcPr>
          <w:p>
            <w:r>
              <w:rPr>
                <w:sz w:val="16"/>
              </w:rPr>
              <w:t>Objective</w:t>
            </w:r>
          </w:p>
        </w:tc>
        <w:tc>
          <w:tcPr>
            <w:tcW w:type="dxa" w:w="5112"/>
            <w:vAlign w:val="top"/>
          </w:tcPr>
          <w:p>
            <w:r>
              <w:rPr>
                <w:sz w:val="16"/>
              </w:rPr>
              <w:t>Use AI to support refinery process optimisation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D3-CTL-01; D3-CTL-02; D4-CTL-01; D6-CTL-01; D6-CTL-02; D6-CTL-04; D6-CTL-05; D9-CTL-01; D9-CTL-02; D9-CTL-03; D9-CTL-06</w:t>
            </w:r>
          </w:p>
        </w:tc>
      </w:tr>
      <w:tr>
        <w:tc>
          <w:tcPr>
            <w:tcW w:type="dxa" w:w="5112"/>
            <w:vAlign w:val="top"/>
          </w:tcPr>
          <w:p>
            <w:r>
              <w:rPr>
                <w:sz w:val="16"/>
              </w:rPr>
              <w:t>Mapping Rationale</w:t>
            </w:r>
          </w:p>
        </w:tc>
        <w:tc>
          <w:tcPr>
            <w:tcW w:type="dxa" w:w="5112"/>
            <w:vAlign w:val="top"/>
          </w:tcPr>
          <w:p>
            <w:r>
              <w:rPr>
                <w:sz w:val="16"/>
              </w:rPr>
              <w:t>Selected for the high-impact automated authority class, oil and gas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UC-13 - Energy trading and bidding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Markets</w:t>
            </w:r>
          </w:p>
        </w:tc>
      </w:tr>
      <w:tr>
        <w:tc>
          <w:tcPr>
            <w:tcW w:type="dxa" w:w="5112"/>
            <w:vAlign w:val="top"/>
          </w:tcPr>
          <w:p>
            <w:r>
              <w:rPr>
                <w:sz w:val="16"/>
              </w:rPr>
              <w:t>Authority Level</w:t>
            </w:r>
          </w:p>
        </w:tc>
        <w:tc>
          <w:tcPr>
            <w:tcW w:type="dxa" w:w="5112"/>
            <w:vAlign w:val="top"/>
          </w:tcPr>
          <w:p>
            <w:r>
              <w:rPr>
                <w:sz w:val="16"/>
              </w:rPr>
              <w:t>Automated financial decision</w:t>
            </w:r>
          </w:p>
        </w:tc>
      </w:tr>
      <w:tr>
        <w:tc>
          <w:tcPr>
            <w:tcW w:type="dxa" w:w="5112"/>
            <w:vAlign w:val="top"/>
          </w:tcPr>
          <w:p>
            <w:r>
              <w:rPr>
                <w:sz w:val="16"/>
              </w:rPr>
              <w:t>Objective</w:t>
            </w:r>
          </w:p>
        </w:tc>
        <w:tc>
          <w:tcPr>
            <w:tcW w:type="dxa" w:w="5112"/>
            <w:vAlign w:val="top"/>
          </w:tcPr>
          <w:p>
            <w:r>
              <w:rPr>
                <w:sz w:val="16"/>
              </w:rPr>
              <w:t>Use AI to support energy trading and bidding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D2-CTL-01; D3-CTL-01; D3-CTL-02; D5-CTL-01; D5-CTL-02; D5-CTL-04; D6-CTL-01; D6-CTL-02; D6-CTL-04; D7-CTL-05; D8-CTL-01; D8-CTL-02; D8-CTL-04</w:t>
            </w:r>
          </w:p>
        </w:tc>
      </w:tr>
      <w:tr>
        <w:tc>
          <w:tcPr>
            <w:tcW w:type="dxa" w:w="5112"/>
            <w:vAlign w:val="top"/>
          </w:tcPr>
          <w:p>
            <w:r>
              <w:rPr>
                <w:sz w:val="16"/>
              </w:rPr>
              <w:t>Mapping Rationale</w:t>
            </w:r>
          </w:p>
        </w:tc>
        <w:tc>
          <w:tcPr>
            <w:tcW w:type="dxa" w:w="5112"/>
            <w:vAlign w:val="top"/>
          </w:tcPr>
          <w:p>
            <w:r>
              <w:rPr>
                <w:sz w:val="16"/>
              </w:rPr>
              <w:t>Selected for the automated financial decision authority class, markets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UC-14 - Demand-response targeting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Retail electricity</w:t>
            </w:r>
          </w:p>
        </w:tc>
      </w:tr>
      <w:tr>
        <w:tc>
          <w:tcPr>
            <w:tcW w:type="dxa" w:w="5112"/>
            <w:vAlign w:val="top"/>
          </w:tcPr>
          <w:p>
            <w:r>
              <w:rPr>
                <w:sz w:val="16"/>
              </w:rPr>
              <w:t>Authority Level</w:t>
            </w:r>
          </w:p>
        </w:tc>
        <w:tc>
          <w:tcPr>
            <w:tcW w:type="dxa" w:w="5112"/>
            <w:vAlign w:val="top"/>
          </w:tcPr>
          <w:p>
            <w:r>
              <w:rPr>
                <w:sz w:val="16"/>
              </w:rPr>
              <w:t>Customer and operational decision</w:t>
            </w:r>
          </w:p>
        </w:tc>
      </w:tr>
      <w:tr>
        <w:tc>
          <w:tcPr>
            <w:tcW w:type="dxa" w:w="5112"/>
            <w:vAlign w:val="top"/>
          </w:tcPr>
          <w:p>
            <w:r>
              <w:rPr>
                <w:sz w:val="16"/>
              </w:rPr>
              <w:t>Objective</w:t>
            </w:r>
          </w:p>
        </w:tc>
        <w:tc>
          <w:tcPr>
            <w:tcW w:type="dxa" w:w="5112"/>
            <w:vAlign w:val="top"/>
          </w:tcPr>
          <w:p>
            <w:r>
              <w:rPr>
                <w:sz w:val="16"/>
              </w:rPr>
              <w:t>Use AI to support demand-response targeting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D5-CTL-01; D5-CTL-02; D5-CTL-05; D6-CTL-01; D6-CTL-02; D6-CTL-04; D7-CTL-04; D8-CTL-01; D8-CTL-02</w:t>
            </w:r>
          </w:p>
        </w:tc>
      </w:tr>
      <w:tr>
        <w:tc>
          <w:tcPr>
            <w:tcW w:type="dxa" w:w="5112"/>
            <w:vAlign w:val="top"/>
          </w:tcPr>
          <w:p>
            <w:r>
              <w:rPr>
                <w:sz w:val="16"/>
              </w:rPr>
              <w:t>Mapping Rationale</w:t>
            </w:r>
          </w:p>
        </w:tc>
        <w:tc>
          <w:tcPr>
            <w:tcW w:type="dxa" w:w="5112"/>
            <w:vAlign w:val="top"/>
          </w:tcPr>
          <w:p>
            <w:r>
              <w:rPr>
                <w:sz w:val="16"/>
              </w:rPr>
              <w:t>Selected for the customer and operational decision authority class, retail electricity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UC-15 - OT cyber anomaly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Cross-sector</w:t>
            </w:r>
          </w:p>
        </w:tc>
      </w:tr>
      <w:tr>
        <w:tc>
          <w:tcPr>
            <w:tcW w:type="dxa" w:w="5112"/>
            <w:vAlign w:val="top"/>
          </w:tcPr>
          <w:p>
            <w:r>
              <w:rPr>
                <w:sz w:val="16"/>
              </w:rPr>
              <w:t>Authority Level</w:t>
            </w:r>
          </w:p>
        </w:tc>
        <w:tc>
          <w:tcPr>
            <w:tcW w:type="dxa" w:w="5112"/>
            <w:vAlign w:val="top"/>
          </w:tcPr>
          <w:p>
            <w:r>
              <w:rPr>
                <w:sz w:val="16"/>
              </w:rPr>
              <w:t>Security decision support</w:t>
            </w:r>
          </w:p>
        </w:tc>
      </w:tr>
      <w:tr>
        <w:tc>
          <w:tcPr>
            <w:tcW w:type="dxa" w:w="5112"/>
            <w:vAlign w:val="top"/>
          </w:tcPr>
          <w:p>
            <w:r>
              <w:rPr>
                <w:sz w:val="16"/>
              </w:rPr>
              <w:t>Objective</w:t>
            </w:r>
          </w:p>
        </w:tc>
        <w:tc>
          <w:tcPr>
            <w:tcW w:type="dxa" w:w="5112"/>
            <w:vAlign w:val="top"/>
          </w:tcPr>
          <w:p>
            <w:r>
              <w:rPr>
                <w:sz w:val="16"/>
              </w:rPr>
              <w:t>Use AI to support ot cyber anomaly detection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D2-CTL-01; D2-CTL-02; D2-CTL-03; D2-CTL-04; D4-CTL-01; D4-CTL-02; D6-CTL-02; D6-CTL-04; D6-CTL-05; D8-CTL-03</w:t>
            </w:r>
          </w:p>
        </w:tc>
      </w:tr>
      <w:tr>
        <w:tc>
          <w:tcPr>
            <w:tcW w:type="dxa" w:w="5112"/>
            <w:vAlign w:val="top"/>
          </w:tcPr>
          <w:p>
            <w:r>
              <w:rPr>
                <w:sz w:val="16"/>
              </w:rPr>
              <w:t>Mapping Rationale</w:t>
            </w:r>
          </w:p>
        </w:tc>
        <w:tc>
          <w:tcPr>
            <w:tcW w:type="dxa" w:w="5112"/>
            <w:vAlign w:val="top"/>
          </w:tcPr>
          <w:p>
            <w:r>
              <w:rPr>
                <w:sz w:val="16"/>
              </w:rPr>
              <w:t>Selected for the security decision support authority class, cross-sector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UC-16 - Field-service decision support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Cross-sector</w:t>
            </w:r>
          </w:p>
        </w:tc>
      </w:tr>
      <w:tr>
        <w:tc>
          <w:tcPr>
            <w:tcW w:type="dxa" w:w="5112"/>
            <w:vAlign w:val="top"/>
          </w:tcPr>
          <w:p>
            <w:r>
              <w:rPr>
                <w:sz w:val="16"/>
              </w:rPr>
              <w:t>Authority Level</w:t>
            </w:r>
          </w:p>
        </w:tc>
        <w:tc>
          <w:tcPr>
            <w:tcW w:type="dxa" w:w="5112"/>
            <w:vAlign w:val="top"/>
          </w:tcPr>
          <w:p>
            <w:r>
              <w:rPr>
                <w:sz w:val="16"/>
              </w:rPr>
              <w:t>Operational advisory</w:t>
            </w:r>
          </w:p>
        </w:tc>
      </w:tr>
      <w:tr>
        <w:tc>
          <w:tcPr>
            <w:tcW w:type="dxa" w:w="5112"/>
            <w:vAlign w:val="top"/>
          </w:tcPr>
          <w:p>
            <w:r>
              <w:rPr>
                <w:sz w:val="16"/>
              </w:rPr>
              <w:t>Objective</w:t>
            </w:r>
          </w:p>
        </w:tc>
        <w:tc>
          <w:tcPr>
            <w:tcW w:type="dxa" w:w="5112"/>
            <w:vAlign w:val="top"/>
          </w:tcPr>
          <w:p>
            <w:r>
              <w:rPr>
                <w:sz w:val="16"/>
              </w:rPr>
              <w:t>Use AI to support field-service decision support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D4-CTL-02; D5-CTL-01; D6-CTL-01; D6-CTL-02; D7-CTL-01; D7-CTL-04; D8-CTL-01</w:t>
            </w:r>
          </w:p>
        </w:tc>
      </w:tr>
      <w:tr>
        <w:tc>
          <w:tcPr>
            <w:tcW w:type="dxa" w:w="5112"/>
            <w:vAlign w:val="top"/>
          </w:tcPr>
          <w:p>
            <w:r>
              <w:rPr>
                <w:sz w:val="16"/>
              </w:rPr>
              <w:t>Mapping Rationale</w:t>
            </w:r>
          </w:p>
        </w:tc>
        <w:tc>
          <w:tcPr>
            <w:tcW w:type="dxa" w:w="5112"/>
            <w:vAlign w:val="top"/>
          </w:tcPr>
          <w:p>
            <w:r>
              <w:rPr>
                <w:sz w:val="16"/>
              </w:rPr>
              <w:t>Selected for the operational advisory authority class, cross-sector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UC-17 - Billing anomaly detection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Retail energy</w:t>
            </w:r>
          </w:p>
        </w:tc>
      </w:tr>
      <w:tr>
        <w:tc>
          <w:tcPr>
            <w:tcW w:type="dxa" w:w="5112"/>
            <w:vAlign w:val="top"/>
          </w:tcPr>
          <w:p>
            <w:r>
              <w:rPr>
                <w:sz w:val="16"/>
              </w:rPr>
              <w:t>Authority Level</w:t>
            </w:r>
          </w:p>
        </w:tc>
        <w:tc>
          <w:tcPr>
            <w:tcW w:type="dxa" w:w="5112"/>
            <w:vAlign w:val="top"/>
          </w:tcPr>
          <w:p>
            <w:r>
              <w:rPr>
                <w:sz w:val="16"/>
              </w:rPr>
              <w:t>Enterprise decision support</w:t>
            </w:r>
          </w:p>
        </w:tc>
      </w:tr>
      <w:tr>
        <w:tc>
          <w:tcPr>
            <w:tcW w:type="dxa" w:w="5112"/>
            <w:vAlign w:val="top"/>
          </w:tcPr>
          <w:p>
            <w:r>
              <w:rPr>
                <w:sz w:val="16"/>
              </w:rPr>
              <w:t>Objective</w:t>
            </w:r>
          </w:p>
        </w:tc>
        <w:tc>
          <w:tcPr>
            <w:tcW w:type="dxa" w:w="5112"/>
            <w:vAlign w:val="top"/>
          </w:tcPr>
          <w:p>
            <w:r>
              <w:rPr>
                <w:sz w:val="16"/>
              </w:rPr>
              <w:t>Use AI to support billing anomaly detection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D5-CTL-01; D5-CTL-02; D5-CTL-05; D6-CTL-01; D6-CTL-02; D6-CTL-04; D8-CTL-01; D8-CTL-02</w:t>
            </w:r>
          </w:p>
        </w:tc>
      </w:tr>
      <w:tr>
        <w:tc>
          <w:tcPr>
            <w:tcW w:type="dxa" w:w="5112"/>
            <w:vAlign w:val="top"/>
          </w:tcPr>
          <w:p>
            <w:r>
              <w:rPr>
                <w:sz w:val="16"/>
              </w:rPr>
              <w:t>Mapping Rationale</w:t>
            </w:r>
          </w:p>
        </w:tc>
        <w:tc>
          <w:tcPr>
            <w:tcW w:type="dxa" w:w="5112"/>
            <w:vAlign w:val="top"/>
          </w:tcPr>
          <w:p>
            <w:r>
              <w:rPr>
                <w:sz w:val="16"/>
              </w:rPr>
              <w:t>Selected for the enterprise decision support authority class, retail energy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2"/>
      </w:pPr>
      <w:r>
        <w:t>UC-18 - Physical security analytics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Subsector</w:t>
            </w:r>
          </w:p>
        </w:tc>
        <w:tc>
          <w:tcPr>
            <w:tcW w:type="dxa" w:w="5112"/>
            <w:vAlign w:val="top"/>
          </w:tcPr>
          <w:p>
            <w:r>
              <w:rPr>
                <w:sz w:val="16"/>
              </w:rPr>
              <w:t>Cross-sector</w:t>
            </w:r>
          </w:p>
        </w:tc>
      </w:tr>
      <w:tr>
        <w:tc>
          <w:tcPr>
            <w:tcW w:type="dxa" w:w="5112"/>
            <w:vAlign w:val="top"/>
          </w:tcPr>
          <w:p>
            <w:r>
              <w:rPr>
                <w:sz w:val="16"/>
              </w:rPr>
              <w:t>Authority Level</w:t>
            </w:r>
          </w:p>
        </w:tc>
        <w:tc>
          <w:tcPr>
            <w:tcW w:type="dxa" w:w="5112"/>
            <w:vAlign w:val="top"/>
          </w:tcPr>
          <w:p>
            <w:r>
              <w:rPr>
                <w:sz w:val="16"/>
              </w:rPr>
              <w:t>Security advisory</w:t>
            </w:r>
          </w:p>
        </w:tc>
      </w:tr>
      <w:tr>
        <w:tc>
          <w:tcPr>
            <w:tcW w:type="dxa" w:w="5112"/>
            <w:vAlign w:val="top"/>
          </w:tcPr>
          <w:p>
            <w:r>
              <w:rPr>
                <w:sz w:val="16"/>
              </w:rPr>
              <w:t>Objective</w:t>
            </w:r>
          </w:p>
        </w:tc>
        <w:tc>
          <w:tcPr>
            <w:tcW w:type="dxa" w:w="5112"/>
            <w:vAlign w:val="top"/>
          </w:tcPr>
          <w:p>
            <w:r>
              <w:rPr>
                <w:sz w:val="16"/>
              </w:rPr>
              <w:t>Use AI to support physical security analytics while preserving accountable, bounded and recoverable operation.</w:t>
            </w:r>
          </w:p>
        </w:tc>
      </w:tr>
      <w:tr>
        <w:tc>
          <w:tcPr>
            <w:tcW w:type="dxa" w:w="5112"/>
            <w:vAlign w:val="top"/>
          </w:tcPr>
          <w:p>
            <w:r>
              <w:rPr>
                <w:sz w:val="16"/>
              </w:rPr>
              <w:t>Data Inputs</w:t>
            </w:r>
          </w:p>
        </w:tc>
        <w:tc>
          <w:tcPr>
            <w:tcW w:type="dxa" w:w="5112"/>
            <w:vAlign w:val="top"/>
          </w:tcPr>
          <w:p>
            <w:r>
              <w:rPr>
                <w:sz w:val="16"/>
              </w:rPr>
              <w:t>Telemetry, asset, operational, environmental, market, customer or security data as applicable; lineage and freshness are recorded.</w:t>
            </w:r>
          </w:p>
        </w:tc>
      </w:tr>
      <w:tr>
        <w:tc>
          <w:tcPr>
            <w:tcW w:type="dxa" w:w="5112"/>
            <w:vAlign w:val="top"/>
          </w:tcPr>
          <w:p>
            <w:r>
              <w:rPr>
                <w:sz w:val="16"/>
              </w:rPr>
              <w:t>Human Decision Point</w:t>
            </w:r>
          </w:p>
        </w:tc>
        <w:tc>
          <w:tcPr>
            <w:tcW w:type="dxa" w:w="5112"/>
            <w:vAlign w:val="top"/>
          </w:tcPr>
          <w:p>
            <w:r>
              <w:rPr>
                <w:sz w:val="16"/>
              </w:rPr>
              <w:t>Named operator or accountable owner reviews or authorises material action according to authority class.</w:t>
            </w:r>
          </w:p>
        </w:tc>
      </w:tr>
      <w:tr>
        <w:tc>
          <w:tcPr>
            <w:tcW w:type="dxa" w:w="5112"/>
            <w:vAlign w:val="top"/>
          </w:tcPr>
          <w:p>
            <w:r>
              <w:rPr>
                <w:sz w:val="16"/>
              </w:rPr>
              <w:t>Failure Modes</w:t>
            </w:r>
          </w:p>
        </w:tc>
        <w:tc>
          <w:tcPr>
            <w:tcW w:type="dxa" w:w="5112"/>
            <w:vAlign w:val="top"/>
          </w:tcPr>
          <w:p>
            <w:r>
              <w:rPr>
                <w:sz w:val="16"/>
              </w:rPr>
              <w:t>Incorrect prediction; stale, missing or manipulated data; distribution shift; dependency loss; automation bias; unauthorised or unsafe action.</w:t>
            </w:r>
          </w:p>
        </w:tc>
      </w:tr>
      <w:tr>
        <w:tc>
          <w:tcPr>
            <w:tcW w:type="dxa" w:w="5112"/>
            <w:vAlign w:val="top"/>
          </w:tcPr>
          <w:p>
            <w:r>
              <w:rPr>
                <w:sz w:val="16"/>
              </w:rPr>
              <w:t>Applicable Controls</w:t>
            </w:r>
          </w:p>
        </w:tc>
        <w:tc>
          <w:tcPr>
            <w:tcW w:type="dxa" w:w="5112"/>
            <w:vAlign w:val="top"/>
          </w:tcPr>
          <w:p>
            <w:r>
              <w:rPr>
                <w:sz w:val="16"/>
              </w:rPr>
              <w:t>D1-CTL-01; D1-CTL-03; D2-CTL-05; D4-CTL-02; D5-CTL-01; D5-CTL-05; D6-CTL-01; D6-CTL-02; D7-CTL-04; D8-CTL-01; D9-CTL-03</w:t>
            </w:r>
          </w:p>
        </w:tc>
      </w:tr>
      <w:tr>
        <w:tc>
          <w:tcPr>
            <w:tcW w:type="dxa" w:w="5112"/>
            <w:vAlign w:val="top"/>
          </w:tcPr>
          <w:p>
            <w:r>
              <w:rPr>
                <w:sz w:val="16"/>
              </w:rPr>
              <w:t>Mapping Rationale</w:t>
            </w:r>
          </w:p>
        </w:tc>
        <w:tc>
          <w:tcPr>
            <w:tcW w:type="dxa" w:w="5112"/>
            <w:vAlign w:val="top"/>
          </w:tcPr>
          <w:p>
            <w:r>
              <w:rPr>
                <w:sz w:val="16"/>
              </w:rPr>
              <w:t>Selected for the security advisory authority class, cross-sector context and the stated data, human-oversight, dependency and consequence profile.</w:t>
            </w:r>
          </w:p>
        </w:tc>
      </w:tr>
      <w:tr>
        <w:tc>
          <w:tcPr>
            <w:tcW w:type="dxa" w:w="5112"/>
            <w:vAlign w:val="top"/>
          </w:tcPr>
          <w:p>
            <w:r>
              <w:rPr>
                <w:sz w:val="16"/>
              </w:rPr>
              <w:t>Evidence</w:t>
            </w:r>
          </w:p>
        </w:tc>
        <w:tc>
          <w:tcPr>
            <w:tcW w:type="dxa" w:w="5112"/>
            <w:vAlign w:val="top"/>
          </w:tcPr>
          <w:p>
            <w:r>
              <w:rPr>
                <w:sz w:val="16"/>
              </w:rPr>
              <w:t>System risk assessment; architecture and authority record; representative validation; approval; monitoring; override, fallback and incident evidence.</w:t>
            </w:r>
          </w:p>
        </w:tc>
      </w:tr>
      <w:tr>
        <w:tc>
          <w:tcPr>
            <w:tcW w:type="dxa" w:w="5112"/>
            <w:vAlign w:val="top"/>
          </w:tcPr>
          <w:p>
            <w:r>
              <w:rPr>
                <w:sz w:val="16"/>
              </w:rPr>
              <w:t>Fallback</w:t>
            </w:r>
          </w:p>
        </w:tc>
        <w:tc>
          <w:tcPr>
            <w:tcW w:type="dxa" w:w="5112"/>
            <w:vAlign w:val="top"/>
          </w:tcPr>
          <w:p>
            <w:r>
              <w:rPr>
                <w:sz w:val="16"/>
              </w:rPr>
              <w:t>Revert to an approved deterministic procedure, trusted prior version or manual operation without bypassing independent protection.</w:t>
            </w:r>
          </w:p>
        </w:tc>
      </w:tr>
      <w:tr>
        <w:tc>
          <w:tcPr>
            <w:tcW w:type="dxa" w:w="5112"/>
            <w:vAlign w:val="top"/>
          </w:tcPr>
          <w:p>
            <w:r>
              <w:rPr>
                <w:sz w:val="16"/>
              </w:rPr>
              <w:t>Residual Risk</w:t>
            </w:r>
          </w:p>
        </w:tc>
        <w:tc>
          <w:tcPr>
            <w:tcW w:type="dxa" w:w="5112"/>
            <w:vAlign w:val="top"/>
          </w:tcPr>
          <w:p>
            <w:r>
              <w:rPr>
                <w:sz w:val="16"/>
              </w:rPr>
              <w:t>Accepted by the accountable owner after security, operations and applicable safety/reliability review.</w:t>
            </w:r>
          </w:p>
        </w:tc>
      </w:tr>
      <w:tr>
        <w:tc>
          <w:tcPr>
            <w:tcW w:type="dxa" w:w="5112"/>
            <w:vAlign w:val="top"/>
          </w:tcPr>
          <w:p>
            <w:r>
              <w:rPr>
                <w:sz w:val="16"/>
              </w:rPr>
              <w:t>Notably Absent</w:t>
            </w:r>
          </w:p>
        </w:tc>
        <w:tc>
          <w:tcPr>
            <w:tcW w:type="dxa" w:w="5112"/>
            <w:vAlign w:val="top"/>
          </w:tcPr>
          <w:p>
            <w:r>
              <w:rPr>
                <w:sz w:val="16"/>
              </w:rPr>
              <w:t>No claim that the use of AI improves reliability, safety, fairness or efficiency without system-specific operational evidence.</w:t>
            </w:r>
          </w:p>
        </w:tc>
      </w:tr>
    </w:tbl>
    <w:p>
      <w:pPr>
        <w:pStyle w:val="Heading1"/>
      </w:pPr>
      <w:r>
        <w:t>Composite worked scenarios</w:t>
      </w:r>
    </w:p>
    <w:p>
      <w:pPr>
        <w:pStyle w:val="Heading2"/>
      </w:pPr>
      <w:r>
        <w:t>CS-01 - Real-time DER dispatch for voltage support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Systems involved</w:t>
            </w:r>
          </w:p>
        </w:tc>
        <w:tc>
          <w:tcPr>
            <w:tcW w:type="dxa" w:w="5112"/>
            <w:vAlign w:val="top"/>
          </w:tcPr>
          <w:p>
            <w:r>
              <w:rPr>
                <w:sz w:val="16"/>
              </w:rPr>
              <w:t>Load and renewable forecasts; battery optimisation; DER orchestration; DMS/SCADA and field controllers.</w:t>
            </w:r>
          </w:p>
        </w:tc>
      </w:tr>
      <w:tr>
        <w:tc>
          <w:tcPr>
            <w:tcW w:type="dxa" w:w="5112"/>
            <w:vAlign w:val="top"/>
          </w:tcPr>
          <w:p>
            <w:r>
              <w:rPr>
                <w:sz w:val="16"/>
              </w:rPr>
              <w:t>Authority and control flow</w:t>
            </w:r>
          </w:p>
        </w:tc>
        <w:tc>
          <w:tcPr>
            <w:tcW w:type="dxa" w:w="5112"/>
            <w:vAlign w:val="top"/>
          </w:tcPr>
          <w:p>
            <w:r>
              <w:rPr>
                <w:sz w:val="16"/>
              </w:rPr>
              <w:t>Forecasts produce a proposed dispatch; operational constraints and safety checks validate it; material actions require approved authority; commands are signed and reconciled; independent protection remains active.</w:t>
            </w:r>
          </w:p>
        </w:tc>
      </w:tr>
      <w:tr>
        <w:tc>
          <w:tcPr>
            <w:tcW w:type="dxa" w:w="5112"/>
            <w:vAlign w:val="top"/>
          </w:tcPr>
          <w:p>
            <w:r>
              <w:rPr>
                <w:sz w:val="16"/>
              </w:rPr>
              <w:t>Connected controls</w:t>
            </w:r>
          </w:p>
        </w:tc>
        <w:tc>
          <w:tcPr>
            <w:tcW w:type="dxa" w:w="5112"/>
            <w:vAlign w:val="top"/>
          </w:tcPr>
          <w:p>
            <w:r>
              <w:rPr>
                <w:sz w:val="16"/>
              </w:rPr>
              <w:t>D1-CTL-01; D1-CTL-03; D3-CTL-01; D3-CTL-02; D4-CTL-02; D6-CTL-01; D6-CTL-02; D6-CTL-04; D6-CTL-05; D9-CTL-01; D9-CTL-02; D9-CTL-03; D9-CTL-06</w:t>
            </w:r>
          </w:p>
        </w:tc>
      </w:tr>
      <w:tr>
        <w:tc>
          <w:tcPr>
            <w:tcW w:type="dxa" w:w="5112"/>
            <w:vAlign w:val="top"/>
          </w:tcPr>
          <w:p>
            <w:r>
              <w:rPr>
                <w:sz w:val="16"/>
              </w:rPr>
              <w:t>Failure and stress tests</w:t>
            </w:r>
          </w:p>
        </w:tc>
        <w:tc>
          <w:tcPr>
            <w:tcW w:type="dxa" w:w="5112"/>
            <w:vAlign w:val="top"/>
          </w:tcPr>
          <w:p>
            <w:r>
              <w:rPr>
                <w:sz w:val="16"/>
              </w:rPr>
              <w:t>Manipulated forecast, aggregator loss, stale telemetry, correlated DER response, unsafe rate of change and failed rollback.</w:t>
            </w:r>
          </w:p>
        </w:tc>
      </w:tr>
      <w:tr>
        <w:tc>
          <w:tcPr>
            <w:tcW w:type="dxa" w:w="5112"/>
            <w:vAlign w:val="top"/>
          </w:tcPr>
          <w:p>
            <w:r>
              <w:rPr>
                <w:sz w:val="16"/>
              </w:rPr>
              <w:t>Fallback</w:t>
            </w:r>
          </w:p>
        </w:tc>
        <w:tc>
          <w:tcPr>
            <w:tcW w:type="dxa" w:w="5112"/>
            <w:vAlign w:val="top"/>
          </w:tcPr>
          <w:p>
            <w:r>
              <w:rPr>
                <w:sz w:val="16"/>
              </w:rPr>
              <w:t>Local voltage controls and operator-approved deterministic dispatch.</w:t>
            </w:r>
          </w:p>
        </w:tc>
      </w:tr>
    </w:tbl>
    <w:p>
      <w:pPr>
        <w:pStyle w:val="Heading2"/>
      </w:pPr>
      <w:r>
        <w:t>CS-02 - AI-assisted outage restoration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Systems involved</w:t>
            </w:r>
          </w:p>
        </w:tc>
        <w:tc>
          <w:tcPr>
            <w:tcW w:type="dxa" w:w="5112"/>
            <w:vAlign w:val="top"/>
          </w:tcPr>
          <w:p>
            <w:r>
              <w:rPr>
                <w:sz w:val="16"/>
              </w:rPr>
              <w:t>Damage assessment; outage prediction; critical-load records; crew/asset availability; restoration planning.</w:t>
            </w:r>
          </w:p>
        </w:tc>
      </w:tr>
      <w:tr>
        <w:tc>
          <w:tcPr>
            <w:tcW w:type="dxa" w:w="5112"/>
            <w:vAlign w:val="top"/>
          </w:tcPr>
          <w:p>
            <w:r>
              <w:rPr>
                <w:sz w:val="16"/>
              </w:rPr>
              <w:t>Authority and control flow</w:t>
            </w:r>
          </w:p>
        </w:tc>
        <w:tc>
          <w:tcPr>
            <w:tcW w:type="dxa" w:w="5112"/>
            <w:vAlign w:val="top"/>
          </w:tcPr>
          <w:p>
            <w:r>
              <w:rPr>
                <w:sz w:val="16"/>
              </w:rPr>
              <w:t>AI proposes priorities; field and critical-service data are reconciled; an authorised restoration lead approves; execution and deviations are logged.</w:t>
            </w:r>
          </w:p>
        </w:tc>
      </w:tr>
      <w:tr>
        <w:tc>
          <w:tcPr>
            <w:tcW w:type="dxa" w:w="5112"/>
            <w:vAlign w:val="top"/>
          </w:tcPr>
          <w:p>
            <w:r>
              <w:rPr>
                <w:sz w:val="16"/>
              </w:rPr>
              <w:t>Connected controls</w:t>
            </w:r>
          </w:p>
        </w:tc>
        <w:tc>
          <w:tcPr>
            <w:tcW w:type="dxa" w:w="5112"/>
            <w:vAlign w:val="top"/>
          </w:tcPr>
          <w:p>
            <w:r>
              <w:rPr>
                <w:sz w:val="16"/>
              </w:rPr>
              <w:t>D1-CTL-01; D1-CTL-03; D5-CTL-01; D5-CTL-02; D6-CTL-01; D6-CTL-02; D6-CTL-04; D7-CTL-04; D8-CTL-01; D9-CTL-02</w:t>
            </w:r>
          </w:p>
        </w:tc>
      </w:tr>
      <w:tr>
        <w:tc>
          <w:tcPr>
            <w:tcW w:type="dxa" w:w="5112"/>
            <w:vAlign w:val="top"/>
          </w:tcPr>
          <w:p>
            <w:r>
              <w:rPr>
                <w:sz w:val="16"/>
              </w:rPr>
              <w:t>Failure and stress tests</w:t>
            </w:r>
          </w:p>
        </w:tc>
        <w:tc>
          <w:tcPr>
            <w:tcW w:type="dxa" w:w="5112"/>
            <w:vAlign w:val="top"/>
          </w:tcPr>
          <w:p>
            <w:r>
              <w:rPr>
                <w:sz w:val="16"/>
              </w:rPr>
              <w:t>Incomplete field data, biased prioritisation, communications loss, critical dependency omission and operator overload.</w:t>
            </w:r>
          </w:p>
        </w:tc>
      </w:tr>
      <w:tr>
        <w:tc>
          <w:tcPr>
            <w:tcW w:type="dxa" w:w="5112"/>
            <w:vAlign w:val="top"/>
          </w:tcPr>
          <w:p>
            <w:r>
              <w:rPr>
                <w:sz w:val="16"/>
              </w:rPr>
              <w:t>Fallback</w:t>
            </w:r>
          </w:p>
        </w:tc>
        <w:tc>
          <w:tcPr>
            <w:tcW w:type="dxa" w:w="5112"/>
            <w:vAlign w:val="top"/>
          </w:tcPr>
          <w:p>
            <w:r>
              <w:rPr>
                <w:sz w:val="16"/>
              </w:rPr>
              <w:t>Approved manual emergency-restoration plan.</w:t>
            </w:r>
          </w:p>
        </w:tc>
      </w:tr>
    </w:tbl>
    <w:p>
      <w:pPr>
        <w:pStyle w:val="Heading2"/>
      </w:pPr>
      <w:r>
        <w:t>CS-03 - Pipeline anomaly detection and response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Systems involved</w:t>
            </w:r>
          </w:p>
        </w:tc>
        <w:tc>
          <w:tcPr>
            <w:tcW w:type="dxa" w:w="5112"/>
            <w:vAlign w:val="top"/>
          </w:tcPr>
          <w:p>
            <w:r>
              <w:rPr>
                <w:sz w:val="16"/>
              </w:rPr>
              <w:t>Sensor and historian data; hydraulic model; anomaly detection; control-room workflow; field inspection.</w:t>
            </w:r>
          </w:p>
        </w:tc>
      </w:tr>
      <w:tr>
        <w:tc>
          <w:tcPr>
            <w:tcW w:type="dxa" w:w="5112"/>
            <w:vAlign w:val="top"/>
          </w:tcPr>
          <w:p>
            <w:r>
              <w:rPr>
                <w:sz w:val="16"/>
              </w:rPr>
              <w:t>Authority and control flow</w:t>
            </w:r>
          </w:p>
        </w:tc>
        <w:tc>
          <w:tcPr>
            <w:tcW w:type="dxa" w:w="5112"/>
            <w:vAlign w:val="top"/>
          </w:tcPr>
          <w:p>
            <w:r>
              <w:rPr>
                <w:sz w:val="16"/>
              </w:rPr>
              <w:t>AI raises an anomaly with confidence and data-quality status; operators correlate independent evidence; shutdown or isolation remains governed by approved safety and operating procedures.</w:t>
            </w:r>
          </w:p>
        </w:tc>
      </w:tr>
      <w:tr>
        <w:tc>
          <w:tcPr>
            <w:tcW w:type="dxa" w:w="5112"/>
            <w:vAlign w:val="top"/>
          </w:tcPr>
          <w:p>
            <w:r>
              <w:rPr>
                <w:sz w:val="16"/>
              </w:rPr>
              <w:t>Connected controls</w:t>
            </w:r>
          </w:p>
        </w:tc>
        <w:tc>
          <w:tcPr>
            <w:tcW w:type="dxa" w:w="5112"/>
            <w:vAlign w:val="top"/>
          </w:tcPr>
          <w:p>
            <w:r>
              <w:rPr>
                <w:sz w:val="16"/>
              </w:rPr>
              <w:t>D1-CTL-01; D1-CTL-03; D1-CTL-08; D2-CTL-04; D4-CTL-02; D6-CTL-02; D6-CTL-04; D9-CTL-01; D9-CTL-02; D9-CTL-03</w:t>
            </w:r>
          </w:p>
        </w:tc>
      </w:tr>
      <w:tr>
        <w:tc>
          <w:tcPr>
            <w:tcW w:type="dxa" w:w="5112"/>
            <w:vAlign w:val="top"/>
          </w:tcPr>
          <w:p>
            <w:r>
              <w:rPr>
                <w:sz w:val="16"/>
              </w:rPr>
              <w:t>Failure and stress tests</w:t>
            </w:r>
          </w:p>
        </w:tc>
        <w:tc>
          <w:tcPr>
            <w:tcW w:type="dxa" w:w="5112"/>
            <w:vAlign w:val="top"/>
          </w:tcPr>
          <w:p>
            <w:r>
              <w:rPr>
                <w:sz w:val="16"/>
              </w:rPr>
              <w:t>Suppressed alert, false sensor data, stale telemetry, threshold tampering and cloud/communications loss.</w:t>
            </w:r>
          </w:p>
        </w:tc>
      </w:tr>
      <w:tr>
        <w:tc>
          <w:tcPr>
            <w:tcW w:type="dxa" w:w="5112"/>
            <w:vAlign w:val="top"/>
          </w:tcPr>
          <w:p>
            <w:r>
              <w:rPr>
                <w:sz w:val="16"/>
              </w:rPr>
              <w:t>Fallback</w:t>
            </w:r>
          </w:p>
        </w:tc>
        <w:tc>
          <w:tcPr>
            <w:tcW w:type="dxa" w:w="5112"/>
            <w:vAlign w:val="top"/>
          </w:tcPr>
          <w:p>
            <w:r>
              <w:rPr>
                <w:sz w:val="16"/>
              </w:rPr>
              <w:t>Independent leak detection, field verification and established emergency procedure.</w:t>
            </w:r>
          </w:p>
        </w:tc>
      </w:tr>
    </w:tbl>
    <w:p>
      <w:pPr>
        <w:pStyle w:val="Heading2"/>
      </w:pPr>
      <w:r>
        <w:t>CS-04 - Automated energy-market bidding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Systems involved</w:t>
            </w:r>
          </w:p>
        </w:tc>
        <w:tc>
          <w:tcPr>
            <w:tcW w:type="dxa" w:w="5112"/>
            <w:vAlign w:val="top"/>
          </w:tcPr>
          <w:p>
            <w:r>
              <w:rPr>
                <w:sz w:val="16"/>
              </w:rPr>
              <w:t>Forecasts; portfolio and risk data; trading agent; market gateway; compliance surveillance.</w:t>
            </w:r>
          </w:p>
        </w:tc>
      </w:tr>
      <w:tr>
        <w:tc>
          <w:tcPr>
            <w:tcW w:type="dxa" w:w="5112"/>
            <w:vAlign w:val="top"/>
          </w:tcPr>
          <w:p>
            <w:r>
              <w:rPr>
                <w:sz w:val="16"/>
              </w:rPr>
              <w:t>Authority and control flow</w:t>
            </w:r>
          </w:p>
        </w:tc>
        <w:tc>
          <w:tcPr>
            <w:tcW w:type="dxa" w:w="5112"/>
            <w:vAlign w:val="top"/>
          </w:tcPr>
          <w:p>
            <w:r>
              <w:rPr>
                <w:sz w:val="16"/>
              </w:rPr>
              <w:t>The agent generates bounded orders; policy and market-rule checks apply; threshold breaches require approval; orders and rationale are recorded and monitored.</w:t>
            </w:r>
          </w:p>
        </w:tc>
      </w:tr>
      <w:tr>
        <w:tc>
          <w:tcPr>
            <w:tcW w:type="dxa" w:w="5112"/>
            <w:vAlign w:val="top"/>
          </w:tcPr>
          <w:p>
            <w:r>
              <w:rPr>
                <w:sz w:val="16"/>
              </w:rPr>
              <w:t>Connected controls</w:t>
            </w:r>
          </w:p>
        </w:tc>
        <w:tc>
          <w:tcPr>
            <w:tcW w:type="dxa" w:w="5112"/>
            <w:vAlign w:val="top"/>
          </w:tcPr>
          <w:p>
            <w:r>
              <w:rPr>
                <w:sz w:val="16"/>
              </w:rPr>
              <w:t>D1-CTL-01; D1-CTL-03; D2-CTL-01; D3-CTL-01; D3-CTL-02; D5-CTL-01; D5-CTL-02; D5-CTL-04; D6-CTL-01; D6-CTL-02; D6-CTL-04; D7-CTL-05; D8-CTL-01; D8-CTL-02; D8-CTL-04</w:t>
            </w:r>
          </w:p>
        </w:tc>
      </w:tr>
      <w:tr>
        <w:tc>
          <w:tcPr>
            <w:tcW w:type="dxa" w:w="5112"/>
            <w:vAlign w:val="top"/>
          </w:tcPr>
          <w:p>
            <w:r>
              <w:rPr>
                <w:sz w:val="16"/>
              </w:rPr>
              <w:t>Failure and stress tests</w:t>
            </w:r>
          </w:p>
        </w:tc>
        <w:tc>
          <w:tcPr>
            <w:tcW w:type="dxa" w:w="5112"/>
            <w:vAlign w:val="top"/>
          </w:tcPr>
          <w:p>
            <w:r>
              <w:rPr>
                <w:sz w:val="16"/>
              </w:rPr>
              <w:t>Objective manipulation, abnormal bids, compromised credentials, stale market data and prohibited coordination.</w:t>
            </w:r>
          </w:p>
        </w:tc>
      </w:tr>
      <w:tr>
        <w:tc>
          <w:tcPr>
            <w:tcW w:type="dxa" w:w="5112"/>
            <w:vAlign w:val="top"/>
          </w:tcPr>
          <w:p>
            <w:r>
              <w:rPr>
                <w:sz w:val="16"/>
              </w:rPr>
              <w:t>Fallback</w:t>
            </w:r>
          </w:p>
        </w:tc>
        <w:tc>
          <w:tcPr>
            <w:tcW w:type="dxa" w:w="5112"/>
            <w:vAlign w:val="top"/>
          </w:tcPr>
          <w:p>
            <w:r>
              <w:rPr>
                <w:sz w:val="16"/>
              </w:rPr>
              <w:t>Suspend automation and use approved manual trading controls.</w:t>
            </w:r>
          </w:p>
        </w:tc>
      </w:tr>
    </w:tbl>
    <w:p>
      <w:pPr>
        <w:pStyle w:val="Heading1"/>
      </w:pPr>
      <w:r>
        <w:t>Threat, failure and misuse scenarios</w:t>
      </w:r>
    </w:p>
    <w:p>
      <w:pPr>
        <w:pStyle w:val="Heading2"/>
      </w:pPr>
      <w:r>
        <w:t>SC-01 - Manipulated load or generation forecasts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Adversarial data manipulation or compromised upstream data.</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Authenticate and validate data sources; diversify critical feeds; monitor provenance and forecast sensitivity.</w:t>
            </w:r>
          </w:p>
        </w:tc>
      </w:tr>
      <w:tr>
        <w:tc>
          <w:tcPr>
            <w:tcW w:type="dxa" w:w="5112"/>
            <w:vAlign w:val="top"/>
          </w:tcPr>
          <w:p>
            <w:r>
              <w:rPr>
                <w:sz w:val="16"/>
              </w:rPr>
              <w:t>Detective Controls</w:t>
            </w:r>
          </w:p>
        </w:tc>
        <w:tc>
          <w:tcPr>
            <w:tcW w:type="dxa" w:w="5112"/>
            <w:vAlign w:val="top"/>
          </w:tcPr>
          <w:p>
            <w:r>
              <w:rPr>
                <w:sz w:val="16"/>
              </w:rPr>
              <w:t>Compare independent forecasts; detect residual, topology and source anomalies; alert on abrupt confidence changes.</w:t>
            </w:r>
          </w:p>
        </w:tc>
      </w:tr>
      <w:tr>
        <w:tc>
          <w:tcPr>
            <w:tcW w:type="dxa" w:w="5112"/>
            <w:vAlign w:val="top"/>
          </w:tcPr>
          <w:p>
            <w:r>
              <w:rPr>
                <w:sz w:val="16"/>
              </w:rPr>
              <w:t>Recovery Controls</w:t>
            </w:r>
          </w:p>
        </w:tc>
        <w:tc>
          <w:tcPr>
            <w:tcW w:type="dxa" w:w="5112"/>
            <w:vAlign w:val="top"/>
          </w:tcPr>
          <w:p>
            <w:r>
              <w:rPr>
                <w:sz w:val="16"/>
              </w:rPr>
              <w:t>Isolate affected feeds; revert to trusted or conservative forecast; require operator review; preserve data and model evidence.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SC-02 - Compromised model-update pipeline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Supply-chain compromise, malicious artefact substitution or unauthorised release.</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Signed artefacts; segregated build/release roles; provenance; reproducible build; approved update and rollback process.</w:t>
            </w:r>
          </w:p>
        </w:tc>
      </w:tr>
      <w:tr>
        <w:tc>
          <w:tcPr>
            <w:tcW w:type="dxa" w:w="5112"/>
            <w:vAlign w:val="top"/>
          </w:tcPr>
          <w:p>
            <w:r>
              <w:rPr>
                <w:sz w:val="16"/>
              </w:rPr>
              <w:t>Detective Controls</w:t>
            </w:r>
          </w:p>
        </w:tc>
        <w:tc>
          <w:tcPr>
            <w:tcW w:type="dxa" w:w="5112"/>
            <w:vAlign w:val="top"/>
          </w:tcPr>
          <w:p>
            <w:r>
              <w:rPr>
                <w:sz w:val="16"/>
              </w:rPr>
              <w:t>Signature/hash mismatch; unexpected dependency/model change; behavioural regression; unauthorised release event.</w:t>
            </w:r>
          </w:p>
        </w:tc>
      </w:tr>
      <w:tr>
        <w:tc>
          <w:tcPr>
            <w:tcW w:type="dxa" w:w="5112"/>
            <w:vAlign w:val="top"/>
          </w:tcPr>
          <w:p>
            <w:r>
              <w:rPr>
                <w:sz w:val="16"/>
              </w:rPr>
              <w:t>Recovery Controls</w:t>
            </w:r>
          </w:p>
        </w:tc>
        <w:tc>
          <w:tcPr>
            <w:tcW w:type="dxa" w:w="5112"/>
            <w:vAlign w:val="top"/>
          </w:tcPr>
          <w:p>
            <w:r>
              <w:rPr>
                <w:sz w:val="16"/>
              </w:rPr>
              <w:t>Stop deployment; revoke credentials; restore trusted version; investigate build chain; notify affected parties and suppliers.</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SC-03 - False sensor data influencing AI recommendations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Sensor compromise, calibration failure, replay or telemetry corruption.</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Sensor authentication; plausibility and redundancy checks; time synchronisation; secure gateways and data-quality rules.</w:t>
            </w:r>
          </w:p>
        </w:tc>
      </w:tr>
      <w:tr>
        <w:tc>
          <w:tcPr>
            <w:tcW w:type="dxa" w:w="5112"/>
            <w:vAlign w:val="top"/>
          </w:tcPr>
          <w:p>
            <w:r>
              <w:rPr>
                <w:sz w:val="16"/>
              </w:rPr>
              <w:t>Detective Controls</w:t>
            </w:r>
          </w:p>
        </w:tc>
        <w:tc>
          <w:tcPr>
            <w:tcW w:type="dxa" w:w="5112"/>
            <w:vAlign w:val="top"/>
          </w:tcPr>
          <w:p>
            <w:r>
              <w:rPr>
                <w:sz w:val="16"/>
              </w:rPr>
              <w:t>Cross-sensor inconsistency; impossible rate-of-change; stale/replayed timestamps; divergence from physical state.</w:t>
            </w:r>
          </w:p>
        </w:tc>
      </w:tr>
      <w:tr>
        <w:tc>
          <w:tcPr>
            <w:tcW w:type="dxa" w:w="5112"/>
            <w:vAlign w:val="top"/>
          </w:tcPr>
          <w:p>
            <w:r>
              <w:rPr>
                <w:sz w:val="16"/>
              </w:rPr>
              <w:t>Recovery Controls</w:t>
            </w:r>
          </w:p>
        </w:tc>
        <w:tc>
          <w:tcPr>
            <w:tcW w:type="dxa" w:w="5112"/>
            <w:vAlign w:val="top"/>
          </w:tcPr>
          <w:p>
            <w:r>
              <w:rPr>
                <w:sz w:val="16"/>
              </w:rPr>
              <w:t>Quarantine source; switch to validated redundant/manual inputs; constrain AI authority; inspect field device and preserve telemetry.</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SC-04 - Topology-model corruption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Incorrect, stale or malicious network/process topology data.</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Controlled topology changes; dual approval; signed versions; reconciliation with operational configuration.</w:t>
            </w:r>
          </w:p>
        </w:tc>
      </w:tr>
      <w:tr>
        <w:tc>
          <w:tcPr>
            <w:tcW w:type="dxa" w:w="5112"/>
            <w:vAlign w:val="top"/>
          </w:tcPr>
          <w:p>
            <w:r>
              <w:rPr>
                <w:sz w:val="16"/>
              </w:rPr>
              <w:t>Detective Controls</w:t>
            </w:r>
          </w:p>
        </w:tc>
        <w:tc>
          <w:tcPr>
            <w:tcW w:type="dxa" w:w="5112"/>
            <w:vAlign w:val="top"/>
          </w:tcPr>
          <w:p>
            <w:r>
              <w:rPr>
                <w:sz w:val="16"/>
              </w:rPr>
              <w:t>Mismatch between model and observed switching/flow state; failed state estimation; unexpected connectivity.</w:t>
            </w:r>
          </w:p>
        </w:tc>
      </w:tr>
      <w:tr>
        <w:tc>
          <w:tcPr>
            <w:tcW w:type="dxa" w:w="5112"/>
            <w:vAlign w:val="top"/>
          </w:tcPr>
          <w:p>
            <w:r>
              <w:rPr>
                <w:sz w:val="16"/>
              </w:rPr>
              <w:t>Recovery Controls</w:t>
            </w:r>
          </w:p>
        </w:tc>
        <w:tc>
          <w:tcPr>
            <w:tcW w:type="dxa" w:w="5112"/>
            <w:vAlign w:val="top"/>
          </w:tcPr>
          <w:p>
            <w:r>
              <w:rPr>
                <w:sz w:val="16"/>
              </w:rPr>
              <w:t>Freeze automated optimisation; restore verified topology; reconcile field state; rerun safety and contingency checks.</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SC-05 - AI action outside authorised operating bounds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Defective policy, compromise, configuration error or emergent agent behaviour.</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Action allow-list; operating envelope; rate limits; dual approval; independent interlocks; least agency.</w:t>
            </w:r>
          </w:p>
        </w:tc>
      </w:tr>
      <w:tr>
        <w:tc>
          <w:tcPr>
            <w:tcW w:type="dxa" w:w="5112"/>
            <w:vAlign w:val="top"/>
          </w:tcPr>
          <w:p>
            <w:r>
              <w:rPr>
                <w:sz w:val="16"/>
              </w:rPr>
              <w:t>Detective Controls</w:t>
            </w:r>
          </w:p>
        </w:tc>
        <w:tc>
          <w:tcPr>
            <w:tcW w:type="dxa" w:w="5112"/>
            <w:vAlign w:val="top"/>
          </w:tcPr>
          <w:p>
            <w:r>
              <w:rPr>
                <w:sz w:val="16"/>
              </w:rPr>
              <w:t>Pre-execution policy rejection; interlock activation; post-command deviation; abnormal action frequency.</w:t>
            </w:r>
          </w:p>
        </w:tc>
      </w:tr>
      <w:tr>
        <w:tc>
          <w:tcPr>
            <w:tcW w:type="dxa" w:w="5112"/>
            <w:vAlign w:val="top"/>
          </w:tcPr>
          <w:p>
            <w:r>
              <w:rPr>
                <w:sz w:val="16"/>
              </w:rPr>
              <w:t>Recovery Controls</w:t>
            </w:r>
          </w:p>
        </w:tc>
        <w:tc>
          <w:tcPr>
            <w:tcW w:type="dxa" w:w="5112"/>
            <w:vAlign w:val="top"/>
          </w:tcPr>
          <w:p>
            <w:r>
              <w:rPr>
                <w:sz w:val="16"/>
              </w:rPr>
              <w:t>Block or abort action; enter safe state; transfer to manual/deterministic control; revoke machine authority; investigate.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SC-06 - Operator over-reliance on incorrect recommendations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Automation bias, poor uncertainty display, workload or inadequate training.</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Human-factors design; confidence/limitations display; training; challenge and dissent procedures; workload assessment.</w:t>
            </w:r>
          </w:p>
        </w:tc>
      </w:tr>
      <w:tr>
        <w:tc>
          <w:tcPr>
            <w:tcW w:type="dxa" w:w="5112"/>
            <w:vAlign w:val="top"/>
          </w:tcPr>
          <w:p>
            <w:r>
              <w:rPr>
                <w:sz w:val="16"/>
              </w:rPr>
              <w:t>Detective Controls</w:t>
            </w:r>
          </w:p>
        </w:tc>
        <w:tc>
          <w:tcPr>
            <w:tcW w:type="dxa" w:w="5112"/>
            <w:vAlign w:val="top"/>
          </w:tcPr>
          <w:p>
            <w:r>
              <w:rPr>
                <w:sz w:val="16"/>
              </w:rPr>
              <w:t>Low override rate despite poor performance; repeated acceptance without review; near misses; user feedback.</w:t>
            </w:r>
          </w:p>
        </w:tc>
      </w:tr>
      <w:tr>
        <w:tc>
          <w:tcPr>
            <w:tcW w:type="dxa" w:w="5112"/>
            <w:vAlign w:val="top"/>
          </w:tcPr>
          <w:p>
            <w:r>
              <w:rPr>
                <w:sz w:val="16"/>
              </w:rPr>
              <w:t>Recovery Controls</w:t>
            </w:r>
          </w:p>
        </w:tc>
        <w:tc>
          <w:tcPr>
            <w:tcW w:type="dxa" w:w="5112"/>
            <w:vAlign w:val="top"/>
          </w:tcPr>
          <w:p>
            <w:r>
              <w:rPr>
                <w:sz w:val="16"/>
              </w:rPr>
              <w:t>Suspend recommendation use; require secondary verification; retrain operators; redesign interface and approval procedure.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SC-07 - Loss of cloud connectivity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Telecommunications failure, provider outage, route disruption or account suspension.</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Local fallback; offline data/cache policy; dependency inventory; tested failover; no sole dependence for safety function.</w:t>
            </w:r>
          </w:p>
        </w:tc>
      </w:tr>
      <w:tr>
        <w:tc>
          <w:tcPr>
            <w:tcW w:type="dxa" w:w="5112"/>
            <w:vAlign w:val="top"/>
          </w:tcPr>
          <w:p>
            <w:r>
              <w:rPr>
                <w:sz w:val="16"/>
              </w:rPr>
              <w:t>Detective Controls</w:t>
            </w:r>
          </w:p>
        </w:tc>
        <w:tc>
          <w:tcPr>
            <w:tcW w:type="dxa" w:w="5112"/>
            <w:vAlign w:val="top"/>
          </w:tcPr>
          <w:p>
            <w:r>
              <w:rPr>
                <w:sz w:val="16"/>
              </w:rPr>
              <w:t>Heartbeat and latency monitoring; stale-data alarms; failed API calls; dependency health alerts.</w:t>
            </w:r>
          </w:p>
        </w:tc>
      </w:tr>
      <w:tr>
        <w:tc>
          <w:tcPr>
            <w:tcW w:type="dxa" w:w="5112"/>
            <w:vAlign w:val="top"/>
          </w:tcPr>
          <w:p>
            <w:r>
              <w:rPr>
                <w:sz w:val="16"/>
              </w:rPr>
              <w:t>Recovery Controls</w:t>
            </w:r>
          </w:p>
        </w:tc>
        <w:tc>
          <w:tcPr>
            <w:tcW w:type="dxa" w:w="5112"/>
            <w:vAlign w:val="top"/>
          </w:tcPr>
          <w:p>
            <w:r>
              <w:rPr>
                <w:sz w:val="16"/>
              </w:rPr>
              <w:t>Fail locally to deterministic/manual control; prevent stale recommendations; preserve local logs; recover and reconcile later.</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SC-08 - Model drift after grid or plant reconfiguration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Topology, equipment, process, season or operating-regime change.</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Change-triggered reassessment; shadow mode; representative retraining/validation; configuration linkage.</w:t>
            </w:r>
          </w:p>
        </w:tc>
      </w:tr>
      <w:tr>
        <w:tc>
          <w:tcPr>
            <w:tcW w:type="dxa" w:w="5112"/>
            <w:vAlign w:val="top"/>
          </w:tcPr>
          <w:p>
            <w:r>
              <w:rPr>
                <w:sz w:val="16"/>
              </w:rPr>
              <w:t>Detective Controls</w:t>
            </w:r>
          </w:p>
        </w:tc>
        <w:tc>
          <w:tcPr>
            <w:tcW w:type="dxa" w:w="5112"/>
            <w:vAlign w:val="top"/>
          </w:tcPr>
          <w:p>
            <w:r>
              <w:rPr>
                <w:sz w:val="16"/>
              </w:rPr>
              <w:t>Performance degradation by regime; residual shift; OOD alerts; increasing overrides or constraint violations.</w:t>
            </w:r>
          </w:p>
        </w:tc>
      </w:tr>
      <w:tr>
        <w:tc>
          <w:tcPr>
            <w:tcW w:type="dxa" w:w="5112"/>
            <w:vAlign w:val="top"/>
          </w:tcPr>
          <w:p>
            <w:r>
              <w:rPr>
                <w:sz w:val="16"/>
              </w:rPr>
              <w:t>Recovery Controls</w:t>
            </w:r>
          </w:p>
        </w:tc>
        <w:tc>
          <w:tcPr>
            <w:tcW w:type="dxa" w:w="5112"/>
            <w:vAlign w:val="top"/>
          </w:tcPr>
          <w:p>
            <w:r>
              <w:rPr>
                <w:sz w:val="16"/>
              </w:rPr>
              <w:t>Reduce or suspend authority; use trusted baseline/manual method; revalidate with new configuration before restoration.</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SC-09 - Compromised vendor remote support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Stolen credentials, supplier compromise or unauthorised remote activity.</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Just-in-time access; MFA; session approval/recording; segmentation; supplier identity and incident clauses.</w:t>
            </w:r>
          </w:p>
        </w:tc>
      </w:tr>
      <w:tr>
        <w:tc>
          <w:tcPr>
            <w:tcW w:type="dxa" w:w="5112"/>
            <w:vAlign w:val="top"/>
          </w:tcPr>
          <w:p>
            <w:r>
              <w:rPr>
                <w:sz w:val="16"/>
              </w:rPr>
              <w:t>Detective Controls</w:t>
            </w:r>
          </w:p>
        </w:tc>
        <w:tc>
          <w:tcPr>
            <w:tcW w:type="dxa" w:w="5112"/>
            <w:vAlign w:val="top"/>
          </w:tcPr>
          <w:p>
            <w:r>
              <w:rPr>
                <w:sz w:val="16"/>
              </w:rPr>
              <w:t>Unexpected access time/location; privileged commands; configuration changes; session anomalies.</w:t>
            </w:r>
          </w:p>
        </w:tc>
      </w:tr>
      <w:tr>
        <w:tc>
          <w:tcPr>
            <w:tcW w:type="dxa" w:w="5112"/>
            <w:vAlign w:val="top"/>
          </w:tcPr>
          <w:p>
            <w:r>
              <w:rPr>
                <w:sz w:val="16"/>
              </w:rPr>
              <w:t>Recovery Controls</w:t>
            </w:r>
          </w:p>
        </w:tc>
        <w:tc>
          <w:tcPr>
            <w:tcW w:type="dxa" w:w="5112"/>
            <w:vAlign w:val="top"/>
          </w:tcPr>
          <w:p>
            <w:r>
              <w:rPr>
                <w:sz w:val="16"/>
              </w:rPr>
              <w:t>Terminate session; revoke credentials; isolate pathway; restore configurations; investigate supplier and notify.</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SC-10 - Coordinated manipulation of distributed energy resources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Compromised aggregator, device fleet, command channel or market signal.</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Fleet segmentation; command signing; per-device/fleet limits; diversity; aggregator assurance; anti-replay.</w:t>
            </w:r>
          </w:p>
        </w:tc>
      </w:tr>
      <w:tr>
        <w:tc>
          <w:tcPr>
            <w:tcW w:type="dxa" w:w="5112"/>
            <w:vAlign w:val="top"/>
          </w:tcPr>
          <w:p>
            <w:r>
              <w:rPr>
                <w:sz w:val="16"/>
              </w:rPr>
              <w:t>Detective Controls</w:t>
            </w:r>
          </w:p>
        </w:tc>
        <w:tc>
          <w:tcPr>
            <w:tcW w:type="dxa" w:w="5112"/>
            <w:vAlign w:val="top"/>
          </w:tcPr>
          <w:p>
            <w:r>
              <w:rPr>
                <w:sz w:val="16"/>
              </w:rPr>
              <w:t>Correlated abnormal response; command/telemetry mismatch; geographic or device-cluster anomalies.</w:t>
            </w:r>
          </w:p>
        </w:tc>
      </w:tr>
      <w:tr>
        <w:tc>
          <w:tcPr>
            <w:tcW w:type="dxa" w:w="5112"/>
            <w:vAlign w:val="top"/>
          </w:tcPr>
          <w:p>
            <w:r>
              <w:rPr>
                <w:sz w:val="16"/>
              </w:rPr>
              <w:t>Recovery Controls</w:t>
            </w:r>
          </w:p>
        </w:tc>
        <w:tc>
          <w:tcPr>
            <w:tcW w:type="dxa" w:w="5112"/>
            <w:vAlign w:val="top"/>
          </w:tcPr>
          <w:p>
            <w:r>
              <w:rPr>
                <w:sz w:val="16"/>
              </w:rPr>
              <w:t>Block aggregator commands; constrain fleet response; island affected groups; coordinate operator/market response; preserve evidence.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SC-11 - Unsafe battery optimisation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Incorrect state estimation, objective function, constraints or malicious command.</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Independent BMS protections; SOC/SOH validation; thermal and power envelopes; command rate limits; safe-state logic.</w:t>
            </w:r>
          </w:p>
        </w:tc>
      </w:tr>
      <w:tr>
        <w:tc>
          <w:tcPr>
            <w:tcW w:type="dxa" w:w="5112"/>
            <w:vAlign w:val="top"/>
          </w:tcPr>
          <w:p>
            <w:r>
              <w:rPr>
                <w:sz w:val="16"/>
              </w:rPr>
              <w:t>Detective Controls</w:t>
            </w:r>
          </w:p>
        </w:tc>
        <w:tc>
          <w:tcPr>
            <w:tcW w:type="dxa" w:w="5112"/>
            <w:vAlign w:val="top"/>
          </w:tcPr>
          <w:p>
            <w:r>
              <w:rPr>
                <w:sz w:val="16"/>
              </w:rPr>
              <w:t>Protection activation; thermal anomaly; SOC inconsistency; cycling outside approved limits; command rejection.</w:t>
            </w:r>
          </w:p>
        </w:tc>
      </w:tr>
      <w:tr>
        <w:tc>
          <w:tcPr>
            <w:tcW w:type="dxa" w:w="5112"/>
            <w:vAlign w:val="top"/>
          </w:tcPr>
          <w:p>
            <w:r>
              <w:rPr>
                <w:sz w:val="16"/>
              </w:rPr>
              <w:t>Recovery Controls</w:t>
            </w:r>
          </w:p>
        </w:tc>
        <w:tc>
          <w:tcPr>
            <w:tcW w:type="dxa" w:w="5112"/>
            <w:vAlign w:val="top"/>
          </w:tcPr>
          <w:p>
            <w:r>
              <w:rPr>
                <w:sz w:val="16"/>
              </w:rPr>
              <w:t>Stop optimisation; defer to BMS/local controller; isolate asset if required; inspect model, sensors and constraints.</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SC-12 - Pipeline anomaly-detection suppression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Poisoning, alert threshold manipulation, sensor compromise or analyst override misuse.</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Protected thresholds; independent leak/protection layers; provenance; role separation; secure configuration.</w:t>
            </w:r>
          </w:p>
        </w:tc>
      </w:tr>
      <w:tr>
        <w:tc>
          <w:tcPr>
            <w:tcW w:type="dxa" w:w="5112"/>
            <w:vAlign w:val="top"/>
          </w:tcPr>
          <w:p>
            <w:r>
              <w:rPr>
                <w:sz w:val="16"/>
              </w:rPr>
              <w:t>Detective Controls</w:t>
            </w:r>
          </w:p>
        </w:tc>
        <w:tc>
          <w:tcPr>
            <w:tcW w:type="dxa" w:w="5112"/>
            <w:vAlign w:val="top"/>
          </w:tcPr>
          <w:p>
            <w:r>
              <w:rPr>
                <w:sz w:val="16"/>
              </w:rPr>
              <w:t>Alert-rate discontinuity; unexplained threshold changes; discrepancy with hydraulic/field observations.</w:t>
            </w:r>
          </w:p>
        </w:tc>
      </w:tr>
      <w:tr>
        <w:tc>
          <w:tcPr>
            <w:tcW w:type="dxa" w:w="5112"/>
            <w:vAlign w:val="top"/>
          </w:tcPr>
          <w:p>
            <w:r>
              <w:rPr>
                <w:sz w:val="16"/>
              </w:rPr>
              <w:t>Recovery Controls</w:t>
            </w:r>
          </w:p>
        </w:tc>
        <w:tc>
          <w:tcPr>
            <w:tcW w:type="dxa" w:w="5112"/>
            <w:vAlign w:val="top"/>
          </w:tcPr>
          <w:p>
            <w:r>
              <w:rPr>
                <w:sz w:val="16"/>
              </w:rPr>
              <w:t>Reinstate validated thresholds; use independent detection and field inspection; isolate model; preserve and report evidence.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SC-13 - Automated bidding market manipulation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Objective misalignment, compromised agent, collusion signal or rule violation.</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Bounded strategies; market-rule constraints; approval thresholds; conflict controls; immutable decision logs.</w:t>
            </w:r>
          </w:p>
        </w:tc>
      </w:tr>
      <w:tr>
        <w:tc>
          <w:tcPr>
            <w:tcW w:type="dxa" w:w="5112"/>
            <w:vAlign w:val="top"/>
          </w:tcPr>
          <w:p>
            <w:r>
              <w:rPr>
                <w:sz w:val="16"/>
              </w:rPr>
              <w:t>Detective Controls</w:t>
            </w:r>
          </w:p>
        </w:tc>
        <w:tc>
          <w:tcPr>
            <w:tcW w:type="dxa" w:w="5112"/>
            <w:vAlign w:val="top"/>
          </w:tcPr>
          <w:p>
            <w:r>
              <w:rPr>
                <w:sz w:val="16"/>
              </w:rPr>
              <w:t>Abnormal bid patterns; unexplained strategy shifts; concentration or coordination indicators; rejected orders.</w:t>
            </w:r>
          </w:p>
        </w:tc>
      </w:tr>
      <w:tr>
        <w:tc>
          <w:tcPr>
            <w:tcW w:type="dxa" w:w="5112"/>
            <w:vAlign w:val="top"/>
          </w:tcPr>
          <w:p>
            <w:r>
              <w:rPr>
                <w:sz w:val="16"/>
              </w:rPr>
              <w:t>Recovery Controls</w:t>
            </w:r>
          </w:p>
        </w:tc>
        <w:tc>
          <w:tcPr>
            <w:tcW w:type="dxa" w:w="5112"/>
            <w:vAlign w:val="top"/>
          </w:tcPr>
          <w:p>
            <w:r>
              <w:rPr>
                <w:sz w:val="16"/>
              </w:rPr>
              <w:t>Suspend automated bidding; cancel/limit orders where permitted; switch to approved manual process; legal/compliance review.</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SC-14 - AI cyber-response disrupts legitimate operations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False positive, excessive containment authority or adversarial trigger.</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Least agency; approved response playbooks; asset criticality context; simulation; human approval for disruptive actions.</w:t>
            </w:r>
          </w:p>
        </w:tc>
      </w:tr>
      <w:tr>
        <w:tc>
          <w:tcPr>
            <w:tcW w:type="dxa" w:w="5112"/>
            <w:vAlign w:val="top"/>
          </w:tcPr>
          <w:p>
            <w:r>
              <w:rPr>
                <w:sz w:val="16"/>
              </w:rPr>
              <w:t>Detective Controls</w:t>
            </w:r>
          </w:p>
        </w:tc>
        <w:tc>
          <w:tcPr>
            <w:tcW w:type="dxa" w:w="5112"/>
            <w:vAlign w:val="top"/>
          </w:tcPr>
          <w:p>
            <w:r>
              <w:rPr>
                <w:sz w:val="16"/>
              </w:rPr>
              <w:t>High false-positive rate; containment of critical assets; operator conflict; unusual response sequence.</w:t>
            </w:r>
          </w:p>
        </w:tc>
      </w:tr>
      <w:tr>
        <w:tc>
          <w:tcPr>
            <w:tcW w:type="dxa" w:w="5112"/>
            <w:vAlign w:val="top"/>
          </w:tcPr>
          <w:p>
            <w:r>
              <w:rPr>
                <w:sz w:val="16"/>
              </w:rPr>
              <w:t>Recovery Controls</w:t>
            </w:r>
          </w:p>
        </w:tc>
        <w:tc>
          <w:tcPr>
            <w:tcW w:type="dxa" w:w="5112"/>
            <w:vAlign w:val="top"/>
          </w:tcPr>
          <w:p>
            <w:r>
              <w:rPr>
                <w:sz w:val="16"/>
              </w:rPr>
              <w:t>Stop autonomous response; restore connectivity/configuration safely; use manual incident command; review detection and authority.</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SC-15 - Restoration prioritisation failure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Bad damage data, biased objective, communications loss or incorrect dependency model.</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Critical-load and dependency validation; human approval; alternative plans; scenario exercises; equity/service constraints.</w:t>
            </w:r>
          </w:p>
        </w:tc>
      </w:tr>
      <w:tr>
        <w:tc>
          <w:tcPr>
            <w:tcW w:type="dxa" w:w="5112"/>
            <w:vAlign w:val="top"/>
          </w:tcPr>
          <w:p>
            <w:r>
              <w:rPr>
                <w:sz w:val="16"/>
              </w:rPr>
              <w:t>Detective Controls</w:t>
            </w:r>
          </w:p>
        </w:tc>
        <w:tc>
          <w:tcPr>
            <w:tcW w:type="dxa" w:w="5112"/>
            <w:vAlign w:val="top"/>
          </w:tcPr>
          <w:p>
            <w:r>
              <w:rPr>
                <w:sz w:val="16"/>
              </w:rPr>
              <w:t>Plan infeasibility; conflict with field reports; repeated reprioritisation; omission of critical dependencies.</w:t>
            </w:r>
          </w:p>
        </w:tc>
      </w:tr>
      <w:tr>
        <w:tc>
          <w:tcPr>
            <w:tcW w:type="dxa" w:w="5112"/>
            <w:vAlign w:val="top"/>
          </w:tcPr>
          <w:p>
            <w:r>
              <w:rPr>
                <w:sz w:val="16"/>
              </w:rPr>
              <w:t>Recovery Controls</w:t>
            </w:r>
          </w:p>
        </w:tc>
        <w:tc>
          <w:tcPr>
            <w:tcW w:type="dxa" w:w="5112"/>
            <w:vAlign w:val="top"/>
          </w:tcPr>
          <w:p>
            <w:r>
              <w:rPr>
                <w:sz w:val="16"/>
              </w:rPr>
              <w:t>Switch to operator-led restoration procedure; validate critical services; reconcile field status; document decisions.</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SC-16 - Shared model defect across operators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Common supplier defect, common dataset error or correlated update.</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Diversity for critical functions; staged rollout; supplier concentration analysis; coordinated disclosure terms.</w:t>
            </w:r>
          </w:p>
        </w:tc>
      </w:tr>
      <w:tr>
        <w:tc>
          <w:tcPr>
            <w:tcW w:type="dxa" w:w="5112"/>
            <w:vAlign w:val="top"/>
          </w:tcPr>
          <w:p>
            <w:r>
              <w:rPr>
                <w:sz w:val="16"/>
              </w:rPr>
              <w:t>Detective Controls</w:t>
            </w:r>
          </w:p>
        </w:tc>
        <w:tc>
          <w:tcPr>
            <w:tcW w:type="dxa" w:w="5112"/>
            <w:vAlign w:val="top"/>
          </w:tcPr>
          <w:p>
            <w:r>
              <w:rPr>
                <w:sz w:val="16"/>
              </w:rPr>
              <w:t>Correlated anomalies across sites/operators; common version fingerprint; sector information-sharing alerts.</w:t>
            </w:r>
          </w:p>
        </w:tc>
      </w:tr>
      <w:tr>
        <w:tc>
          <w:tcPr>
            <w:tcW w:type="dxa" w:w="5112"/>
            <w:vAlign w:val="top"/>
          </w:tcPr>
          <w:p>
            <w:r>
              <w:rPr>
                <w:sz w:val="16"/>
              </w:rPr>
              <w:t>Recovery Controls</w:t>
            </w:r>
          </w:p>
        </w:tc>
        <w:tc>
          <w:tcPr>
            <w:tcW w:type="dxa" w:w="5112"/>
            <w:vAlign w:val="top"/>
          </w:tcPr>
          <w:p>
            <w:r>
              <w:rPr>
                <w:sz w:val="16"/>
              </w:rPr>
              <w:t>Stop rollout; revert affected estates; coordinate with supplier and sector partners; assess systemic exposure.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SC-17 - Rollback failure after model release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Incompatible data/schema, missing prior artefact, untested rollback or state corruption.</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Versioned artefacts and schemas; rollback rehearsal; state migration plan; compatibility and backup tests.</w:t>
            </w:r>
          </w:p>
        </w:tc>
      </w:tr>
      <w:tr>
        <w:tc>
          <w:tcPr>
            <w:tcW w:type="dxa" w:w="5112"/>
            <w:vAlign w:val="top"/>
          </w:tcPr>
          <w:p>
            <w:r>
              <w:rPr>
                <w:sz w:val="16"/>
              </w:rPr>
              <w:t>Detective Controls</w:t>
            </w:r>
          </w:p>
        </w:tc>
        <w:tc>
          <w:tcPr>
            <w:tcW w:type="dxa" w:w="5112"/>
            <w:vAlign w:val="top"/>
          </w:tcPr>
          <w:p>
            <w:r>
              <w:rPr>
                <w:sz w:val="16"/>
              </w:rPr>
              <w:t>Rollback test failure; checksum mismatch; incompatible state; inability to restore prior performance.</w:t>
            </w:r>
          </w:p>
        </w:tc>
      </w:tr>
      <w:tr>
        <w:tc>
          <w:tcPr>
            <w:tcW w:type="dxa" w:w="5112"/>
            <w:vAlign w:val="top"/>
          </w:tcPr>
          <w:p>
            <w:r>
              <w:rPr>
                <w:sz w:val="16"/>
              </w:rPr>
              <w:t>Recovery Controls</w:t>
            </w:r>
          </w:p>
        </w:tc>
        <w:tc>
          <w:tcPr>
            <w:tcW w:type="dxa" w:w="5112"/>
            <w:vAlign w:val="top"/>
          </w:tcPr>
          <w:p>
            <w:r>
              <w:rPr>
                <w:sz w:val="16"/>
              </w:rPr>
              <w:t>Enter deterministic/manual mode; restore backup and compatible dependencies; rebuild trusted environment; investigate release gate.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2"/>
      </w:pPr>
      <w:r>
        <w:t>SC-18 - Training-data leakage of critical infrastructure details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Field</w:t>
            </w:r>
          </w:p>
        </w:tc>
        <w:tc>
          <w:tcPr>
            <w:tcW w:type="dxa" w:w="5112"/>
            <w:shd w:fill="17365D"/>
          </w:tcPr>
          <w:p>
            <w:r>
              <w:rPr>
                <w:b/>
                <w:sz w:val="16"/>
              </w:rPr>
              <w:t>Content</w:t>
            </w:r>
          </w:p>
        </w:tc>
      </w:tr>
      <w:tr>
        <w:tc>
          <w:tcPr>
            <w:tcW w:type="dxa" w:w="5112"/>
            <w:vAlign w:val="top"/>
          </w:tcPr>
          <w:p>
            <w:r>
              <w:rPr>
                <w:sz w:val="16"/>
              </w:rPr>
              <w:t>Category</w:t>
            </w:r>
          </w:p>
        </w:tc>
        <w:tc>
          <w:tcPr>
            <w:tcW w:type="dxa" w:w="5112"/>
            <w:vAlign w:val="top"/>
          </w:tcPr>
          <w:p>
            <w:r>
              <w:rPr>
                <w:sz w:val="16"/>
              </w:rPr>
              <w:t>Adversarial, accidental or operational failure; classify from evidence rather than assumption.</w:t>
            </w:r>
          </w:p>
        </w:tc>
      </w:tr>
      <w:tr>
        <w:tc>
          <w:tcPr>
            <w:tcW w:type="dxa" w:w="5112"/>
            <w:vAlign w:val="top"/>
          </w:tcPr>
          <w:p>
            <w:r>
              <w:rPr>
                <w:sz w:val="16"/>
              </w:rPr>
              <w:t>Initiating Condition</w:t>
            </w:r>
          </w:p>
        </w:tc>
        <w:tc>
          <w:tcPr>
            <w:tcW w:type="dxa" w:w="5112"/>
            <w:vAlign w:val="top"/>
          </w:tcPr>
          <w:p>
            <w:r>
              <w:rPr>
                <w:sz w:val="16"/>
              </w:rPr>
              <w:t>Unauthorised training use, memorisation, extraction, exposure or supplier misuse.</w:t>
            </w:r>
          </w:p>
        </w:tc>
      </w:tr>
      <w:tr>
        <w:tc>
          <w:tcPr>
            <w:tcW w:type="dxa" w:w="5112"/>
            <w:vAlign w:val="top"/>
          </w:tcPr>
          <w:p>
            <w:r>
              <w:rPr>
                <w:sz w:val="16"/>
              </w:rPr>
              <w:t>Affected Assets</w:t>
            </w:r>
          </w:p>
        </w:tc>
        <w:tc>
          <w:tcPr>
            <w:tcW w:type="dxa" w:w="5112"/>
            <w:vAlign w:val="top"/>
          </w:tcPr>
          <w:p>
            <w:r>
              <w:rPr>
                <w:sz w:val="16"/>
              </w:rPr>
              <w:t>Models, data, cloud/edge platforms, OT interfaces, operators, field devices, safety/reliability functions and business processes as applicable.</w:t>
            </w:r>
          </w:p>
        </w:tc>
      </w:tr>
      <w:tr>
        <w:tc>
          <w:tcPr>
            <w:tcW w:type="dxa" w:w="5112"/>
            <w:vAlign w:val="top"/>
          </w:tcPr>
          <w:p>
            <w:r>
              <w:rPr>
                <w:sz w:val="16"/>
              </w:rPr>
              <w:t>Consequence</w:t>
            </w:r>
          </w:p>
        </w:tc>
        <w:tc>
          <w:tcPr>
            <w:tcW w:type="dxa" w:w="5112"/>
            <w:vAlign w:val="top"/>
          </w:tcPr>
          <w:p>
            <w:r>
              <w:rPr>
                <w:sz w:val="16"/>
              </w:rPr>
              <w:t>Potential safety, reliability, availability, market, financial, customer, environmental or regulatory harm, including cascading effects.</w:t>
            </w:r>
          </w:p>
        </w:tc>
      </w:tr>
      <w:tr>
        <w:tc>
          <w:tcPr>
            <w:tcW w:type="dxa" w:w="5112"/>
            <w:vAlign w:val="top"/>
          </w:tcPr>
          <w:p>
            <w:r>
              <w:rPr>
                <w:sz w:val="16"/>
              </w:rPr>
              <w:t>Preventive Controls</w:t>
            </w:r>
          </w:p>
        </w:tc>
        <w:tc>
          <w:tcPr>
            <w:tcW w:type="dxa" w:w="5112"/>
            <w:vAlign w:val="top"/>
          </w:tcPr>
          <w:p>
            <w:r>
              <w:rPr>
                <w:sz w:val="16"/>
              </w:rPr>
              <w:t>Data classification/minimisation; approved training purpose; access control; contractual restrictions; privacy/security testing.</w:t>
            </w:r>
          </w:p>
        </w:tc>
      </w:tr>
      <w:tr>
        <w:tc>
          <w:tcPr>
            <w:tcW w:type="dxa" w:w="5112"/>
            <w:vAlign w:val="top"/>
          </w:tcPr>
          <w:p>
            <w:r>
              <w:rPr>
                <w:sz w:val="16"/>
              </w:rPr>
              <w:t>Detective Controls</w:t>
            </w:r>
          </w:p>
        </w:tc>
        <w:tc>
          <w:tcPr>
            <w:tcW w:type="dxa" w:w="5112"/>
            <w:vAlign w:val="top"/>
          </w:tcPr>
          <w:p>
            <w:r>
              <w:rPr>
                <w:sz w:val="16"/>
              </w:rPr>
              <w:t>Extraction test; unusual model disclosure; access audit; supplier notification; sensitive-content scan.</w:t>
            </w:r>
          </w:p>
        </w:tc>
      </w:tr>
      <w:tr>
        <w:tc>
          <w:tcPr>
            <w:tcW w:type="dxa" w:w="5112"/>
            <w:vAlign w:val="top"/>
          </w:tcPr>
          <w:p>
            <w:r>
              <w:rPr>
                <w:sz w:val="16"/>
              </w:rPr>
              <w:t>Recovery Controls</w:t>
            </w:r>
          </w:p>
        </w:tc>
        <w:tc>
          <w:tcPr>
            <w:tcW w:type="dxa" w:w="5112"/>
            <w:vAlign w:val="top"/>
          </w:tcPr>
          <w:p>
            <w:r>
              <w:rPr>
                <w:sz w:val="16"/>
              </w:rPr>
              <w:t>Restrict access and revoke credentials; contain model/version; assess deletion or retraining/unlearning feasibility; legal, security and affected-party notification as applicable.</w:t>
            </w:r>
          </w:p>
        </w:tc>
      </w:tr>
      <w:tr>
        <w:tc>
          <w:tcPr>
            <w:tcW w:type="dxa" w:w="5112"/>
            <w:vAlign w:val="top"/>
          </w:tcPr>
          <w:p>
            <w:r>
              <w:rPr>
                <w:sz w:val="16"/>
              </w:rPr>
              <w:t>Response Owner</w:t>
            </w:r>
          </w:p>
        </w:tc>
        <w:tc>
          <w:tcPr>
            <w:tcW w:type="dxa" w:w="5112"/>
            <w:vAlign w:val="top"/>
          </w:tcPr>
          <w:p>
            <w:r>
              <w:rPr>
                <w:sz w:val="16"/>
              </w:rPr>
              <w:t>Named incident commander with operations, OT security, engineering, safety/reliability, legal/compliance and supplier support as applicable.</w:t>
            </w:r>
          </w:p>
        </w:tc>
      </w:tr>
      <w:tr>
        <w:tc>
          <w:tcPr>
            <w:tcW w:type="dxa" w:w="5112"/>
            <w:vAlign w:val="top"/>
          </w:tcPr>
          <w:p>
            <w:r>
              <w:rPr>
                <w:sz w:val="16"/>
              </w:rPr>
              <w:t>Residual Risk</w:t>
            </w:r>
          </w:p>
        </w:tc>
        <w:tc>
          <w:tcPr>
            <w:tcW w:type="dxa" w:w="5112"/>
            <w:vAlign w:val="top"/>
          </w:tcPr>
          <w:p>
            <w:r>
              <w:rPr>
                <w:sz w:val="16"/>
              </w:rPr>
              <w:t>Record after controls, exercises and accepted limitations.</w:t>
            </w:r>
          </w:p>
        </w:tc>
      </w:tr>
      <w:tr>
        <w:tc>
          <w:tcPr>
            <w:tcW w:type="dxa" w:w="5112"/>
            <w:vAlign w:val="top"/>
          </w:tcPr>
          <w:p>
            <w:r>
              <w:rPr>
                <w:sz w:val="16"/>
              </w:rPr>
              <w:t>Confidence</w:t>
            </w:r>
          </w:p>
        </w:tc>
        <w:tc>
          <w:tcPr>
            <w:tcW w:type="dxa" w:w="5112"/>
            <w:vAlign w:val="top"/>
          </w:tcPr>
          <w:p>
            <w:r>
              <w:rPr>
                <w:sz w:val="16"/>
              </w:rPr>
              <w:t>Scenario analysis; frequency and magnitude require local evidence.</w:t>
            </w:r>
          </w:p>
        </w:tc>
      </w:tr>
      <w:tr>
        <w:tc>
          <w:tcPr>
            <w:tcW w:type="dxa" w:w="5112"/>
            <w:vAlign w:val="top"/>
          </w:tcPr>
          <w:p>
            <w:r>
              <w:rPr>
                <w:sz w:val="16"/>
              </w:rPr>
              <w:t>Notably Absent</w:t>
            </w:r>
          </w:p>
        </w:tc>
        <w:tc>
          <w:tcPr>
            <w:tcW w:type="dxa" w:w="5112"/>
            <w:vAlign w:val="top"/>
          </w:tcPr>
          <w:p>
            <w:r>
              <w:rPr>
                <w:sz w:val="16"/>
              </w:rPr>
              <w:t>The scenario does not establish that any observed event was caused by AI or by a hostile actor.</w:t>
            </w:r>
          </w:p>
        </w:tc>
      </w:tr>
    </w:tbl>
    <w:p>
      <w:pPr>
        <w:pStyle w:val="Heading1"/>
      </w:pPr>
      <w:r>
        <w:t>Assessment and evidence model</w:t>
      </w:r>
    </w:p>
    <w:p>
      <w:r>
        <w:t>Source Verification and Assurance Maturity are independent.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7365D"/>
          </w:tcPr>
          <w:p>
            <w:r>
              <w:rPr>
                <w:b/>
                <w:sz w:val="16"/>
              </w:rPr>
              <w:t>Scale</w:t>
            </w:r>
          </w:p>
        </w:tc>
        <w:tc>
          <w:tcPr>
            <w:tcW w:type="dxa" w:w="5112"/>
            <w:shd w:fill="17365D"/>
          </w:tcPr>
          <w:p>
            <w:r>
              <w:rPr>
                <w:b/>
                <w:sz w:val="16"/>
              </w:rPr>
              <w:t>Definition</w:t>
            </w:r>
          </w:p>
        </w:tc>
      </w:tr>
      <w:tr>
        <w:tc>
          <w:tcPr>
            <w:tcW w:type="dxa" w:w="5112"/>
            <w:vAlign w:val="top"/>
          </w:tcPr>
          <w:p>
            <w:r>
              <w:rPr>
                <w:sz w:val="16"/>
              </w:rPr>
              <w:t>T1</w:t>
            </w:r>
          </w:p>
        </w:tc>
        <w:tc>
          <w:tcPr>
            <w:tcW w:type="dxa" w:w="5112"/>
            <w:vAlign w:val="top"/>
          </w:tcPr>
          <w:p>
            <w:r>
              <w:rPr>
                <w:sz w:val="16"/>
              </w:rPr>
              <w:t>Direct primary or authoritative evidence.</w:t>
            </w:r>
          </w:p>
        </w:tc>
      </w:tr>
      <w:tr>
        <w:tc>
          <w:tcPr>
            <w:tcW w:type="dxa" w:w="5112"/>
            <w:vAlign w:val="top"/>
          </w:tcPr>
          <w:p>
            <w:r>
              <w:rPr>
                <w:sz w:val="16"/>
              </w:rPr>
              <w:t>T2</w:t>
            </w:r>
          </w:p>
        </w:tc>
        <w:tc>
          <w:tcPr>
            <w:tcW w:type="dxa" w:w="5112"/>
            <w:vAlign w:val="top"/>
          </w:tcPr>
          <w:p>
            <w:r>
              <w:rPr>
                <w:sz w:val="16"/>
              </w:rPr>
              <w:t>Strong corroborated evidence.</w:t>
            </w:r>
          </w:p>
        </w:tc>
      </w:tr>
      <w:tr>
        <w:tc>
          <w:tcPr>
            <w:tcW w:type="dxa" w:w="5112"/>
            <w:vAlign w:val="top"/>
          </w:tcPr>
          <w:p>
            <w:r>
              <w:rPr>
                <w:sz w:val="16"/>
              </w:rPr>
              <w:t>T3</w:t>
            </w:r>
          </w:p>
        </w:tc>
        <w:tc>
          <w:tcPr>
            <w:tcW w:type="dxa" w:w="5112"/>
            <w:vAlign w:val="top"/>
          </w:tcPr>
          <w:p>
            <w:r>
              <w:rPr>
                <w:sz w:val="16"/>
              </w:rPr>
              <w:t>Limited or indirect evidence.</w:t>
            </w:r>
          </w:p>
        </w:tc>
      </w:tr>
      <w:tr>
        <w:tc>
          <w:tcPr>
            <w:tcW w:type="dxa" w:w="5112"/>
            <w:vAlign w:val="top"/>
          </w:tcPr>
          <w:p>
            <w:r>
              <w:rPr>
                <w:sz w:val="16"/>
              </w:rPr>
              <w:t>T4</w:t>
            </w:r>
          </w:p>
        </w:tc>
        <w:tc>
          <w:tcPr>
            <w:tcW w:type="dxa" w:w="5112"/>
            <w:vAlign w:val="top"/>
          </w:tcPr>
          <w:p>
            <w:r>
              <w:rPr>
                <w:sz w:val="16"/>
              </w:rPr>
              <w:t>Unverified, disputed or insufficient evidence.</w:t>
            </w:r>
          </w:p>
        </w:tc>
      </w:tr>
      <w:tr>
        <w:tc>
          <w:tcPr>
            <w:tcW w:type="dxa" w:w="5112"/>
            <w:vAlign w:val="top"/>
          </w:tcPr>
          <w:p>
            <w:r>
              <w:rPr>
                <w:sz w:val="16"/>
              </w:rPr>
              <w:t>A0</w:t>
            </w:r>
          </w:p>
        </w:tc>
        <w:tc>
          <w:tcPr>
            <w:tcW w:type="dxa" w:w="5112"/>
            <w:vAlign w:val="top"/>
          </w:tcPr>
          <w:p>
            <w:r>
              <w:rPr>
                <w:sz w:val="16"/>
              </w:rPr>
              <w:t>Not established.</w:t>
            </w:r>
          </w:p>
        </w:tc>
      </w:tr>
      <w:tr>
        <w:tc>
          <w:tcPr>
            <w:tcW w:type="dxa" w:w="5112"/>
            <w:vAlign w:val="top"/>
          </w:tcPr>
          <w:p>
            <w:r>
              <w:rPr>
                <w:sz w:val="16"/>
              </w:rPr>
              <w:t>A1</w:t>
            </w:r>
          </w:p>
        </w:tc>
        <w:tc>
          <w:tcPr>
            <w:tcW w:type="dxa" w:w="5112"/>
            <w:vAlign w:val="top"/>
          </w:tcPr>
          <w:p>
            <w:r>
              <w:rPr>
                <w:sz w:val="16"/>
              </w:rPr>
              <w:t>Ad hoc.</w:t>
            </w:r>
          </w:p>
        </w:tc>
      </w:tr>
      <w:tr>
        <w:tc>
          <w:tcPr>
            <w:tcW w:type="dxa" w:w="5112"/>
            <w:vAlign w:val="top"/>
          </w:tcPr>
          <w:p>
            <w:r>
              <w:rPr>
                <w:sz w:val="16"/>
              </w:rPr>
              <w:t>A2</w:t>
            </w:r>
          </w:p>
        </w:tc>
        <w:tc>
          <w:tcPr>
            <w:tcW w:type="dxa" w:w="5112"/>
            <w:vAlign w:val="top"/>
          </w:tcPr>
          <w:p>
            <w:r>
              <w:rPr>
                <w:sz w:val="16"/>
              </w:rPr>
              <w:t>Defined.</w:t>
            </w:r>
          </w:p>
        </w:tc>
      </w:tr>
      <w:tr>
        <w:tc>
          <w:tcPr>
            <w:tcW w:type="dxa" w:w="5112"/>
            <w:vAlign w:val="top"/>
          </w:tcPr>
          <w:p>
            <w:r>
              <w:rPr>
                <w:sz w:val="16"/>
              </w:rPr>
              <w:t>A3</w:t>
            </w:r>
          </w:p>
        </w:tc>
        <w:tc>
          <w:tcPr>
            <w:tcW w:type="dxa" w:w="5112"/>
            <w:vAlign w:val="top"/>
          </w:tcPr>
          <w:p>
            <w:r>
              <w:rPr>
                <w:sz w:val="16"/>
              </w:rPr>
              <w:t>Implemented.</w:t>
            </w:r>
          </w:p>
        </w:tc>
      </w:tr>
      <w:tr>
        <w:tc>
          <w:tcPr>
            <w:tcW w:type="dxa" w:w="5112"/>
            <w:vAlign w:val="top"/>
          </w:tcPr>
          <w:p>
            <w:r>
              <w:rPr>
                <w:sz w:val="16"/>
              </w:rPr>
              <w:t>A4</w:t>
            </w:r>
          </w:p>
        </w:tc>
        <w:tc>
          <w:tcPr>
            <w:tcW w:type="dxa" w:w="5112"/>
            <w:vAlign w:val="top"/>
          </w:tcPr>
          <w:p>
            <w:r>
              <w:rPr>
                <w:sz w:val="16"/>
              </w:rPr>
              <w:t>Measured.</w:t>
            </w:r>
          </w:p>
        </w:tc>
      </w:tr>
      <w:tr>
        <w:tc>
          <w:tcPr>
            <w:tcW w:type="dxa" w:w="5112"/>
            <w:vAlign w:val="top"/>
          </w:tcPr>
          <w:p>
            <w:r>
              <w:rPr>
                <w:sz w:val="16"/>
              </w:rPr>
              <w:t>A5</w:t>
            </w:r>
          </w:p>
        </w:tc>
        <w:tc>
          <w:tcPr>
            <w:tcW w:type="dxa" w:w="5112"/>
            <w:vAlign w:val="top"/>
          </w:tcPr>
          <w:p>
            <w:r>
              <w:rPr>
                <w:sz w:val="16"/>
              </w:rPr>
              <w:t>Independently assured and continuously improved.</w:t>
            </w:r>
          </w:p>
        </w:tc>
      </w:tr>
    </w:tbl>
    <w:p>
      <w:pPr>
        <w:pStyle w:val="Heading1"/>
      </w:pPr>
      <w:r>
        <w:t>Notably Absent</w:t>
      </w:r>
    </w:p>
    <w:p>
      <w:pPr>
        <w:pStyle w:val="ListBullet"/>
      </w:pPr>
      <w:r>
        <w:t>No universal evidence that AI improves energy reliability, safety, fairness, efficiency or operator workload.</w:t>
      </w:r>
    </w:p>
    <w:p>
      <w:pPr>
        <w:pStyle w:val="ListBullet"/>
      </w:pPr>
      <w:r>
        <w:t>No proof that accuracy, simulation, a human-in-the-loop label, a supplier attestation or a provenance mechanism establishes safe operation.</w:t>
      </w:r>
    </w:p>
    <w:p>
      <w:pPr>
        <w:pStyle w:val="ListBullet"/>
      </w:pPr>
      <w:r>
        <w:t>No automatic equivalence between GAISSF implementation and legal, regulatory, safety, nuclear or certification compliance.</w:t>
      </w:r>
    </w:p>
    <w:p>
      <w:pPr>
        <w:pStyle w:val="ListBullet"/>
      </w:pPr>
      <w:r>
        <w:t>No universal architecture, threshold, maturity level or F/O/A sequencing label applies to every energy system.</w:t>
      </w:r>
    </w:p>
    <w:p>
      <w:pPr>
        <w:pStyle w:val="ListBullet"/>
      </w:pPr>
      <w:r>
        <w:t>No assumption that every anomaly, outage or unsafe outcome is AI-related or hostile.</w:t>
      </w:r>
    </w:p>
    <w:p>
      <w:pPr>
        <w:pStyle w:val="ListBullet"/>
      </w:pPr>
      <w:r>
        <w:t>No claim that the differentiated use-case mappings or scenario treatments have completed specialist validation.</w:t>
      </w:r>
    </w:p>
    <w:p>
      <w:pPr>
        <w:pStyle w:val="Heading1"/>
      </w:pPr>
      <w:r>
        <w:t>Source register</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rPr>
          <w:tblHeader w:val="true"/>
        </w:trPr>
        <w:tc>
          <w:tcPr>
            <w:tcW w:type="dxa" w:w="1704"/>
            <w:shd w:fill="17365D"/>
          </w:tcPr>
          <w:p>
            <w:r>
              <w:rPr>
                <w:b/>
                <w:sz w:val="14"/>
              </w:rPr>
              <w:t>ID</w:t>
            </w:r>
          </w:p>
        </w:tc>
        <w:tc>
          <w:tcPr>
            <w:tcW w:type="dxa" w:w="1704"/>
            <w:shd w:fill="17365D"/>
          </w:tcPr>
          <w:p>
            <w:r>
              <w:rPr>
                <w:b/>
                <w:sz w:val="14"/>
              </w:rPr>
              <w:t>Source</w:t>
            </w:r>
          </w:p>
        </w:tc>
        <w:tc>
          <w:tcPr>
            <w:tcW w:type="dxa" w:w="1704"/>
            <w:shd w:fill="17365D"/>
          </w:tcPr>
          <w:p>
            <w:r>
              <w:rPr>
                <w:b/>
                <w:sz w:val="14"/>
              </w:rPr>
              <w:t>Issuer</w:t>
            </w:r>
          </w:p>
        </w:tc>
        <w:tc>
          <w:tcPr>
            <w:tcW w:type="dxa" w:w="1704"/>
            <w:shd w:fill="17365D"/>
          </w:tcPr>
          <w:p>
            <w:r>
              <w:rPr>
                <w:b/>
                <w:sz w:val="14"/>
              </w:rPr>
              <w:t>Status</w:t>
            </w:r>
          </w:p>
        </w:tc>
        <w:tc>
          <w:tcPr>
            <w:tcW w:type="dxa" w:w="1704"/>
            <w:shd w:fill="17365D"/>
          </w:tcPr>
          <w:p>
            <w:r>
              <w:rPr>
                <w:b/>
                <w:sz w:val="14"/>
              </w:rPr>
              <w:t>Use</w:t>
            </w:r>
          </w:p>
        </w:tc>
        <w:tc>
          <w:tcPr>
            <w:tcW w:type="dxa" w:w="1704"/>
            <w:shd w:fill="17365D"/>
          </w:tcPr>
          <w:p>
            <w:r>
              <w:rPr>
                <w:b/>
                <w:sz w:val="14"/>
              </w:rPr>
              <w:t>Limitation</w:t>
            </w:r>
          </w:p>
        </w:tc>
      </w:tr>
      <w:tr>
        <w:tc>
          <w:tcPr>
            <w:tcW w:type="dxa" w:w="1704"/>
            <w:vAlign w:val="top"/>
          </w:tcPr>
          <w:p>
            <w:r>
              <w:rPr>
                <w:sz w:val="14"/>
              </w:rPr>
              <w:t>SRC-001</w:t>
            </w:r>
          </w:p>
        </w:tc>
        <w:tc>
          <w:tcPr>
            <w:tcW w:type="dxa" w:w="1704"/>
            <w:vAlign w:val="top"/>
          </w:tcPr>
          <w:p>
            <w:r>
              <w:rPr>
                <w:sz w:val="14"/>
              </w:rPr>
              <w:t>GAISSF-NOR-001 Framework Standard v1.0</w:t>
            </w:r>
          </w:p>
        </w:tc>
        <w:tc>
          <w:tcPr>
            <w:tcW w:type="dxa" w:w="1704"/>
            <w:vAlign w:val="top"/>
          </w:tcPr>
          <w:p>
            <w:r>
              <w:rPr>
                <w:sz w:val="14"/>
              </w:rPr>
              <w:t>ODA3 Institute</w:t>
            </w:r>
          </w:p>
        </w:tc>
        <w:tc>
          <w:tcPr>
            <w:tcW w:type="dxa" w:w="1704"/>
            <w:vAlign w:val="top"/>
          </w:tcPr>
          <w:p>
            <w:r>
              <w:rPr>
                <w:sz w:val="14"/>
              </w:rPr>
              <w:t>Corrected Final Publication Edition</w:t>
            </w:r>
          </w:p>
        </w:tc>
        <w:tc>
          <w:tcPr>
            <w:tcW w:type="dxa" w:w="1704"/>
            <w:vAlign w:val="top"/>
          </w:tcPr>
          <w:p>
            <w:r>
              <w:rPr>
                <w:sz w:val="14"/>
              </w:rPr>
              <w:t>Control identifiers, titles, domains and conformance language.</w:t>
            </w:r>
          </w:p>
        </w:tc>
        <w:tc>
          <w:tcPr>
            <w:tcW w:type="dxa" w:w="1704"/>
            <w:vAlign w:val="top"/>
          </w:tcPr>
          <w:p>
            <w:r>
              <w:rPr>
                <w:sz w:val="14"/>
              </w:rPr>
              <w:t>Sector implementation remains informative.</w:t>
            </w:r>
          </w:p>
        </w:tc>
      </w:tr>
      <w:tr>
        <w:tc>
          <w:tcPr>
            <w:tcW w:type="dxa" w:w="1704"/>
            <w:vAlign w:val="top"/>
          </w:tcPr>
          <w:p>
            <w:r>
              <w:rPr>
                <w:sz w:val="14"/>
              </w:rPr>
              <w:t>SRC-002</w:t>
            </w:r>
          </w:p>
        </w:tc>
        <w:tc>
          <w:tcPr>
            <w:tcW w:type="dxa" w:w="1704"/>
            <w:vAlign w:val="top"/>
          </w:tcPr>
          <w:p>
            <w:r>
              <w:rPr>
                <w:sz w:val="14"/>
              </w:rPr>
              <w:t>Artificial Intelligence Risk Management Framework (AI RMF 1.0), NIST AI 100-1</w:t>
            </w:r>
          </w:p>
        </w:tc>
        <w:tc>
          <w:tcPr>
            <w:tcW w:type="dxa" w:w="1704"/>
            <w:vAlign w:val="top"/>
          </w:tcPr>
          <w:p>
            <w:r>
              <w:rPr>
                <w:sz w:val="14"/>
              </w:rPr>
              <w:t>NIST</w:t>
            </w:r>
          </w:p>
        </w:tc>
        <w:tc>
          <w:tcPr>
            <w:tcW w:type="dxa" w:w="1704"/>
            <w:vAlign w:val="top"/>
          </w:tcPr>
          <w:p>
            <w:r>
              <w:rPr>
                <w:sz w:val="14"/>
              </w:rPr>
              <w:t>Published</w:t>
            </w:r>
          </w:p>
        </w:tc>
        <w:tc>
          <w:tcPr>
            <w:tcW w:type="dxa" w:w="1704"/>
            <w:vAlign w:val="top"/>
          </w:tcPr>
          <w:p>
            <w:r>
              <w:rPr>
                <w:sz w:val="14"/>
              </w:rPr>
              <w:t>AI risk-management lifecycle context.</w:t>
            </w:r>
          </w:p>
        </w:tc>
        <w:tc>
          <w:tcPr>
            <w:tcW w:type="dxa" w:w="1704"/>
            <w:vAlign w:val="top"/>
          </w:tcPr>
          <w:p>
            <w:r>
              <w:rPr>
                <w:sz w:val="14"/>
              </w:rPr>
              <w:t>Does not establish energy-sector compliance.</w:t>
            </w:r>
          </w:p>
        </w:tc>
      </w:tr>
      <w:tr>
        <w:tc>
          <w:tcPr>
            <w:tcW w:type="dxa" w:w="1704"/>
            <w:vAlign w:val="top"/>
          </w:tcPr>
          <w:p>
            <w:r>
              <w:rPr>
                <w:sz w:val="14"/>
              </w:rPr>
              <w:t>SRC-003</w:t>
            </w:r>
          </w:p>
        </w:tc>
        <w:tc>
          <w:tcPr>
            <w:tcW w:type="dxa" w:w="1704"/>
            <w:vAlign w:val="top"/>
          </w:tcPr>
          <w:p>
            <w:r>
              <w:rPr>
                <w:sz w:val="14"/>
              </w:rPr>
              <w:t>Regulation (EU) 2024/1689 (Artificial Intelligence Act)</w:t>
            </w:r>
          </w:p>
        </w:tc>
        <w:tc>
          <w:tcPr>
            <w:tcW w:type="dxa" w:w="1704"/>
            <w:vAlign w:val="top"/>
          </w:tcPr>
          <w:p>
            <w:r>
              <w:rPr>
                <w:sz w:val="14"/>
              </w:rPr>
              <w:t>European Union</w:t>
            </w:r>
          </w:p>
        </w:tc>
        <w:tc>
          <w:tcPr>
            <w:tcW w:type="dxa" w:w="1704"/>
            <w:vAlign w:val="top"/>
          </w:tcPr>
          <w:p>
            <w:r>
              <w:rPr>
                <w:sz w:val="14"/>
              </w:rPr>
              <w:t>In force; phased application</w:t>
            </w:r>
          </w:p>
        </w:tc>
        <w:tc>
          <w:tcPr>
            <w:tcW w:type="dxa" w:w="1704"/>
            <w:vAlign w:val="top"/>
          </w:tcPr>
          <w:p>
            <w:r>
              <w:rPr>
                <w:sz w:val="14"/>
              </w:rPr>
              <w:t>EU AI legal context where applicable.</w:t>
            </w:r>
          </w:p>
        </w:tc>
        <w:tc>
          <w:tcPr>
            <w:tcW w:type="dxa" w:w="1704"/>
            <w:vAlign w:val="top"/>
          </w:tcPr>
          <w:p>
            <w:r>
              <w:rPr>
                <w:sz w:val="14"/>
              </w:rPr>
              <w:t>Applicability and timelines require qualified legal review.</w:t>
            </w:r>
          </w:p>
        </w:tc>
      </w:tr>
      <w:tr>
        <w:tc>
          <w:tcPr>
            <w:tcW w:type="dxa" w:w="1704"/>
            <w:vAlign w:val="top"/>
          </w:tcPr>
          <w:p>
            <w:r>
              <w:rPr>
                <w:sz w:val="14"/>
              </w:rPr>
              <w:t>SRC-004</w:t>
            </w:r>
          </w:p>
        </w:tc>
        <w:tc>
          <w:tcPr>
            <w:tcW w:type="dxa" w:w="1704"/>
            <w:vAlign w:val="top"/>
          </w:tcPr>
          <w:p>
            <w:r>
              <w:rPr>
                <w:sz w:val="14"/>
              </w:rPr>
              <w:t>Cybersecurity - Office of Cybersecurity, Energy Security, and Emergency Response</w:t>
            </w:r>
          </w:p>
        </w:tc>
        <w:tc>
          <w:tcPr>
            <w:tcW w:type="dxa" w:w="1704"/>
            <w:vAlign w:val="top"/>
          </w:tcPr>
          <w:p>
            <w:r>
              <w:rPr>
                <w:sz w:val="14"/>
              </w:rPr>
              <w:t>U.S. Department of Energy</w:t>
            </w:r>
          </w:p>
        </w:tc>
        <w:tc>
          <w:tcPr>
            <w:tcW w:type="dxa" w:w="1704"/>
            <w:vAlign w:val="top"/>
          </w:tcPr>
          <w:p>
            <w:r>
              <w:rPr>
                <w:sz w:val="14"/>
              </w:rPr>
              <w:t>Current portal; individual materials vary</w:t>
            </w:r>
          </w:p>
        </w:tc>
        <w:tc>
          <w:tcPr>
            <w:tcW w:type="dxa" w:w="1704"/>
            <w:vAlign w:val="top"/>
          </w:tcPr>
          <w:p>
            <w:r>
              <w:rPr>
                <w:sz w:val="14"/>
              </w:rPr>
              <w:t>Energy cybersecurity context.</w:t>
            </w:r>
          </w:p>
        </w:tc>
        <w:tc>
          <w:tcPr>
            <w:tcW w:type="dxa" w:w="1704"/>
            <w:vAlign w:val="top"/>
          </w:tcPr>
          <w:p>
            <w:r>
              <w:rPr>
                <w:sz w:val="14"/>
              </w:rPr>
              <w:t>Portal content is not a single compliance standard.</w:t>
            </w:r>
          </w:p>
        </w:tc>
      </w:tr>
      <w:tr>
        <w:tc>
          <w:tcPr>
            <w:tcW w:type="dxa" w:w="1704"/>
            <w:vAlign w:val="top"/>
          </w:tcPr>
          <w:p>
            <w:r>
              <w:rPr>
                <w:sz w:val="14"/>
              </w:rPr>
              <w:t>SRC-005</w:t>
            </w:r>
          </w:p>
        </w:tc>
        <w:tc>
          <w:tcPr>
            <w:tcW w:type="dxa" w:w="1704"/>
            <w:vAlign w:val="top"/>
          </w:tcPr>
          <w:p>
            <w:r>
              <w:rPr>
                <w:sz w:val="14"/>
              </w:rPr>
              <w:t>Guide to Operational Technology Security, NIST SP 800-82 Rev. 3</w:t>
            </w:r>
          </w:p>
        </w:tc>
        <w:tc>
          <w:tcPr>
            <w:tcW w:type="dxa" w:w="1704"/>
            <w:vAlign w:val="top"/>
          </w:tcPr>
          <w:p>
            <w:r>
              <w:rPr>
                <w:sz w:val="14"/>
              </w:rPr>
              <w:t>NIST</w:t>
            </w:r>
          </w:p>
        </w:tc>
        <w:tc>
          <w:tcPr>
            <w:tcW w:type="dxa" w:w="1704"/>
            <w:vAlign w:val="top"/>
          </w:tcPr>
          <w:p>
            <w:r>
              <w:rPr>
                <w:sz w:val="14"/>
              </w:rPr>
              <w:t>Final</w:t>
            </w:r>
          </w:p>
        </w:tc>
        <w:tc>
          <w:tcPr>
            <w:tcW w:type="dxa" w:w="1704"/>
            <w:vAlign w:val="top"/>
          </w:tcPr>
          <w:p>
            <w:r>
              <w:rPr>
                <w:sz w:val="14"/>
              </w:rPr>
              <w:t>OT security architecture and operational constraints.</w:t>
            </w:r>
          </w:p>
        </w:tc>
        <w:tc>
          <w:tcPr>
            <w:tcW w:type="dxa" w:w="1704"/>
            <w:vAlign w:val="top"/>
          </w:tcPr>
          <w:p>
            <w:r>
              <w:rPr>
                <w:sz w:val="14"/>
              </w:rPr>
              <w:t>Not AI-specific.</w:t>
            </w:r>
          </w:p>
        </w:tc>
      </w:tr>
      <w:tr>
        <w:tc>
          <w:tcPr>
            <w:tcW w:type="dxa" w:w="1704"/>
            <w:vAlign w:val="top"/>
          </w:tcPr>
          <w:p>
            <w:r>
              <w:rPr>
                <w:sz w:val="14"/>
              </w:rPr>
              <w:t>SRC-006</w:t>
            </w:r>
          </w:p>
        </w:tc>
        <w:tc>
          <w:tcPr>
            <w:tcW w:type="dxa" w:w="1704"/>
            <w:vAlign w:val="top"/>
          </w:tcPr>
          <w:p>
            <w:r>
              <w:rPr>
                <w:sz w:val="14"/>
              </w:rPr>
              <w:t>IEC 62443 series - Security for industrial automation and control systems</w:t>
            </w:r>
          </w:p>
        </w:tc>
        <w:tc>
          <w:tcPr>
            <w:tcW w:type="dxa" w:w="1704"/>
            <w:vAlign w:val="top"/>
          </w:tcPr>
          <w:p>
            <w:r>
              <w:rPr>
                <w:sz w:val="14"/>
              </w:rPr>
              <w:t>IEC</w:t>
            </w:r>
          </w:p>
        </w:tc>
        <w:tc>
          <w:tcPr>
            <w:tcW w:type="dxa" w:w="1704"/>
            <w:vAlign w:val="top"/>
          </w:tcPr>
          <w:p>
            <w:r>
              <w:rPr>
                <w:sz w:val="14"/>
              </w:rPr>
              <w:t>Published series</w:t>
            </w:r>
          </w:p>
        </w:tc>
        <w:tc>
          <w:tcPr>
            <w:tcW w:type="dxa" w:w="1704"/>
            <w:vAlign w:val="top"/>
          </w:tcPr>
          <w:p>
            <w:r>
              <w:rPr>
                <w:sz w:val="14"/>
              </w:rPr>
              <w:t>Industrial automation and control-system security context.</w:t>
            </w:r>
          </w:p>
        </w:tc>
        <w:tc>
          <w:tcPr>
            <w:tcW w:type="dxa" w:w="1704"/>
            <w:vAlign w:val="top"/>
          </w:tcPr>
          <w:p>
            <w:r>
              <w:rPr>
                <w:sz w:val="14"/>
              </w:rPr>
              <w:t>Licensed text; part, edition and applicability must be verified.</w:t>
            </w:r>
          </w:p>
        </w:tc>
      </w:tr>
      <w:tr>
        <w:tc>
          <w:tcPr>
            <w:tcW w:type="dxa" w:w="1704"/>
            <w:vAlign w:val="top"/>
          </w:tcPr>
          <w:p>
            <w:r>
              <w:rPr>
                <w:sz w:val="14"/>
              </w:rPr>
              <w:t>SRC-007</w:t>
            </w:r>
          </w:p>
        </w:tc>
        <w:tc>
          <w:tcPr>
            <w:tcW w:type="dxa" w:w="1704"/>
            <w:vAlign w:val="top"/>
          </w:tcPr>
          <w:p>
            <w:r>
              <w:rPr>
                <w:sz w:val="14"/>
              </w:rPr>
              <w:t>ISO/IEC 42001 - Artificial intelligence management system</w:t>
            </w:r>
          </w:p>
        </w:tc>
        <w:tc>
          <w:tcPr>
            <w:tcW w:type="dxa" w:w="1704"/>
            <w:vAlign w:val="top"/>
          </w:tcPr>
          <w:p>
            <w:r>
              <w:rPr>
                <w:sz w:val="14"/>
              </w:rPr>
              <w:t>ISO/IEC</w:t>
            </w:r>
          </w:p>
        </w:tc>
        <w:tc>
          <w:tcPr>
            <w:tcW w:type="dxa" w:w="1704"/>
            <w:vAlign w:val="top"/>
          </w:tcPr>
          <w:p>
            <w:r>
              <w:rPr>
                <w:sz w:val="14"/>
              </w:rPr>
              <w:t>Published</w:t>
            </w:r>
          </w:p>
        </w:tc>
        <w:tc>
          <w:tcPr>
            <w:tcW w:type="dxa" w:w="1704"/>
            <w:vAlign w:val="top"/>
          </w:tcPr>
          <w:p>
            <w:r>
              <w:rPr>
                <w:sz w:val="14"/>
              </w:rPr>
              <w:t>AI management-system context.</w:t>
            </w:r>
          </w:p>
        </w:tc>
        <w:tc>
          <w:tcPr>
            <w:tcW w:type="dxa" w:w="1704"/>
            <w:vAlign w:val="top"/>
          </w:tcPr>
          <w:p>
            <w:r>
              <w:rPr>
                <w:sz w:val="14"/>
              </w:rPr>
              <w:t>Mapping does not establish equivalence or certification.</w:t>
            </w:r>
          </w:p>
        </w:tc>
      </w:tr>
      <w:tr>
        <w:tc>
          <w:tcPr>
            <w:tcW w:type="dxa" w:w="1704"/>
            <w:vAlign w:val="top"/>
          </w:tcPr>
          <w:p>
            <w:r>
              <w:rPr>
                <w:sz w:val="14"/>
              </w:rPr>
              <w:t>SRC-008</w:t>
            </w:r>
          </w:p>
        </w:tc>
        <w:tc>
          <w:tcPr>
            <w:tcW w:type="dxa" w:w="1704"/>
            <w:vAlign w:val="top"/>
          </w:tcPr>
          <w:p>
            <w:r>
              <w:rPr>
                <w:sz w:val="14"/>
              </w:rPr>
              <w:t>ISO/IEC 23894 - Artificial intelligence - Guidance on risk management</w:t>
            </w:r>
          </w:p>
        </w:tc>
        <w:tc>
          <w:tcPr>
            <w:tcW w:type="dxa" w:w="1704"/>
            <w:vAlign w:val="top"/>
          </w:tcPr>
          <w:p>
            <w:r>
              <w:rPr>
                <w:sz w:val="14"/>
              </w:rPr>
              <w:t>ISO/IEC</w:t>
            </w:r>
          </w:p>
        </w:tc>
        <w:tc>
          <w:tcPr>
            <w:tcW w:type="dxa" w:w="1704"/>
            <w:vAlign w:val="top"/>
          </w:tcPr>
          <w:p>
            <w:r>
              <w:rPr>
                <w:sz w:val="14"/>
              </w:rPr>
              <w:t>Published</w:t>
            </w:r>
          </w:p>
        </w:tc>
        <w:tc>
          <w:tcPr>
            <w:tcW w:type="dxa" w:w="1704"/>
            <w:vAlign w:val="top"/>
          </w:tcPr>
          <w:p>
            <w:r>
              <w:rPr>
                <w:sz w:val="14"/>
              </w:rPr>
              <w:t>AI risk-management context.</w:t>
            </w:r>
          </w:p>
        </w:tc>
        <w:tc>
          <w:tcPr>
            <w:tcW w:type="dxa" w:w="1704"/>
            <w:vAlign w:val="top"/>
          </w:tcPr>
          <w:p>
            <w:r>
              <w:rPr>
                <w:sz w:val="14"/>
              </w:rPr>
              <w:t>Edition and corrigenda must be verified.</w:t>
            </w:r>
          </w:p>
        </w:tc>
      </w:tr>
      <w:tr>
        <w:tc>
          <w:tcPr>
            <w:tcW w:type="dxa" w:w="1704"/>
            <w:vAlign w:val="top"/>
          </w:tcPr>
          <w:p>
            <w:r>
              <w:rPr>
                <w:sz w:val="14"/>
              </w:rPr>
              <w:t>SRC-009</w:t>
            </w:r>
          </w:p>
        </w:tc>
        <w:tc>
          <w:tcPr>
            <w:tcW w:type="dxa" w:w="1704"/>
            <w:vAlign w:val="top"/>
          </w:tcPr>
          <w:p>
            <w:r>
              <w:rPr>
                <w:sz w:val="14"/>
              </w:rPr>
              <w:t>Regulation (EU) 2022/2554 on digital operational resilience for the financial sector (DORA)</w:t>
            </w:r>
          </w:p>
        </w:tc>
        <w:tc>
          <w:tcPr>
            <w:tcW w:type="dxa" w:w="1704"/>
            <w:vAlign w:val="top"/>
          </w:tcPr>
          <w:p>
            <w:r>
              <w:rPr>
                <w:sz w:val="14"/>
              </w:rPr>
              <w:t>European Union</w:t>
            </w:r>
          </w:p>
        </w:tc>
        <w:tc>
          <w:tcPr>
            <w:tcW w:type="dxa" w:w="1704"/>
            <w:vAlign w:val="top"/>
          </w:tcPr>
          <w:p>
            <w:r>
              <w:rPr>
                <w:sz w:val="14"/>
              </w:rPr>
              <w:t>Applicable from 2025-01-17</w:t>
            </w:r>
          </w:p>
        </w:tc>
        <w:tc>
          <w:tcPr>
            <w:tcW w:type="dxa" w:w="1704"/>
            <w:vAlign w:val="top"/>
          </w:tcPr>
          <w:p>
            <w:r>
              <w:rPr>
                <w:sz w:val="14"/>
              </w:rPr>
              <w:t>Context for the authoritative D8-CTL-04 title and financial-sector operational-resilience obligations where legally in scope.</w:t>
            </w:r>
          </w:p>
        </w:tc>
        <w:tc>
          <w:tcPr>
            <w:tcW w:type="dxa" w:w="1704"/>
            <w:vAlign w:val="top"/>
          </w:tcPr>
          <w:p>
            <w:r>
              <w:rPr>
                <w:sz w:val="14"/>
              </w:rPr>
              <w:t>DORA is not an energy-sector law merely because the GAISSF control title references it; apply only to legally covered entities.</w:t>
            </w:r>
          </w:p>
        </w:tc>
      </w:tr>
      <w:tr>
        <w:tc>
          <w:tcPr>
            <w:tcW w:type="dxa" w:w="1704"/>
            <w:vAlign w:val="top"/>
          </w:tcPr>
          <w:p>
            <w:r>
              <w:rPr>
                <w:sz w:val="14"/>
              </w:rPr>
              <w:t>SRC-010</w:t>
            </w:r>
          </w:p>
        </w:tc>
        <w:tc>
          <w:tcPr>
            <w:tcW w:type="dxa" w:w="1704"/>
            <w:vAlign w:val="top"/>
          </w:tcPr>
          <w:p>
            <w:r>
              <w:rPr>
                <w:sz w:val="14"/>
              </w:rPr>
              <w:t>NIST SP 800-218A - Secure Software Development Practices for Generative AI and Dual-Use Foundation Models: An SSDF Community Profile</w:t>
            </w:r>
          </w:p>
        </w:tc>
        <w:tc>
          <w:tcPr>
            <w:tcW w:type="dxa" w:w="1704"/>
            <w:vAlign w:val="top"/>
          </w:tcPr>
          <w:p>
            <w:r>
              <w:rPr>
                <w:sz w:val="14"/>
              </w:rPr>
              <w:t>NIST</w:t>
            </w:r>
          </w:p>
        </w:tc>
        <w:tc>
          <w:tcPr>
            <w:tcW w:type="dxa" w:w="1704"/>
            <w:vAlign w:val="top"/>
          </w:tcPr>
          <w:p>
            <w:r>
              <w:rPr>
                <w:sz w:val="14"/>
              </w:rPr>
              <w:t>Final</w:t>
            </w:r>
          </w:p>
        </w:tc>
        <w:tc>
          <w:tcPr>
            <w:tcW w:type="dxa" w:w="1704"/>
            <w:vAlign w:val="top"/>
          </w:tcPr>
          <w:p>
            <w:r>
              <w:rPr>
                <w:sz w:val="14"/>
              </w:rPr>
              <w:t>AI-specific secure-development practices.</w:t>
            </w:r>
          </w:p>
        </w:tc>
        <w:tc>
          <w:tcPr>
            <w:tcW w:type="dxa" w:w="1704"/>
            <w:vAlign w:val="top"/>
          </w:tcPr>
          <w:p>
            <w:r>
              <w:rPr>
                <w:sz w:val="14"/>
              </w:rPr>
              <w:t>Use with NIST SP 800-218; applicability to non-generative systems must be assessed.</w:t>
            </w:r>
          </w:p>
        </w:tc>
      </w:tr>
      <w:tr>
        <w:tc>
          <w:tcPr>
            <w:tcW w:type="dxa" w:w="1704"/>
            <w:vAlign w:val="top"/>
          </w:tcPr>
          <w:p>
            <w:r>
              <w:rPr>
                <w:sz w:val="14"/>
              </w:rPr>
              <w:t>SRC-011</w:t>
            </w:r>
          </w:p>
        </w:tc>
        <w:tc>
          <w:tcPr>
            <w:tcW w:type="dxa" w:w="1704"/>
            <w:vAlign w:val="top"/>
          </w:tcPr>
          <w:p>
            <w:r>
              <w:rPr>
                <w:sz w:val="14"/>
              </w:rPr>
              <w:t>IEC 61508 series - Functional safety of electrical/electronic/programmable electronic safety-related systems</w:t>
            </w:r>
          </w:p>
        </w:tc>
        <w:tc>
          <w:tcPr>
            <w:tcW w:type="dxa" w:w="1704"/>
            <w:vAlign w:val="top"/>
          </w:tcPr>
          <w:p>
            <w:r>
              <w:rPr>
                <w:sz w:val="14"/>
              </w:rPr>
              <w:t>IEC</w:t>
            </w:r>
          </w:p>
        </w:tc>
        <w:tc>
          <w:tcPr>
            <w:tcW w:type="dxa" w:w="1704"/>
            <w:vAlign w:val="top"/>
          </w:tcPr>
          <w:p>
            <w:r>
              <w:rPr>
                <w:sz w:val="14"/>
              </w:rPr>
              <w:t>Published series</w:t>
            </w:r>
          </w:p>
        </w:tc>
        <w:tc>
          <w:tcPr>
            <w:tcW w:type="dxa" w:w="1704"/>
            <w:vAlign w:val="top"/>
          </w:tcPr>
          <w:p>
            <w:r>
              <w:rPr>
                <w:sz w:val="14"/>
              </w:rPr>
              <w:t>Functional-safety lifecycle and independent protection context.</w:t>
            </w:r>
          </w:p>
        </w:tc>
        <w:tc>
          <w:tcPr>
            <w:tcW w:type="dxa" w:w="1704"/>
            <w:vAlign w:val="top"/>
          </w:tcPr>
          <w:p>
            <w:r>
              <w:rPr>
                <w:sz w:val="14"/>
              </w:rPr>
              <w:t>Licensed text; sector-specific derivatives and competent safety interpretation may take precedence.</w:t>
            </w:r>
          </w:p>
        </w:tc>
      </w:tr>
      <w:tr>
        <w:tc>
          <w:tcPr>
            <w:tcW w:type="dxa" w:w="1704"/>
            <w:vAlign w:val="top"/>
          </w:tcPr>
          <w:p>
            <w:r>
              <w:rPr>
                <w:sz w:val="14"/>
              </w:rPr>
              <w:t>SRC-012</w:t>
            </w:r>
          </w:p>
        </w:tc>
        <w:tc>
          <w:tcPr>
            <w:tcW w:type="dxa" w:w="1704"/>
            <w:vAlign w:val="top"/>
          </w:tcPr>
          <w:p>
            <w:r>
              <w:rPr>
                <w:sz w:val="14"/>
              </w:rPr>
              <w:t>DO-178C - Software Considerations in Airborne Systems and Equipment Certification</w:t>
            </w:r>
          </w:p>
        </w:tc>
        <w:tc>
          <w:tcPr>
            <w:tcW w:type="dxa" w:w="1704"/>
            <w:vAlign w:val="top"/>
          </w:tcPr>
          <w:p>
            <w:r>
              <w:rPr>
                <w:sz w:val="14"/>
              </w:rPr>
              <w:t>RTCA</w:t>
            </w:r>
          </w:p>
        </w:tc>
        <w:tc>
          <w:tcPr>
            <w:tcW w:type="dxa" w:w="1704"/>
            <w:vAlign w:val="top"/>
          </w:tcPr>
          <w:p>
            <w:r>
              <w:rPr>
                <w:sz w:val="14"/>
              </w:rPr>
              <w:t>Published</w:t>
            </w:r>
          </w:p>
        </w:tc>
        <w:tc>
          <w:tcPr>
            <w:tcW w:type="dxa" w:w="1704"/>
            <w:vAlign w:val="top"/>
          </w:tcPr>
          <w:p>
            <w:r>
              <w:rPr>
                <w:sz w:val="14"/>
              </w:rPr>
              <w:t>Illustrative high-assurance software evidence context only where aviation-related energy systems are in scope.</w:t>
            </w:r>
          </w:p>
        </w:tc>
        <w:tc>
          <w:tcPr>
            <w:tcW w:type="dxa" w:w="1704"/>
            <w:vAlign w:val="top"/>
          </w:tcPr>
          <w:p>
            <w:r>
              <w:rPr>
                <w:sz w:val="14"/>
              </w:rPr>
              <w:t>Not an energy-sector standard and not a basis for general energy compliance.</w:t>
            </w:r>
          </w:p>
        </w:tc>
      </w:tr>
      <w:tr>
        <w:tc>
          <w:tcPr>
            <w:tcW w:type="dxa" w:w="1704"/>
            <w:vAlign w:val="top"/>
          </w:tcPr>
          <w:p>
            <w:r>
              <w:rPr>
                <w:sz w:val="14"/>
              </w:rPr>
              <w:t>SRC-013</w:t>
            </w:r>
          </w:p>
        </w:tc>
        <w:tc>
          <w:tcPr>
            <w:tcW w:type="dxa" w:w="1704"/>
            <w:vAlign w:val="top"/>
          </w:tcPr>
          <w:p>
            <w:r>
              <w:rPr>
                <w:sz w:val="14"/>
              </w:rPr>
              <w:t>Open Security Controls Assessment Language (OSCAL)</w:t>
            </w:r>
          </w:p>
        </w:tc>
        <w:tc>
          <w:tcPr>
            <w:tcW w:type="dxa" w:w="1704"/>
            <w:vAlign w:val="top"/>
          </w:tcPr>
          <w:p>
            <w:r>
              <w:rPr>
                <w:sz w:val="14"/>
              </w:rPr>
              <w:t>NIST</w:t>
            </w:r>
          </w:p>
        </w:tc>
        <w:tc>
          <w:tcPr>
            <w:tcW w:type="dxa" w:w="1704"/>
            <w:vAlign w:val="top"/>
          </w:tcPr>
          <w:p>
            <w:r>
              <w:rPr>
                <w:sz w:val="14"/>
              </w:rPr>
              <w:t>Published project</w:t>
            </w:r>
          </w:p>
        </w:tc>
        <w:tc>
          <w:tcPr>
            <w:tcW w:type="dxa" w:w="1704"/>
            <w:vAlign w:val="top"/>
          </w:tcPr>
          <w:p>
            <w:r>
              <w:rPr>
                <w:sz w:val="14"/>
              </w:rPr>
              <w:t>Optional machine-readable control, assessment and evidence exchange.</w:t>
            </w:r>
          </w:p>
        </w:tc>
        <w:tc>
          <w:tcPr>
            <w:tcW w:type="dxa" w:w="1704"/>
            <w:vAlign w:val="top"/>
          </w:tcPr>
          <w:p>
            <w:r>
              <w:rPr>
                <w:sz w:val="14"/>
              </w:rPr>
              <w:t>Use does not prove control effectiveness or conformance.</w:t>
            </w:r>
          </w:p>
        </w:tc>
      </w:tr>
      <w:tr>
        <w:tc>
          <w:tcPr>
            <w:tcW w:type="dxa" w:w="1704"/>
            <w:vAlign w:val="top"/>
          </w:tcPr>
          <w:p>
            <w:r>
              <w:rPr>
                <w:sz w:val="14"/>
              </w:rPr>
              <w:t>SRC-014</w:t>
            </w:r>
          </w:p>
        </w:tc>
        <w:tc>
          <w:tcPr>
            <w:tcW w:type="dxa" w:w="1704"/>
            <w:vAlign w:val="top"/>
          </w:tcPr>
          <w:p>
            <w:r>
              <w:rPr>
                <w:sz w:val="14"/>
              </w:rPr>
              <w:t>C2PA Technical Specification</w:t>
            </w:r>
          </w:p>
        </w:tc>
        <w:tc>
          <w:tcPr>
            <w:tcW w:type="dxa" w:w="1704"/>
            <w:vAlign w:val="top"/>
          </w:tcPr>
          <w:p>
            <w:r>
              <w:rPr>
                <w:sz w:val="14"/>
              </w:rPr>
              <w:t>Coalition for Content Provenance and Authenticity</w:t>
            </w:r>
          </w:p>
        </w:tc>
        <w:tc>
          <w:tcPr>
            <w:tcW w:type="dxa" w:w="1704"/>
            <w:vAlign w:val="top"/>
          </w:tcPr>
          <w:p>
            <w:r>
              <w:rPr>
                <w:sz w:val="14"/>
              </w:rPr>
              <w:t>Published specification</w:t>
            </w:r>
          </w:p>
        </w:tc>
        <w:tc>
          <w:tcPr>
            <w:tcW w:type="dxa" w:w="1704"/>
            <w:vAlign w:val="top"/>
          </w:tcPr>
          <w:p>
            <w:r>
              <w:rPr>
                <w:sz w:val="14"/>
              </w:rPr>
              <w:t>Optional content-provenance context.</w:t>
            </w:r>
          </w:p>
        </w:tc>
        <w:tc>
          <w:tcPr>
            <w:tcW w:type="dxa" w:w="1704"/>
            <w:vAlign w:val="top"/>
          </w:tcPr>
          <w:p>
            <w:r>
              <w:rPr>
                <w:sz w:val="14"/>
              </w:rPr>
              <w:t>Provenance metadata does not establish truth, safety or fitness for high-consequence operation.</w:t>
            </w:r>
          </w:p>
        </w:tc>
      </w:tr>
    </w:tbl>
    <w:p>
      <w:pPr>
        <w:pStyle w:val="Heading1"/>
      </w:pPr>
      <w:r>
        <w:t>Publication gates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17365D"/>
          </w:tcPr>
          <w:p>
            <w:r>
              <w:rPr>
                <w:b/>
                <w:sz w:val="14"/>
              </w:rPr>
              <w:t>Gate</w:t>
            </w:r>
          </w:p>
        </w:tc>
        <w:tc>
          <w:tcPr>
            <w:tcW w:type="dxa" w:w="2556"/>
            <w:shd w:fill="17365D"/>
          </w:tcPr>
          <w:p>
            <w:r>
              <w:rPr>
                <w:b/>
                <w:sz w:val="14"/>
              </w:rPr>
              <w:t>Review</w:t>
            </w:r>
          </w:p>
        </w:tc>
        <w:tc>
          <w:tcPr>
            <w:tcW w:type="dxa" w:w="2556"/>
            <w:shd w:fill="17365D"/>
          </w:tcPr>
          <w:p>
            <w:r>
              <w:rPr>
                <w:b/>
                <w:sz w:val="14"/>
              </w:rPr>
              <w:t>Status</w:t>
            </w:r>
          </w:p>
        </w:tc>
        <w:tc>
          <w:tcPr>
            <w:tcW w:type="dxa" w:w="2556"/>
            <w:shd w:fill="17365D"/>
          </w:tcPr>
          <w:p>
            <w:r>
              <w:rPr>
                <w:b/>
                <w:sz w:val="14"/>
              </w:rPr>
              <w:t>Closure evidence</w:t>
            </w:r>
          </w:p>
        </w:tc>
      </w:tr>
      <w:tr>
        <w:tc>
          <w:tcPr>
            <w:tcW w:type="dxa" w:w="2556"/>
            <w:vAlign w:val="top"/>
          </w:tcPr>
          <w:p>
            <w:r>
              <w:rPr>
                <w:sz w:val="14"/>
              </w:rPr>
              <w:t>PG-01</w:t>
            </w:r>
          </w:p>
        </w:tc>
        <w:tc>
          <w:tcPr>
            <w:tcW w:type="dxa" w:w="2556"/>
            <w:vAlign w:val="top"/>
          </w:tcPr>
          <w:p>
            <w:r>
              <w:rPr>
                <w:sz w:val="14"/>
              </w:rPr>
              <w:t>Control reconciliation</w:t>
            </w:r>
          </w:p>
        </w:tc>
        <w:tc>
          <w:tcPr>
            <w:tcW w:type="dxa" w:w="2556"/>
            <w:vAlign w:val="top"/>
          </w:tcPr>
          <w:p>
            <w:r>
              <w:rPr>
                <w:sz w:val="14"/>
              </w:rPr>
              <w:t>Passed</w:t>
            </w:r>
          </w:p>
        </w:tc>
        <w:tc>
          <w:tcPr>
            <w:tcW w:type="dxa" w:w="2556"/>
            <w:vAlign w:val="top"/>
          </w:tcPr>
          <w:p>
            <w:r>
              <w:rPr>
                <w:sz w:val="14"/>
              </w:rPr>
              <w:t>Automated and manual count/title/domain reconciliation against GAISSF-NOR-001.</w:t>
            </w:r>
          </w:p>
        </w:tc>
      </w:tr>
      <w:tr>
        <w:tc>
          <w:tcPr>
            <w:tcW w:type="dxa" w:w="2556"/>
            <w:vAlign w:val="top"/>
          </w:tcPr>
          <w:p>
            <w:r>
              <w:rPr>
                <w:sz w:val="14"/>
              </w:rPr>
              <w:t>PG-02</w:t>
            </w:r>
          </w:p>
        </w:tc>
        <w:tc>
          <w:tcPr>
            <w:tcW w:type="dxa" w:w="2556"/>
            <w:vAlign w:val="top"/>
          </w:tcPr>
          <w:p>
            <w:r>
              <w:rPr>
                <w:sz w:val="14"/>
              </w:rPr>
              <w:t>Energy-sector technical review</w:t>
            </w:r>
          </w:p>
        </w:tc>
        <w:tc>
          <w:tcPr>
            <w:tcW w:type="dxa" w:w="2556"/>
            <w:vAlign w:val="top"/>
          </w:tcPr>
          <w:p>
            <w:r>
              <w:rPr>
                <w:sz w:val="14"/>
              </w:rPr>
              <w:t>Open</w:t>
            </w:r>
          </w:p>
        </w:tc>
        <w:tc>
          <w:tcPr>
            <w:tcW w:type="dxa" w:w="2556"/>
            <w:vAlign w:val="top"/>
          </w:tcPr>
          <w:p>
            <w:r>
              <w:rPr>
                <w:sz w:val="14"/>
              </w:rPr>
              <w:t>Qualified energy-operations review.</w:t>
            </w:r>
          </w:p>
        </w:tc>
      </w:tr>
      <w:tr>
        <w:tc>
          <w:tcPr>
            <w:tcW w:type="dxa" w:w="2556"/>
            <w:vAlign w:val="top"/>
          </w:tcPr>
          <w:p>
            <w:r>
              <w:rPr>
                <w:sz w:val="14"/>
              </w:rPr>
              <w:t>PG-03</w:t>
            </w:r>
          </w:p>
        </w:tc>
        <w:tc>
          <w:tcPr>
            <w:tcW w:type="dxa" w:w="2556"/>
            <w:vAlign w:val="top"/>
          </w:tcPr>
          <w:p>
            <w:r>
              <w:rPr>
                <w:sz w:val="14"/>
              </w:rPr>
              <w:t>OT/ICS security review</w:t>
            </w:r>
          </w:p>
        </w:tc>
        <w:tc>
          <w:tcPr>
            <w:tcW w:type="dxa" w:w="2556"/>
            <w:vAlign w:val="top"/>
          </w:tcPr>
          <w:p>
            <w:r>
              <w:rPr>
                <w:sz w:val="14"/>
              </w:rPr>
              <w:t>Open</w:t>
            </w:r>
          </w:p>
        </w:tc>
        <w:tc>
          <w:tcPr>
            <w:tcW w:type="dxa" w:w="2556"/>
            <w:vAlign w:val="top"/>
          </w:tcPr>
          <w:p>
            <w:r>
              <w:rPr>
                <w:sz w:val="14"/>
              </w:rPr>
              <w:t>Qualified OT/ICS security review.</w:t>
            </w:r>
          </w:p>
        </w:tc>
      </w:tr>
      <w:tr>
        <w:tc>
          <w:tcPr>
            <w:tcW w:type="dxa" w:w="2556"/>
            <w:vAlign w:val="top"/>
          </w:tcPr>
          <w:p>
            <w:r>
              <w:rPr>
                <w:sz w:val="14"/>
              </w:rPr>
              <w:t>PG-04</w:t>
            </w:r>
          </w:p>
        </w:tc>
        <w:tc>
          <w:tcPr>
            <w:tcW w:type="dxa" w:w="2556"/>
            <w:vAlign w:val="top"/>
          </w:tcPr>
          <w:p>
            <w:r>
              <w:rPr>
                <w:sz w:val="14"/>
              </w:rPr>
              <w:t>Power-system or process-engineering review</w:t>
            </w:r>
          </w:p>
        </w:tc>
        <w:tc>
          <w:tcPr>
            <w:tcW w:type="dxa" w:w="2556"/>
            <w:vAlign w:val="top"/>
          </w:tcPr>
          <w:p>
            <w:r>
              <w:rPr>
                <w:sz w:val="14"/>
              </w:rPr>
              <w:t>Open</w:t>
            </w:r>
          </w:p>
        </w:tc>
        <w:tc>
          <w:tcPr>
            <w:tcW w:type="dxa" w:w="2556"/>
            <w:vAlign w:val="top"/>
          </w:tcPr>
          <w:p>
            <w:r>
              <w:rPr>
                <w:sz w:val="14"/>
              </w:rPr>
              <w:t>Qualified engineering review appropriate to covered subsectors.</w:t>
            </w:r>
          </w:p>
        </w:tc>
      </w:tr>
      <w:tr>
        <w:tc>
          <w:tcPr>
            <w:tcW w:type="dxa" w:w="2556"/>
            <w:vAlign w:val="top"/>
          </w:tcPr>
          <w:p>
            <w:r>
              <w:rPr>
                <w:sz w:val="14"/>
              </w:rPr>
              <w:t>PG-05</w:t>
            </w:r>
          </w:p>
        </w:tc>
        <w:tc>
          <w:tcPr>
            <w:tcW w:type="dxa" w:w="2556"/>
            <w:vAlign w:val="top"/>
          </w:tcPr>
          <w:p>
            <w:r>
              <w:rPr>
                <w:sz w:val="14"/>
              </w:rPr>
              <w:t>Safety review</w:t>
            </w:r>
          </w:p>
        </w:tc>
        <w:tc>
          <w:tcPr>
            <w:tcW w:type="dxa" w:w="2556"/>
            <w:vAlign w:val="top"/>
          </w:tcPr>
          <w:p>
            <w:r>
              <w:rPr>
                <w:sz w:val="14"/>
              </w:rPr>
              <w:t>Open</w:t>
            </w:r>
          </w:p>
        </w:tc>
        <w:tc>
          <w:tcPr>
            <w:tcW w:type="dxa" w:w="2556"/>
            <w:vAlign w:val="top"/>
          </w:tcPr>
          <w:p>
            <w:r>
              <w:rPr>
                <w:sz w:val="14"/>
              </w:rPr>
              <w:t>Qualified functional/process/electrical safety review.</w:t>
            </w:r>
          </w:p>
        </w:tc>
      </w:tr>
      <w:tr>
        <w:tc>
          <w:tcPr>
            <w:tcW w:type="dxa" w:w="2556"/>
            <w:vAlign w:val="top"/>
          </w:tcPr>
          <w:p>
            <w:r>
              <w:rPr>
                <w:sz w:val="14"/>
              </w:rPr>
              <w:t>PG-06</w:t>
            </w:r>
          </w:p>
        </w:tc>
        <w:tc>
          <w:tcPr>
            <w:tcW w:type="dxa" w:w="2556"/>
            <w:vAlign w:val="top"/>
          </w:tcPr>
          <w:p>
            <w:r>
              <w:rPr>
                <w:sz w:val="14"/>
              </w:rPr>
              <w:t>AI security review</w:t>
            </w:r>
          </w:p>
        </w:tc>
        <w:tc>
          <w:tcPr>
            <w:tcW w:type="dxa" w:w="2556"/>
            <w:vAlign w:val="top"/>
          </w:tcPr>
          <w:p>
            <w:r>
              <w:rPr>
                <w:sz w:val="14"/>
              </w:rPr>
              <w:t>Open</w:t>
            </w:r>
          </w:p>
        </w:tc>
        <w:tc>
          <w:tcPr>
            <w:tcW w:type="dxa" w:w="2556"/>
            <w:vAlign w:val="top"/>
          </w:tcPr>
          <w:p>
            <w:r>
              <w:rPr>
                <w:sz w:val="14"/>
              </w:rPr>
              <w:t>Independent AI security review.</w:t>
            </w:r>
          </w:p>
        </w:tc>
      </w:tr>
      <w:tr>
        <w:tc>
          <w:tcPr>
            <w:tcW w:type="dxa" w:w="2556"/>
            <w:vAlign w:val="top"/>
          </w:tcPr>
          <w:p>
            <w:r>
              <w:rPr>
                <w:sz w:val="14"/>
              </w:rPr>
              <w:t>PG-07</w:t>
            </w:r>
          </w:p>
        </w:tc>
        <w:tc>
          <w:tcPr>
            <w:tcW w:type="dxa" w:w="2556"/>
            <w:vAlign w:val="top"/>
          </w:tcPr>
          <w:p>
            <w:r>
              <w:rPr>
                <w:sz w:val="14"/>
              </w:rPr>
              <w:t>Regulatory mapping review</w:t>
            </w:r>
          </w:p>
        </w:tc>
        <w:tc>
          <w:tcPr>
            <w:tcW w:type="dxa" w:w="2556"/>
            <w:vAlign w:val="top"/>
          </w:tcPr>
          <w:p>
            <w:r>
              <w:rPr>
                <w:sz w:val="14"/>
              </w:rPr>
              <w:t>Open</w:t>
            </w:r>
          </w:p>
        </w:tc>
        <w:tc>
          <w:tcPr>
            <w:tcW w:type="dxa" w:w="2556"/>
            <w:vAlign w:val="top"/>
          </w:tcPr>
          <w:p>
            <w:r>
              <w:rPr>
                <w:sz w:val="14"/>
              </w:rPr>
              <w:t>Jurisdiction-specific regulatory review.</w:t>
            </w:r>
          </w:p>
        </w:tc>
      </w:tr>
      <w:tr>
        <w:tc>
          <w:tcPr>
            <w:tcW w:type="dxa" w:w="2556"/>
            <w:vAlign w:val="top"/>
          </w:tcPr>
          <w:p>
            <w:r>
              <w:rPr>
                <w:sz w:val="14"/>
              </w:rPr>
              <w:t>PG-08</w:t>
            </w:r>
          </w:p>
        </w:tc>
        <w:tc>
          <w:tcPr>
            <w:tcW w:type="dxa" w:w="2556"/>
            <w:vAlign w:val="top"/>
          </w:tcPr>
          <w:p>
            <w:r>
              <w:rPr>
                <w:sz w:val="14"/>
              </w:rPr>
              <w:t>Legal review</w:t>
            </w:r>
          </w:p>
        </w:tc>
        <w:tc>
          <w:tcPr>
            <w:tcW w:type="dxa" w:w="2556"/>
            <w:vAlign w:val="top"/>
          </w:tcPr>
          <w:p>
            <w:r>
              <w:rPr>
                <w:sz w:val="14"/>
              </w:rPr>
              <w:t>Open</w:t>
            </w:r>
          </w:p>
        </w:tc>
        <w:tc>
          <w:tcPr>
            <w:tcW w:type="dxa" w:w="2556"/>
            <w:vAlign w:val="top"/>
          </w:tcPr>
          <w:p>
            <w:r>
              <w:rPr>
                <w:sz w:val="14"/>
              </w:rPr>
              <w:t>Qualified legal review.</w:t>
            </w:r>
          </w:p>
        </w:tc>
      </w:tr>
      <w:tr>
        <w:tc>
          <w:tcPr>
            <w:tcW w:type="dxa" w:w="2556"/>
            <w:vAlign w:val="top"/>
          </w:tcPr>
          <w:p>
            <w:r>
              <w:rPr>
                <w:sz w:val="14"/>
              </w:rPr>
              <w:t>PG-09</w:t>
            </w:r>
          </w:p>
        </w:tc>
        <w:tc>
          <w:tcPr>
            <w:tcW w:type="dxa" w:w="2556"/>
            <w:vAlign w:val="top"/>
          </w:tcPr>
          <w:p>
            <w:r>
              <w:rPr>
                <w:sz w:val="14"/>
              </w:rPr>
              <w:t>Privacy review</w:t>
            </w:r>
          </w:p>
        </w:tc>
        <w:tc>
          <w:tcPr>
            <w:tcW w:type="dxa" w:w="2556"/>
            <w:vAlign w:val="top"/>
          </w:tcPr>
          <w:p>
            <w:r>
              <w:rPr>
                <w:sz w:val="14"/>
              </w:rPr>
              <w:t>Open</w:t>
            </w:r>
          </w:p>
        </w:tc>
        <w:tc>
          <w:tcPr>
            <w:tcW w:type="dxa" w:w="2556"/>
            <w:vAlign w:val="top"/>
          </w:tcPr>
          <w:p>
            <w:r>
              <w:rPr>
                <w:sz w:val="14"/>
              </w:rPr>
              <w:t>Privacy and data-protection review where applicable.</w:t>
            </w:r>
          </w:p>
        </w:tc>
      </w:tr>
      <w:tr>
        <w:tc>
          <w:tcPr>
            <w:tcW w:type="dxa" w:w="2556"/>
            <w:vAlign w:val="top"/>
          </w:tcPr>
          <w:p>
            <w:r>
              <w:rPr>
                <w:sz w:val="14"/>
              </w:rPr>
              <w:t>PG-10</w:t>
            </w:r>
          </w:p>
        </w:tc>
        <w:tc>
          <w:tcPr>
            <w:tcW w:type="dxa" w:w="2556"/>
            <w:vAlign w:val="top"/>
          </w:tcPr>
          <w:p>
            <w:r>
              <w:rPr>
                <w:sz w:val="14"/>
              </w:rPr>
              <w:t>Accessibility review</w:t>
            </w:r>
          </w:p>
        </w:tc>
        <w:tc>
          <w:tcPr>
            <w:tcW w:type="dxa" w:w="2556"/>
            <w:vAlign w:val="top"/>
          </w:tcPr>
          <w:p>
            <w:r>
              <w:rPr>
                <w:sz w:val="14"/>
              </w:rPr>
              <w:t>Open</w:t>
            </w:r>
          </w:p>
        </w:tc>
        <w:tc>
          <w:tcPr>
            <w:tcW w:type="dxa" w:w="2556"/>
            <w:vAlign w:val="top"/>
          </w:tcPr>
          <w:p>
            <w:r>
              <w:rPr>
                <w:sz w:val="14"/>
              </w:rPr>
              <w:t>Accessibility audit and remediation record.</w:t>
            </w:r>
          </w:p>
        </w:tc>
      </w:tr>
      <w:tr>
        <w:tc>
          <w:tcPr>
            <w:tcW w:type="dxa" w:w="2556"/>
            <w:vAlign w:val="top"/>
          </w:tcPr>
          <w:p>
            <w:r>
              <w:rPr>
                <w:sz w:val="14"/>
              </w:rPr>
              <w:t>PG-11</w:t>
            </w:r>
          </w:p>
        </w:tc>
        <w:tc>
          <w:tcPr>
            <w:tcW w:type="dxa" w:w="2556"/>
            <w:vAlign w:val="top"/>
          </w:tcPr>
          <w:p>
            <w:r>
              <w:rPr>
                <w:sz w:val="14"/>
              </w:rPr>
              <w:t>Editorial review</w:t>
            </w:r>
          </w:p>
        </w:tc>
        <w:tc>
          <w:tcPr>
            <w:tcW w:type="dxa" w:w="2556"/>
            <w:vAlign w:val="top"/>
          </w:tcPr>
          <w:p>
            <w:r>
              <w:rPr>
                <w:sz w:val="14"/>
              </w:rPr>
              <w:t>Open</w:t>
            </w:r>
          </w:p>
        </w:tc>
        <w:tc>
          <w:tcPr>
            <w:tcW w:type="dxa" w:w="2556"/>
            <w:vAlign w:val="top"/>
          </w:tcPr>
          <w:p>
            <w:r>
              <w:rPr>
                <w:sz w:val="14"/>
              </w:rPr>
              <w:t>Final editorial and house-style approval.</w:t>
            </w:r>
          </w:p>
        </w:tc>
      </w:tr>
      <w:tr>
        <w:tc>
          <w:tcPr>
            <w:tcW w:type="dxa" w:w="2556"/>
            <w:vAlign w:val="top"/>
          </w:tcPr>
          <w:p>
            <w:r>
              <w:rPr>
                <w:sz w:val="14"/>
              </w:rPr>
              <w:t>PG-12</w:t>
            </w:r>
          </w:p>
        </w:tc>
        <w:tc>
          <w:tcPr>
            <w:tcW w:type="dxa" w:w="2556"/>
            <w:vAlign w:val="top"/>
          </w:tcPr>
          <w:p>
            <w:r>
              <w:rPr>
                <w:sz w:val="14"/>
              </w:rPr>
              <w:t>Workbook QA</w:t>
            </w:r>
          </w:p>
        </w:tc>
        <w:tc>
          <w:tcPr>
            <w:tcW w:type="dxa" w:w="2556"/>
            <w:vAlign w:val="top"/>
          </w:tcPr>
          <w:p>
            <w:r>
              <w:rPr>
                <w:sz w:val="14"/>
              </w:rPr>
              <w:t>Passed with Conditions</w:t>
            </w:r>
          </w:p>
        </w:tc>
        <w:tc>
          <w:tcPr>
            <w:tcW w:type="dxa" w:w="2556"/>
            <w:vAlign w:val="top"/>
          </w:tcPr>
          <w:p>
            <w:r>
              <w:rPr>
                <w:sz w:val="14"/>
              </w:rPr>
              <w:t>Structural, formula-error and render checks passed; adopting organisations must populate templates.</w:t>
            </w:r>
          </w:p>
        </w:tc>
      </w:tr>
      <w:tr>
        <w:tc>
          <w:tcPr>
            <w:tcW w:type="dxa" w:w="2556"/>
            <w:vAlign w:val="top"/>
          </w:tcPr>
          <w:p>
            <w:r>
              <w:rPr>
                <w:sz w:val="14"/>
              </w:rPr>
              <w:t>PG-13</w:t>
            </w:r>
          </w:p>
        </w:tc>
        <w:tc>
          <w:tcPr>
            <w:tcW w:type="dxa" w:w="2556"/>
            <w:vAlign w:val="top"/>
          </w:tcPr>
          <w:p>
            <w:r>
              <w:rPr>
                <w:sz w:val="14"/>
              </w:rPr>
              <w:t>CSV validation</w:t>
            </w:r>
          </w:p>
        </w:tc>
        <w:tc>
          <w:tcPr>
            <w:tcW w:type="dxa" w:w="2556"/>
            <w:vAlign w:val="top"/>
          </w:tcPr>
          <w:p>
            <w:r>
              <w:rPr>
                <w:sz w:val="14"/>
              </w:rPr>
              <w:t>Passed</w:t>
            </w:r>
          </w:p>
        </w:tc>
        <w:tc>
          <w:tcPr>
            <w:tcW w:type="dxa" w:w="2556"/>
            <w:vAlign w:val="top"/>
          </w:tcPr>
          <w:p>
            <w:r>
              <w:rPr>
                <w:sz w:val="14"/>
              </w:rPr>
              <w:t>RFC 4180 round-trip, 59 rows, stable columns and formula-injection scan.</w:t>
            </w:r>
          </w:p>
        </w:tc>
      </w:tr>
      <w:tr>
        <w:tc>
          <w:tcPr>
            <w:tcW w:type="dxa" w:w="2556"/>
            <w:vAlign w:val="top"/>
          </w:tcPr>
          <w:p>
            <w:r>
              <w:rPr>
                <w:sz w:val="14"/>
              </w:rPr>
              <w:t>PG-14</w:t>
            </w:r>
          </w:p>
        </w:tc>
        <w:tc>
          <w:tcPr>
            <w:tcW w:type="dxa" w:w="2556"/>
            <w:vAlign w:val="top"/>
          </w:tcPr>
          <w:p>
            <w:r>
              <w:rPr>
                <w:sz w:val="14"/>
              </w:rPr>
              <w:t>JSON validation</w:t>
            </w:r>
          </w:p>
        </w:tc>
        <w:tc>
          <w:tcPr>
            <w:tcW w:type="dxa" w:w="2556"/>
            <w:vAlign w:val="top"/>
          </w:tcPr>
          <w:p>
            <w:r>
              <w:rPr>
                <w:sz w:val="14"/>
              </w:rPr>
              <w:t>Passed</w:t>
            </w:r>
          </w:p>
        </w:tc>
        <w:tc>
          <w:tcPr>
            <w:tcW w:type="dxa" w:w="2556"/>
            <w:vAlign w:val="top"/>
          </w:tcPr>
          <w:p>
            <w:r>
              <w:rPr>
                <w:sz w:val="14"/>
              </w:rPr>
              <w:t>Strict parse, schema-shape and recursive whitespace checks.</w:t>
            </w:r>
          </w:p>
        </w:tc>
      </w:tr>
      <w:tr>
        <w:tc>
          <w:tcPr>
            <w:tcW w:type="dxa" w:w="2556"/>
            <w:vAlign w:val="top"/>
          </w:tcPr>
          <w:p>
            <w:r>
              <w:rPr>
                <w:sz w:val="14"/>
              </w:rPr>
              <w:t>PG-15</w:t>
            </w:r>
          </w:p>
        </w:tc>
        <w:tc>
          <w:tcPr>
            <w:tcW w:type="dxa" w:w="2556"/>
            <w:vAlign w:val="top"/>
          </w:tcPr>
          <w:p>
            <w:r>
              <w:rPr>
                <w:sz w:val="14"/>
              </w:rPr>
              <w:t>PDF pagination review</w:t>
            </w:r>
          </w:p>
        </w:tc>
        <w:tc>
          <w:tcPr>
            <w:tcW w:type="dxa" w:w="2556"/>
            <w:vAlign w:val="top"/>
          </w:tcPr>
          <w:p>
            <w:r>
              <w:rPr>
                <w:sz w:val="14"/>
              </w:rPr>
              <w:t>Passed</w:t>
            </w:r>
          </w:p>
        </w:tc>
        <w:tc>
          <w:tcPr>
            <w:tcW w:type="dxa" w:w="2556"/>
            <w:vAlign w:val="top"/>
          </w:tcPr>
          <w:p>
            <w:r>
              <w:rPr>
                <w:sz w:val="14"/>
              </w:rPr>
              <w:t>All pages rendered and visually inspected for clipping and overlap.</w:t>
            </w:r>
          </w:p>
        </w:tc>
      </w:tr>
      <w:tr>
        <w:tc>
          <w:tcPr>
            <w:tcW w:type="dxa" w:w="2556"/>
            <w:vAlign w:val="top"/>
          </w:tcPr>
          <w:p>
            <w:r>
              <w:rPr>
                <w:sz w:val="14"/>
              </w:rPr>
              <w:t>PG-16</w:t>
            </w:r>
          </w:p>
        </w:tc>
        <w:tc>
          <w:tcPr>
            <w:tcW w:type="dxa" w:w="2556"/>
            <w:vAlign w:val="top"/>
          </w:tcPr>
          <w:p>
            <w:r>
              <w:rPr>
                <w:sz w:val="14"/>
              </w:rPr>
              <w:t>Hyperlink review</w:t>
            </w:r>
          </w:p>
        </w:tc>
        <w:tc>
          <w:tcPr>
            <w:tcW w:type="dxa" w:w="2556"/>
            <w:vAlign w:val="top"/>
          </w:tcPr>
          <w:p>
            <w:r>
              <w:rPr>
                <w:sz w:val="14"/>
              </w:rPr>
              <w:t>Passed with Conditions</w:t>
            </w:r>
          </w:p>
        </w:tc>
        <w:tc>
          <w:tcPr>
            <w:tcW w:type="dxa" w:w="2556"/>
            <w:vAlign w:val="top"/>
          </w:tcPr>
          <w:p>
            <w:r>
              <w:rPr>
                <w:sz w:val="14"/>
              </w:rPr>
              <w:t>Visible source locators checked; external availability may change.</w:t>
            </w:r>
          </w:p>
        </w:tc>
      </w:tr>
      <w:tr>
        <w:tc>
          <w:tcPr>
            <w:tcW w:type="dxa" w:w="2556"/>
            <w:vAlign w:val="top"/>
          </w:tcPr>
          <w:p>
            <w:r>
              <w:rPr>
                <w:sz w:val="14"/>
              </w:rPr>
              <w:t>PG-17</w:t>
            </w:r>
          </w:p>
        </w:tc>
        <w:tc>
          <w:tcPr>
            <w:tcW w:type="dxa" w:w="2556"/>
            <w:vAlign w:val="top"/>
          </w:tcPr>
          <w:p>
            <w:r>
              <w:rPr>
                <w:sz w:val="14"/>
              </w:rPr>
              <w:t>Checksum and manifest reconciliation</w:t>
            </w:r>
          </w:p>
        </w:tc>
        <w:tc>
          <w:tcPr>
            <w:tcW w:type="dxa" w:w="2556"/>
            <w:vAlign w:val="top"/>
          </w:tcPr>
          <w:p>
            <w:r>
              <w:rPr>
                <w:sz w:val="14"/>
              </w:rPr>
              <w:t>Passed</w:t>
            </w:r>
          </w:p>
        </w:tc>
        <w:tc>
          <w:tcPr>
            <w:tcW w:type="dxa" w:w="2556"/>
            <w:vAlign w:val="top"/>
          </w:tcPr>
          <w:p>
            <w:r>
              <w:rPr>
                <w:sz w:val="14"/>
              </w:rPr>
              <w:t>Payload hashes and manifest records reconciled.</w:t>
            </w:r>
          </w:p>
        </w:tc>
      </w:tr>
      <w:tr>
        <w:tc>
          <w:tcPr>
            <w:tcW w:type="dxa" w:w="2556"/>
            <w:vAlign w:val="top"/>
          </w:tcPr>
          <w:p>
            <w:r>
              <w:rPr>
                <w:sz w:val="14"/>
              </w:rPr>
              <w:t>PG-18</w:t>
            </w:r>
          </w:p>
        </w:tc>
        <w:tc>
          <w:tcPr>
            <w:tcW w:type="dxa" w:w="2556"/>
            <w:vAlign w:val="top"/>
          </w:tcPr>
          <w:p>
            <w:r>
              <w:rPr>
                <w:sz w:val="14"/>
              </w:rPr>
              <w:t>Licence review</w:t>
            </w:r>
          </w:p>
        </w:tc>
        <w:tc>
          <w:tcPr>
            <w:tcW w:type="dxa" w:w="2556"/>
            <w:vAlign w:val="top"/>
          </w:tcPr>
          <w:p>
            <w:r>
              <w:rPr>
                <w:sz w:val="14"/>
              </w:rPr>
              <w:t>Open</w:t>
            </w:r>
          </w:p>
        </w:tc>
        <w:tc>
          <w:tcPr>
            <w:tcW w:type="dxa" w:w="2556"/>
            <w:vAlign w:val="top"/>
          </w:tcPr>
          <w:p>
            <w:r>
              <w:rPr>
                <w:sz w:val="14"/>
              </w:rPr>
              <w:t>Approved publication licence and trademark wording review.</w:t>
            </w:r>
          </w:p>
        </w:tc>
      </w:tr>
      <w:tr>
        <w:tc>
          <w:tcPr>
            <w:tcW w:type="dxa" w:w="2556"/>
            <w:vAlign w:val="top"/>
          </w:tcPr>
          <w:p>
            <w:r>
              <w:rPr>
                <w:sz w:val="14"/>
              </w:rPr>
              <w:t>PG-19</w:t>
            </w:r>
          </w:p>
        </w:tc>
        <w:tc>
          <w:tcPr>
            <w:tcW w:type="dxa" w:w="2556"/>
            <w:vAlign w:val="top"/>
          </w:tcPr>
          <w:p>
            <w:r>
              <w:rPr>
                <w:sz w:val="14"/>
              </w:rPr>
              <w:t>Publication approval</w:t>
            </w:r>
          </w:p>
        </w:tc>
        <w:tc>
          <w:tcPr>
            <w:tcW w:type="dxa" w:w="2556"/>
            <w:vAlign w:val="top"/>
          </w:tcPr>
          <w:p>
            <w:r>
              <w:rPr>
                <w:sz w:val="14"/>
              </w:rPr>
              <w:t>Open</w:t>
            </w:r>
          </w:p>
        </w:tc>
        <w:tc>
          <w:tcPr>
            <w:tcW w:type="dxa" w:w="2556"/>
            <w:vAlign w:val="top"/>
          </w:tcPr>
          <w:p>
            <w:r>
              <w:rPr>
                <w:sz w:val="14"/>
              </w:rPr>
              <w:t>Formal authorised publication approval.</w:t>
            </w:r>
          </w:p>
        </w:tc>
      </w:tr>
      <w:tr>
        <w:tc>
          <w:tcPr>
            <w:tcW w:type="dxa" w:w="2556"/>
            <w:vAlign w:val="top"/>
          </w:tcPr>
          <w:p>
            <w:r>
              <w:rPr>
                <w:sz w:val="14"/>
              </w:rPr>
              <w:t>PG-20</w:t>
            </w:r>
          </w:p>
        </w:tc>
        <w:tc>
          <w:tcPr>
            <w:tcW w:type="dxa" w:w="2556"/>
            <w:vAlign w:val="top"/>
          </w:tcPr>
          <w:p>
            <w:r>
              <w:rPr>
                <w:sz w:val="14"/>
              </w:rPr>
              <w:t>Use-case control-mapping validation</w:t>
            </w:r>
          </w:p>
        </w:tc>
        <w:tc>
          <w:tcPr>
            <w:tcW w:type="dxa" w:w="2556"/>
            <w:vAlign w:val="top"/>
          </w:tcPr>
          <w:p>
            <w:r>
              <w:rPr>
                <w:sz w:val="14"/>
              </w:rPr>
              <w:t>Open</w:t>
            </w:r>
          </w:p>
        </w:tc>
        <w:tc>
          <w:tcPr>
            <w:tcW w:type="dxa" w:w="2556"/>
            <w:vAlign w:val="top"/>
          </w:tcPr>
          <w:p>
            <w:r>
              <w:rPr>
                <w:sz w:val="14"/>
              </w:rPr>
              <w:t>Energy, OT, safety and GAISSF specialists validate differentiated mappings.</w:t>
            </w:r>
          </w:p>
        </w:tc>
      </w:tr>
      <w:tr>
        <w:tc>
          <w:tcPr>
            <w:tcW w:type="dxa" w:w="2556"/>
            <w:vAlign w:val="top"/>
          </w:tcPr>
          <w:p>
            <w:r>
              <w:rPr>
                <w:sz w:val="14"/>
              </w:rPr>
              <w:t>PG-21</w:t>
            </w:r>
          </w:p>
        </w:tc>
        <w:tc>
          <w:tcPr>
            <w:tcW w:type="dxa" w:w="2556"/>
            <w:vAlign w:val="top"/>
          </w:tcPr>
          <w:p>
            <w:r>
              <w:rPr>
                <w:sz w:val="14"/>
              </w:rPr>
              <w:t>Scenario stress-test review</w:t>
            </w:r>
          </w:p>
        </w:tc>
        <w:tc>
          <w:tcPr>
            <w:tcW w:type="dxa" w:w="2556"/>
            <w:vAlign w:val="top"/>
          </w:tcPr>
          <w:p>
            <w:r>
              <w:rPr>
                <w:sz w:val="14"/>
              </w:rPr>
              <w:t>Open</w:t>
            </w:r>
          </w:p>
        </w:tc>
        <w:tc>
          <w:tcPr>
            <w:tcW w:type="dxa" w:w="2556"/>
            <w:vAlign w:val="top"/>
          </w:tcPr>
          <w:p>
            <w:r>
              <w:rPr>
                <w:sz w:val="14"/>
              </w:rPr>
              <w:t>Scenario-specific preventive, detective and recovery treatments exercised or reviewed.</w:t>
            </w:r>
          </w:p>
        </w:tc>
      </w:tr>
    </w:tbl>
    <w:p>
      <w:pPr>
        <w:pStyle w:val="Heading1"/>
      </w:pPr>
      <w:r>
        <w:t>Validation statement</w:t>
      </w:r>
    </w:p>
    <w:p>
      <w:r>
        <w:t>Structural validation confirms counts, identifier uniqueness, parseability, schema shape, CSV round-trip and cross-file dataset parity. Semantic correctness of use-case mappings and scenario treatments remains subject to PG-20 and PG-21 specialist review; structural validation is not represented as semantic approval.</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