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ODA3 Institute</w:t>
      </w:r>
    </w:p>
    <w:p>
      <w:pPr>
        <w:jc w:val="center"/>
      </w:pPr>
      <w:r>
        <w:rPr>
          <w:b/>
          <w:sz w:val="50"/>
        </w:rPr>
        <w:t>GAISSF Energy Sector Executive Brief</w:t>
      </w:r>
    </w:p>
    <w:p>
      <w:pPr>
        <w:jc w:val="center"/>
      </w:pPr>
      <w:r>
        <w:rPr>
          <w:i/>
        </w:rPr>
        <w:t>Leadership decisions for secure, resilient and accountable energy-sector AI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rPr>
          <w:tblHeader w:val="true"/>
        </w:trPr>
        <w:tc>
          <w:tcPr>
            <w:tcW w:type="dxa" w:w="5112"/>
            <w:shd w:fill="17365D"/>
          </w:tcPr>
          <w:p>
            <w:r>
              <w:rPr>
                <w:b/>
                <w:sz w:val="18"/>
              </w:rPr>
              <w:t>Field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sz w:val="18"/>
              </w:rPr>
              <w:t>Value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8"/>
              </w:rPr>
              <w:t>Document ID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8"/>
              </w:rPr>
              <w:t>SEC-044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8"/>
              </w:rPr>
              <w:t>Version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8"/>
              </w:rPr>
              <w:t>1.0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8"/>
              </w:rPr>
              <w:t>Classification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8"/>
              </w:rPr>
              <w:t>Informative sector implementation guidance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8"/>
              </w:rPr>
              <w:t>Status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8"/>
              </w:rPr>
              <w:t>Publication Candidate - specialist approvals open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8"/>
              </w:rPr>
              <w:t>Publisher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8"/>
              </w:rPr>
              <w:t>ODA3 Institute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8"/>
              </w:rPr>
              <w:t>Publication date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8"/>
              </w:rPr>
              <w:t>30 June 2026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8"/>
              </w:rPr>
              <w:t>Authoritative source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8"/>
              </w:rPr>
              <w:t>GAISSF-NOR-001 v1.0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8"/>
              </w:rPr>
              <w:t>Control baseline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8"/>
              </w:rPr>
              <w:t>59 controls across D1-D9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8"/>
              </w:rPr>
              <w:t>Publication channel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8"/>
              </w:rPr>
              <w:t>Website / GitHub</w:t>
            </w:r>
          </w:p>
        </w:tc>
      </w:tr>
    </w:tbl>
    <w:p>
      <w:r>
        <w:t>© 2026 ODA3 Pvt Ltd. All rights reserved. Published by ODA3 Institute.</w:t>
      </w:r>
    </w:p>
    <w:p>
      <w:r>
        <w:t>This document does not constitute legal, regulatory, engineering, safety, audit or certification advice and does not guarantee security, safety, reliability, compliance or absence of harmful outcomes.</w:t>
      </w:r>
    </w:p>
    <w:p>
      <w:r>
        <w:br w:type="page"/>
      </w:r>
    </w:p>
    <w:p>
      <w:pPr>
        <w:pStyle w:val="Heading1"/>
      </w:pPr>
      <w:r>
        <w:t>Methodology note</w:t>
      </w:r>
    </w:p>
    <w:p>
      <w:r>
        <w:t>Source Verification rates the strength of evidence: T1 is direct authoritative evidence, T2 is strongly corroborated, T3 is limited or indirect, and T4 is unverified or insufficient. Assurance Maturity rates the organisation's implementation: A0 not established, A1 ad hoc, A2 defined, A3 implemented, A4 measured, and A5 independently assured and continuously improved. The two scales are separate.</w:t>
      </w:r>
    </w:p>
    <w:p>
      <w:pPr>
        <w:pStyle w:val="Heading1"/>
      </w:pPr>
      <w:r>
        <w:t>Executive assessment</w:t>
      </w:r>
    </w:p>
    <w:p>
      <w:r>
        <w:t>Energy organisations should govern AI according to the operational authority it can exercise and the consequence of error, manipulation or dependency failure. The highest-priority boundary is between an AI output and a physical, market or customer-impacting action.</w:t>
      </w:r>
    </w:p>
    <w:p>
      <w:pPr>
        <w:pStyle w:val="Heading1"/>
      </w:pPr>
      <w:r>
        <w:t>Five decisions leaders must make</w:t>
      </w:r>
    </w:p>
    <w:p>
      <w:pPr>
        <w:pStyle w:val="ListBullet"/>
      </w:pPr>
      <w:r>
        <w:t>Which AI systems can influence operational, safety, market or essential-customer outcomes?</w:t>
      </w:r>
    </w:p>
    <w:p>
      <w:pPr>
        <w:pStyle w:val="ListBullet"/>
      </w:pPr>
      <w:r>
        <w:t>Which actions require positive human approval, dual authorisation or independent machine verification?</w:t>
      </w:r>
    </w:p>
    <w:p>
      <w:pPr>
        <w:pStyle w:val="ListBullet"/>
      </w:pPr>
      <w:r>
        <w:t>What deterministic fallback and safe state remain available when the model, data, cloud or communications fail?</w:t>
      </w:r>
    </w:p>
    <w:p>
      <w:pPr>
        <w:pStyle w:val="ListBullet"/>
      </w:pPr>
      <w:r>
        <w:t>What evidence is required before release and during operation to demonstrate control effectiveness?</w:t>
      </w:r>
    </w:p>
    <w:p>
      <w:pPr>
        <w:pStyle w:val="ListBullet"/>
      </w:pPr>
      <w:r>
        <w:t>Which residual risks and open specialist reviews prevent deployment or require executive acceptance?</w:t>
      </w:r>
    </w:p>
    <w:p>
      <w:pPr>
        <w:pStyle w:val="Heading1"/>
      </w:pPr>
      <w:r>
        <w:t>Highest-priority actions</w:t>
      </w:r>
    </w:p>
    <w:p>
      <w:pPr>
        <w:pStyle w:val="ListBullet"/>
      </w:pPr>
      <w:r>
        <w:t>Complete the AI inventory and classify authority, criticality, safety relevance and reversibility.</w:t>
      </w:r>
    </w:p>
    <w:p>
      <w:pPr>
        <w:pStyle w:val="ListBullet"/>
      </w:pPr>
      <w:r>
        <w:t>Block unauthorised actuation and separate recommendations from approved commands.</w:t>
      </w:r>
    </w:p>
    <w:p>
      <w:pPr>
        <w:pStyle w:val="ListBullet"/>
      </w:pPr>
      <w:r>
        <w:t>Preserve independent protection, manual override, fallback and trusted rollback.</w:t>
      </w:r>
    </w:p>
    <w:p>
      <w:pPr>
        <w:pStyle w:val="ListBullet"/>
      </w:pPr>
      <w:r>
        <w:t>Validate representative and degraded scenarios; monitor drift, rejected actions, overrides and near misses.</w:t>
      </w:r>
    </w:p>
    <w:p>
      <w:pPr>
        <w:pStyle w:val="ListBullet"/>
      </w:pPr>
      <w:r>
        <w:t>Require supplier provenance, secure updates, incident notification, continuity and exit evidence.</w:t>
      </w:r>
    </w:p>
    <w:p>
      <w:pPr>
        <w:pStyle w:val="Heading1"/>
      </w:pPr>
      <w:r>
        <w:t>90-day sequence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rPr>
          <w:tblHeader w:val="true"/>
        </w:trPr>
        <w:tc>
          <w:tcPr>
            <w:tcW w:type="dxa" w:w="5112"/>
            <w:shd w:fill="17365D"/>
          </w:tcPr>
          <w:p>
            <w:r>
              <w:rPr>
                <w:b/>
                <w:sz w:val="18"/>
              </w:rPr>
              <w:t>Window</w:t>
            </w:r>
          </w:p>
        </w:tc>
        <w:tc>
          <w:tcPr>
            <w:tcW w:type="dxa" w:w="5112"/>
            <w:shd w:fill="17365D"/>
          </w:tcPr>
          <w:p>
            <w:r>
              <w:rPr>
                <w:b/>
                <w:sz w:val="18"/>
              </w:rPr>
              <w:t>Leadership outcome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8"/>
              </w:rPr>
              <w:t>Days 1-30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8"/>
              </w:rPr>
              <w:t>Scope, inventory, accountable owners, authority classification, N/A rules and critical containment.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8"/>
              </w:rPr>
              <w:t>Days 31-60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8"/>
              </w:rPr>
              <w:t>Priority controls, supplier review, release gates, evidence repository and fallback tests.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8"/>
              </w:rPr>
              <w:t>Days 61-90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8"/>
              </w:rPr>
              <w:t>Exercises, degraded-mode tests, monitoring thresholds, residual-risk decisions and independent challenge.</w:t>
            </w:r>
          </w:p>
        </w:tc>
      </w:tr>
    </w:tbl>
    <w:p>
      <w:pPr>
        <w:pStyle w:val="Heading1"/>
      </w:pPr>
      <w:r>
        <w:t>Notably Absent</w:t>
      </w:r>
    </w:p>
    <w:p>
      <w:pPr>
        <w:pStyle w:val="ListBullet"/>
      </w:pPr>
      <w:r>
        <w:t>No universal evidence that AI improves reliability or safety.</w:t>
      </w:r>
    </w:p>
    <w:p>
      <w:pPr>
        <w:pStyle w:val="ListBullet"/>
      </w:pPr>
      <w:r>
        <w:t>No threshold, maturity level, profile or sequencing label establishes a universal energy-sector acceptance criterion.</w:t>
      </w:r>
    </w:p>
    <w:p>
      <w:pPr>
        <w:pStyle w:val="ListBullet"/>
      </w:pPr>
      <w:r>
        <w:t>No claim of legal compliance, regulatory approval, nuclear approval or certification.</w:t>
      </w:r>
    </w:p>
    <w:p>
      <w:pPr>
        <w:pStyle w:val="ListBullet"/>
      </w:pPr>
      <w:r>
        <w:t>No assumption that human presence alone constitutes effective oversight.</w:t>
      </w:r>
    </w:p>
    <w:p>
      <w:pPr>
        <w:pStyle w:val="ListBullet"/>
      </w:pPr>
      <w:r>
        <w:t>Use-case mappings and scenario treatments remain subject to specialist validation.</w:t>
      </w:r>
    </w:p>
    <w:sectPr w:rsidR="00FC693F" w:rsidRPr="0006063C" w:rsidSect="00034616"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365F91" w:themeColor="accent1" w:themeShade="BF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/>
      <w:b/>
      <w:bCs/>
      <w:color w:val="4F81BD" w:themeColor="accent1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color w:val="17365D" w:themeColor="text2" w:themeShade="BF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