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56"/>
        </w:rPr>
        <w:t>Manufacturing AI Assurance</w:t>
      </w:r>
    </w:p>
    <w:p>
      <w:pPr>
        <w:jc w:val="center"/>
      </w:pPr>
      <w:r>
        <w:rPr>
          <w:sz w:val="30"/>
        </w:rPr>
        <w:t>Executive Brief: governance, operational exposure and board decisions</w:t>
      </w:r>
    </w:p>
    <w:p>
      <w:pPr>
        <w:jc w:val="center"/>
      </w:pPr>
      <w:r>
        <w:rPr>
          <w:i/>
        </w:rPr>
        <w:t>SEC-045-EB | Version 1.1 | Final Review Candidate</w:t>
      </w:r>
    </w:p>
    <w:p>
      <w:pPr>
        <w:pStyle w:val="Heading1"/>
      </w:pPr>
      <w:r>
        <w:t>Methodology Note</w:t>
      </w:r>
    </w:p>
    <w:p>
      <w:r>
        <w:t>ODA3 Institute is an applied research and advisory firm founded in March 2026. It does not maintain a historical proprietary client incident dataset covering manufacturing AI events. Sector interpretations and threat scenarios are derived from authoritative standards, public disclosures, regulatory and official materials, peer-reviewed or academic research, controlled technical demonstrations and explicitly labelled analytical scenarios. Absence of proprietary telemetry limits frequency estimation and must not be interpreted as evidence that an event has or has not occurred.</w:t>
      </w:r>
    </w:p>
    <w:p>
      <w:r>
        <w:t>This brief contains no inline evidence-tier tags. Detailed evidence classifications and source limitations are maintained in the accompanying technical guide.</w:t>
      </w:r>
    </w:p>
    <w:p>
      <w:pPr>
        <w:pStyle w:val="Heading1"/>
      </w:pPr>
      <w:r>
        <w:t>The Executive Decision</w:t>
      </w:r>
    </w:p>
    <w:p>
      <w:r>
        <w:t>Manufacturing AI risk is determined by operational authority and consequence. An office assistant and an autonomous production system should not be governed as though they create the same exposure.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17365D"/>
          </w:tcPr>
          <w:p>
            <w:r/>
            <w:r>
              <w:rPr>
                <w:b/>
                <w:color w:val="FFFFFF"/>
                <w:sz w:val="16"/>
              </w:rPr>
              <w:t>AI category</w:t>
            </w:r>
          </w:p>
        </w:tc>
        <w:tc>
          <w:tcPr>
            <w:tcW w:type="dxa" w:w="3408"/>
            <w:vAlign w:val="center"/>
            <w:shd w:fill="17365D"/>
          </w:tcPr>
          <w:p>
            <w:r/>
            <w:r>
              <w:rPr>
                <w:b/>
                <w:color w:val="FFFFFF"/>
                <w:sz w:val="16"/>
              </w:rPr>
              <w:t>Primary business exposure</w:t>
            </w:r>
          </w:p>
        </w:tc>
        <w:tc>
          <w:tcPr>
            <w:tcW w:type="dxa" w:w="3408"/>
            <w:vAlign w:val="center"/>
            <w:shd w:fill="17365D"/>
          </w:tcPr>
          <w:p>
            <w:r/>
            <w:r>
              <w:rPr>
                <w:b/>
                <w:color w:val="FFFFFF"/>
                <w:sz w:val="16"/>
              </w:rPr>
              <w:t>Executive question</w:t>
            </w:r>
          </w:p>
        </w:tc>
      </w:tr>
      <w:tr>
        <w:tc>
          <w:tcPr>
            <w:tcW w:type="dxa" w:w="3408"/>
            <w:vAlign w:val="center"/>
            <w:shd w:fill="FFFFFF"/>
          </w:tcPr>
          <w:p>
            <w:r/>
            <w:r>
              <w:rPr>
                <w:b w:val="0"/>
                <w:sz w:val="16"/>
              </w:rPr>
              <w:t>Enterprise support</w:t>
            </w:r>
          </w:p>
        </w:tc>
        <w:tc>
          <w:tcPr>
            <w:tcW w:type="dxa" w:w="3408"/>
            <w:vAlign w:val="center"/>
            <w:shd w:fill="FFFFFF"/>
          </w:tcPr>
          <w:p>
            <w:r/>
            <w:r>
              <w:rPr>
                <w:b w:val="0"/>
                <w:sz w:val="16"/>
              </w:rPr>
              <w:t>Intellectual-property leakage, unreliable advice, workforce misuse</w:t>
            </w:r>
          </w:p>
        </w:tc>
        <w:tc>
          <w:tcPr>
            <w:tcW w:type="dxa" w:w="3408"/>
            <w:vAlign w:val="center"/>
            <w:shd w:fill="FFFFFF"/>
          </w:tcPr>
          <w:p>
            <w:r/>
            <w:r>
              <w:rPr>
                <w:b w:val="0"/>
                <w:sz w:val="16"/>
              </w:rPr>
              <w:t>Are data rules, ownership and supplier terms adequate?</w:t>
            </w:r>
          </w:p>
        </w:tc>
      </w:tr>
      <w:tr>
        <w:tc>
          <w:tcPr>
            <w:tcW w:type="dxa" w:w="3408"/>
            <w:vAlign w:val="center"/>
            <w:shd w:fill="EAF0F6"/>
          </w:tcPr>
          <w:p>
            <w:r/>
            <w:r>
              <w:rPr>
                <w:b w:val="0"/>
                <w:sz w:val="16"/>
              </w:rPr>
              <w:t>Production advisory</w:t>
            </w:r>
          </w:p>
        </w:tc>
        <w:tc>
          <w:tcPr>
            <w:tcW w:type="dxa" w:w="3408"/>
            <w:vAlign w:val="center"/>
            <w:shd w:fill="EAF0F6"/>
          </w:tcPr>
          <w:p>
            <w:r/>
            <w:r>
              <w:rPr>
                <w:b w:val="0"/>
                <w:sz w:val="16"/>
              </w:rPr>
              <w:t>Maintenance error, scheduling disruption, automation bias</w:t>
            </w:r>
          </w:p>
        </w:tc>
        <w:tc>
          <w:tcPr>
            <w:tcW w:type="dxa" w:w="3408"/>
            <w:vAlign w:val="center"/>
            <w:shd w:fill="EAF0F6"/>
          </w:tcPr>
          <w:p>
            <w:r/>
            <w:r>
              <w:rPr>
                <w:b w:val="0"/>
                <w:sz w:val="16"/>
              </w:rPr>
              <w:t>Can operators challenge the output and continue safely without it?</w:t>
            </w:r>
          </w:p>
        </w:tc>
      </w:tr>
      <w:tr>
        <w:tc>
          <w:tcPr>
            <w:tcW w:type="dxa" w:w="3408"/>
            <w:vAlign w:val="center"/>
            <w:shd w:fill="FFFFFF"/>
          </w:tcPr>
          <w:p>
            <w:r/>
            <w:r>
              <w:rPr>
                <w:b w:val="0"/>
                <w:sz w:val="16"/>
              </w:rPr>
              <w:t>Quality or control influencing</w:t>
            </w:r>
          </w:p>
        </w:tc>
        <w:tc>
          <w:tcPr>
            <w:tcW w:type="dxa" w:w="3408"/>
            <w:vAlign w:val="center"/>
            <w:shd w:fill="FFFFFF"/>
          </w:tcPr>
          <w:p>
            <w:r/>
            <w:r>
              <w:rPr>
                <w:b w:val="0"/>
                <w:sz w:val="16"/>
              </w:rPr>
              <w:t>Quality escapes, scrap, recall and contractual exposure</w:t>
            </w:r>
          </w:p>
        </w:tc>
        <w:tc>
          <w:tcPr>
            <w:tcW w:type="dxa" w:w="3408"/>
            <w:vAlign w:val="center"/>
            <w:shd w:fill="FFFFFF"/>
          </w:tcPr>
          <w:p>
            <w:r/>
            <w:r>
              <w:rPr>
                <w:b w:val="0"/>
                <w:sz w:val="16"/>
              </w:rPr>
              <w:t>Is independent verification operating before product release or process change?</w:t>
            </w:r>
          </w:p>
        </w:tc>
      </w:tr>
      <w:tr>
        <w:tc>
          <w:tcPr>
            <w:tcW w:type="dxa" w:w="3408"/>
            <w:vAlign w:val="center"/>
            <w:shd w:fill="EAF0F6"/>
          </w:tcPr>
          <w:p>
            <w:r/>
            <w:r>
              <w:rPr>
                <w:b w:val="0"/>
                <w:sz w:val="16"/>
              </w:rPr>
              <w:t>Safety-critical or autonomous</w:t>
            </w:r>
          </w:p>
        </w:tc>
        <w:tc>
          <w:tcPr>
            <w:tcW w:type="dxa" w:w="3408"/>
            <w:vAlign w:val="center"/>
            <w:shd w:fill="EAF0F6"/>
          </w:tcPr>
          <w:p>
            <w:r/>
            <w:r>
              <w:rPr>
                <w:b w:val="0"/>
                <w:sz w:val="16"/>
              </w:rPr>
              <w:t>Worker harm, prolonged downtime, equipment damage and regulatory exposure</w:t>
            </w:r>
          </w:p>
        </w:tc>
        <w:tc>
          <w:tcPr>
            <w:tcW w:type="dxa" w:w="3408"/>
            <w:vAlign w:val="center"/>
            <w:shd w:fill="EAF0F6"/>
          </w:tcPr>
          <w:p>
            <w:r/>
            <w:r>
              <w:rPr>
                <w:b w:val="0"/>
                <w:sz w:val="16"/>
              </w:rPr>
              <w:t>Are independent protection, safe-state response and validated recovery demonstrably effective?</w:t>
            </w:r>
          </w:p>
        </w:tc>
      </w:tr>
    </w:tbl>
    <w:p>
      <w:pPr>
        <w:pStyle w:val="Heading1"/>
      </w:pPr>
      <w:r>
        <w:t>Board Risk Lens</w:t>
      </w:r>
    </w:p>
    <w:p>
      <w:pPr>
        <w:pStyle w:val="ListBullet"/>
      </w:pPr>
      <w:r>
        <w:t>Authority: What may the system recommend, approve or execute?</w:t>
      </w:r>
    </w:p>
    <w:p>
      <w:pPr>
        <w:pStyle w:val="ListBullet"/>
      </w:pPr>
      <w:r>
        <w:t>Consequence: Can failure affect people, equipment, product conformity or production continuity?</w:t>
      </w:r>
    </w:p>
    <w:p>
      <w:pPr>
        <w:pStyle w:val="ListBullet"/>
      </w:pPr>
      <w:r>
        <w:t>Reversibility: Can operations return to a validated state without extended requalification?</w:t>
      </w:r>
    </w:p>
    <w:p>
      <w:pPr>
        <w:pStyle w:val="ListBullet"/>
      </w:pPr>
      <w:r>
        <w:t>Dependency: Can the plant continue if a cloud, supplier or model service is unavailable?</w:t>
      </w:r>
    </w:p>
    <w:p>
      <w:pPr>
        <w:pStyle w:val="ListBullet"/>
      </w:pPr>
      <w:r>
        <w:t>Evidence: Has operating effectiveness been demonstrated at the plant rather than only described in policy?</w:t>
      </w:r>
    </w:p>
    <w:p>
      <w:r>
        <w:br w:type="page"/>
      </w:r>
    </w:p>
    <w:p>
      <w:pPr>
        <w:pStyle w:val="Heading1"/>
      </w:pPr>
      <w:r>
        <w:t>Financial and Operational Exposure</w:t>
      </w:r>
    </w:p>
    <w:p>
      <w:r>
        <w:t>Financial estimates must use plant-specific assumptions, low/base/high scenarios and an explicit confidence basis. Overall equipment effectiveness is an operational indicator, not a currency measure.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17365D"/>
          </w:tcPr>
          <w:p>
            <w:r/>
            <w:r>
              <w:rPr>
                <w:b/>
                <w:color w:val="FFFFFF"/>
                <w:sz w:val="16"/>
              </w:rPr>
              <w:t>Exposure</w:t>
            </w:r>
          </w:p>
        </w:tc>
        <w:tc>
          <w:tcPr>
            <w:tcW w:type="dxa" w:w="3408"/>
            <w:vAlign w:val="center"/>
            <w:shd w:fill="17365D"/>
          </w:tcPr>
          <w:p>
            <w:r/>
            <w:r>
              <w:rPr>
                <w:b/>
                <w:color w:val="FFFFFF"/>
                <w:sz w:val="16"/>
              </w:rPr>
              <w:t>Formula</w:t>
            </w:r>
          </w:p>
        </w:tc>
        <w:tc>
          <w:tcPr>
            <w:tcW w:type="dxa" w:w="3408"/>
            <w:vAlign w:val="center"/>
            <w:shd w:fill="17365D"/>
          </w:tcPr>
          <w:p>
            <w:r/>
            <w:r>
              <w:rPr>
                <w:b/>
                <w:color w:val="FFFFFF"/>
                <w:sz w:val="16"/>
              </w:rPr>
              <w:t>Management use</w:t>
            </w:r>
          </w:p>
        </w:tc>
      </w:tr>
      <w:tr>
        <w:tc>
          <w:tcPr>
            <w:tcW w:type="dxa" w:w="3408"/>
            <w:vAlign w:val="center"/>
            <w:shd w:fill="FFFFFF"/>
          </w:tcPr>
          <w:p>
            <w:r/>
            <w:r>
              <w:rPr>
                <w:b w:val="0"/>
                <w:sz w:val="16"/>
              </w:rPr>
              <w:t>Quality escape</w:t>
            </w:r>
          </w:p>
        </w:tc>
        <w:tc>
          <w:tcPr>
            <w:tcW w:type="dxa" w:w="3408"/>
            <w:vAlign w:val="center"/>
            <w:shd w:fill="FFFFFF"/>
          </w:tcPr>
          <w:p>
            <w:r/>
            <w:r>
              <w:rPr>
                <w:b w:val="0"/>
                <w:sz w:val="16"/>
              </w:rPr>
              <w:t>Units inspected × defect prevalence × AI false-negative rate × average escape cost per defective unit</w:t>
            </w:r>
          </w:p>
        </w:tc>
        <w:tc>
          <w:tcPr>
            <w:tcW w:type="dxa" w:w="3408"/>
            <w:vAlign w:val="center"/>
            <w:shd w:fill="FFFFFF"/>
          </w:tcPr>
          <w:p>
            <w:r/>
            <w:r>
              <w:rPr>
                <w:b w:val="0"/>
                <w:sz w:val="16"/>
              </w:rPr>
              <w:t>Estimate rework, warranty, logistics, contractual and recall exposure.</w:t>
            </w:r>
          </w:p>
        </w:tc>
      </w:tr>
      <w:tr>
        <w:tc>
          <w:tcPr>
            <w:tcW w:type="dxa" w:w="3408"/>
            <w:vAlign w:val="center"/>
            <w:shd w:fill="EAF0F6"/>
          </w:tcPr>
          <w:p>
            <w:r/>
            <w:r>
              <w:rPr>
                <w:b w:val="0"/>
                <w:sz w:val="16"/>
              </w:rPr>
              <w:t>Tier 4 interruption</w:t>
            </w:r>
          </w:p>
        </w:tc>
        <w:tc>
          <w:tcPr>
            <w:tcW w:type="dxa" w:w="3408"/>
            <w:vAlign w:val="center"/>
            <w:shd w:fill="EAF0F6"/>
          </w:tcPr>
          <w:p>
            <w:r/>
            <w:r>
              <w:rPr>
                <w:b w:val="0"/>
                <w:sz w:val="16"/>
              </w:rPr>
              <w:t>Total time to detect, isolate, fall back, revalidate and restart × contribution margin per line hour + restart scrap and expediting</w:t>
            </w:r>
          </w:p>
        </w:tc>
        <w:tc>
          <w:tcPr>
            <w:tcW w:type="dxa" w:w="3408"/>
            <w:vAlign w:val="center"/>
            <w:shd w:fill="EAF0F6"/>
          </w:tcPr>
          <w:p>
            <w:r/>
            <w:r>
              <w:rPr>
                <w:b w:val="0"/>
                <w:sz w:val="16"/>
              </w:rPr>
              <w:t>Estimate production interruption and recovery exposure.</w:t>
            </w:r>
          </w:p>
        </w:tc>
      </w:tr>
      <w:tr>
        <w:tc>
          <w:tcPr>
            <w:tcW w:type="dxa" w:w="3408"/>
            <w:vAlign w:val="center"/>
            <w:shd w:fill="FFFFFF"/>
          </w:tcPr>
          <w:p>
            <w:r/>
            <w:r>
              <w:rPr>
                <w:b w:val="0"/>
                <w:sz w:val="16"/>
              </w:rPr>
              <w:t>Annualised exposure</w:t>
            </w:r>
          </w:p>
        </w:tc>
        <w:tc>
          <w:tcPr>
            <w:tcW w:type="dxa" w:w="3408"/>
            <w:vAlign w:val="center"/>
            <w:shd w:fill="FFFFFF"/>
          </w:tcPr>
          <w:p>
            <w:r/>
            <w:r>
              <w:rPr>
                <w:b w:val="0"/>
                <w:sz w:val="16"/>
              </w:rPr>
              <w:t>Estimated event frequency × estimated cost per event</w:t>
            </w:r>
          </w:p>
        </w:tc>
        <w:tc>
          <w:tcPr>
            <w:tcW w:type="dxa" w:w="3408"/>
            <w:vAlign w:val="center"/>
            <w:shd w:fill="FFFFFF"/>
          </w:tcPr>
          <w:p>
            <w:r/>
            <w:r>
              <w:rPr>
                <w:b w:val="0"/>
                <w:sz w:val="16"/>
              </w:rPr>
              <w:t>Compare risk-reduction options on a common basis.</w:t>
            </w:r>
          </w:p>
        </w:tc>
      </w:tr>
    </w:tbl>
    <w:p>
      <w:pPr>
        <w:pStyle w:val="Heading1"/>
      </w:pPr>
      <w:r>
        <w:t>Required Assumptions</w:t>
      </w:r>
    </w:p>
    <w:p>
      <w:pPr>
        <w:pStyle w:val="ListBullet"/>
      </w:pPr>
      <w:r>
        <w:t>Data source and period</w:t>
      </w:r>
    </w:p>
    <w:p>
      <w:pPr>
        <w:pStyle w:val="ListBullet"/>
      </w:pPr>
      <w:r>
        <w:t>Low, base and high input values</w:t>
      </w:r>
    </w:p>
    <w:p>
      <w:pPr>
        <w:pStyle w:val="ListBullet"/>
      </w:pPr>
      <w:r>
        <w:t>Confidence basis and known uncertainty</w:t>
      </w:r>
    </w:p>
    <w:p>
      <w:pPr>
        <w:pStyle w:val="ListBullet"/>
      </w:pPr>
      <w:r>
        <w:t>Excluded costs and second-order effects</w:t>
      </w:r>
    </w:p>
    <w:p>
      <w:pPr>
        <w:pStyle w:val="ListBullet"/>
      </w:pPr>
      <w:r>
        <w:t>Owner and review date</w:t>
      </w:r>
    </w:p>
    <w:p>
      <w:pPr>
        <w:pStyle w:val="ListBullet"/>
      </w:pPr>
      <w:r>
        <w:t>Sensitivity to supplier opacity, product mix and production volume</w:t>
      </w:r>
    </w:p>
    <w:p>
      <w:pPr>
        <w:pStyle w:val="Heading1"/>
      </w:pPr>
      <w:r>
        <w:t>Tier 4 Leading Indicators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17365D"/>
          </w:tcPr>
          <w:p>
            <w:r/>
            <w:r>
              <w:rPr>
                <w:b/>
                <w:color w:val="FFFFFF"/>
                <w:sz w:val="16"/>
              </w:rPr>
              <w:t>Indicator</w:t>
            </w:r>
          </w:p>
        </w:tc>
        <w:tc>
          <w:tcPr>
            <w:tcW w:type="dxa" w:w="5112"/>
            <w:vAlign w:val="center"/>
            <w:shd w:fill="17365D"/>
          </w:tcPr>
          <w:p>
            <w:r/>
            <w:r>
              <w:rPr>
                <w:b/>
                <w:color w:val="FFFFFF"/>
                <w:sz w:val="16"/>
              </w:rPr>
              <w:t>Executive interpretation</w:t>
            </w:r>
          </w:p>
        </w:tc>
      </w:tr>
      <w:tr>
        <w:tc>
          <w:tcPr>
            <w:tcW w:type="dxa" w:w="5112"/>
            <w:vAlign w:val="center"/>
            <w:shd w:fill="FFFFFF"/>
          </w:tcPr>
          <w:p>
            <w:r/>
            <w:r>
              <w:rPr>
                <w:b w:val="0"/>
                <w:sz w:val="16"/>
              </w:rPr>
              <w:t>Safe-state transition success and time</w:t>
            </w:r>
          </w:p>
        </w:tc>
        <w:tc>
          <w:tcPr>
            <w:tcW w:type="dxa" w:w="5112"/>
            <w:vAlign w:val="center"/>
            <w:shd w:fill="FFFFFF"/>
          </w:tcPr>
          <w:p>
            <w:r/>
            <w:r>
              <w:rPr>
                <w:b w:val="0"/>
                <w:sz w:val="16"/>
              </w:rPr>
              <w:t>Tests whether the system reaches the validated safe condition within the required period.</w:t>
            </w:r>
          </w:p>
        </w:tc>
      </w:tr>
      <w:tr>
        <w:tc>
          <w:tcPr>
            <w:tcW w:type="dxa" w:w="5112"/>
            <w:vAlign w:val="center"/>
            <w:shd w:fill="EAF0F6"/>
          </w:tcPr>
          <w:p>
            <w:r/>
            <w:r>
              <w:rPr>
                <w:b w:val="0"/>
                <w:sz w:val="16"/>
              </w:rPr>
              <w:t>Human command-override rate</w:t>
            </w:r>
          </w:p>
        </w:tc>
        <w:tc>
          <w:tcPr>
            <w:tcW w:type="dxa" w:w="5112"/>
            <w:vAlign w:val="center"/>
            <w:shd w:fill="EAF0F6"/>
          </w:tcPr>
          <w:p>
            <w:r/>
            <w:r>
              <w:rPr>
                <w:b w:val="0"/>
                <w:sz w:val="16"/>
              </w:rPr>
              <w:t>May indicate weak trust, poor calibration or changed operating conditions.</w:t>
            </w:r>
          </w:p>
        </w:tc>
      </w:tr>
      <w:tr>
        <w:tc>
          <w:tcPr>
            <w:tcW w:type="dxa" w:w="5112"/>
            <w:vAlign w:val="center"/>
            <w:shd w:fill="FFFFFF"/>
          </w:tcPr>
          <w:p>
            <w:r/>
            <w:r>
              <w:rPr>
                <w:b w:val="0"/>
                <w:sz w:val="16"/>
              </w:rPr>
              <w:t>Emergency-stop activations by cause</w:t>
            </w:r>
          </w:p>
        </w:tc>
        <w:tc>
          <w:tcPr>
            <w:tcW w:type="dxa" w:w="5112"/>
            <w:vAlign w:val="center"/>
            <w:shd w:fill="FFFFFF"/>
          </w:tcPr>
          <w:p>
            <w:r/>
            <w:r>
              <w:rPr>
                <w:b w:val="0"/>
                <w:sz w:val="16"/>
              </w:rPr>
              <w:t>Requires cause classification; an increase is not automatically model failure.</w:t>
            </w:r>
          </w:p>
        </w:tc>
      </w:tr>
      <w:tr>
        <w:tc>
          <w:tcPr>
            <w:tcW w:type="dxa" w:w="5112"/>
            <w:vAlign w:val="center"/>
            <w:shd w:fill="EAF0F6"/>
          </w:tcPr>
          <w:p>
            <w:r/>
            <w:r>
              <w:rPr>
                <w:b w:val="0"/>
                <w:sz w:val="16"/>
              </w:rPr>
              <w:t>Operating-envelope violations</w:t>
            </w:r>
          </w:p>
        </w:tc>
        <w:tc>
          <w:tcPr>
            <w:tcW w:type="dxa" w:w="5112"/>
            <w:vAlign w:val="center"/>
            <w:shd w:fill="EAF0F6"/>
          </w:tcPr>
          <w:p>
            <w:r/>
            <w:r>
              <w:rPr>
                <w:b w:val="0"/>
                <w:sz w:val="16"/>
              </w:rPr>
              <w:t>Signals that model, process, sensor or configuration assumptions may no longer hold.</w:t>
            </w:r>
          </w:p>
        </w:tc>
      </w:tr>
      <w:tr>
        <w:tc>
          <w:tcPr>
            <w:tcW w:type="dxa" w:w="5112"/>
            <w:vAlign w:val="center"/>
            <w:shd w:fill="FFFFFF"/>
          </w:tcPr>
          <w:p>
            <w:r/>
            <w:r>
              <w:rPr>
                <w:b w:val="0"/>
                <w:sz w:val="16"/>
              </w:rPr>
              <w:t>Fallback activation and success</w:t>
            </w:r>
          </w:p>
        </w:tc>
        <w:tc>
          <w:tcPr>
            <w:tcW w:type="dxa" w:w="5112"/>
            <w:vAlign w:val="center"/>
            <w:shd w:fill="FFFFFF"/>
          </w:tcPr>
          <w:p>
            <w:r/>
            <w:r>
              <w:rPr>
                <w:b w:val="0"/>
                <w:sz w:val="16"/>
              </w:rPr>
              <w:t>Tests whether production can continue or stop safely when AI is unavailable.</w:t>
            </w:r>
          </w:p>
        </w:tc>
      </w:tr>
      <w:tr>
        <w:tc>
          <w:tcPr>
            <w:tcW w:type="dxa" w:w="5112"/>
            <w:vAlign w:val="center"/>
            <w:shd w:fill="EAF0F6"/>
          </w:tcPr>
          <w:p>
            <w:r/>
            <w:r>
              <w:rPr>
                <w:b w:val="0"/>
                <w:sz w:val="16"/>
              </w:rPr>
              <w:t>Post-update validation failures</w:t>
            </w:r>
          </w:p>
        </w:tc>
        <w:tc>
          <w:tcPr>
            <w:tcW w:type="dxa" w:w="5112"/>
            <w:vAlign w:val="center"/>
            <w:shd w:fill="EAF0F6"/>
          </w:tcPr>
          <w:p>
            <w:r/>
            <w:r>
              <w:rPr>
                <w:b w:val="0"/>
                <w:sz w:val="16"/>
              </w:rPr>
              <w:t>Leading indicator of weak change control and supplier release quality.</w:t>
            </w:r>
          </w:p>
        </w:tc>
      </w:tr>
    </w:tbl>
    <w:p>
      <w:r>
        <w:br w:type="page"/>
      </w:r>
    </w:p>
    <w:p>
      <w:pPr>
        <w:pStyle w:val="Heading1"/>
      </w:pPr>
      <w:r>
        <w:t>Governance, Safety and Legal Boundaries</w:t>
      </w:r>
    </w:p>
    <w:p>
      <w:pPr>
        <w:pStyle w:val="ListBullet"/>
      </w:pPr>
      <w:r>
        <w:t>Assign an accountable executive and plant owner for every material AI use case.</w:t>
      </w:r>
    </w:p>
    <w:p>
      <w:pPr>
        <w:pStyle w:val="ListBullet"/>
      </w:pPr>
      <w:r>
        <w:t>Do not allow AI to bypass independent safety functions, engineering change control or quality release authority.</w:t>
      </w:r>
    </w:p>
    <w:p>
      <w:pPr>
        <w:pStyle w:val="ListBullet"/>
      </w:pPr>
      <w:r>
        <w:t>Use human approval before action where timing permits; use supervisory veto or independent protection where high-speed processes make real-time intervention infeasible.</w:t>
      </w:r>
    </w:p>
    <w:p>
      <w:pPr>
        <w:pStyle w:val="ListBullet"/>
      </w:pPr>
      <w:r>
        <w:t>Require evidence-backed supplier commitments for provenance, updates, remote access, incident notification, continuity and exit.</w:t>
      </w:r>
    </w:p>
    <w:p>
      <w:pPr>
        <w:pStyle w:val="ListBullet"/>
      </w:pPr>
      <w:r>
        <w:t>Treat GAISSF tiers as an operational assurance model, not a legal classification.</w:t>
      </w:r>
    </w:p>
    <w:p>
      <w:pPr>
        <w:pStyle w:val="Heading1"/>
      </w:pPr>
      <w:r>
        <w:t>Functional-Safety Boundary</w:t>
      </w:r>
    </w:p>
    <w:p>
      <w:r>
        <w:t>GAISSF security controls do not calculate, demonstrate or satisfy probability of failure on demand, probability of dangerous failure per hour, safety integrity level, performance level or equivalent functional-safety metrics. Security approval does not replace machinery- or process-safety lifecycle approval.</w:t>
      </w:r>
    </w:p>
    <w:p>
      <w:pPr>
        <w:pStyle w:val="Heading1"/>
      </w:pPr>
      <w:r>
        <w:t>European Union Artificial Intelligence Act Boundary</w:t>
      </w:r>
    </w:p>
    <w:p>
      <w:r>
        <w:t>GAISSF tier classification and SEC-045 assessment do not constitute an European Union Artificial Intelligence Act legal classification or conformity assessment. They do not replace technical documentation, quality management, risk management, human oversight, registration, post-market monitoring, fundamental-rights impact assessment or other obligations where those requirements apply.</w:t>
      </w:r>
    </w:p>
    <w:p>
      <w:pPr>
        <w:pStyle w:val="Heading1"/>
      </w:pPr>
      <w:r>
        <w:t>Five Board-Level Indicators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17365D"/>
          </w:tcPr>
          <w:p>
            <w:r/>
            <w:r>
              <w:rPr>
                <w:b/>
                <w:color w:val="FFFFFF"/>
                <w:sz w:val="16"/>
              </w:rPr>
              <w:t>Indicator</w:t>
            </w:r>
          </w:p>
        </w:tc>
        <w:tc>
          <w:tcPr>
            <w:tcW w:type="dxa" w:w="5112"/>
            <w:vAlign w:val="center"/>
            <w:shd w:fill="17365D"/>
          </w:tcPr>
          <w:p>
            <w:r/>
            <w:r>
              <w:rPr>
                <w:b/>
                <w:color w:val="FFFFFF"/>
                <w:sz w:val="16"/>
              </w:rPr>
              <w:t>Why it matters</w:t>
            </w:r>
          </w:p>
        </w:tc>
      </w:tr>
      <w:tr>
        <w:tc>
          <w:tcPr>
            <w:tcW w:type="dxa" w:w="5112"/>
            <w:vAlign w:val="center"/>
            <w:shd w:fill="FFFFFF"/>
          </w:tcPr>
          <w:p>
            <w:r/>
            <w:r>
              <w:rPr>
                <w:b w:val="0"/>
                <w:sz w:val="16"/>
              </w:rPr>
              <w:t>Tier 3 and Tier 4 systems with approved owners</w:t>
            </w:r>
          </w:p>
        </w:tc>
        <w:tc>
          <w:tcPr>
            <w:tcW w:type="dxa" w:w="5112"/>
            <w:vAlign w:val="center"/>
            <w:shd w:fill="FFFFFF"/>
          </w:tcPr>
          <w:p>
            <w:r/>
            <w:r>
              <w:rPr>
                <w:b w:val="0"/>
                <w:sz w:val="16"/>
              </w:rPr>
              <w:t>Tests accountability for material systems.</w:t>
            </w:r>
          </w:p>
        </w:tc>
      </w:tr>
      <w:tr>
        <w:tc>
          <w:tcPr>
            <w:tcW w:type="dxa" w:w="5112"/>
            <w:vAlign w:val="center"/>
            <w:shd w:fill="EAF0F6"/>
          </w:tcPr>
          <w:p>
            <w:r/>
            <w:r>
              <w:rPr>
                <w:b w:val="0"/>
                <w:sz w:val="16"/>
              </w:rPr>
              <w:t>Systems with current fallback and recovery tests</w:t>
            </w:r>
          </w:p>
        </w:tc>
        <w:tc>
          <w:tcPr>
            <w:tcW w:type="dxa" w:w="5112"/>
            <w:vAlign w:val="center"/>
            <w:shd w:fill="EAF0F6"/>
          </w:tcPr>
          <w:p>
            <w:r/>
            <w:r>
              <w:rPr>
                <w:b w:val="0"/>
                <w:sz w:val="16"/>
              </w:rPr>
              <w:t>Tests whether production can continue or stop safely.</w:t>
            </w:r>
          </w:p>
        </w:tc>
      </w:tr>
      <w:tr>
        <w:tc>
          <w:tcPr>
            <w:tcW w:type="dxa" w:w="5112"/>
            <w:vAlign w:val="center"/>
            <w:shd w:fill="FFFFFF"/>
          </w:tcPr>
          <w:p>
            <w:r/>
            <w:r>
              <w:rPr>
                <w:b w:val="0"/>
                <w:sz w:val="16"/>
              </w:rPr>
              <w:t>Quality escapes and unsafe-output events involving AI</w:t>
            </w:r>
          </w:p>
        </w:tc>
        <w:tc>
          <w:tcPr>
            <w:tcW w:type="dxa" w:w="5112"/>
            <w:vAlign w:val="center"/>
            <w:shd w:fill="FFFFFF"/>
          </w:tcPr>
          <w:p>
            <w:r/>
            <w:r>
              <w:rPr>
                <w:b w:val="0"/>
                <w:sz w:val="16"/>
              </w:rPr>
              <w:t>Connects technical performance to product and safety consequences.</w:t>
            </w:r>
          </w:p>
        </w:tc>
      </w:tr>
      <w:tr>
        <w:tc>
          <w:tcPr>
            <w:tcW w:type="dxa" w:w="5112"/>
            <w:vAlign w:val="center"/>
            <w:shd w:fill="EAF0F6"/>
          </w:tcPr>
          <w:p>
            <w:r/>
            <w:r>
              <w:rPr>
                <w:b w:val="0"/>
                <w:sz w:val="16"/>
              </w:rPr>
              <w:t>Supplier assurance and remote-access exceptions</w:t>
            </w:r>
          </w:p>
        </w:tc>
        <w:tc>
          <w:tcPr>
            <w:tcW w:type="dxa" w:w="5112"/>
            <w:vAlign w:val="center"/>
            <w:shd w:fill="EAF0F6"/>
          </w:tcPr>
          <w:p>
            <w:r/>
            <w:r>
              <w:rPr>
                <w:b w:val="0"/>
                <w:sz w:val="16"/>
              </w:rPr>
              <w:t>Surfaces concentration and third-party exposure.</w:t>
            </w:r>
          </w:p>
        </w:tc>
      </w:tr>
      <w:tr>
        <w:tc>
          <w:tcPr>
            <w:tcW w:type="dxa" w:w="5112"/>
            <w:vAlign w:val="center"/>
            <w:shd w:fill="FFFFFF"/>
          </w:tcPr>
          <w:p>
            <w:r/>
            <w:r>
              <w:rPr>
                <w:b w:val="0"/>
                <w:sz w:val="16"/>
              </w:rPr>
              <w:t>Overdue model validation and uncontrolled changes</w:t>
            </w:r>
          </w:p>
        </w:tc>
        <w:tc>
          <w:tcPr>
            <w:tcW w:type="dxa" w:w="5112"/>
            <w:vAlign w:val="center"/>
            <w:shd w:fill="FFFFFF"/>
          </w:tcPr>
          <w:p>
            <w:r/>
            <w:r>
              <w:rPr>
                <w:b w:val="0"/>
                <w:sz w:val="16"/>
              </w:rPr>
              <w:t>Identifies lifecycle deterioration before an incident.</w:t>
            </w:r>
          </w:p>
        </w:tc>
      </w:tr>
    </w:tbl>
    <w:p>
      <w:r>
        <w:br w:type="page"/>
      </w:r>
    </w:p>
    <w:p>
      <w:pPr>
        <w:pStyle w:val="Heading1"/>
      </w:pPr>
      <w:r>
        <w:t>Management Actions for the Next 90 Days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17365D"/>
          </w:tcPr>
          <w:p>
            <w:r/>
            <w:r>
              <w:rPr>
                <w:b/>
                <w:color w:val="FFFFFF"/>
                <w:sz w:val="16"/>
              </w:rPr>
              <w:t>Period</w:t>
            </w:r>
          </w:p>
        </w:tc>
        <w:tc>
          <w:tcPr>
            <w:tcW w:type="dxa" w:w="3408"/>
            <w:vAlign w:val="center"/>
            <w:shd w:fill="17365D"/>
          </w:tcPr>
          <w:p>
            <w:r/>
            <w:r>
              <w:rPr>
                <w:b/>
                <w:color w:val="FFFFFF"/>
                <w:sz w:val="16"/>
              </w:rPr>
              <w:t>Required action</w:t>
            </w:r>
          </w:p>
        </w:tc>
        <w:tc>
          <w:tcPr>
            <w:tcW w:type="dxa" w:w="3408"/>
            <w:vAlign w:val="center"/>
            <w:shd w:fill="17365D"/>
          </w:tcPr>
          <w:p>
            <w:r/>
            <w:r>
              <w:rPr>
                <w:b/>
                <w:color w:val="FFFFFF"/>
                <w:sz w:val="16"/>
              </w:rPr>
              <w:t>Evidence expected</w:t>
            </w:r>
          </w:p>
        </w:tc>
      </w:tr>
      <w:tr>
        <w:tc>
          <w:tcPr>
            <w:tcW w:type="dxa" w:w="3408"/>
            <w:vAlign w:val="center"/>
            <w:shd w:fill="FFFFFF"/>
          </w:tcPr>
          <w:p>
            <w:r/>
            <w:r>
              <w:rPr>
                <w:b w:val="0"/>
                <w:sz w:val="16"/>
              </w:rPr>
              <w:t>Days 1–30</w:t>
            </w:r>
          </w:p>
        </w:tc>
        <w:tc>
          <w:tcPr>
            <w:tcW w:type="dxa" w:w="3408"/>
            <w:vAlign w:val="center"/>
            <w:shd w:fill="FFFFFF"/>
          </w:tcPr>
          <w:p>
            <w:r/>
            <w:r>
              <w:rPr>
                <w:b w:val="0"/>
                <w:sz w:val="16"/>
              </w:rPr>
              <w:t>Complete inventory and classify production-affecting AI; stop or approve ungoverned OT connections.</w:t>
            </w:r>
          </w:p>
        </w:tc>
        <w:tc>
          <w:tcPr>
            <w:tcW w:type="dxa" w:w="3408"/>
            <w:vAlign w:val="center"/>
            <w:shd w:fill="FFFFFF"/>
          </w:tcPr>
          <w:p>
            <w:r/>
            <w:r>
              <w:rPr>
                <w:b w:val="0"/>
                <w:sz w:val="16"/>
              </w:rPr>
              <w:t>Inventory, accountable owners, system boundaries and tier decisions.</w:t>
            </w:r>
          </w:p>
        </w:tc>
      </w:tr>
      <w:tr>
        <w:tc>
          <w:tcPr>
            <w:tcW w:type="dxa" w:w="3408"/>
            <w:vAlign w:val="center"/>
            <w:shd w:fill="EAF0F6"/>
          </w:tcPr>
          <w:p>
            <w:r/>
            <w:r>
              <w:rPr>
                <w:b w:val="0"/>
                <w:sz w:val="16"/>
              </w:rPr>
              <w:t>Days 31–60</w:t>
            </w:r>
          </w:p>
        </w:tc>
        <w:tc>
          <w:tcPr>
            <w:tcW w:type="dxa" w:w="3408"/>
            <w:vAlign w:val="center"/>
            <w:shd w:fill="EAF0F6"/>
          </w:tcPr>
          <w:p>
            <w:r/>
            <w:r>
              <w:rPr>
                <w:b w:val="0"/>
                <w:sz w:val="16"/>
              </w:rPr>
              <w:t>Validate safety, quality, command and supplier boundaries; define financial exposure ranges.</w:t>
            </w:r>
          </w:p>
        </w:tc>
        <w:tc>
          <w:tcPr>
            <w:tcW w:type="dxa" w:w="3408"/>
            <w:vAlign w:val="center"/>
            <w:shd w:fill="EAF0F6"/>
          </w:tcPr>
          <w:p>
            <w:r/>
            <w:r>
              <w:rPr>
                <w:b w:val="0"/>
                <w:sz w:val="16"/>
              </w:rPr>
              <w:t>Risk records, supplier evidence, fallback design and low/base/high estimates.</w:t>
            </w:r>
          </w:p>
        </w:tc>
      </w:tr>
      <w:tr>
        <w:tc>
          <w:tcPr>
            <w:tcW w:type="dxa" w:w="3408"/>
            <w:vAlign w:val="center"/>
            <w:shd w:fill="FFFFFF"/>
          </w:tcPr>
          <w:p>
            <w:r/>
            <w:r>
              <w:rPr>
                <w:b w:val="0"/>
                <w:sz w:val="16"/>
              </w:rPr>
              <w:t>Days 61–90</w:t>
            </w:r>
          </w:p>
        </w:tc>
        <w:tc>
          <w:tcPr>
            <w:tcW w:type="dxa" w:w="3408"/>
            <w:vAlign w:val="center"/>
            <w:shd w:fill="FFFFFF"/>
          </w:tcPr>
          <w:p>
            <w:r/>
            <w:r>
              <w:rPr>
                <w:b w:val="0"/>
                <w:sz w:val="16"/>
              </w:rPr>
              <w:t>Run one incident, fallback, product-quarantine and validated restart exercise.</w:t>
            </w:r>
          </w:p>
        </w:tc>
        <w:tc>
          <w:tcPr>
            <w:tcW w:type="dxa" w:w="3408"/>
            <w:vAlign w:val="center"/>
            <w:shd w:fill="FFFFFF"/>
          </w:tcPr>
          <w:p>
            <w:r/>
            <w:r>
              <w:rPr>
                <w:b w:val="0"/>
                <w:sz w:val="16"/>
              </w:rPr>
              <w:t>Exercise record, findings, corrective actions and executive risk acceptance.</w:t>
            </w:r>
          </w:p>
        </w:tc>
      </w:tr>
    </w:tbl>
    <w:p>
      <w:pPr>
        <w:pStyle w:val="Heading1"/>
      </w:pPr>
      <w:r>
        <w:t>Notably Absent</w:t>
      </w:r>
    </w:p>
    <w:p>
      <w:pPr>
        <w:pStyle w:val="ListBullet"/>
      </w:pPr>
      <w:r>
        <w:t>ODA3 Institute does not possess historical proprietary manufacturing incident telemetry.</w:t>
      </w:r>
    </w:p>
    <w:p>
      <w:pPr>
        <w:pStyle w:val="ListBullet"/>
      </w:pPr>
      <w:r>
        <w:t>Public reporting does not support reliable estimates of the frequency of AI-driven operational-technology disruption.</w:t>
      </w:r>
    </w:p>
    <w:p>
      <w:pPr>
        <w:pStyle w:val="ListBullet"/>
      </w:pPr>
      <w:r>
        <w:t>No claim is made that GAISSF controls replace functional-safety certification.</w:t>
      </w:r>
    </w:p>
    <w:p>
      <w:pPr>
        <w:pStyle w:val="ListBullet"/>
      </w:pPr>
      <w:r>
        <w:t>No claim is made that GAISSF tiers establish legal classification or conformity.</w:t>
      </w:r>
    </w:p>
    <w:p>
      <w:pPr>
        <w:pStyle w:val="ListBullet"/>
      </w:pPr>
      <w:r>
        <w:t>Plausible kinetic sabotage, model poisoning and cross-plant propagation scenarios are not treated as confirmed incidents.</w:t>
      </w:r>
    </w:p>
    <w:p>
      <w:pPr>
        <w:pStyle w:val="Heading1"/>
      </w:pPr>
      <w:r>
        <w:t>Executive Approval Checklist</w:t>
      </w:r>
    </w:p>
    <w:p>
      <w:pPr>
        <w:pStyle w:val="ListBullet"/>
      </w:pPr>
      <w:r>
        <w:t>Material AI use cases and owners are known.</w:t>
      </w:r>
    </w:p>
    <w:p>
      <w:pPr>
        <w:pStyle w:val="ListBullet"/>
      </w:pPr>
      <w:r>
        <w:t>Tier 3 and Tier 4 safety, quality and production boundaries are approved.</w:t>
      </w:r>
    </w:p>
    <w:p>
      <w:pPr>
        <w:pStyle w:val="ListBullet"/>
      </w:pPr>
      <w:r>
        <w:t>Fallback, rollback and restart have been tested.</w:t>
      </w:r>
    </w:p>
    <w:p>
      <w:pPr>
        <w:pStyle w:val="ListBullet"/>
      </w:pPr>
      <w:r>
        <w:t>Financial exposure assumptions and ranges are documented.</w:t>
      </w:r>
    </w:p>
    <w:p>
      <w:pPr>
        <w:pStyle w:val="ListBullet"/>
      </w:pPr>
      <w:r>
        <w:t>Supplier access and continuity exceptions are visible.</w:t>
      </w:r>
    </w:p>
    <w:p>
      <w:pPr>
        <w:pStyle w:val="ListBullet"/>
      </w:pPr>
      <w:r>
        <w:t>Evidence gaps and notably absent facts are disclosed.</w:t>
      </w:r>
    </w:p>
    <w:p>
      <w:pPr>
        <w:pStyle w:val="Heading1"/>
      </w:pPr>
      <w:r>
        <w:t>Publication Status</w:t>
      </w:r>
    </w:p>
    <w:p>
      <w:r>
        <w:t>The technical and executive publications are Final Review Candidates. The package must not be labelled a Final Publication Edition until the controlled trademark and licence gates are formally closed. A detached release signature should be created only after an authorised signing identity, key-custody process and revocation procedure exist.</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 Published by ODA3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SEC-045-EB | Manufacturing AI Assurance | v1.1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