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t>ODA3 Institute</w:t>
      </w:r>
    </w:p>
    <w:p>
      <w:pPr>
        <w:pStyle w:val="Title"/>
        <w:jc w:val="center"/>
      </w:pPr>
      <w:r>
        <w:t>SEC-046 Retail Executive Brief</w:t>
      </w:r>
    </w:p>
    <w:p>
      <w:pPr>
        <w:jc w:val="center"/>
      </w:pPr>
      <w:r>
        <w:t>Leadership decisions for retail AI security and assurance</w:t>
      </w:r>
    </w:p>
    <w:p>
      <w:pPr>
        <w:jc w:val="center"/>
      </w:pPr>
      <w:r>
        <w:t>SEC-046 | Version 1.0 | Publication Candidate - Open Review Gates | 1 July 2026</w:t>
      </w:r>
    </w:p>
    <w:p>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304"/>
            <w:shd w:fill="17365D"/>
            <w:vAlign w:val="center"/>
          </w:tcPr>
          <w:p>
            <w:r>
              <w:rPr>
                <w:b/>
                <w:color w:val="FFFFFF"/>
                <w:sz w:val="18"/>
              </w:rPr>
              <w:t>Field</w:t>
            </w:r>
          </w:p>
        </w:tc>
        <w:tc>
          <w:tcPr>
            <w:tcW w:type="dxa" w:w="8352"/>
            <w:shd w:fill="17365D"/>
            <w:vAlign w:val="center"/>
          </w:tcPr>
          <w:p>
            <w:r>
              <w:rPr>
                <w:b/>
                <w:color w:val="FFFFFF"/>
                <w:sz w:val="18"/>
              </w:rPr>
              <w:t>Value</w:t>
            </w:r>
          </w:p>
        </w:tc>
      </w:tr>
      <w:tr>
        <w:tc>
          <w:tcPr>
            <w:tcW w:type="dxa" w:w="2304"/>
            <w:vAlign w:val="top"/>
          </w:tcPr>
          <w:p>
            <w:r>
              <w:rPr>
                <w:sz w:val="18"/>
              </w:rPr>
              <w:t>Document ID</w:t>
            </w:r>
          </w:p>
        </w:tc>
        <w:tc>
          <w:tcPr>
            <w:tcW w:type="dxa" w:w="8352"/>
            <w:vAlign w:val="top"/>
          </w:tcPr>
          <w:p>
            <w:r>
              <w:rPr>
                <w:sz w:val="18"/>
              </w:rPr>
              <w:t>SEC-046</w:t>
            </w:r>
          </w:p>
        </w:tc>
      </w:tr>
      <w:tr>
        <w:tc>
          <w:tcPr>
            <w:tcW w:type="dxa" w:w="2304"/>
            <w:vAlign w:val="top"/>
          </w:tcPr>
          <w:p>
            <w:r>
              <w:rPr>
                <w:sz w:val="18"/>
              </w:rPr>
              <w:t>Version</w:t>
            </w:r>
          </w:p>
        </w:tc>
        <w:tc>
          <w:tcPr>
            <w:tcW w:type="dxa" w:w="8352"/>
            <w:vAlign w:val="top"/>
          </w:tcPr>
          <w:p>
            <w:r>
              <w:rPr>
                <w:sz w:val="18"/>
              </w:rPr>
              <w:t>1.0</w:t>
            </w:r>
          </w:p>
        </w:tc>
      </w:tr>
      <w:tr>
        <w:tc>
          <w:tcPr>
            <w:tcW w:type="dxa" w:w="2304"/>
            <w:vAlign w:val="top"/>
          </w:tcPr>
          <w:p>
            <w:r>
              <w:rPr>
                <w:sz w:val="18"/>
              </w:rPr>
              <w:t>Classification</w:t>
            </w:r>
          </w:p>
        </w:tc>
        <w:tc>
          <w:tcPr>
            <w:tcW w:type="dxa" w:w="8352"/>
            <w:vAlign w:val="top"/>
          </w:tcPr>
          <w:p>
            <w:r>
              <w:rPr>
                <w:sz w:val="18"/>
              </w:rPr>
              <w:t>Informative sector implementation guidance</w:t>
            </w:r>
          </w:p>
        </w:tc>
      </w:tr>
      <w:tr>
        <w:tc>
          <w:tcPr>
            <w:tcW w:type="dxa" w:w="2304"/>
            <w:vAlign w:val="top"/>
          </w:tcPr>
          <w:p>
            <w:r>
              <w:rPr>
                <w:sz w:val="18"/>
              </w:rPr>
              <w:t>Status</w:t>
            </w:r>
          </w:p>
        </w:tc>
        <w:tc>
          <w:tcPr>
            <w:tcW w:type="dxa" w:w="8352"/>
            <w:vAlign w:val="top"/>
          </w:tcPr>
          <w:p>
            <w:r>
              <w:rPr>
                <w:sz w:val="18"/>
              </w:rPr>
              <w:t>Publication Candidate - Open Review Gates</w:t>
            </w:r>
          </w:p>
        </w:tc>
      </w:tr>
      <w:tr>
        <w:tc>
          <w:tcPr>
            <w:tcW w:type="dxa" w:w="2304"/>
            <w:vAlign w:val="top"/>
          </w:tcPr>
          <w:p>
            <w:r>
              <w:rPr>
                <w:sz w:val="18"/>
              </w:rPr>
              <w:t>Publisher</w:t>
            </w:r>
          </w:p>
        </w:tc>
        <w:tc>
          <w:tcPr>
            <w:tcW w:type="dxa" w:w="8352"/>
            <w:vAlign w:val="top"/>
          </w:tcPr>
          <w:p>
            <w:r>
              <w:rPr>
                <w:sz w:val="18"/>
              </w:rPr>
              <w:t>ODA3 Institute</w:t>
            </w:r>
          </w:p>
        </w:tc>
      </w:tr>
      <w:tr>
        <w:tc>
          <w:tcPr>
            <w:tcW w:type="dxa" w:w="2304"/>
            <w:vAlign w:val="top"/>
          </w:tcPr>
          <w:p>
            <w:r>
              <w:rPr>
                <w:sz w:val="18"/>
              </w:rPr>
              <w:t>Legal entity</w:t>
            </w:r>
          </w:p>
        </w:tc>
        <w:tc>
          <w:tcPr>
            <w:tcW w:type="dxa" w:w="8352"/>
            <w:vAlign w:val="top"/>
          </w:tcPr>
          <w:p>
            <w:r>
              <w:rPr>
                <w:sz w:val="18"/>
              </w:rPr>
              <w:t>ODA3 Pvt Ltd</w:t>
            </w:r>
          </w:p>
        </w:tc>
      </w:tr>
      <w:tr>
        <w:tc>
          <w:tcPr>
            <w:tcW w:type="dxa" w:w="2304"/>
            <w:vAlign w:val="top"/>
          </w:tcPr>
          <w:p>
            <w:r>
              <w:rPr>
                <w:sz w:val="18"/>
              </w:rPr>
              <w:t>Authoritative source</w:t>
            </w:r>
          </w:p>
        </w:tc>
        <w:tc>
          <w:tcPr>
            <w:tcW w:type="dxa" w:w="8352"/>
            <w:vAlign w:val="top"/>
          </w:tcPr>
          <w:p>
            <w:r>
              <w:rPr>
                <w:sz w:val="18"/>
              </w:rPr>
              <w:t>GAISSF-NOR-001 v1.0, Corrected Final Publication Edition</w:t>
            </w:r>
          </w:p>
        </w:tc>
      </w:tr>
      <w:tr>
        <w:tc>
          <w:tcPr>
            <w:tcW w:type="dxa" w:w="2304"/>
            <w:vAlign w:val="top"/>
          </w:tcPr>
          <w:p>
            <w:r>
              <w:rPr>
                <w:sz w:val="18"/>
              </w:rPr>
              <w:t>Control baseline</w:t>
            </w:r>
          </w:p>
        </w:tc>
        <w:tc>
          <w:tcPr>
            <w:tcW w:type="dxa" w:w="8352"/>
            <w:vAlign w:val="top"/>
          </w:tcPr>
          <w:p>
            <w:r>
              <w:rPr>
                <w:sz w:val="18"/>
              </w:rPr>
              <w:t>59 controls across nine domains</w:t>
            </w:r>
          </w:p>
        </w:tc>
      </w:tr>
      <w:tr>
        <w:tc>
          <w:tcPr>
            <w:tcW w:type="dxa" w:w="2304"/>
            <w:vAlign w:val="top"/>
          </w:tcPr>
          <w:p>
            <w:r>
              <w:rPr>
                <w:sz w:val="18"/>
              </w:rPr>
              <w:t>Publication channel</w:t>
            </w:r>
          </w:p>
        </w:tc>
        <w:tc>
          <w:tcPr>
            <w:tcW w:type="dxa" w:w="8352"/>
            <w:vAlign w:val="top"/>
          </w:tcPr>
          <w:p>
            <w:r>
              <w:rPr>
                <w:sz w:val="18"/>
              </w:rPr>
              <w:t>ODA3 Institute website and GitHub</w:t>
            </w:r>
          </w:p>
        </w:tc>
      </w:tr>
    </w:tbl>
    <w:p>
      <w:r/>
    </w:p>
    <w:p>
      <w:pPr>
        <w:pStyle w:val="Heading1"/>
      </w:pPr>
      <w:r>
        <w:t>Methodology Note</w:t>
      </w:r>
    </w:p>
    <w:p>
      <w:r>
        <w:t>This brief summarises the SEC-046 technical report, the authoritative Global AI Security and Safety Framework control baseline, and analysis of public standards and disclosures. It uses no proprietary retailer telemetry and makes no sector-wide frequency, loss, compliance or certification claim.</w:t>
      </w:r>
    </w:p>
    <w:p>
      <w:pPr>
        <w:pStyle w:val="Heading1"/>
      </w:pPr>
      <w:r>
        <w:t>Why integrated retail AI assurance is required</w:t>
      </w:r>
    </w:p>
    <w:p>
      <w:r>
        <w:t>Retail AI can influence prices, promotions, payment and fraud decisions, product information, customer access, worker outcomes and physical store or warehouse operations. Governance must therefore connect AI security with cybersecurity, privacy, payment security, consumer protection, employment, accessibility, resilience and supplier management. No single discipline proves the others.</w:t>
      </w:r>
    </w:p>
    <w:p>
      <w:pPr>
        <w:pStyle w:val="Heading1"/>
      </w:pPr>
      <w:r>
        <w:t>Where risk concentrates</w:t>
      </w:r>
    </w:p>
    <w:p>
      <w:pPr>
        <w:pStyle w:val="ListBullet"/>
      </w:pPr>
      <w:r>
        <w:t>Systems with authority to deny payment, block accounts, reject returns, identify people, affect employment or control physical equipment.</w:t>
      </w:r>
    </w:p>
    <w:p>
      <w:pPr>
        <w:pStyle w:val="ListBullet"/>
      </w:pPr>
      <w:r>
        <w:t>High-volume systems whose small error rates aggregate into widespread customer, worker or financial impact.</w:t>
      </w:r>
    </w:p>
    <w:p>
      <w:pPr>
        <w:pStyle w:val="ListBullet"/>
      </w:pPr>
      <w:r>
        <w:t>Third-party models and APIs that can change behaviour, data use or availability without retailer control.</w:t>
      </w:r>
    </w:p>
    <w:p>
      <w:pPr>
        <w:pStyle w:val="ListBullet"/>
      </w:pPr>
      <w:r>
        <w:t>Distributed store, franchise, marketplace and edge environments where evidence and enforcement are inconsistent.</w:t>
      </w:r>
    </w:p>
    <w:p>
      <w:pPr>
        <w:pStyle w:val="ListBullet"/>
      </w:pPr>
      <w:r>
        <w:t>Generative and agentic systems that can disclose data, create misleading content or invoke business actions.</w:t>
      </w:r>
    </w:p>
    <w:p>
      <w:pPr>
        <w:pStyle w:val="Heading1"/>
      </w:pPr>
      <w:r>
        <w:t>Decisions leadership must make</w:t>
      </w:r>
    </w:p>
    <w:p>
      <w:pPr>
        <w:pStyle w:val="ListBullet"/>
      </w:pPr>
      <w:r>
        <w:t>Who can approve, constrain, suspend or retire each high-impact AI system?</w:t>
      </w:r>
    </w:p>
    <w:p>
      <w:pPr>
        <w:pStyle w:val="ListBullet"/>
      </w:pPr>
      <w:r>
        <w:t>What evidence is mandatory before deployment and after material change?</w:t>
      </w:r>
    </w:p>
    <w:p>
      <w:pPr>
        <w:pStyle w:val="ListBullet"/>
      </w:pPr>
      <w:r>
        <w:t>Which supplier evidence, notification, data-use and exit rights are non-negotiable?</w:t>
      </w:r>
    </w:p>
    <w:p>
      <w:pPr>
        <w:pStyle w:val="ListBullet"/>
      </w:pPr>
      <w:r>
        <w:t>What customer, worker and operational outcomes trigger escalation?</w:t>
      </w:r>
    </w:p>
    <w:p>
      <w:pPr>
        <w:pStyle w:val="ListBullet"/>
      </w:pPr>
      <w:r>
        <w:t>Which uses require legal, privacy, payment, biometric, employment or accessibility review?</w:t>
      </w:r>
    </w:p>
    <w:p>
      <w:pPr>
        <w:pStyle w:val="ListBullet"/>
      </w:pPr>
      <w:r>
        <w:t>Which claims are prohibited until independent review closes the open gates?</w:t>
      </w:r>
    </w:p>
    <w:p>
      <w:pPr>
        <w:pStyle w:val="Heading1"/>
      </w:pPr>
      <w:r>
        <w:t>180-day implementation sequence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016"/>
            <w:shd w:fill="17365D"/>
            <w:vAlign w:val="center"/>
          </w:tcPr>
          <w:p>
            <w:r>
              <w:rPr>
                <w:b/>
                <w:color w:val="FFFFFF"/>
                <w:sz w:val="18"/>
              </w:rPr>
              <w:t>Window</w:t>
            </w:r>
          </w:p>
        </w:tc>
        <w:tc>
          <w:tcPr>
            <w:tcW w:type="dxa" w:w="8640"/>
            <w:shd w:fill="17365D"/>
            <w:vAlign w:val="center"/>
          </w:tcPr>
          <w:p>
            <w:r>
              <w:rPr>
                <w:b/>
                <w:color w:val="FFFFFF"/>
                <w:sz w:val="18"/>
              </w:rPr>
              <w:t>Leadership outcome</w:t>
            </w:r>
          </w:p>
        </w:tc>
      </w:tr>
      <w:tr>
        <w:tc>
          <w:tcPr>
            <w:tcW w:type="dxa" w:w="2016"/>
            <w:vAlign w:val="top"/>
          </w:tcPr>
          <w:p>
            <w:r>
              <w:rPr>
                <w:sz w:val="18"/>
              </w:rPr>
              <w:t>Days 0-30</w:t>
            </w:r>
          </w:p>
        </w:tc>
        <w:tc>
          <w:tcPr>
            <w:tcW w:type="dxa" w:w="8640"/>
            <w:vAlign w:val="top"/>
          </w:tcPr>
          <w:p>
            <w:r>
              <w:rPr>
                <w:sz w:val="18"/>
              </w:rPr>
              <w:t>Approve governance, inventory, scope, owners, suppliers and criticality.</w:t>
            </w:r>
          </w:p>
        </w:tc>
      </w:tr>
      <w:tr>
        <w:tc>
          <w:tcPr>
            <w:tcW w:type="dxa" w:w="2016"/>
            <w:vAlign w:val="top"/>
          </w:tcPr>
          <w:p>
            <w:r>
              <w:rPr>
                <w:sz w:val="18"/>
              </w:rPr>
              <w:t>Days 31-60</w:t>
            </w:r>
          </w:p>
        </w:tc>
        <w:tc>
          <w:tcPr>
            <w:tcW w:type="dxa" w:w="8640"/>
            <w:vAlign w:val="top"/>
          </w:tcPr>
          <w:p>
            <w:r>
              <w:rPr>
                <w:sz w:val="18"/>
              </w:rPr>
              <w:t>Approve Statement of Applicability, risk priorities, threat analysis and remediation funding.</w:t>
            </w:r>
          </w:p>
        </w:tc>
      </w:tr>
      <w:tr>
        <w:tc>
          <w:tcPr>
            <w:tcW w:type="dxa" w:w="2016"/>
            <w:vAlign w:val="top"/>
          </w:tcPr>
          <w:p>
            <w:r>
              <w:rPr>
                <w:sz w:val="18"/>
              </w:rPr>
              <w:t>Days 61-120</w:t>
            </w:r>
          </w:p>
        </w:tc>
        <w:tc>
          <w:tcPr>
            <w:tcW w:type="dxa" w:w="8640"/>
            <w:vAlign w:val="top"/>
          </w:tcPr>
          <w:p>
            <w:r>
              <w:rPr>
                <w:sz w:val="18"/>
              </w:rPr>
              <w:t>Implement controls, supplier clauses, testing, monitoring, fallback and incident capability.</w:t>
            </w:r>
          </w:p>
        </w:tc>
      </w:tr>
      <w:tr>
        <w:tc>
          <w:tcPr>
            <w:tcW w:type="dxa" w:w="2016"/>
            <w:vAlign w:val="top"/>
          </w:tcPr>
          <w:p>
            <w:r>
              <w:rPr>
                <w:sz w:val="18"/>
              </w:rPr>
              <w:t>Days 121-180</w:t>
            </w:r>
          </w:p>
        </w:tc>
        <w:tc>
          <w:tcPr>
            <w:tcW w:type="dxa" w:w="8640"/>
            <w:vAlign w:val="top"/>
          </w:tcPr>
          <w:p>
            <w:r>
              <w:rPr>
                <w:sz w:val="18"/>
              </w:rPr>
              <w:t>Review evidence, close high-risk gaps, conduct independent readiness review and accept residual risk.</w:t>
            </w:r>
          </w:p>
        </w:tc>
      </w:tr>
    </w:tbl>
    <w:p>
      <w:r/>
    </w:p>
    <w:p>
      <w:pPr>
        <w:pStyle w:val="Heading1"/>
      </w:pPr>
      <w:r>
        <w:t>Evidence boundaries and Notably Absent</w:t>
      </w:r>
    </w:p>
    <w:p>
      <w:r>
        <w:t>The package maps all 59 Global AI Security and Safety Framework (GAISSF) controls and provides retail use cases, threats, evidence, metrics, scenarios and readiness materials. It does not establish legal compliance, Payment Card Industry Data Security Standard compliance, biometric legality, employment-law compliance, accredited certification or prevention of harm. Retail-specific performance and incident prevalence were not independently measured.</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 | Published by ODA3 Institute | Informative guidance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SEC-046 | SEC-046 Retail Executive Brief | v1.0 | Publication Candidate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59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365F9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