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7365D"/>
          <w:sz w:val="32"/>
        </w:rPr>
        <w:t>ODA3 Institute</w:t>
      </w:r>
    </w:p>
    <w:p>
      <w:pPr>
        <w:pStyle w:val="Title"/>
        <w:jc w:val="center"/>
      </w:pPr>
      <w:r>
        <w:t>GAISSF Retail Sector Implementation Guide - Technical Report</w:t>
      </w:r>
    </w:p>
    <w:p>
      <w:pPr>
        <w:jc w:val="center"/>
      </w:pPr>
      <w:r>
        <w:rPr>
          <w:color w:val="2F5597"/>
          <w:sz w:val="28"/>
        </w:rPr>
        <w:t>Operational interpretation, evidence and assessment package</w:t>
      </w:r>
    </w:p>
    <w:p>
      <w:pPr>
        <w:jc w:val="center"/>
      </w:pPr>
      <w:r>
        <w:rPr>
          <w:b/>
        </w:rPr>
        <w:t>SEC-046 | Version 1.0 | Publication Candidate - Open Review Gates | 1 July 2026</w:t>
      </w:r>
    </w:p>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304"/>
            <w:shd w:fill="17365D"/>
            <w:vAlign w:val="center"/>
          </w:tcPr>
          <w:p>
            <w:r>
              <w:rPr>
                <w:b/>
                <w:color w:val="FFFFFF"/>
                <w:sz w:val="18"/>
              </w:rPr>
              <w:t>Field</w:t>
            </w:r>
          </w:p>
        </w:tc>
        <w:tc>
          <w:tcPr>
            <w:tcW w:type="dxa" w:w="8352"/>
            <w:shd w:fill="17365D"/>
            <w:vAlign w:val="center"/>
          </w:tcPr>
          <w:p>
            <w:r>
              <w:rPr>
                <w:b/>
                <w:color w:val="FFFFFF"/>
                <w:sz w:val="18"/>
              </w:rPr>
              <w:t>Value</w:t>
            </w:r>
          </w:p>
        </w:tc>
      </w:tr>
      <w:tr>
        <w:tc>
          <w:tcPr>
            <w:tcW w:type="dxa" w:w="2304"/>
            <w:vAlign w:val="top"/>
          </w:tcPr>
          <w:p>
            <w:r>
              <w:rPr>
                <w:sz w:val="18"/>
              </w:rPr>
              <w:t>Document ID</w:t>
            </w:r>
          </w:p>
        </w:tc>
        <w:tc>
          <w:tcPr>
            <w:tcW w:type="dxa" w:w="8352"/>
            <w:vAlign w:val="top"/>
          </w:tcPr>
          <w:p>
            <w:r>
              <w:rPr>
                <w:sz w:val="18"/>
              </w:rPr>
              <w:t>SEC-046</w:t>
            </w:r>
          </w:p>
        </w:tc>
      </w:tr>
      <w:tr>
        <w:tc>
          <w:tcPr>
            <w:tcW w:type="dxa" w:w="2304"/>
            <w:vAlign w:val="top"/>
          </w:tcPr>
          <w:p>
            <w:r>
              <w:rPr>
                <w:sz w:val="18"/>
              </w:rPr>
              <w:t>Version</w:t>
            </w:r>
          </w:p>
        </w:tc>
        <w:tc>
          <w:tcPr>
            <w:tcW w:type="dxa" w:w="8352"/>
            <w:vAlign w:val="top"/>
          </w:tcPr>
          <w:p>
            <w:r>
              <w:rPr>
                <w:sz w:val="18"/>
              </w:rPr>
              <w:t>1.0</w:t>
            </w:r>
          </w:p>
        </w:tc>
      </w:tr>
      <w:tr>
        <w:tc>
          <w:tcPr>
            <w:tcW w:type="dxa" w:w="2304"/>
            <w:vAlign w:val="top"/>
          </w:tcPr>
          <w:p>
            <w:r>
              <w:rPr>
                <w:sz w:val="18"/>
              </w:rPr>
              <w:t>Classification</w:t>
            </w:r>
          </w:p>
        </w:tc>
        <w:tc>
          <w:tcPr>
            <w:tcW w:type="dxa" w:w="8352"/>
            <w:vAlign w:val="top"/>
          </w:tcPr>
          <w:p>
            <w:r>
              <w:rPr>
                <w:sz w:val="18"/>
              </w:rPr>
              <w:t>Informative sector implementation guidance</w:t>
            </w:r>
          </w:p>
        </w:tc>
      </w:tr>
      <w:tr>
        <w:tc>
          <w:tcPr>
            <w:tcW w:type="dxa" w:w="2304"/>
            <w:vAlign w:val="top"/>
          </w:tcPr>
          <w:p>
            <w:r>
              <w:rPr>
                <w:sz w:val="18"/>
              </w:rPr>
              <w:t>Status</w:t>
            </w:r>
          </w:p>
        </w:tc>
        <w:tc>
          <w:tcPr>
            <w:tcW w:type="dxa" w:w="8352"/>
            <w:vAlign w:val="top"/>
          </w:tcPr>
          <w:p>
            <w:r>
              <w:rPr>
                <w:sz w:val="18"/>
              </w:rPr>
              <w:t>Publication Candidate - Open Review Gates</w:t>
            </w:r>
          </w:p>
        </w:tc>
      </w:tr>
      <w:tr>
        <w:tc>
          <w:tcPr>
            <w:tcW w:type="dxa" w:w="2304"/>
            <w:vAlign w:val="top"/>
          </w:tcPr>
          <w:p>
            <w:r>
              <w:rPr>
                <w:sz w:val="18"/>
              </w:rPr>
              <w:t>Publisher</w:t>
            </w:r>
          </w:p>
        </w:tc>
        <w:tc>
          <w:tcPr>
            <w:tcW w:type="dxa" w:w="8352"/>
            <w:vAlign w:val="top"/>
          </w:tcPr>
          <w:p>
            <w:r>
              <w:rPr>
                <w:sz w:val="18"/>
              </w:rPr>
              <w:t>ODA3 Institute</w:t>
            </w:r>
          </w:p>
        </w:tc>
      </w:tr>
      <w:tr>
        <w:tc>
          <w:tcPr>
            <w:tcW w:type="dxa" w:w="2304"/>
            <w:vAlign w:val="top"/>
          </w:tcPr>
          <w:p>
            <w:r>
              <w:rPr>
                <w:sz w:val="18"/>
              </w:rPr>
              <w:t>Legal entity</w:t>
            </w:r>
          </w:p>
        </w:tc>
        <w:tc>
          <w:tcPr>
            <w:tcW w:type="dxa" w:w="8352"/>
            <w:vAlign w:val="top"/>
          </w:tcPr>
          <w:p>
            <w:r>
              <w:rPr>
                <w:sz w:val="18"/>
              </w:rPr>
              <w:t>ODA3 Pvt Ltd</w:t>
            </w:r>
          </w:p>
        </w:tc>
      </w:tr>
      <w:tr>
        <w:tc>
          <w:tcPr>
            <w:tcW w:type="dxa" w:w="2304"/>
            <w:vAlign w:val="top"/>
          </w:tcPr>
          <w:p>
            <w:r>
              <w:rPr>
                <w:sz w:val="18"/>
              </w:rPr>
              <w:t>Authoritative source</w:t>
            </w:r>
          </w:p>
        </w:tc>
        <w:tc>
          <w:tcPr>
            <w:tcW w:type="dxa" w:w="8352"/>
            <w:vAlign w:val="top"/>
          </w:tcPr>
          <w:p>
            <w:r>
              <w:rPr>
                <w:sz w:val="18"/>
              </w:rPr>
              <w:t>GAISSF-NOR-001 v1.0, Corrected Final Publication Edition</w:t>
            </w:r>
          </w:p>
        </w:tc>
      </w:tr>
      <w:tr>
        <w:tc>
          <w:tcPr>
            <w:tcW w:type="dxa" w:w="2304"/>
            <w:vAlign w:val="top"/>
          </w:tcPr>
          <w:p>
            <w:r>
              <w:rPr>
                <w:sz w:val="18"/>
              </w:rPr>
              <w:t>Control baseline</w:t>
            </w:r>
          </w:p>
        </w:tc>
        <w:tc>
          <w:tcPr>
            <w:tcW w:type="dxa" w:w="8352"/>
            <w:vAlign w:val="top"/>
          </w:tcPr>
          <w:p>
            <w:r>
              <w:rPr>
                <w:sz w:val="18"/>
              </w:rPr>
              <w:t>59 controls across nine domains</w:t>
            </w:r>
          </w:p>
        </w:tc>
      </w:tr>
      <w:tr>
        <w:tc>
          <w:tcPr>
            <w:tcW w:type="dxa" w:w="2304"/>
            <w:vAlign w:val="top"/>
          </w:tcPr>
          <w:p>
            <w:r>
              <w:rPr>
                <w:sz w:val="18"/>
              </w:rPr>
              <w:t>Publication channel</w:t>
            </w:r>
          </w:p>
        </w:tc>
        <w:tc>
          <w:tcPr>
            <w:tcW w:type="dxa" w:w="8352"/>
            <w:vAlign w:val="top"/>
          </w:tcPr>
          <w:p>
            <w:r>
              <w:rPr>
                <w:sz w:val="18"/>
              </w:rPr>
              <w:t>ODA3 Institute website and GitHub</w:t>
            </w:r>
          </w:p>
        </w:tc>
      </w:tr>
    </w:tbl>
    <w:p/>
    <w:p>
      <w:pPr>
        <w:pStyle w:val="Heading1"/>
      </w:pPr>
      <w:r>
        <w:t>Table of Contents</w:t>
      </w:r>
    </w:p>
    <w:p>
      <w:r>
        <w:t>Contents: Executive overview; Start Here; Methodology; 1 Scope; 2 Retail context; 3 AI taxonomy; 4 Threat landscape; 5 Control profiles; 6 Complete control interpretation; 7 Data governance; 8 Supply chain; 9 Lifecycle; 10 Testing; 11 Human oversight; 12 Consumer protection; 13 Metrics; 14 Incident management; 15 Roles; 16 Roadmap; 17 Evidence; 18 Maturity; 19 Failures; 20 Scenarios; 21 Crosswalk; 22 Notably Absent; 23 Limitations; Appendices A-F.</w:t>
      </w:r>
    </w:p>
    <w:p>
      <w:pPr>
        <w:pStyle w:val="Heading1"/>
      </w:pPr>
      <w:r>
        <w:t>Copyright, licence and reliance notice</w:t>
      </w:r>
    </w:p>
    <w:p>
      <w:r>
        <w:t>© 2026 ODA3 Pvt Ltd. Published by ODA3 Institute. Use, reproduction, adaptation, certification, credential and trademark rights are governed by the applicable GAISSF publication terms and licensing instruments.</w:t>
      </w:r>
    </w:p>
    <w:p>
      <w:r>
        <w:t>This guide is informative. It does not create or modify GAISSF requirements, constitute legal advice, guarantee security or safety, establish payment-card compliance, authorise biometric processing, or provide accredited certification.</w:t>
      </w:r>
    </w:p>
    <w:p>
      <w:pPr>
        <w:pStyle w:val="Heading1"/>
      </w:pPr>
      <w:r>
        <w:t>How to use this guide</w:t>
      </w:r>
    </w:p>
    <w:p>
      <w:r>
        <w:t>Use this guide to scope retail AI systems, interpret the authoritative GAISSF controls, prioritise implementation, collect evidence and prepare for internal or independent assessment. GAISSF-NOR-001 remains authoritative where wording differs.</w:t>
      </w:r>
    </w:p>
    <w:p>
      <w:pPr>
        <w:pStyle w:val="Heading2"/>
      </w:pPr>
      <w:r>
        <w:t>Evidence tiers</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1152"/>
            <w:shd w:fill="17365D"/>
            <w:vAlign w:val="center"/>
          </w:tcPr>
          <w:p>
            <w:r>
              <w:rPr>
                <w:b/>
                <w:color w:val="FFFFFF"/>
                <w:sz w:val="18"/>
              </w:rPr>
              <w:t>Tier</w:t>
            </w:r>
          </w:p>
        </w:tc>
        <w:tc>
          <w:tcPr>
            <w:tcW w:type="dxa" w:w="9504"/>
            <w:shd w:fill="17365D"/>
            <w:vAlign w:val="center"/>
          </w:tcPr>
          <w:p>
            <w:r>
              <w:rPr>
                <w:b/>
                <w:color w:val="FFFFFF"/>
                <w:sz w:val="18"/>
              </w:rPr>
              <w:t>Meaning</w:t>
            </w:r>
          </w:p>
        </w:tc>
      </w:tr>
      <w:tr>
        <w:tc>
          <w:tcPr>
            <w:tcW w:type="dxa" w:w="1152"/>
            <w:vAlign w:val="top"/>
          </w:tcPr>
          <w:p>
            <w:r>
              <w:rPr>
                <w:sz w:val="18"/>
              </w:rPr>
              <w:t>T1</w:t>
            </w:r>
          </w:p>
        </w:tc>
        <w:tc>
          <w:tcPr>
            <w:tcW w:type="dxa" w:w="9504"/>
            <w:vAlign w:val="top"/>
          </w:tcPr>
          <w:p>
            <w:r>
              <w:rPr>
                <w:sz w:val="18"/>
              </w:rPr>
              <w:t>Primary authoritative evidence: legislation, regulation, official standards and government or regulator material.</w:t>
            </w:r>
          </w:p>
        </w:tc>
      </w:tr>
      <w:tr>
        <w:tc>
          <w:tcPr>
            <w:tcW w:type="dxa" w:w="1152"/>
            <w:vAlign w:val="top"/>
          </w:tcPr>
          <w:p>
            <w:r>
              <w:rPr>
                <w:sz w:val="18"/>
              </w:rPr>
              <w:t>T2</w:t>
            </w:r>
          </w:p>
        </w:tc>
        <w:tc>
          <w:tcPr>
            <w:tcW w:type="dxa" w:w="9504"/>
            <w:vAlign w:val="top"/>
          </w:tcPr>
          <w:p>
            <w:r>
              <w:rPr>
                <w:sz w:val="18"/>
              </w:rPr>
              <w:t>Strong secondary evidence: peer-reviewed research, recognised industry bodies and independently verified technical research.</w:t>
            </w:r>
          </w:p>
        </w:tc>
      </w:tr>
      <w:tr>
        <w:tc>
          <w:tcPr>
            <w:tcW w:type="dxa" w:w="1152"/>
            <w:vAlign w:val="top"/>
          </w:tcPr>
          <w:p>
            <w:r>
              <w:rPr>
                <w:sz w:val="18"/>
              </w:rPr>
              <w:t>T3</w:t>
            </w:r>
          </w:p>
        </w:tc>
        <w:tc>
          <w:tcPr>
            <w:tcW w:type="dxa" w:w="9504"/>
            <w:vAlign w:val="top"/>
          </w:tcPr>
          <w:p>
            <w:r>
              <w:rPr>
                <w:sz w:val="18"/>
              </w:rPr>
              <w:t>Contextual evidence: vendor disclosures, credible reporting, practitioner case studies and limited datasets.</w:t>
            </w:r>
          </w:p>
        </w:tc>
      </w:tr>
      <w:tr>
        <w:tc>
          <w:tcPr>
            <w:tcW w:type="dxa" w:w="1152"/>
            <w:vAlign w:val="top"/>
          </w:tcPr>
          <w:p>
            <w:r>
              <w:rPr>
                <w:sz w:val="18"/>
              </w:rPr>
              <w:t>T4</w:t>
            </w:r>
          </w:p>
        </w:tc>
        <w:tc>
          <w:tcPr>
            <w:tcW w:type="dxa" w:w="9504"/>
            <w:vAlign w:val="top"/>
          </w:tcPr>
          <w:p>
            <w:r>
              <w:rPr>
                <w:sz w:val="18"/>
              </w:rPr>
              <w:t>Illustrative material: hypothetical scenarios and implementation examples; not evidence of prevalence.</w:t>
            </w:r>
          </w:p>
        </w:tc>
      </w:tr>
    </w:tbl>
    <w:p/>
    <w:p>
      <w:pPr>
        <w:pStyle w:val="Heading1"/>
      </w:pPr>
      <w:r>
        <w:t>Executive overview</w:t>
      </w:r>
    </w:p>
    <w:p>
      <w:r>
        <w:t>Retail AI operates across customer-facing digital services, payment and fraud systems, distributed stores, warehouses, workforce systems, marketplaces and supplier platforms. The practical risk is not simply model accuracy. It is whether AI behaviour, data use, tool access, model changes, human escalation and fallback remain controlled across a fragmented operating environment.</w:t>
      </w:r>
    </w:p>
    <w:p>
      <w:pPr>
        <w:pStyle w:val="ListBullet"/>
      </w:pPr>
      <w:r>
        <w:t>Highest-consequence profiles commonly include payment and fraud decisions, biometric identification, hiring, autonomous stores and warehouse robotics.</w:t>
      </w:r>
    </w:p>
    <w:p>
      <w:pPr>
        <w:pStyle w:val="ListBullet"/>
      </w:pPr>
      <w:r>
        <w:t>High-volume moderate-consequence systems can still create material aggregate harm through pricing errors, misleading product content, discriminatory targeting or uncontrolled provider changes.</w:t>
      </w:r>
    </w:p>
    <w:p>
      <w:pPr>
        <w:pStyle w:val="ListBullet"/>
      </w:pPr>
      <w:r>
        <w:t>Assurance requires operating evidence: approved scope, tested safeguards, monitoring, exceptions, incident records and supplier evidence rights.</w:t>
      </w:r>
    </w:p>
    <w:p>
      <w:pPr>
        <w:pStyle w:val="ListBullet"/>
      </w:pPr>
      <w:r>
        <w:t>This package does not claim that one control set proves legal compliance, payment compliance, employment-law compliance, biometric legality or consumer-protection compliance.</w:t>
      </w:r>
    </w:p>
    <w:p>
      <w:r>
        <w:t>1. Inventory every production and pilot AI system, including embedded software-as-a-service, franchise and store-edge deployments.</w:t>
        <w:br/>
        <w:t>2. Approve accountable owners and a 59-control Statement of Applicability.</w:t>
        <w:br/>
        <w:t>3. Implement the P1 controls first: data provenance, drift, prompt/tool boundaries, supplier governance, personal-data protection, human review, complete audit trails, incident readiness and continuity.</w:t>
        <w:br/>
        <w:t>4. Apply D9 only where physical AI is in scope; apply biometric, workforce and other high-impact safeguards when the use-case trigger exists.</w:t>
        <w:br/>
        <w:t>5. Collect operating evidence before describing a control as implemented.</w:t>
      </w:r>
    </w:p>
    <w:p>
      <w:pPr>
        <w:pStyle w:val="Heading1"/>
      </w:pPr>
      <w:r>
        <w:t>Start Here - first implementation decisions</w:t>
      </w:r>
    </w:p>
    <w:p>
      <w:r>
        <w:t>Analysis of public disclosures and authoritative standards informs the external context [T1-T2]. Peer-reviewed and technical research supports demonstrated attack classes [T2], while practitioner patterns and illustrative scenarios are contextual [T3-T4]. No proprietary retailer telemetry or internal incident dataset was used. Threat frequency and loss magnitude are not inferred where public evidence is insufficient.</w:t>
      </w:r>
    </w:p>
    <w:p>
      <w:pPr>
        <w:pStyle w:val="Heading1"/>
      </w:pPr>
      <w:r>
        <w:t>Methodology and evidence boundary</w:t>
      </w:r>
    </w:p>
    <w:p>
      <w:pPr>
        <w:pStyle w:val="Heading1"/>
      </w:pPr>
      <w:r>
        <w:t>1. Scope and normative boundary</w:t>
      </w:r>
    </w:p>
    <w:p>
      <w:r>
        <w:t>The guide applies to retailers, marketplaces, direct-to-consumer businesses, franchise systems, fulfilment operations and retail technology functions that develop, acquire, integrate, deploy, operate, monitor or retire AI systems. It covers internally developed systems, commercial AI, embedded AI, generative AI, agentic systems, computer vision, predictive models and physical AI.</w:t>
      </w:r>
    </w:p>
    <w:p/>
    <w:p>
      <w:r>
        <w:t>GAISSF conformance scope remains authoritative: D1-D8 are the 52-control canonical Foundational scope; D9 contains seven additional controls that apply where physical AI is in scope. The P1/P2/P3 labels in this guide are implementation sequencing aids only and do not change normative applicability.</w:t>
      </w:r>
    </w:p>
    <w:p>
      <w:r>
        <w:t>SHALL and SHALL NOT are used only when reproducing or referring to authoritative GAISSF requirements. Sector guidance uses should, may and can. A contractual or certification instrument may separately make defined guidance mandatory.</w:t>
      </w:r>
    </w:p>
    <w:p>
      <w:pPr>
        <w:pStyle w:val="Heading1"/>
      </w:pPr>
      <w:r>
        <w:t>2. Retail operating context</w:t>
      </w:r>
    </w:p>
    <w:p>
      <w:pPr>
        <w:pStyle w:val="ListBullet"/>
      </w:pPr>
      <w:r>
        <w:t>High transaction and customer-data volumes with low-latency availability requirements.</w:t>
      </w:r>
    </w:p>
    <w:p>
      <w:pPr>
        <w:pStyle w:val="ListBullet"/>
      </w:pPr>
      <w:r>
        <w:t>Distributed store, edge, warehouse, mobile and cloud infrastructure, often combined with legacy systems.</w:t>
      </w:r>
    </w:p>
    <w:p>
      <w:pPr>
        <w:pStyle w:val="ListBullet"/>
      </w:pPr>
      <w:r>
        <w:t>Substantial dependence on payment processors, e-commerce platforms, fraud vendors, customer-data platforms, logistics providers and foundation-model services.</w:t>
      </w:r>
    </w:p>
    <w:p>
      <w:pPr>
        <w:pStyle w:val="ListBullet"/>
      </w:pPr>
      <w:r>
        <w:t>Seasonal demand shifts, promotion spikes, workforce turnover and franchise variation that can degrade controls or model performance.</w:t>
      </w:r>
    </w:p>
    <w:p>
      <w:pPr>
        <w:pStyle w:val="ListBullet"/>
      </w:pPr>
      <w:r>
        <w:t>Direct consumer and worker impacts from pricing, fraud, biometric, recommendation, scheduling and hiring systems.</w:t>
      </w:r>
    </w:p>
    <w:p>
      <w:pPr>
        <w:pStyle w:val="Heading1"/>
      </w:pPr>
      <w:r>
        <w:t>3. Retail AI system taxonomy</w:t>
      </w:r>
    </w:p>
    <w:tbl>
      <w:tblPr>
        <w:tblStyle w:val="TableGrid"/>
        <w:tblW w:type="auto" w:w="0"/>
        <w:jc w:val="center"/>
        <w:tblLook w:firstColumn="1" w:firstRow="1" w:lastColumn="0" w:lastRow="0" w:noHBand="0" w:noVBand="1" w:val="04A0"/>
      </w:tblPr>
      <w:tblGrid>
        <w:gridCol w:w="1481"/>
        <w:gridCol w:w="1481"/>
        <w:gridCol w:w="1481"/>
        <w:gridCol w:w="1481"/>
        <w:gridCol w:w="1481"/>
        <w:gridCol w:w="1481"/>
        <w:gridCol w:w="1481"/>
      </w:tblGrid>
      <w:tr>
        <w:trPr>
          <w:tblHeader w:val="true"/>
        </w:trPr>
        <w:tc>
          <w:tcPr>
            <w:tcW w:type="dxa" w:w="1152"/>
            <w:shd w:fill="17365D"/>
            <w:vAlign w:val="center"/>
          </w:tcPr>
          <w:p>
            <w:r>
              <w:rPr>
                <w:b/>
                <w:color w:val="FFFFFF"/>
                <w:sz w:val="14"/>
              </w:rPr>
              <w:t>ID</w:t>
            </w:r>
          </w:p>
        </w:tc>
        <w:tc>
          <w:tcPr>
            <w:tcW w:type="dxa" w:w="1944"/>
            <w:shd w:fill="17365D"/>
            <w:vAlign w:val="center"/>
          </w:tcPr>
          <w:p>
            <w:r>
              <w:rPr>
                <w:b/>
                <w:color w:val="FFFFFF"/>
                <w:sz w:val="14"/>
              </w:rPr>
              <w:t>Use case</w:t>
            </w:r>
          </w:p>
        </w:tc>
        <w:tc>
          <w:tcPr>
            <w:tcW w:type="dxa" w:w="1440"/>
            <w:shd w:fill="17365D"/>
            <w:vAlign w:val="center"/>
          </w:tcPr>
          <w:p>
            <w:r>
              <w:rPr>
                <w:b/>
                <w:color w:val="FFFFFF"/>
                <w:sz w:val="14"/>
              </w:rPr>
              <w:t>Business area</w:t>
            </w:r>
          </w:p>
        </w:tc>
        <w:tc>
          <w:tcPr>
            <w:tcW w:type="dxa" w:w="2448"/>
            <w:shd w:fill="17365D"/>
            <w:vAlign w:val="center"/>
          </w:tcPr>
          <w:p>
            <w:r>
              <w:rPr>
                <w:b/>
                <w:color w:val="FFFFFF"/>
                <w:sz w:val="14"/>
              </w:rPr>
              <w:t>Data</w:t>
            </w:r>
          </w:p>
        </w:tc>
        <w:tc>
          <w:tcPr>
            <w:tcW w:type="dxa" w:w="1440"/>
            <w:shd w:fill="17365D"/>
            <w:vAlign w:val="center"/>
          </w:tcPr>
          <w:p>
            <w:r>
              <w:rPr>
                <w:b/>
                <w:color w:val="FFFFFF"/>
                <w:sz w:val="14"/>
              </w:rPr>
              <w:t>Authority</w:t>
            </w:r>
          </w:p>
        </w:tc>
        <w:tc>
          <w:tcPr>
            <w:tcW w:type="dxa" w:w="1008"/>
            <w:shd w:fill="17365D"/>
            <w:vAlign w:val="center"/>
          </w:tcPr>
          <w:p>
            <w:r>
              <w:rPr>
                <w:b/>
                <w:color w:val="FFFFFF"/>
                <w:sz w:val="14"/>
              </w:rPr>
              <w:t>Criticality</w:t>
            </w:r>
          </w:p>
        </w:tc>
        <w:tc>
          <w:tcPr>
            <w:tcW w:type="dxa" w:w="2016"/>
            <w:shd w:fill="17365D"/>
            <w:vAlign w:val="center"/>
          </w:tcPr>
          <w:p>
            <w:r>
              <w:rPr>
                <w:b/>
                <w:color w:val="FFFFFF"/>
                <w:sz w:val="14"/>
              </w:rPr>
              <w:t>Oversight</w:t>
            </w:r>
          </w:p>
        </w:tc>
      </w:tr>
      <w:tr>
        <w:tc>
          <w:tcPr>
            <w:tcW w:type="dxa" w:w="1152"/>
            <w:vAlign w:val="top"/>
          </w:tcPr>
          <w:p>
            <w:r>
              <w:rPr>
                <w:sz w:val="14"/>
              </w:rPr>
              <w:t>RET-UC-001</w:t>
            </w:r>
          </w:p>
        </w:tc>
        <w:tc>
          <w:tcPr>
            <w:tcW w:type="dxa" w:w="1944"/>
            <w:vAlign w:val="top"/>
          </w:tcPr>
          <w:p>
            <w:r>
              <w:rPr>
                <w:sz w:val="14"/>
              </w:rPr>
              <w:t>Personalised recommendations</w:t>
            </w:r>
          </w:p>
        </w:tc>
        <w:tc>
          <w:tcPr>
            <w:tcW w:type="dxa" w:w="1440"/>
            <w:vAlign w:val="top"/>
          </w:tcPr>
          <w:p>
            <w:r>
              <w:rPr>
                <w:sz w:val="14"/>
              </w:rPr>
              <w:t>Customer experience</w:t>
            </w:r>
          </w:p>
        </w:tc>
        <w:tc>
          <w:tcPr>
            <w:tcW w:type="dxa" w:w="2448"/>
            <w:vAlign w:val="top"/>
          </w:tcPr>
          <w:p>
            <w:r>
              <w:rPr>
                <w:sz w:val="14"/>
              </w:rPr>
              <w:t>Customer account, browsing, transaction and catalogue data</w:t>
            </w:r>
          </w:p>
        </w:tc>
        <w:tc>
          <w:tcPr>
            <w:tcW w:type="dxa" w:w="1440"/>
            <w:vAlign w:val="top"/>
          </w:tcPr>
          <w:p>
            <w:r>
              <w:rPr>
                <w:sz w:val="14"/>
              </w:rPr>
              <w:t>Decision support</w:t>
            </w:r>
          </w:p>
        </w:tc>
        <w:tc>
          <w:tcPr>
            <w:tcW w:type="dxa" w:w="1008"/>
            <w:vAlign w:val="top"/>
          </w:tcPr>
          <w:p>
            <w:r>
              <w:rPr>
                <w:sz w:val="14"/>
              </w:rPr>
              <w:t>Moderate</w:t>
            </w:r>
          </w:p>
        </w:tc>
        <w:tc>
          <w:tcPr>
            <w:tcW w:type="dxa" w:w="2016"/>
            <w:vAlign w:val="top"/>
          </w:tcPr>
          <w:p>
            <w:r>
              <w:rPr>
                <w:sz w:val="14"/>
              </w:rPr>
              <w:t>Risk-based review and escalation</w:t>
            </w:r>
          </w:p>
        </w:tc>
      </w:tr>
      <w:tr>
        <w:tc>
          <w:tcPr>
            <w:tcW w:type="dxa" w:w="1152"/>
            <w:vAlign w:val="top"/>
          </w:tcPr>
          <w:p>
            <w:r>
              <w:rPr>
                <w:sz w:val="14"/>
              </w:rPr>
              <w:t>RET-UC-002</w:t>
            </w:r>
          </w:p>
        </w:tc>
        <w:tc>
          <w:tcPr>
            <w:tcW w:type="dxa" w:w="1944"/>
            <w:vAlign w:val="top"/>
          </w:tcPr>
          <w:p>
            <w:r>
              <w:rPr>
                <w:sz w:val="14"/>
              </w:rPr>
              <w:t>Product search and ranking</w:t>
            </w:r>
          </w:p>
        </w:tc>
        <w:tc>
          <w:tcPr>
            <w:tcW w:type="dxa" w:w="1440"/>
            <w:vAlign w:val="top"/>
          </w:tcPr>
          <w:p>
            <w:r>
              <w:rPr>
                <w:sz w:val="14"/>
              </w:rPr>
              <w:t>E-commerce</w:t>
            </w:r>
          </w:p>
        </w:tc>
        <w:tc>
          <w:tcPr>
            <w:tcW w:type="dxa" w:w="2448"/>
            <w:vAlign w:val="top"/>
          </w:tcPr>
          <w:p>
            <w:r>
              <w:rPr>
                <w:sz w:val="14"/>
              </w:rPr>
              <w:t>Queries, clicks, catalogue and availability</w:t>
            </w:r>
          </w:p>
        </w:tc>
        <w:tc>
          <w:tcPr>
            <w:tcW w:type="dxa" w:w="1440"/>
            <w:vAlign w:val="top"/>
          </w:tcPr>
          <w:p>
            <w:r>
              <w:rPr>
                <w:sz w:val="14"/>
              </w:rPr>
              <w:t>Decision support</w:t>
            </w:r>
          </w:p>
        </w:tc>
        <w:tc>
          <w:tcPr>
            <w:tcW w:type="dxa" w:w="1008"/>
            <w:vAlign w:val="top"/>
          </w:tcPr>
          <w:p>
            <w:r>
              <w:rPr>
                <w:sz w:val="14"/>
              </w:rPr>
              <w:t>Moderate</w:t>
            </w:r>
          </w:p>
        </w:tc>
        <w:tc>
          <w:tcPr>
            <w:tcW w:type="dxa" w:w="2016"/>
            <w:vAlign w:val="top"/>
          </w:tcPr>
          <w:p>
            <w:r>
              <w:rPr>
                <w:sz w:val="14"/>
              </w:rPr>
              <w:t>Risk-based review and escalation</w:t>
            </w:r>
          </w:p>
        </w:tc>
      </w:tr>
      <w:tr>
        <w:tc>
          <w:tcPr>
            <w:tcW w:type="dxa" w:w="1152"/>
            <w:vAlign w:val="top"/>
          </w:tcPr>
          <w:p>
            <w:r>
              <w:rPr>
                <w:sz w:val="14"/>
              </w:rPr>
              <w:t>RET-UC-003</w:t>
            </w:r>
          </w:p>
        </w:tc>
        <w:tc>
          <w:tcPr>
            <w:tcW w:type="dxa" w:w="1944"/>
            <w:vAlign w:val="top"/>
          </w:tcPr>
          <w:p>
            <w:r>
              <w:rPr>
                <w:sz w:val="14"/>
              </w:rPr>
              <w:t>Dynamic pricing</w:t>
            </w:r>
          </w:p>
        </w:tc>
        <w:tc>
          <w:tcPr>
            <w:tcW w:type="dxa" w:w="1440"/>
            <w:vAlign w:val="top"/>
          </w:tcPr>
          <w:p>
            <w:r>
              <w:rPr>
                <w:sz w:val="14"/>
              </w:rPr>
              <w:t>Merchandising</w:t>
            </w:r>
          </w:p>
        </w:tc>
        <w:tc>
          <w:tcPr>
            <w:tcW w:type="dxa" w:w="2448"/>
            <w:vAlign w:val="top"/>
          </w:tcPr>
          <w:p>
            <w:r>
              <w:rPr>
                <w:sz w:val="14"/>
              </w:rPr>
              <w:t>Demand, inventory, competitor and customer context</w:t>
            </w:r>
          </w:p>
        </w:tc>
        <w:tc>
          <w:tcPr>
            <w:tcW w:type="dxa" w:w="1440"/>
            <w:vAlign w:val="top"/>
          </w:tcPr>
          <w:p>
            <w:r>
              <w:rPr>
                <w:sz w:val="14"/>
              </w:rPr>
              <w:t>Automated decision</w:t>
            </w:r>
          </w:p>
        </w:tc>
        <w:tc>
          <w:tcPr>
            <w:tcW w:type="dxa" w:w="1008"/>
            <w:vAlign w:val="top"/>
          </w:tcPr>
          <w:p>
            <w:r>
              <w:rPr>
                <w:sz w:val="14"/>
              </w:rPr>
              <w:t>High</w:t>
            </w:r>
          </w:p>
        </w:tc>
        <w:tc>
          <w:tcPr>
            <w:tcW w:type="dxa" w:w="2016"/>
            <w:vAlign w:val="top"/>
          </w:tcPr>
          <w:p>
            <w:r>
              <w:rPr>
                <w:sz w:val="14"/>
              </w:rPr>
              <w:t>Mandatory pre- or post-decision review</w:t>
            </w:r>
          </w:p>
        </w:tc>
      </w:tr>
      <w:tr>
        <w:tc>
          <w:tcPr>
            <w:tcW w:type="dxa" w:w="1152"/>
            <w:vAlign w:val="top"/>
          </w:tcPr>
          <w:p>
            <w:r>
              <w:rPr>
                <w:sz w:val="14"/>
              </w:rPr>
              <w:t>RET-UC-004</w:t>
            </w:r>
          </w:p>
        </w:tc>
        <w:tc>
          <w:tcPr>
            <w:tcW w:type="dxa" w:w="1944"/>
            <w:vAlign w:val="top"/>
          </w:tcPr>
          <w:p>
            <w:r>
              <w:rPr>
                <w:sz w:val="14"/>
              </w:rPr>
              <w:t>Promotion optimisation</w:t>
            </w:r>
          </w:p>
        </w:tc>
        <w:tc>
          <w:tcPr>
            <w:tcW w:type="dxa" w:w="1440"/>
            <w:vAlign w:val="top"/>
          </w:tcPr>
          <w:p>
            <w:r>
              <w:rPr>
                <w:sz w:val="14"/>
              </w:rPr>
              <w:t>Marketing</w:t>
            </w:r>
          </w:p>
        </w:tc>
        <w:tc>
          <w:tcPr>
            <w:tcW w:type="dxa" w:w="2448"/>
            <w:vAlign w:val="top"/>
          </w:tcPr>
          <w:p>
            <w:r>
              <w:rPr>
                <w:sz w:val="14"/>
              </w:rPr>
              <w:t>Campaign, customer, basket and margin data</w:t>
            </w:r>
          </w:p>
        </w:tc>
        <w:tc>
          <w:tcPr>
            <w:tcW w:type="dxa" w:w="1440"/>
            <w:vAlign w:val="top"/>
          </w:tcPr>
          <w:p>
            <w:r>
              <w:rPr>
                <w:sz w:val="14"/>
              </w:rPr>
              <w:t>Automated decision</w:t>
            </w:r>
          </w:p>
        </w:tc>
        <w:tc>
          <w:tcPr>
            <w:tcW w:type="dxa" w:w="1008"/>
            <w:vAlign w:val="top"/>
          </w:tcPr>
          <w:p>
            <w:r>
              <w:rPr>
                <w:sz w:val="14"/>
              </w:rPr>
              <w:t>Moderate</w:t>
            </w:r>
          </w:p>
        </w:tc>
        <w:tc>
          <w:tcPr>
            <w:tcW w:type="dxa" w:w="2016"/>
            <w:vAlign w:val="top"/>
          </w:tcPr>
          <w:p>
            <w:r>
              <w:rPr>
                <w:sz w:val="14"/>
              </w:rPr>
              <w:t>Risk-based review and escalation</w:t>
            </w:r>
          </w:p>
        </w:tc>
      </w:tr>
      <w:tr>
        <w:tc>
          <w:tcPr>
            <w:tcW w:type="dxa" w:w="1152"/>
            <w:vAlign w:val="top"/>
          </w:tcPr>
          <w:p>
            <w:r>
              <w:rPr>
                <w:sz w:val="14"/>
              </w:rPr>
              <w:t>RET-UC-005</w:t>
            </w:r>
          </w:p>
        </w:tc>
        <w:tc>
          <w:tcPr>
            <w:tcW w:type="dxa" w:w="1944"/>
            <w:vAlign w:val="top"/>
          </w:tcPr>
          <w:p>
            <w:r>
              <w:rPr>
                <w:sz w:val="14"/>
              </w:rPr>
              <w:t>Demand forecasting</w:t>
            </w:r>
          </w:p>
        </w:tc>
        <w:tc>
          <w:tcPr>
            <w:tcW w:type="dxa" w:w="1440"/>
            <w:vAlign w:val="top"/>
          </w:tcPr>
          <w:p>
            <w:r>
              <w:rPr>
                <w:sz w:val="14"/>
              </w:rPr>
              <w:t>Supply chain</w:t>
            </w:r>
          </w:p>
        </w:tc>
        <w:tc>
          <w:tcPr>
            <w:tcW w:type="dxa" w:w="2448"/>
            <w:vAlign w:val="top"/>
          </w:tcPr>
          <w:p>
            <w:r>
              <w:rPr>
                <w:sz w:val="14"/>
              </w:rPr>
              <w:t>Sales, seasonality, weather and events</w:t>
            </w:r>
          </w:p>
        </w:tc>
        <w:tc>
          <w:tcPr>
            <w:tcW w:type="dxa" w:w="1440"/>
            <w:vAlign w:val="top"/>
          </w:tcPr>
          <w:p>
            <w:r>
              <w:rPr>
                <w:sz w:val="14"/>
              </w:rPr>
              <w:t>Decision support</w:t>
            </w:r>
          </w:p>
        </w:tc>
        <w:tc>
          <w:tcPr>
            <w:tcW w:type="dxa" w:w="1008"/>
            <w:vAlign w:val="top"/>
          </w:tcPr>
          <w:p>
            <w:r>
              <w:rPr>
                <w:sz w:val="14"/>
              </w:rPr>
              <w:t>Moderate</w:t>
            </w:r>
          </w:p>
        </w:tc>
        <w:tc>
          <w:tcPr>
            <w:tcW w:type="dxa" w:w="2016"/>
            <w:vAlign w:val="top"/>
          </w:tcPr>
          <w:p>
            <w:r>
              <w:rPr>
                <w:sz w:val="14"/>
              </w:rPr>
              <w:t>Risk-based review and escalation</w:t>
            </w:r>
          </w:p>
        </w:tc>
      </w:tr>
      <w:tr>
        <w:tc>
          <w:tcPr>
            <w:tcW w:type="dxa" w:w="1152"/>
            <w:vAlign w:val="top"/>
          </w:tcPr>
          <w:p>
            <w:r>
              <w:rPr>
                <w:sz w:val="14"/>
              </w:rPr>
              <w:t>RET-UC-006</w:t>
            </w:r>
          </w:p>
        </w:tc>
        <w:tc>
          <w:tcPr>
            <w:tcW w:type="dxa" w:w="1944"/>
            <w:vAlign w:val="top"/>
          </w:tcPr>
          <w:p>
            <w:r>
              <w:rPr>
                <w:sz w:val="14"/>
              </w:rPr>
              <w:t>Inventory allocation</w:t>
            </w:r>
          </w:p>
        </w:tc>
        <w:tc>
          <w:tcPr>
            <w:tcW w:type="dxa" w:w="1440"/>
            <w:vAlign w:val="top"/>
          </w:tcPr>
          <w:p>
            <w:r>
              <w:rPr>
                <w:sz w:val="14"/>
              </w:rPr>
              <w:t>Supply chain</w:t>
            </w:r>
          </w:p>
        </w:tc>
        <w:tc>
          <w:tcPr>
            <w:tcW w:type="dxa" w:w="2448"/>
            <w:vAlign w:val="top"/>
          </w:tcPr>
          <w:p>
            <w:r>
              <w:rPr>
                <w:sz w:val="14"/>
              </w:rPr>
              <w:t>Stock, sales, lead time and store data</w:t>
            </w:r>
          </w:p>
        </w:tc>
        <w:tc>
          <w:tcPr>
            <w:tcW w:type="dxa" w:w="1440"/>
            <w:vAlign w:val="top"/>
          </w:tcPr>
          <w:p>
            <w:r>
              <w:rPr>
                <w:sz w:val="14"/>
              </w:rPr>
              <w:t>Automated decision</w:t>
            </w:r>
          </w:p>
        </w:tc>
        <w:tc>
          <w:tcPr>
            <w:tcW w:type="dxa" w:w="1008"/>
            <w:vAlign w:val="top"/>
          </w:tcPr>
          <w:p>
            <w:r>
              <w:rPr>
                <w:sz w:val="14"/>
              </w:rPr>
              <w:t>Moderate</w:t>
            </w:r>
          </w:p>
        </w:tc>
        <w:tc>
          <w:tcPr>
            <w:tcW w:type="dxa" w:w="2016"/>
            <w:vAlign w:val="top"/>
          </w:tcPr>
          <w:p>
            <w:r>
              <w:rPr>
                <w:sz w:val="14"/>
              </w:rPr>
              <w:t>Risk-based review and escalation</w:t>
            </w:r>
          </w:p>
        </w:tc>
      </w:tr>
      <w:tr>
        <w:tc>
          <w:tcPr>
            <w:tcW w:type="dxa" w:w="1152"/>
            <w:vAlign w:val="top"/>
          </w:tcPr>
          <w:p>
            <w:r>
              <w:rPr>
                <w:sz w:val="14"/>
              </w:rPr>
              <w:t>RET-UC-007</w:t>
            </w:r>
          </w:p>
        </w:tc>
        <w:tc>
          <w:tcPr>
            <w:tcW w:type="dxa" w:w="1944"/>
            <w:vAlign w:val="top"/>
          </w:tcPr>
          <w:p>
            <w:r>
              <w:rPr>
                <w:sz w:val="14"/>
              </w:rPr>
              <w:t>Automated replenishment</w:t>
            </w:r>
          </w:p>
        </w:tc>
        <w:tc>
          <w:tcPr>
            <w:tcW w:type="dxa" w:w="1440"/>
            <w:vAlign w:val="top"/>
          </w:tcPr>
          <w:p>
            <w:r>
              <w:rPr>
                <w:sz w:val="14"/>
              </w:rPr>
              <w:t>Store operations</w:t>
            </w:r>
          </w:p>
        </w:tc>
        <w:tc>
          <w:tcPr>
            <w:tcW w:type="dxa" w:w="2448"/>
            <w:vAlign w:val="top"/>
          </w:tcPr>
          <w:p>
            <w:r>
              <w:rPr>
                <w:sz w:val="14"/>
              </w:rPr>
              <w:t>Inventory, sales and supplier feeds</w:t>
            </w:r>
          </w:p>
        </w:tc>
        <w:tc>
          <w:tcPr>
            <w:tcW w:type="dxa" w:w="1440"/>
            <w:vAlign w:val="top"/>
          </w:tcPr>
          <w:p>
            <w:r>
              <w:rPr>
                <w:sz w:val="14"/>
              </w:rPr>
              <w:t>Automated action</w:t>
            </w:r>
          </w:p>
        </w:tc>
        <w:tc>
          <w:tcPr>
            <w:tcW w:type="dxa" w:w="1008"/>
            <w:vAlign w:val="top"/>
          </w:tcPr>
          <w:p>
            <w:r>
              <w:rPr>
                <w:sz w:val="14"/>
              </w:rPr>
              <w:t>Moderate</w:t>
            </w:r>
          </w:p>
        </w:tc>
        <w:tc>
          <w:tcPr>
            <w:tcW w:type="dxa" w:w="2016"/>
            <w:vAlign w:val="top"/>
          </w:tcPr>
          <w:p>
            <w:r>
              <w:rPr>
                <w:sz w:val="14"/>
              </w:rPr>
              <w:t>Risk-based review and escalation</w:t>
            </w:r>
          </w:p>
        </w:tc>
      </w:tr>
      <w:tr>
        <w:tc>
          <w:tcPr>
            <w:tcW w:type="dxa" w:w="1152"/>
            <w:vAlign w:val="top"/>
          </w:tcPr>
          <w:p>
            <w:r>
              <w:rPr>
                <w:sz w:val="14"/>
              </w:rPr>
              <w:t>RET-UC-008</w:t>
            </w:r>
          </w:p>
        </w:tc>
        <w:tc>
          <w:tcPr>
            <w:tcW w:type="dxa" w:w="1944"/>
            <w:vAlign w:val="top"/>
          </w:tcPr>
          <w:p>
            <w:r>
              <w:rPr>
                <w:sz w:val="14"/>
              </w:rPr>
              <w:t>Warehouse robotics</w:t>
            </w:r>
          </w:p>
        </w:tc>
        <w:tc>
          <w:tcPr>
            <w:tcW w:type="dxa" w:w="1440"/>
            <w:vAlign w:val="top"/>
          </w:tcPr>
          <w:p>
            <w:r>
              <w:rPr>
                <w:sz w:val="14"/>
              </w:rPr>
              <w:t>Fulfilment</w:t>
            </w:r>
          </w:p>
        </w:tc>
        <w:tc>
          <w:tcPr>
            <w:tcW w:type="dxa" w:w="2448"/>
            <w:vAlign w:val="top"/>
          </w:tcPr>
          <w:p>
            <w:r>
              <w:rPr>
                <w:sz w:val="14"/>
              </w:rPr>
              <w:t>Sensor, order and route data</w:t>
            </w:r>
          </w:p>
        </w:tc>
        <w:tc>
          <w:tcPr>
            <w:tcW w:type="dxa" w:w="1440"/>
            <w:vAlign w:val="top"/>
          </w:tcPr>
          <w:p>
            <w:r>
              <w:rPr>
                <w:sz w:val="14"/>
              </w:rPr>
              <w:t>Physical AI</w:t>
            </w:r>
          </w:p>
        </w:tc>
        <w:tc>
          <w:tcPr>
            <w:tcW w:type="dxa" w:w="1008"/>
            <w:vAlign w:val="top"/>
          </w:tcPr>
          <w:p>
            <w:r>
              <w:rPr>
                <w:sz w:val="14"/>
              </w:rPr>
              <w:t>Critical</w:t>
            </w:r>
          </w:p>
        </w:tc>
        <w:tc>
          <w:tcPr>
            <w:tcW w:type="dxa" w:w="2016"/>
            <w:vAlign w:val="top"/>
          </w:tcPr>
          <w:p>
            <w:r>
              <w:rPr>
                <w:sz w:val="14"/>
              </w:rPr>
              <w:t>Mandatory pre- or post-decision review</w:t>
            </w:r>
          </w:p>
        </w:tc>
      </w:tr>
      <w:tr>
        <w:tc>
          <w:tcPr>
            <w:tcW w:type="dxa" w:w="1152"/>
            <w:vAlign w:val="top"/>
          </w:tcPr>
          <w:p>
            <w:r>
              <w:rPr>
                <w:sz w:val="14"/>
              </w:rPr>
              <w:t>RET-UC-009</w:t>
            </w:r>
          </w:p>
        </w:tc>
        <w:tc>
          <w:tcPr>
            <w:tcW w:type="dxa" w:w="1944"/>
            <w:vAlign w:val="top"/>
          </w:tcPr>
          <w:p>
            <w:r>
              <w:rPr>
                <w:sz w:val="14"/>
              </w:rPr>
              <w:t>Route and delivery optimisation</w:t>
            </w:r>
          </w:p>
        </w:tc>
        <w:tc>
          <w:tcPr>
            <w:tcW w:type="dxa" w:w="1440"/>
            <w:vAlign w:val="top"/>
          </w:tcPr>
          <w:p>
            <w:r>
              <w:rPr>
                <w:sz w:val="14"/>
              </w:rPr>
              <w:t>Logistics</w:t>
            </w:r>
          </w:p>
        </w:tc>
        <w:tc>
          <w:tcPr>
            <w:tcW w:type="dxa" w:w="2448"/>
            <w:vAlign w:val="top"/>
          </w:tcPr>
          <w:p>
            <w:r>
              <w:rPr>
                <w:sz w:val="14"/>
              </w:rPr>
              <w:t>Address, location, capacity and traffic</w:t>
            </w:r>
          </w:p>
        </w:tc>
        <w:tc>
          <w:tcPr>
            <w:tcW w:type="dxa" w:w="1440"/>
            <w:vAlign w:val="top"/>
          </w:tcPr>
          <w:p>
            <w:r>
              <w:rPr>
                <w:sz w:val="14"/>
              </w:rPr>
              <w:t>Decision support</w:t>
            </w:r>
          </w:p>
        </w:tc>
        <w:tc>
          <w:tcPr>
            <w:tcW w:type="dxa" w:w="1008"/>
            <w:vAlign w:val="top"/>
          </w:tcPr>
          <w:p>
            <w:r>
              <w:rPr>
                <w:sz w:val="14"/>
              </w:rPr>
              <w:t>Moderate</w:t>
            </w:r>
          </w:p>
        </w:tc>
        <w:tc>
          <w:tcPr>
            <w:tcW w:type="dxa" w:w="2016"/>
            <w:vAlign w:val="top"/>
          </w:tcPr>
          <w:p>
            <w:r>
              <w:rPr>
                <w:sz w:val="14"/>
              </w:rPr>
              <w:t>Risk-based review and escalation</w:t>
            </w:r>
          </w:p>
        </w:tc>
      </w:tr>
      <w:tr>
        <w:tc>
          <w:tcPr>
            <w:tcW w:type="dxa" w:w="1152"/>
            <w:vAlign w:val="top"/>
          </w:tcPr>
          <w:p>
            <w:r>
              <w:rPr>
                <w:sz w:val="14"/>
              </w:rPr>
              <w:t>RET-UC-010</w:t>
            </w:r>
          </w:p>
        </w:tc>
        <w:tc>
          <w:tcPr>
            <w:tcW w:type="dxa" w:w="1944"/>
            <w:vAlign w:val="top"/>
          </w:tcPr>
          <w:p>
            <w:r>
              <w:rPr>
                <w:sz w:val="14"/>
              </w:rPr>
              <w:t>Self-checkout vision</w:t>
            </w:r>
          </w:p>
        </w:tc>
        <w:tc>
          <w:tcPr>
            <w:tcW w:type="dxa" w:w="1440"/>
            <w:vAlign w:val="top"/>
          </w:tcPr>
          <w:p>
            <w:r>
              <w:rPr>
                <w:sz w:val="14"/>
              </w:rPr>
              <w:t>Store operations</w:t>
            </w:r>
          </w:p>
        </w:tc>
        <w:tc>
          <w:tcPr>
            <w:tcW w:type="dxa" w:w="2448"/>
            <w:vAlign w:val="top"/>
          </w:tcPr>
          <w:p>
            <w:r>
              <w:rPr>
                <w:sz w:val="14"/>
              </w:rPr>
              <w:t>Video, item and payment events</w:t>
            </w:r>
          </w:p>
        </w:tc>
        <w:tc>
          <w:tcPr>
            <w:tcW w:type="dxa" w:w="1440"/>
            <w:vAlign w:val="top"/>
          </w:tcPr>
          <w:p>
            <w:r>
              <w:rPr>
                <w:sz w:val="14"/>
              </w:rPr>
              <w:t>Decision support</w:t>
            </w:r>
          </w:p>
        </w:tc>
        <w:tc>
          <w:tcPr>
            <w:tcW w:type="dxa" w:w="1008"/>
            <w:vAlign w:val="top"/>
          </w:tcPr>
          <w:p>
            <w:r>
              <w:rPr>
                <w:sz w:val="14"/>
              </w:rPr>
              <w:t>High</w:t>
            </w:r>
          </w:p>
        </w:tc>
        <w:tc>
          <w:tcPr>
            <w:tcW w:type="dxa" w:w="2016"/>
            <w:vAlign w:val="top"/>
          </w:tcPr>
          <w:p>
            <w:r>
              <w:rPr>
                <w:sz w:val="14"/>
              </w:rPr>
              <w:t>Mandatory pre- or post-decision review</w:t>
            </w:r>
          </w:p>
        </w:tc>
      </w:tr>
      <w:tr>
        <w:tc>
          <w:tcPr>
            <w:tcW w:type="dxa" w:w="1152"/>
            <w:vAlign w:val="top"/>
          </w:tcPr>
          <w:p>
            <w:r>
              <w:rPr>
                <w:sz w:val="14"/>
              </w:rPr>
              <w:t>RET-UC-011</w:t>
            </w:r>
          </w:p>
        </w:tc>
        <w:tc>
          <w:tcPr>
            <w:tcW w:type="dxa" w:w="1944"/>
            <w:vAlign w:val="top"/>
          </w:tcPr>
          <w:p>
            <w:r>
              <w:rPr>
                <w:sz w:val="14"/>
              </w:rPr>
              <w:t>Computer-vision loss prevention</w:t>
            </w:r>
          </w:p>
        </w:tc>
        <w:tc>
          <w:tcPr>
            <w:tcW w:type="dxa" w:w="1440"/>
            <w:vAlign w:val="top"/>
          </w:tcPr>
          <w:p>
            <w:r>
              <w:rPr>
                <w:sz w:val="14"/>
              </w:rPr>
              <w:t>Loss prevention</w:t>
            </w:r>
          </w:p>
        </w:tc>
        <w:tc>
          <w:tcPr>
            <w:tcW w:type="dxa" w:w="2448"/>
            <w:vAlign w:val="top"/>
          </w:tcPr>
          <w:p>
            <w:r>
              <w:rPr>
                <w:sz w:val="14"/>
              </w:rPr>
              <w:t>Video, behavioural and transaction signals</w:t>
            </w:r>
          </w:p>
        </w:tc>
        <w:tc>
          <w:tcPr>
            <w:tcW w:type="dxa" w:w="1440"/>
            <w:vAlign w:val="top"/>
          </w:tcPr>
          <w:p>
            <w:r>
              <w:rPr>
                <w:sz w:val="14"/>
              </w:rPr>
              <w:t>High-impact alerting</w:t>
            </w:r>
          </w:p>
        </w:tc>
        <w:tc>
          <w:tcPr>
            <w:tcW w:type="dxa" w:w="1008"/>
            <w:vAlign w:val="top"/>
          </w:tcPr>
          <w:p>
            <w:r>
              <w:rPr>
                <w:sz w:val="14"/>
              </w:rPr>
              <w:t>High</w:t>
            </w:r>
          </w:p>
        </w:tc>
        <w:tc>
          <w:tcPr>
            <w:tcW w:type="dxa" w:w="2016"/>
            <w:vAlign w:val="top"/>
          </w:tcPr>
          <w:p>
            <w:r>
              <w:rPr>
                <w:sz w:val="14"/>
              </w:rPr>
              <w:t>Mandatory pre- or post-decision review</w:t>
            </w:r>
          </w:p>
        </w:tc>
      </w:tr>
      <w:tr>
        <w:tc>
          <w:tcPr>
            <w:tcW w:type="dxa" w:w="1152"/>
            <w:vAlign w:val="top"/>
          </w:tcPr>
          <w:p>
            <w:r>
              <w:rPr>
                <w:sz w:val="14"/>
              </w:rPr>
              <w:t>RET-UC-012</w:t>
            </w:r>
          </w:p>
        </w:tc>
        <w:tc>
          <w:tcPr>
            <w:tcW w:type="dxa" w:w="1944"/>
            <w:vAlign w:val="top"/>
          </w:tcPr>
          <w:p>
            <w:r>
              <w:rPr>
                <w:sz w:val="14"/>
              </w:rPr>
              <w:t>Fraud detection</w:t>
            </w:r>
          </w:p>
        </w:tc>
        <w:tc>
          <w:tcPr>
            <w:tcW w:type="dxa" w:w="1440"/>
            <w:vAlign w:val="top"/>
          </w:tcPr>
          <w:p>
            <w:r>
              <w:rPr>
                <w:sz w:val="14"/>
              </w:rPr>
              <w:t>Payments and fraud</w:t>
            </w:r>
          </w:p>
        </w:tc>
        <w:tc>
          <w:tcPr>
            <w:tcW w:type="dxa" w:w="2448"/>
            <w:vAlign w:val="top"/>
          </w:tcPr>
          <w:p>
            <w:r>
              <w:rPr>
                <w:sz w:val="14"/>
              </w:rPr>
              <w:t>Payment, device, identity and transaction data</w:t>
            </w:r>
          </w:p>
        </w:tc>
        <w:tc>
          <w:tcPr>
            <w:tcW w:type="dxa" w:w="1440"/>
            <w:vAlign w:val="top"/>
          </w:tcPr>
          <w:p>
            <w:r>
              <w:rPr>
                <w:sz w:val="14"/>
              </w:rPr>
              <w:t>Automated decision</w:t>
            </w:r>
          </w:p>
        </w:tc>
        <w:tc>
          <w:tcPr>
            <w:tcW w:type="dxa" w:w="1008"/>
            <w:vAlign w:val="top"/>
          </w:tcPr>
          <w:p>
            <w:r>
              <w:rPr>
                <w:sz w:val="14"/>
              </w:rPr>
              <w:t>Critical</w:t>
            </w:r>
          </w:p>
        </w:tc>
        <w:tc>
          <w:tcPr>
            <w:tcW w:type="dxa" w:w="2016"/>
            <w:vAlign w:val="top"/>
          </w:tcPr>
          <w:p>
            <w:r>
              <w:rPr>
                <w:sz w:val="14"/>
              </w:rPr>
              <w:t>Mandatory pre- or post-decision review</w:t>
            </w:r>
          </w:p>
        </w:tc>
      </w:tr>
      <w:tr>
        <w:tc>
          <w:tcPr>
            <w:tcW w:type="dxa" w:w="1152"/>
            <w:vAlign w:val="top"/>
          </w:tcPr>
          <w:p>
            <w:r>
              <w:rPr>
                <w:sz w:val="14"/>
              </w:rPr>
              <w:t>RET-UC-013</w:t>
            </w:r>
          </w:p>
        </w:tc>
        <w:tc>
          <w:tcPr>
            <w:tcW w:type="dxa" w:w="1944"/>
            <w:vAlign w:val="top"/>
          </w:tcPr>
          <w:p>
            <w:r>
              <w:rPr>
                <w:sz w:val="14"/>
              </w:rPr>
              <w:t>Payment-risk scoring</w:t>
            </w:r>
          </w:p>
        </w:tc>
        <w:tc>
          <w:tcPr>
            <w:tcW w:type="dxa" w:w="1440"/>
            <w:vAlign w:val="top"/>
          </w:tcPr>
          <w:p>
            <w:r>
              <w:rPr>
                <w:sz w:val="14"/>
              </w:rPr>
              <w:t>Payments and fraud</w:t>
            </w:r>
          </w:p>
        </w:tc>
        <w:tc>
          <w:tcPr>
            <w:tcW w:type="dxa" w:w="2448"/>
            <w:vAlign w:val="top"/>
          </w:tcPr>
          <w:p>
            <w:r>
              <w:rPr>
                <w:sz w:val="14"/>
              </w:rPr>
              <w:t>Payment, identity and behavioural signals</w:t>
            </w:r>
          </w:p>
        </w:tc>
        <w:tc>
          <w:tcPr>
            <w:tcW w:type="dxa" w:w="1440"/>
            <w:vAlign w:val="top"/>
          </w:tcPr>
          <w:p>
            <w:r>
              <w:rPr>
                <w:sz w:val="14"/>
              </w:rPr>
              <w:t>High-impact decision</w:t>
            </w:r>
          </w:p>
        </w:tc>
        <w:tc>
          <w:tcPr>
            <w:tcW w:type="dxa" w:w="1008"/>
            <w:vAlign w:val="top"/>
          </w:tcPr>
          <w:p>
            <w:r>
              <w:rPr>
                <w:sz w:val="14"/>
              </w:rPr>
              <w:t>Critical</w:t>
            </w:r>
          </w:p>
        </w:tc>
        <w:tc>
          <w:tcPr>
            <w:tcW w:type="dxa" w:w="2016"/>
            <w:vAlign w:val="top"/>
          </w:tcPr>
          <w:p>
            <w:r>
              <w:rPr>
                <w:sz w:val="14"/>
              </w:rPr>
              <w:t>Mandatory pre- or post-decision review</w:t>
            </w:r>
          </w:p>
        </w:tc>
      </w:tr>
      <w:tr>
        <w:tc>
          <w:tcPr>
            <w:tcW w:type="dxa" w:w="1152"/>
            <w:vAlign w:val="top"/>
          </w:tcPr>
          <w:p>
            <w:r>
              <w:rPr>
                <w:sz w:val="14"/>
              </w:rPr>
              <w:t>RET-UC-014</w:t>
            </w:r>
          </w:p>
        </w:tc>
        <w:tc>
          <w:tcPr>
            <w:tcW w:type="dxa" w:w="1944"/>
            <w:vAlign w:val="top"/>
          </w:tcPr>
          <w:p>
            <w:r>
              <w:rPr>
                <w:sz w:val="14"/>
              </w:rPr>
              <w:t>Customer-service chatbot</w:t>
            </w:r>
          </w:p>
        </w:tc>
        <w:tc>
          <w:tcPr>
            <w:tcW w:type="dxa" w:w="1440"/>
            <w:vAlign w:val="top"/>
          </w:tcPr>
          <w:p>
            <w:r>
              <w:rPr>
                <w:sz w:val="14"/>
              </w:rPr>
              <w:t>Customer service</w:t>
            </w:r>
          </w:p>
        </w:tc>
        <w:tc>
          <w:tcPr>
            <w:tcW w:type="dxa" w:w="2448"/>
            <w:vAlign w:val="top"/>
          </w:tcPr>
          <w:p>
            <w:r>
              <w:rPr>
                <w:sz w:val="14"/>
              </w:rPr>
              <w:t>Conversation, account and product data</w:t>
            </w:r>
          </w:p>
        </w:tc>
        <w:tc>
          <w:tcPr>
            <w:tcW w:type="dxa" w:w="1440"/>
            <w:vAlign w:val="top"/>
          </w:tcPr>
          <w:p>
            <w:r>
              <w:rPr>
                <w:sz w:val="14"/>
              </w:rPr>
              <w:t>Conversational assistance</w:t>
            </w:r>
          </w:p>
        </w:tc>
        <w:tc>
          <w:tcPr>
            <w:tcW w:type="dxa" w:w="1008"/>
            <w:vAlign w:val="top"/>
          </w:tcPr>
          <w:p>
            <w:r>
              <w:rPr>
                <w:sz w:val="14"/>
              </w:rPr>
              <w:t>Moderate</w:t>
            </w:r>
          </w:p>
        </w:tc>
        <w:tc>
          <w:tcPr>
            <w:tcW w:type="dxa" w:w="2016"/>
            <w:vAlign w:val="top"/>
          </w:tcPr>
          <w:p>
            <w:r>
              <w:rPr>
                <w:sz w:val="14"/>
              </w:rPr>
              <w:t>Risk-based review and escalation</w:t>
            </w:r>
          </w:p>
        </w:tc>
      </w:tr>
      <w:tr>
        <w:tc>
          <w:tcPr>
            <w:tcW w:type="dxa" w:w="1152"/>
            <w:vAlign w:val="top"/>
          </w:tcPr>
          <w:p>
            <w:r>
              <w:rPr>
                <w:sz w:val="14"/>
              </w:rPr>
              <w:t>RET-UC-015</w:t>
            </w:r>
          </w:p>
        </w:tc>
        <w:tc>
          <w:tcPr>
            <w:tcW w:type="dxa" w:w="1944"/>
            <w:vAlign w:val="top"/>
          </w:tcPr>
          <w:p>
            <w:r>
              <w:rPr>
                <w:sz w:val="14"/>
              </w:rPr>
              <w:t>Generative product descriptions</w:t>
            </w:r>
          </w:p>
        </w:tc>
        <w:tc>
          <w:tcPr>
            <w:tcW w:type="dxa" w:w="1440"/>
            <w:vAlign w:val="top"/>
          </w:tcPr>
          <w:p>
            <w:r>
              <w:rPr>
                <w:sz w:val="14"/>
              </w:rPr>
              <w:t>Content operations</w:t>
            </w:r>
          </w:p>
        </w:tc>
        <w:tc>
          <w:tcPr>
            <w:tcW w:type="dxa" w:w="2448"/>
            <w:vAlign w:val="top"/>
          </w:tcPr>
          <w:p>
            <w:r>
              <w:rPr>
                <w:sz w:val="14"/>
              </w:rPr>
              <w:t>Catalogue, supplier and brand data</w:t>
            </w:r>
          </w:p>
        </w:tc>
        <w:tc>
          <w:tcPr>
            <w:tcW w:type="dxa" w:w="1440"/>
            <w:vAlign w:val="top"/>
          </w:tcPr>
          <w:p>
            <w:r>
              <w:rPr>
                <w:sz w:val="14"/>
              </w:rPr>
              <w:t>Content generation</w:t>
            </w:r>
          </w:p>
        </w:tc>
        <w:tc>
          <w:tcPr>
            <w:tcW w:type="dxa" w:w="1008"/>
            <w:vAlign w:val="top"/>
          </w:tcPr>
          <w:p>
            <w:r>
              <w:rPr>
                <w:sz w:val="14"/>
              </w:rPr>
              <w:t>Moderate</w:t>
            </w:r>
          </w:p>
        </w:tc>
        <w:tc>
          <w:tcPr>
            <w:tcW w:type="dxa" w:w="2016"/>
            <w:vAlign w:val="top"/>
          </w:tcPr>
          <w:p>
            <w:r>
              <w:rPr>
                <w:sz w:val="14"/>
              </w:rPr>
              <w:t>Risk-based review and escalation</w:t>
            </w:r>
          </w:p>
        </w:tc>
      </w:tr>
      <w:tr>
        <w:tc>
          <w:tcPr>
            <w:tcW w:type="dxa" w:w="1152"/>
            <w:vAlign w:val="top"/>
          </w:tcPr>
          <w:p>
            <w:r>
              <w:rPr>
                <w:sz w:val="14"/>
              </w:rPr>
              <w:t>RET-UC-016</w:t>
            </w:r>
          </w:p>
        </w:tc>
        <w:tc>
          <w:tcPr>
            <w:tcW w:type="dxa" w:w="1944"/>
            <w:vAlign w:val="top"/>
          </w:tcPr>
          <w:p>
            <w:r>
              <w:rPr>
                <w:sz w:val="14"/>
              </w:rPr>
              <w:t>Marketing-content generation</w:t>
            </w:r>
          </w:p>
        </w:tc>
        <w:tc>
          <w:tcPr>
            <w:tcW w:type="dxa" w:w="1440"/>
            <w:vAlign w:val="top"/>
          </w:tcPr>
          <w:p>
            <w:r>
              <w:rPr>
                <w:sz w:val="14"/>
              </w:rPr>
              <w:t>Marketing</w:t>
            </w:r>
          </w:p>
        </w:tc>
        <w:tc>
          <w:tcPr>
            <w:tcW w:type="dxa" w:w="2448"/>
            <w:vAlign w:val="top"/>
          </w:tcPr>
          <w:p>
            <w:r>
              <w:rPr>
                <w:sz w:val="14"/>
              </w:rPr>
              <w:t>Campaign, brand and audience data</w:t>
            </w:r>
          </w:p>
        </w:tc>
        <w:tc>
          <w:tcPr>
            <w:tcW w:type="dxa" w:w="1440"/>
            <w:vAlign w:val="top"/>
          </w:tcPr>
          <w:p>
            <w:r>
              <w:rPr>
                <w:sz w:val="14"/>
              </w:rPr>
              <w:t>Content generation</w:t>
            </w:r>
          </w:p>
        </w:tc>
        <w:tc>
          <w:tcPr>
            <w:tcW w:type="dxa" w:w="1008"/>
            <w:vAlign w:val="top"/>
          </w:tcPr>
          <w:p>
            <w:r>
              <w:rPr>
                <w:sz w:val="14"/>
              </w:rPr>
              <w:t>Moderate</w:t>
            </w:r>
          </w:p>
        </w:tc>
        <w:tc>
          <w:tcPr>
            <w:tcW w:type="dxa" w:w="2016"/>
            <w:vAlign w:val="top"/>
          </w:tcPr>
          <w:p>
            <w:r>
              <w:rPr>
                <w:sz w:val="14"/>
              </w:rPr>
              <w:t>Risk-based review and escalation</w:t>
            </w:r>
          </w:p>
        </w:tc>
      </w:tr>
      <w:tr>
        <w:tc>
          <w:tcPr>
            <w:tcW w:type="dxa" w:w="1152"/>
            <w:vAlign w:val="top"/>
          </w:tcPr>
          <w:p>
            <w:r>
              <w:rPr>
                <w:sz w:val="14"/>
              </w:rPr>
              <w:t>RET-UC-017</w:t>
            </w:r>
          </w:p>
        </w:tc>
        <w:tc>
          <w:tcPr>
            <w:tcW w:type="dxa" w:w="1944"/>
            <w:vAlign w:val="top"/>
          </w:tcPr>
          <w:p>
            <w:r>
              <w:rPr>
                <w:sz w:val="14"/>
              </w:rPr>
              <w:t>Customer segmentation</w:t>
            </w:r>
          </w:p>
        </w:tc>
        <w:tc>
          <w:tcPr>
            <w:tcW w:type="dxa" w:w="1440"/>
            <w:vAlign w:val="top"/>
          </w:tcPr>
          <w:p>
            <w:r>
              <w:rPr>
                <w:sz w:val="14"/>
              </w:rPr>
              <w:t>Marketing analytics</w:t>
            </w:r>
          </w:p>
        </w:tc>
        <w:tc>
          <w:tcPr>
            <w:tcW w:type="dxa" w:w="2448"/>
            <w:vAlign w:val="top"/>
          </w:tcPr>
          <w:p>
            <w:r>
              <w:rPr>
                <w:sz w:val="14"/>
              </w:rPr>
              <w:t>Demographic, behavioural and transaction data</w:t>
            </w:r>
          </w:p>
        </w:tc>
        <w:tc>
          <w:tcPr>
            <w:tcW w:type="dxa" w:w="1440"/>
            <w:vAlign w:val="top"/>
          </w:tcPr>
          <w:p>
            <w:r>
              <w:rPr>
                <w:sz w:val="14"/>
              </w:rPr>
              <w:t>Profiling</w:t>
            </w:r>
          </w:p>
        </w:tc>
        <w:tc>
          <w:tcPr>
            <w:tcW w:type="dxa" w:w="1008"/>
            <w:vAlign w:val="top"/>
          </w:tcPr>
          <w:p>
            <w:r>
              <w:rPr>
                <w:sz w:val="14"/>
              </w:rPr>
              <w:t>Moderate</w:t>
            </w:r>
          </w:p>
        </w:tc>
        <w:tc>
          <w:tcPr>
            <w:tcW w:type="dxa" w:w="2016"/>
            <w:vAlign w:val="top"/>
          </w:tcPr>
          <w:p>
            <w:r>
              <w:rPr>
                <w:sz w:val="14"/>
              </w:rPr>
              <w:t>Risk-based review and escalation</w:t>
            </w:r>
          </w:p>
        </w:tc>
      </w:tr>
      <w:tr>
        <w:tc>
          <w:tcPr>
            <w:tcW w:type="dxa" w:w="1152"/>
            <w:vAlign w:val="top"/>
          </w:tcPr>
          <w:p>
            <w:r>
              <w:rPr>
                <w:sz w:val="14"/>
              </w:rPr>
              <w:t>RET-UC-018</w:t>
            </w:r>
          </w:p>
        </w:tc>
        <w:tc>
          <w:tcPr>
            <w:tcW w:type="dxa" w:w="1944"/>
            <w:vAlign w:val="top"/>
          </w:tcPr>
          <w:p>
            <w:r>
              <w:rPr>
                <w:sz w:val="14"/>
              </w:rPr>
              <w:t>Loyalty analytics</w:t>
            </w:r>
          </w:p>
        </w:tc>
        <w:tc>
          <w:tcPr>
            <w:tcW w:type="dxa" w:w="1440"/>
            <w:vAlign w:val="top"/>
          </w:tcPr>
          <w:p>
            <w:r>
              <w:rPr>
                <w:sz w:val="14"/>
              </w:rPr>
              <w:t>Loyalty operations</w:t>
            </w:r>
          </w:p>
        </w:tc>
        <w:tc>
          <w:tcPr>
            <w:tcW w:type="dxa" w:w="2448"/>
            <w:vAlign w:val="top"/>
          </w:tcPr>
          <w:p>
            <w:r>
              <w:rPr>
                <w:sz w:val="14"/>
              </w:rPr>
              <w:t>Identity, purchases, rewards and location</w:t>
            </w:r>
          </w:p>
        </w:tc>
        <w:tc>
          <w:tcPr>
            <w:tcW w:type="dxa" w:w="1440"/>
            <w:vAlign w:val="top"/>
          </w:tcPr>
          <w:p>
            <w:r>
              <w:rPr>
                <w:sz w:val="14"/>
              </w:rPr>
              <w:t>Profiling</w:t>
            </w:r>
          </w:p>
        </w:tc>
        <w:tc>
          <w:tcPr>
            <w:tcW w:type="dxa" w:w="1008"/>
            <w:vAlign w:val="top"/>
          </w:tcPr>
          <w:p>
            <w:r>
              <w:rPr>
                <w:sz w:val="14"/>
              </w:rPr>
              <w:t>Moderate</w:t>
            </w:r>
          </w:p>
        </w:tc>
        <w:tc>
          <w:tcPr>
            <w:tcW w:type="dxa" w:w="2016"/>
            <w:vAlign w:val="top"/>
          </w:tcPr>
          <w:p>
            <w:r>
              <w:rPr>
                <w:sz w:val="14"/>
              </w:rPr>
              <w:t>Risk-based review and escalation</w:t>
            </w:r>
          </w:p>
        </w:tc>
      </w:tr>
      <w:tr>
        <w:tc>
          <w:tcPr>
            <w:tcW w:type="dxa" w:w="1152"/>
            <w:vAlign w:val="top"/>
          </w:tcPr>
          <w:p>
            <w:r>
              <w:rPr>
                <w:sz w:val="14"/>
              </w:rPr>
              <w:t>RET-UC-019</w:t>
            </w:r>
          </w:p>
        </w:tc>
        <w:tc>
          <w:tcPr>
            <w:tcW w:type="dxa" w:w="1944"/>
            <w:vAlign w:val="top"/>
          </w:tcPr>
          <w:p>
            <w:r>
              <w:rPr>
                <w:sz w:val="14"/>
              </w:rPr>
              <w:t>Retail media targeting</w:t>
            </w:r>
          </w:p>
        </w:tc>
        <w:tc>
          <w:tcPr>
            <w:tcW w:type="dxa" w:w="1440"/>
            <w:vAlign w:val="top"/>
          </w:tcPr>
          <w:p>
            <w:r>
              <w:rPr>
                <w:sz w:val="14"/>
              </w:rPr>
              <w:t>Retail media</w:t>
            </w:r>
          </w:p>
        </w:tc>
        <w:tc>
          <w:tcPr>
            <w:tcW w:type="dxa" w:w="2448"/>
            <w:vAlign w:val="top"/>
          </w:tcPr>
          <w:p>
            <w:r>
              <w:rPr>
                <w:sz w:val="14"/>
              </w:rPr>
              <w:t>Audience, purchase and browsing data</w:t>
            </w:r>
          </w:p>
        </w:tc>
        <w:tc>
          <w:tcPr>
            <w:tcW w:type="dxa" w:w="1440"/>
            <w:vAlign w:val="top"/>
          </w:tcPr>
          <w:p>
            <w:r>
              <w:rPr>
                <w:sz w:val="14"/>
              </w:rPr>
              <w:t>Automated targeting</w:t>
            </w:r>
          </w:p>
        </w:tc>
        <w:tc>
          <w:tcPr>
            <w:tcW w:type="dxa" w:w="1008"/>
            <w:vAlign w:val="top"/>
          </w:tcPr>
          <w:p>
            <w:r>
              <w:rPr>
                <w:sz w:val="14"/>
              </w:rPr>
              <w:t>Moderate</w:t>
            </w:r>
          </w:p>
        </w:tc>
        <w:tc>
          <w:tcPr>
            <w:tcW w:type="dxa" w:w="2016"/>
            <w:vAlign w:val="top"/>
          </w:tcPr>
          <w:p>
            <w:r>
              <w:rPr>
                <w:sz w:val="14"/>
              </w:rPr>
              <w:t>Risk-based review and escalation</w:t>
            </w:r>
          </w:p>
        </w:tc>
      </w:tr>
      <w:tr>
        <w:tc>
          <w:tcPr>
            <w:tcW w:type="dxa" w:w="1152"/>
            <w:vAlign w:val="top"/>
          </w:tcPr>
          <w:p>
            <w:r>
              <w:rPr>
                <w:sz w:val="14"/>
              </w:rPr>
              <w:t>RET-UC-020</w:t>
            </w:r>
          </w:p>
        </w:tc>
        <w:tc>
          <w:tcPr>
            <w:tcW w:type="dxa" w:w="1944"/>
            <w:vAlign w:val="top"/>
          </w:tcPr>
          <w:p>
            <w:r>
              <w:rPr>
                <w:sz w:val="14"/>
              </w:rPr>
              <w:t>Facial recognition</w:t>
            </w:r>
          </w:p>
        </w:tc>
        <w:tc>
          <w:tcPr>
            <w:tcW w:type="dxa" w:w="1440"/>
            <w:vAlign w:val="top"/>
          </w:tcPr>
          <w:p>
            <w:r>
              <w:rPr>
                <w:sz w:val="14"/>
              </w:rPr>
              <w:t>Store security</w:t>
            </w:r>
          </w:p>
        </w:tc>
        <w:tc>
          <w:tcPr>
            <w:tcW w:type="dxa" w:w="2448"/>
            <w:vAlign w:val="top"/>
          </w:tcPr>
          <w:p>
            <w:r>
              <w:rPr>
                <w:sz w:val="14"/>
              </w:rPr>
              <w:t>Biometric templates and video</w:t>
            </w:r>
          </w:p>
        </w:tc>
        <w:tc>
          <w:tcPr>
            <w:tcW w:type="dxa" w:w="1440"/>
            <w:vAlign w:val="top"/>
          </w:tcPr>
          <w:p>
            <w:r>
              <w:rPr>
                <w:sz w:val="14"/>
              </w:rPr>
              <w:t>Identification</w:t>
            </w:r>
          </w:p>
        </w:tc>
        <w:tc>
          <w:tcPr>
            <w:tcW w:type="dxa" w:w="1008"/>
            <w:vAlign w:val="top"/>
          </w:tcPr>
          <w:p>
            <w:r>
              <w:rPr>
                <w:sz w:val="14"/>
              </w:rPr>
              <w:t>Critical</w:t>
            </w:r>
          </w:p>
        </w:tc>
        <w:tc>
          <w:tcPr>
            <w:tcW w:type="dxa" w:w="2016"/>
            <w:vAlign w:val="top"/>
          </w:tcPr>
          <w:p>
            <w:r>
              <w:rPr>
                <w:sz w:val="14"/>
              </w:rPr>
              <w:t>Mandatory pre- or post-decision review</w:t>
            </w:r>
          </w:p>
        </w:tc>
      </w:tr>
      <w:tr>
        <w:tc>
          <w:tcPr>
            <w:tcW w:type="dxa" w:w="1152"/>
            <w:vAlign w:val="top"/>
          </w:tcPr>
          <w:p>
            <w:r>
              <w:rPr>
                <w:sz w:val="14"/>
              </w:rPr>
              <w:t>RET-UC-021</w:t>
            </w:r>
          </w:p>
        </w:tc>
        <w:tc>
          <w:tcPr>
            <w:tcW w:type="dxa" w:w="1944"/>
            <w:vAlign w:val="top"/>
          </w:tcPr>
          <w:p>
            <w:r>
              <w:rPr>
                <w:sz w:val="14"/>
              </w:rPr>
              <w:t>Age estimation</w:t>
            </w:r>
          </w:p>
        </w:tc>
        <w:tc>
          <w:tcPr>
            <w:tcW w:type="dxa" w:w="1440"/>
            <w:vAlign w:val="top"/>
          </w:tcPr>
          <w:p>
            <w:r>
              <w:rPr>
                <w:sz w:val="14"/>
              </w:rPr>
              <w:t>Restricted sales</w:t>
            </w:r>
          </w:p>
        </w:tc>
        <w:tc>
          <w:tcPr>
            <w:tcW w:type="dxa" w:w="2448"/>
            <w:vAlign w:val="top"/>
          </w:tcPr>
          <w:p>
            <w:r>
              <w:rPr>
                <w:sz w:val="14"/>
              </w:rPr>
              <w:t>Facial image or video</w:t>
            </w:r>
          </w:p>
        </w:tc>
        <w:tc>
          <w:tcPr>
            <w:tcW w:type="dxa" w:w="1440"/>
            <w:vAlign w:val="top"/>
          </w:tcPr>
          <w:p>
            <w:r>
              <w:rPr>
                <w:sz w:val="14"/>
              </w:rPr>
              <w:t>Decision support</w:t>
            </w:r>
          </w:p>
        </w:tc>
        <w:tc>
          <w:tcPr>
            <w:tcW w:type="dxa" w:w="1008"/>
            <w:vAlign w:val="top"/>
          </w:tcPr>
          <w:p>
            <w:r>
              <w:rPr>
                <w:sz w:val="14"/>
              </w:rPr>
              <w:t>High</w:t>
            </w:r>
          </w:p>
        </w:tc>
        <w:tc>
          <w:tcPr>
            <w:tcW w:type="dxa" w:w="2016"/>
            <w:vAlign w:val="top"/>
          </w:tcPr>
          <w:p>
            <w:r>
              <w:rPr>
                <w:sz w:val="14"/>
              </w:rPr>
              <w:t>Mandatory pre- or post-decision review</w:t>
            </w:r>
          </w:p>
        </w:tc>
      </w:tr>
      <w:tr>
        <w:tc>
          <w:tcPr>
            <w:tcW w:type="dxa" w:w="1152"/>
            <w:vAlign w:val="top"/>
          </w:tcPr>
          <w:p>
            <w:r>
              <w:rPr>
                <w:sz w:val="14"/>
              </w:rPr>
              <w:t>RET-UC-022</w:t>
            </w:r>
          </w:p>
        </w:tc>
        <w:tc>
          <w:tcPr>
            <w:tcW w:type="dxa" w:w="1944"/>
            <w:vAlign w:val="top"/>
          </w:tcPr>
          <w:p>
            <w:r>
              <w:rPr>
                <w:sz w:val="14"/>
              </w:rPr>
              <w:t>Workforce scheduling</w:t>
            </w:r>
          </w:p>
        </w:tc>
        <w:tc>
          <w:tcPr>
            <w:tcW w:type="dxa" w:w="1440"/>
            <w:vAlign w:val="top"/>
          </w:tcPr>
          <w:p>
            <w:r>
              <w:rPr>
                <w:sz w:val="14"/>
              </w:rPr>
              <w:t>Human resources</w:t>
            </w:r>
          </w:p>
        </w:tc>
        <w:tc>
          <w:tcPr>
            <w:tcW w:type="dxa" w:w="2448"/>
            <w:vAlign w:val="top"/>
          </w:tcPr>
          <w:p>
            <w:r>
              <w:rPr>
                <w:sz w:val="14"/>
              </w:rPr>
              <w:t>Availability, performance and demand</w:t>
            </w:r>
          </w:p>
        </w:tc>
        <w:tc>
          <w:tcPr>
            <w:tcW w:type="dxa" w:w="1440"/>
            <w:vAlign w:val="top"/>
          </w:tcPr>
          <w:p>
            <w:r>
              <w:rPr>
                <w:sz w:val="14"/>
              </w:rPr>
              <w:t>Employment decision support</w:t>
            </w:r>
          </w:p>
        </w:tc>
        <w:tc>
          <w:tcPr>
            <w:tcW w:type="dxa" w:w="1008"/>
            <w:vAlign w:val="top"/>
          </w:tcPr>
          <w:p>
            <w:r>
              <w:rPr>
                <w:sz w:val="14"/>
              </w:rPr>
              <w:t>Moderate</w:t>
            </w:r>
          </w:p>
        </w:tc>
        <w:tc>
          <w:tcPr>
            <w:tcW w:type="dxa" w:w="2016"/>
            <w:vAlign w:val="top"/>
          </w:tcPr>
          <w:p>
            <w:r>
              <w:rPr>
                <w:sz w:val="14"/>
              </w:rPr>
              <w:t>Risk-based review and escalation</w:t>
            </w:r>
          </w:p>
        </w:tc>
      </w:tr>
      <w:tr>
        <w:tc>
          <w:tcPr>
            <w:tcW w:type="dxa" w:w="1152"/>
            <w:vAlign w:val="top"/>
          </w:tcPr>
          <w:p>
            <w:r>
              <w:rPr>
                <w:sz w:val="14"/>
              </w:rPr>
              <w:t>RET-UC-023</w:t>
            </w:r>
          </w:p>
        </w:tc>
        <w:tc>
          <w:tcPr>
            <w:tcW w:type="dxa" w:w="1944"/>
            <w:vAlign w:val="top"/>
          </w:tcPr>
          <w:p>
            <w:r>
              <w:rPr>
                <w:sz w:val="14"/>
              </w:rPr>
              <w:t>Employee productivity monitoring</w:t>
            </w:r>
          </w:p>
        </w:tc>
        <w:tc>
          <w:tcPr>
            <w:tcW w:type="dxa" w:w="1440"/>
            <w:vAlign w:val="top"/>
          </w:tcPr>
          <w:p>
            <w:r>
              <w:rPr>
                <w:sz w:val="14"/>
              </w:rPr>
              <w:t>Human resources</w:t>
            </w:r>
          </w:p>
        </w:tc>
        <w:tc>
          <w:tcPr>
            <w:tcW w:type="dxa" w:w="2448"/>
            <w:vAlign w:val="top"/>
          </w:tcPr>
          <w:p>
            <w:r>
              <w:rPr>
                <w:sz w:val="14"/>
              </w:rPr>
              <w:t>Activity, location and performance data</w:t>
            </w:r>
          </w:p>
        </w:tc>
        <w:tc>
          <w:tcPr>
            <w:tcW w:type="dxa" w:w="1440"/>
            <w:vAlign w:val="top"/>
          </w:tcPr>
          <w:p>
            <w:r>
              <w:rPr>
                <w:sz w:val="14"/>
              </w:rPr>
              <w:t>Monitoring</w:t>
            </w:r>
          </w:p>
        </w:tc>
        <w:tc>
          <w:tcPr>
            <w:tcW w:type="dxa" w:w="1008"/>
            <w:vAlign w:val="top"/>
          </w:tcPr>
          <w:p>
            <w:r>
              <w:rPr>
                <w:sz w:val="14"/>
              </w:rPr>
              <w:t>Moderate</w:t>
            </w:r>
          </w:p>
        </w:tc>
        <w:tc>
          <w:tcPr>
            <w:tcW w:type="dxa" w:w="2016"/>
            <w:vAlign w:val="top"/>
          </w:tcPr>
          <w:p>
            <w:r>
              <w:rPr>
                <w:sz w:val="14"/>
              </w:rPr>
              <w:t>Risk-based review and escalation</w:t>
            </w:r>
          </w:p>
        </w:tc>
      </w:tr>
      <w:tr>
        <w:tc>
          <w:tcPr>
            <w:tcW w:type="dxa" w:w="1152"/>
            <w:vAlign w:val="top"/>
          </w:tcPr>
          <w:p>
            <w:r>
              <w:rPr>
                <w:sz w:val="14"/>
              </w:rPr>
              <w:t>RET-UC-024</w:t>
            </w:r>
          </w:p>
        </w:tc>
        <w:tc>
          <w:tcPr>
            <w:tcW w:type="dxa" w:w="1944"/>
            <w:vAlign w:val="top"/>
          </w:tcPr>
          <w:p>
            <w:r>
              <w:rPr>
                <w:sz w:val="14"/>
              </w:rPr>
              <w:t>Hiring and screening</w:t>
            </w:r>
          </w:p>
        </w:tc>
        <w:tc>
          <w:tcPr>
            <w:tcW w:type="dxa" w:w="1440"/>
            <w:vAlign w:val="top"/>
          </w:tcPr>
          <w:p>
            <w:r>
              <w:rPr>
                <w:sz w:val="14"/>
              </w:rPr>
              <w:t>Human resources</w:t>
            </w:r>
          </w:p>
        </w:tc>
        <w:tc>
          <w:tcPr>
            <w:tcW w:type="dxa" w:w="2448"/>
            <w:vAlign w:val="top"/>
          </w:tcPr>
          <w:p>
            <w:r>
              <w:rPr>
                <w:sz w:val="14"/>
              </w:rPr>
              <w:t>Applications, assessments and interviews</w:t>
            </w:r>
          </w:p>
        </w:tc>
        <w:tc>
          <w:tcPr>
            <w:tcW w:type="dxa" w:w="1440"/>
            <w:vAlign w:val="top"/>
          </w:tcPr>
          <w:p>
            <w:r>
              <w:rPr>
                <w:sz w:val="14"/>
              </w:rPr>
              <w:t>High-impact decision</w:t>
            </w:r>
          </w:p>
        </w:tc>
        <w:tc>
          <w:tcPr>
            <w:tcW w:type="dxa" w:w="1008"/>
            <w:vAlign w:val="top"/>
          </w:tcPr>
          <w:p>
            <w:r>
              <w:rPr>
                <w:sz w:val="14"/>
              </w:rPr>
              <w:t>Critical</w:t>
            </w:r>
          </w:p>
        </w:tc>
        <w:tc>
          <w:tcPr>
            <w:tcW w:type="dxa" w:w="2016"/>
            <w:vAlign w:val="top"/>
          </w:tcPr>
          <w:p>
            <w:r>
              <w:rPr>
                <w:sz w:val="14"/>
              </w:rPr>
              <w:t>Mandatory pre- or post-decision review</w:t>
            </w:r>
          </w:p>
        </w:tc>
      </w:tr>
      <w:tr>
        <w:tc>
          <w:tcPr>
            <w:tcW w:type="dxa" w:w="1152"/>
            <w:vAlign w:val="top"/>
          </w:tcPr>
          <w:p>
            <w:r>
              <w:rPr>
                <w:sz w:val="14"/>
              </w:rPr>
              <w:t>RET-UC-025</w:t>
            </w:r>
          </w:p>
        </w:tc>
        <w:tc>
          <w:tcPr>
            <w:tcW w:type="dxa" w:w="1944"/>
            <w:vAlign w:val="top"/>
          </w:tcPr>
          <w:p>
            <w:r>
              <w:rPr>
                <w:sz w:val="14"/>
              </w:rPr>
              <w:t>Returns-abuse detection</w:t>
            </w:r>
          </w:p>
        </w:tc>
        <w:tc>
          <w:tcPr>
            <w:tcW w:type="dxa" w:w="1440"/>
            <w:vAlign w:val="top"/>
          </w:tcPr>
          <w:p>
            <w:r>
              <w:rPr>
                <w:sz w:val="14"/>
              </w:rPr>
              <w:t>Returns and fraud</w:t>
            </w:r>
          </w:p>
        </w:tc>
        <w:tc>
          <w:tcPr>
            <w:tcW w:type="dxa" w:w="2448"/>
            <w:vAlign w:val="top"/>
          </w:tcPr>
          <w:p>
            <w:r>
              <w:rPr>
                <w:sz w:val="14"/>
              </w:rPr>
              <w:t>Returns, identity, transaction and device data</w:t>
            </w:r>
          </w:p>
        </w:tc>
        <w:tc>
          <w:tcPr>
            <w:tcW w:type="dxa" w:w="1440"/>
            <w:vAlign w:val="top"/>
          </w:tcPr>
          <w:p>
            <w:r>
              <w:rPr>
                <w:sz w:val="14"/>
              </w:rPr>
              <w:t>Automated decision</w:t>
            </w:r>
          </w:p>
        </w:tc>
        <w:tc>
          <w:tcPr>
            <w:tcW w:type="dxa" w:w="1008"/>
            <w:vAlign w:val="top"/>
          </w:tcPr>
          <w:p>
            <w:r>
              <w:rPr>
                <w:sz w:val="14"/>
              </w:rPr>
              <w:t>High</w:t>
            </w:r>
          </w:p>
        </w:tc>
        <w:tc>
          <w:tcPr>
            <w:tcW w:type="dxa" w:w="2016"/>
            <w:vAlign w:val="top"/>
          </w:tcPr>
          <w:p>
            <w:r>
              <w:rPr>
                <w:sz w:val="14"/>
              </w:rPr>
              <w:t>Mandatory pre- or post-decision review</w:t>
            </w:r>
          </w:p>
        </w:tc>
      </w:tr>
      <w:tr>
        <w:tc>
          <w:tcPr>
            <w:tcW w:type="dxa" w:w="1152"/>
            <w:vAlign w:val="top"/>
          </w:tcPr>
          <w:p>
            <w:r>
              <w:rPr>
                <w:sz w:val="14"/>
              </w:rPr>
              <w:t>RET-UC-026</w:t>
            </w:r>
          </w:p>
        </w:tc>
        <w:tc>
          <w:tcPr>
            <w:tcW w:type="dxa" w:w="1944"/>
            <w:vAlign w:val="top"/>
          </w:tcPr>
          <w:p>
            <w:r>
              <w:rPr>
                <w:sz w:val="14"/>
              </w:rPr>
              <w:t>Counterfeit detection</w:t>
            </w:r>
          </w:p>
        </w:tc>
        <w:tc>
          <w:tcPr>
            <w:tcW w:type="dxa" w:w="1440"/>
            <w:vAlign w:val="top"/>
          </w:tcPr>
          <w:p>
            <w:r>
              <w:rPr>
                <w:sz w:val="14"/>
              </w:rPr>
              <w:t>Marketplace integrity</w:t>
            </w:r>
          </w:p>
        </w:tc>
        <w:tc>
          <w:tcPr>
            <w:tcW w:type="dxa" w:w="2448"/>
            <w:vAlign w:val="top"/>
          </w:tcPr>
          <w:p>
            <w:r>
              <w:rPr>
                <w:sz w:val="14"/>
              </w:rPr>
              <w:t>Images, listings, seller and provenance data</w:t>
            </w:r>
          </w:p>
        </w:tc>
        <w:tc>
          <w:tcPr>
            <w:tcW w:type="dxa" w:w="1440"/>
            <w:vAlign w:val="top"/>
          </w:tcPr>
          <w:p>
            <w:r>
              <w:rPr>
                <w:sz w:val="14"/>
              </w:rPr>
              <w:t>Decision support</w:t>
            </w:r>
          </w:p>
        </w:tc>
        <w:tc>
          <w:tcPr>
            <w:tcW w:type="dxa" w:w="1008"/>
            <w:vAlign w:val="top"/>
          </w:tcPr>
          <w:p>
            <w:r>
              <w:rPr>
                <w:sz w:val="14"/>
              </w:rPr>
              <w:t>Moderate</w:t>
            </w:r>
          </w:p>
        </w:tc>
        <w:tc>
          <w:tcPr>
            <w:tcW w:type="dxa" w:w="2016"/>
            <w:vAlign w:val="top"/>
          </w:tcPr>
          <w:p>
            <w:r>
              <w:rPr>
                <w:sz w:val="14"/>
              </w:rPr>
              <w:t>Risk-based review and escalation</w:t>
            </w:r>
          </w:p>
        </w:tc>
      </w:tr>
      <w:tr>
        <w:tc>
          <w:tcPr>
            <w:tcW w:type="dxa" w:w="1152"/>
            <w:vAlign w:val="top"/>
          </w:tcPr>
          <w:p>
            <w:r>
              <w:rPr>
                <w:sz w:val="14"/>
              </w:rPr>
              <w:t>RET-UC-027</w:t>
            </w:r>
          </w:p>
        </w:tc>
        <w:tc>
          <w:tcPr>
            <w:tcW w:type="dxa" w:w="1944"/>
            <w:vAlign w:val="top"/>
          </w:tcPr>
          <w:p>
            <w:r>
              <w:rPr>
                <w:sz w:val="14"/>
              </w:rPr>
              <w:t>Visual search and virtual try-on</w:t>
            </w:r>
          </w:p>
        </w:tc>
        <w:tc>
          <w:tcPr>
            <w:tcW w:type="dxa" w:w="1440"/>
            <w:vAlign w:val="top"/>
          </w:tcPr>
          <w:p>
            <w:r>
              <w:rPr>
                <w:sz w:val="14"/>
              </w:rPr>
              <w:t>Customer experience</w:t>
            </w:r>
          </w:p>
        </w:tc>
        <w:tc>
          <w:tcPr>
            <w:tcW w:type="dxa" w:w="2448"/>
            <w:vAlign w:val="top"/>
          </w:tcPr>
          <w:p>
            <w:r>
              <w:rPr>
                <w:sz w:val="14"/>
              </w:rPr>
              <w:t>Images, body or facial features and catalogue</w:t>
            </w:r>
          </w:p>
        </w:tc>
        <w:tc>
          <w:tcPr>
            <w:tcW w:type="dxa" w:w="1440"/>
            <w:vAlign w:val="top"/>
          </w:tcPr>
          <w:p>
            <w:r>
              <w:rPr>
                <w:sz w:val="14"/>
              </w:rPr>
              <w:t>Interactive assistance</w:t>
            </w:r>
          </w:p>
        </w:tc>
        <w:tc>
          <w:tcPr>
            <w:tcW w:type="dxa" w:w="1008"/>
            <w:vAlign w:val="top"/>
          </w:tcPr>
          <w:p>
            <w:r>
              <w:rPr>
                <w:sz w:val="14"/>
              </w:rPr>
              <w:t>Moderate</w:t>
            </w:r>
          </w:p>
        </w:tc>
        <w:tc>
          <w:tcPr>
            <w:tcW w:type="dxa" w:w="2016"/>
            <w:vAlign w:val="top"/>
          </w:tcPr>
          <w:p>
            <w:r>
              <w:rPr>
                <w:sz w:val="14"/>
              </w:rPr>
              <w:t>Risk-based review and escalation</w:t>
            </w:r>
          </w:p>
        </w:tc>
      </w:tr>
      <w:tr>
        <w:tc>
          <w:tcPr>
            <w:tcW w:type="dxa" w:w="1152"/>
            <w:vAlign w:val="top"/>
          </w:tcPr>
          <w:p>
            <w:r>
              <w:rPr>
                <w:sz w:val="14"/>
              </w:rPr>
              <w:t>RET-UC-028</w:t>
            </w:r>
          </w:p>
        </w:tc>
        <w:tc>
          <w:tcPr>
            <w:tcW w:type="dxa" w:w="1944"/>
            <w:vAlign w:val="top"/>
          </w:tcPr>
          <w:p>
            <w:r>
              <w:rPr>
                <w:sz w:val="14"/>
              </w:rPr>
              <w:t>Smart shelves and store analytics</w:t>
            </w:r>
          </w:p>
        </w:tc>
        <w:tc>
          <w:tcPr>
            <w:tcW w:type="dxa" w:w="1440"/>
            <w:vAlign w:val="top"/>
          </w:tcPr>
          <w:p>
            <w:r>
              <w:rPr>
                <w:sz w:val="14"/>
              </w:rPr>
              <w:t>Store operations</w:t>
            </w:r>
          </w:p>
        </w:tc>
        <w:tc>
          <w:tcPr>
            <w:tcW w:type="dxa" w:w="2448"/>
            <w:vAlign w:val="top"/>
          </w:tcPr>
          <w:p>
            <w:r>
              <w:rPr>
                <w:sz w:val="14"/>
              </w:rPr>
              <w:t>Sensor, shelf, video and inventory data</w:t>
            </w:r>
          </w:p>
        </w:tc>
        <w:tc>
          <w:tcPr>
            <w:tcW w:type="dxa" w:w="1440"/>
            <w:vAlign w:val="top"/>
          </w:tcPr>
          <w:p>
            <w:r>
              <w:rPr>
                <w:sz w:val="14"/>
              </w:rPr>
              <w:t>Edge analytics</w:t>
            </w:r>
          </w:p>
        </w:tc>
        <w:tc>
          <w:tcPr>
            <w:tcW w:type="dxa" w:w="1008"/>
            <w:vAlign w:val="top"/>
          </w:tcPr>
          <w:p>
            <w:r>
              <w:rPr>
                <w:sz w:val="14"/>
              </w:rPr>
              <w:t>Moderate</w:t>
            </w:r>
          </w:p>
        </w:tc>
        <w:tc>
          <w:tcPr>
            <w:tcW w:type="dxa" w:w="2016"/>
            <w:vAlign w:val="top"/>
          </w:tcPr>
          <w:p>
            <w:r>
              <w:rPr>
                <w:sz w:val="14"/>
              </w:rPr>
              <w:t>Risk-based review and escalation</w:t>
            </w:r>
          </w:p>
        </w:tc>
      </w:tr>
      <w:tr>
        <w:tc>
          <w:tcPr>
            <w:tcW w:type="dxa" w:w="1152"/>
            <w:vAlign w:val="top"/>
          </w:tcPr>
          <w:p>
            <w:r>
              <w:rPr>
                <w:sz w:val="14"/>
              </w:rPr>
              <w:t>RET-UC-029</w:t>
            </w:r>
          </w:p>
        </w:tc>
        <w:tc>
          <w:tcPr>
            <w:tcW w:type="dxa" w:w="1944"/>
            <w:vAlign w:val="top"/>
          </w:tcPr>
          <w:p>
            <w:r>
              <w:rPr>
                <w:sz w:val="14"/>
              </w:rPr>
              <w:t>Autonomous store systems</w:t>
            </w:r>
          </w:p>
        </w:tc>
        <w:tc>
          <w:tcPr>
            <w:tcW w:type="dxa" w:w="1440"/>
            <w:vAlign w:val="top"/>
          </w:tcPr>
          <w:p>
            <w:r>
              <w:rPr>
                <w:sz w:val="14"/>
              </w:rPr>
              <w:t>Store operations</w:t>
            </w:r>
          </w:p>
        </w:tc>
        <w:tc>
          <w:tcPr>
            <w:tcW w:type="dxa" w:w="2448"/>
            <w:vAlign w:val="top"/>
          </w:tcPr>
          <w:p>
            <w:r>
              <w:rPr>
                <w:sz w:val="14"/>
              </w:rPr>
              <w:t>Video, sensor, identity and transaction data</w:t>
            </w:r>
          </w:p>
        </w:tc>
        <w:tc>
          <w:tcPr>
            <w:tcW w:type="dxa" w:w="1440"/>
            <w:vAlign w:val="top"/>
          </w:tcPr>
          <w:p>
            <w:r>
              <w:rPr>
                <w:sz w:val="14"/>
              </w:rPr>
              <w:t>Autonomous system</w:t>
            </w:r>
          </w:p>
        </w:tc>
        <w:tc>
          <w:tcPr>
            <w:tcW w:type="dxa" w:w="1008"/>
            <w:vAlign w:val="top"/>
          </w:tcPr>
          <w:p>
            <w:r>
              <w:rPr>
                <w:sz w:val="14"/>
              </w:rPr>
              <w:t>Critical</w:t>
            </w:r>
          </w:p>
        </w:tc>
        <w:tc>
          <w:tcPr>
            <w:tcW w:type="dxa" w:w="2016"/>
            <w:vAlign w:val="top"/>
          </w:tcPr>
          <w:p>
            <w:r>
              <w:rPr>
                <w:sz w:val="14"/>
              </w:rPr>
              <w:t>Mandatory pre- or post-decision review</w:t>
            </w:r>
          </w:p>
        </w:tc>
      </w:tr>
      <w:tr>
        <w:tc>
          <w:tcPr>
            <w:tcW w:type="dxa" w:w="1152"/>
            <w:vAlign w:val="top"/>
          </w:tcPr>
          <w:p>
            <w:r>
              <w:rPr>
                <w:sz w:val="14"/>
              </w:rPr>
              <w:t>RET-UC-030</w:t>
            </w:r>
          </w:p>
        </w:tc>
        <w:tc>
          <w:tcPr>
            <w:tcW w:type="dxa" w:w="1944"/>
            <w:vAlign w:val="top"/>
          </w:tcPr>
          <w:p>
            <w:r>
              <w:rPr>
                <w:sz w:val="14"/>
              </w:rPr>
              <w:t>Developer copilots and code generation</w:t>
            </w:r>
          </w:p>
        </w:tc>
        <w:tc>
          <w:tcPr>
            <w:tcW w:type="dxa" w:w="1440"/>
            <w:vAlign w:val="top"/>
          </w:tcPr>
          <w:p>
            <w:r>
              <w:rPr>
                <w:sz w:val="14"/>
              </w:rPr>
              <w:t>Retail technology</w:t>
            </w:r>
          </w:p>
        </w:tc>
        <w:tc>
          <w:tcPr>
            <w:tcW w:type="dxa" w:w="2448"/>
            <w:vAlign w:val="top"/>
          </w:tcPr>
          <w:p>
            <w:r>
              <w:rPr>
                <w:sz w:val="14"/>
              </w:rPr>
              <w:t>Source code, prompts, repositories and tickets</w:t>
            </w:r>
          </w:p>
        </w:tc>
        <w:tc>
          <w:tcPr>
            <w:tcW w:type="dxa" w:w="1440"/>
            <w:vAlign w:val="top"/>
          </w:tcPr>
          <w:p>
            <w:r>
              <w:rPr>
                <w:sz w:val="14"/>
              </w:rPr>
              <w:t>Engineering assistance</w:t>
            </w:r>
          </w:p>
        </w:tc>
        <w:tc>
          <w:tcPr>
            <w:tcW w:type="dxa" w:w="1008"/>
            <w:vAlign w:val="top"/>
          </w:tcPr>
          <w:p>
            <w:r>
              <w:rPr>
                <w:sz w:val="14"/>
              </w:rPr>
              <w:t>Moderate</w:t>
            </w:r>
          </w:p>
        </w:tc>
        <w:tc>
          <w:tcPr>
            <w:tcW w:type="dxa" w:w="2016"/>
            <w:vAlign w:val="top"/>
          </w:tcPr>
          <w:p>
            <w:r>
              <w:rPr>
                <w:sz w:val="14"/>
              </w:rPr>
              <w:t>Risk-based review and escalation</w:t>
            </w:r>
          </w:p>
        </w:tc>
      </w:tr>
      <w:tr>
        <w:tc>
          <w:tcPr>
            <w:tcW w:type="dxa" w:w="1152"/>
            <w:vAlign w:val="top"/>
          </w:tcPr>
          <w:p>
            <w:r>
              <w:rPr>
                <w:sz w:val="14"/>
              </w:rPr>
              <w:t>RET-UC-031</w:t>
            </w:r>
          </w:p>
        </w:tc>
        <w:tc>
          <w:tcPr>
            <w:tcW w:type="dxa" w:w="1944"/>
            <w:vAlign w:val="top"/>
          </w:tcPr>
          <w:p>
            <w:r>
              <w:rPr>
                <w:sz w:val="14"/>
              </w:rPr>
              <w:t>Third-party foundation-model API</w:t>
            </w:r>
          </w:p>
        </w:tc>
        <w:tc>
          <w:tcPr>
            <w:tcW w:type="dxa" w:w="1440"/>
            <w:vAlign w:val="top"/>
          </w:tcPr>
          <w:p>
            <w:r>
              <w:rPr>
                <w:sz w:val="14"/>
              </w:rPr>
              <w:t>Enterprise AI</w:t>
            </w:r>
          </w:p>
        </w:tc>
        <w:tc>
          <w:tcPr>
            <w:tcW w:type="dxa" w:w="2448"/>
            <w:vAlign w:val="top"/>
          </w:tcPr>
          <w:p>
            <w:r>
              <w:rPr>
                <w:sz w:val="14"/>
              </w:rPr>
              <w:t>Prompts, retrieval data and generated outputs</w:t>
            </w:r>
          </w:p>
        </w:tc>
        <w:tc>
          <w:tcPr>
            <w:tcW w:type="dxa" w:w="1440"/>
            <w:vAlign w:val="top"/>
          </w:tcPr>
          <w:p>
            <w:r>
              <w:rPr>
                <w:sz w:val="14"/>
              </w:rPr>
              <w:t>External dependency</w:t>
            </w:r>
          </w:p>
        </w:tc>
        <w:tc>
          <w:tcPr>
            <w:tcW w:type="dxa" w:w="1008"/>
            <w:vAlign w:val="top"/>
          </w:tcPr>
          <w:p>
            <w:r>
              <w:rPr>
                <w:sz w:val="14"/>
              </w:rPr>
              <w:t>Moderate</w:t>
            </w:r>
          </w:p>
        </w:tc>
        <w:tc>
          <w:tcPr>
            <w:tcW w:type="dxa" w:w="2016"/>
            <w:vAlign w:val="top"/>
          </w:tcPr>
          <w:p>
            <w:r>
              <w:rPr>
                <w:sz w:val="14"/>
              </w:rPr>
              <w:t>Risk-based review and escalation</w:t>
            </w:r>
          </w:p>
        </w:tc>
      </w:tr>
      <w:tr>
        <w:tc>
          <w:tcPr>
            <w:tcW w:type="dxa" w:w="1152"/>
            <w:vAlign w:val="top"/>
          </w:tcPr>
          <w:p>
            <w:r>
              <w:rPr>
                <w:sz w:val="14"/>
              </w:rPr>
              <w:t>RET-UC-032</w:t>
            </w:r>
          </w:p>
        </w:tc>
        <w:tc>
          <w:tcPr>
            <w:tcW w:type="dxa" w:w="1944"/>
            <w:vAlign w:val="top"/>
          </w:tcPr>
          <w:p>
            <w:r>
              <w:rPr>
                <w:sz w:val="14"/>
              </w:rPr>
              <w:t>Synthetic retail data generation</w:t>
            </w:r>
          </w:p>
        </w:tc>
        <w:tc>
          <w:tcPr>
            <w:tcW w:type="dxa" w:w="1440"/>
            <w:vAlign w:val="top"/>
          </w:tcPr>
          <w:p>
            <w:r>
              <w:rPr>
                <w:sz w:val="14"/>
              </w:rPr>
              <w:t>Data science</w:t>
            </w:r>
          </w:p>
        </w:tc>
        <w:tc>
          <w:tcPr>
            <w:tcW w:type="dxa" w:w="2448"/>
            <w:vAlign w:val="top"/>
          </w:tcPr>
          <w:p>
            <w:r>
              <w:rPr>
                <w:sz w:val="14"/>
              </w:rPr>
              <w:t>Production distributions and schemas</w:t>
            </w:r>
          </w:p>
        </w:tc>
        <w:tc>
          <w:tcPr>
            <w:tcW w:type="dxa" w:w="1440"/>
            <w:vAlign w:val="top"/>
          </w:tcPr>
          <w:p>
            <w:r>
              <w:rPr>
                <w:sz w:val="14"/>
              </w:rPr>
              <w:t>Data generation</w:t>
            </w:r>
          </w:p>
        </w:tc>
        <w:tc>
          <w:tcPr>
            <w:tcW w:type="dxa" w:w="1008"/>
            <w:vAlign w:val="top"/>
          </w:tcPr>
          <w:p>
            <w:r>
              <w:rPr>
                <w:sz w:val="14"/>
              </w:rPr>
              <w:t>Moderate</w:t>
            </w:r>
          </w:p>
        </w:tc>
        <w:tc>
          <w:tcPr>
            <w:tcW w:type="dxa" w:w="2016"/>
            <w:vAlign w:val="top"/>
          </w:tcPr>
          <w:p>
            <w:r>
              <w:rPr>
                <w:sz w:val="14"/>
              </w:rPr>
              <w:t>Risk-based review and escalation</w:t>
            </w:r>
          </w:p>
        </w:tc>
      </w:tr>
    </w:tbl>
    <w:p/>
    <w:p>
      <w:pPr>
        <w:pStyle w:val="Heading1"/>
      </w:pPr>
      <w:r>
        <w:t>4. Retail threat and failure landscape</w:t>
      </w:r>
    </w:p>
    <w:p>
      <w:r>
        <w:t>Analysis of public disclosures supports several demonstrated AI attack classes [T2], while retail-specific frequency and loss data remain incomplete. Academic and technical simulations support plausible attack paths [T3]. The register below separates demonstrated classes from contextual sector exposures [T2-T3].</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rPr>
          <w:tblHeader w:val="true"/>
        </w:trPr>
        <w:tc>
          <w:tcPr>
            <w:tcW w:type="dxa" w:w="1152"/>
            <w:shd w:fill="17365D"/>
            <w:vAlign w:val="center"/>
          </w:tcPr>
          <w:p>
            <w:r>
              <w:rPr>
                <w:b/>
                <w:color w:val="FFFFFF"/>
                <w:sz w:val="14"/>
              </w:rPr>
              <w:t>ID</w:t>
            </w:r>
          </w:p>
        </w:tc>
        <w:tc>
          <w:tcPr>
            <w:tcW w:type="dxa" w:w="1800"/>
            <w:shd w:fill="17365D"/>
            <w:vAlign w:val="center"/>
          </w:tcPr>
          <w:p>
            <w:r>
              <w:rPr>
                <w:b/>
                <w:color w:val="FFFFFF"/>
                <w:sz w:val="14"/>
              </w:rPr>
              <w:t>Threat or failure</w:t>
            </w:r>
          </w:p>
        </w:tc>
        <w:tc>
          <w:tcPr>
            <w:tcW w:type="dxa" w:w="1800"/>
            <w:shd w:fill="17365D"/>
            <w:vAlign w:val="center"/>
          </w:tcPr>
          <w:p>
            <w:r>
              <w:rPr>
                <w:b/>
                <w:color w:val="FFFFFF"/>
                <w:sz w:val="14"/>
              </w:rPr>
              <w:t>Actor/source</w:t>
            </w:r>
          </w:p>
        </w:tc>
        <w:tc>
          <w:tcPr>
            <w:tcW w:type="dxa" w:w="2592"/>
            <w:shd w:fill="17365D"/>
            <w:vAlign w:val="center"/>
          </w:tcPr>
          <w:p>
            <w:r>
              <w:rPr>
                <w:b/>
                <w:color w:val="FFFFFF"/>
                <w:sz w:val="14"/>
              </w:rPr>
              <w:t>Pathway</w:t>
            </w:r>
          </w:p>
        </w:tc>
        <w:tc>
          <w:tcPr>
            <w:tcW w:type="dxa" w:w="1440"/>
            <w:shd w:fill="17365D"/>
            <w:vAlign w:val="center"/>
          </w:tcPr>
          <w:p>
            <w:r>
              <w:rPr>
                <w:b/>
                <w:color w:val="FFFFFF"/>
                <w:sz w:val="14"/>
              </w:rPr>
              <w:t>Evidence</w:t>
            </w:r>
          </w:p>
        </w:tc>
        <w:tc>
          <w:tcPr>
            <w:tcW w:type="dxa" w:w="2016"/>
            <w:shd w:fill="17365D"/>
            <w:vAlign w:val="center"/>
          </w:tcPr>
          <w:p>
            <w:r>
              <w:rPr>
                <w:b/>
                <w:color w:val="FFFFFF"/>
                <w:sz w:val="14"/>
              </w:rPr>
              <w:t>Uncertainty</w:t>
            </w:r>
          </w:p>
        </w:tc>
      </w:tr>
      <w:tr>
        <w:tc>
          <w:tcPr>
            <w:tcW w:type="dxa" w:w="1152"/>
            <w:vAlign w:val="top"/>
          </w:tcPr>
          <w:p>
            <w:r>
              <w:rPr>
                <w:sz w:val="14"/>
              </w:rPr>
              <w:t>RET-THR-001</w:t>
            </w:r>
          </w:p>
        </w:tc>
        <w:tc>
          <w:tcPr>
            <w:tcW w:type="dxa" w:w="1800"/>
            <w:vAlign w:val="top"/>
          </w:tcPr>
          <w:p>
            <w:r>
              <w:rPr>
                <w:sz w:val="14"/>
              </w:rPr>
              <w:t>Training-data poisoning</w:t>
            </w:r>
          </w:p>
        </w:tc>
        <w:tc>
          <w:tcPr>
            <w:tcW w:type="dxa" w:w="1800"/>
            <w:vAlign w:val="top"/>
          </w:tcPr>
          <w:p>
            <w:r>
              <w:rPr>
                <w:sz w:val="14"/>
              </w:rPr>
              <w:t>Malicious supplier, insider or external attacker</w:t>
            </w:r>
          </w:p>
        </w:tc>
        <w:tc>
          <w:tcPr>
            <w:tcW w:type="dxa" w:w="2592"/>
            <w:vAlign w:val="top"/>
          </w:tcPr>
          <w:p>
            <w:r>
              <w:rPr>
                <w:sz w:val="14"/>
              </w:rPr>
              <w:t>Corrupts model behaviour through manipulated data</w:t>
            </w:r>
          </w:p>
        </w:tc>
        <w:tc>
          <w:tcPr>
            <w:tcW w:type="dxa" w:w="1440"/>
            <w:vAlign w:val="top"/>
          </w:tcPr>
          <w:p>
            <w:r>
              <w:rPr>
                <w:sz w:val="14"/>
              </w:rPr>
              <w:t>T2 demonstrated/observed class</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RET-THR-002</w:t>
            </w:r>
          </w:p>
        </w:tc>
        <w:tc>
          <w:tcPr>
            <w:tcW w:type="dxa" w:w="1800"/>
            <w:vAlign w:val="top"/>
          </w:tcPr>
          <w:p>
            <w:r>
              <w:rPr>
                <w:sz w:val="14"/>
              </w:rPr>
              <w:t>Retrieval poisoning</w:t>
            </w:r>
          </w:p>
        </w:tc>
        <w:tc>
          <w:tcPr>
            <w:tcW w:type="dxa" w:w="1800"/>
            <w:vAlign w:val="top"/>
          </w:tcPr>
          <w:p>
            <w:r>
              <w:rPr>
                <w:sz w:val="14"/>
              </w:rPr>
              <w:t>Seller, advertiser or content attacker</w:t>
            </w:r>
          </w:p>
        </w:tc>
        <w:tc>
          <w:tcPr>
            <w:tcW w:type="dxa" w:w="2592"/>
            <w:vAlign w:val="top"/>
          </w:tcPr>
          <w:p>
            <w:r>
              <w:rPr>
                <w:sz w:val="14"/>
              </w:rPr>
              <w:t>Injects misleading catalogue or knowledge-base content</w:t>
            </w:r>
          </w:p>
        </w:tc>
        <w:tc>
          <w:tcPr>
            <w:tcW w:type="dxa" w:w="1440"/>
            <w:vAlign w:val="top"/>
          </w:tcPr>
          <w:p>
            <w:r>
              <w:rPr>
                <w:sz w:val="14"/>
              </w:rPr>
              <w:t>T3 plausible sector exposure</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RET-THR-003</w:t>
            </w:r>
          </w:p>
        </w:tc>
        <w:tc>
          <w:tcPr>
            <w:tcW w:type="dxa" w:w="1800"/>
            <w:vAlign w:val="top"/>
          </w:tcPr>
          <w:p>
            <w:r>
              <w:rPr>
                <w:sz w:val="14"/>
              </w:rPr>
              <w:t>Prompt injection</w:t>
            </w:r>
          </w:p>
        </w:tc>
        <w:tc>
          <w:tcPr>
            <w:tcW w:type="dxa" w:w="1800"/>
            <w:vAlign w:val="top"/>
          </w:tcPr>
          <w:p>
            <w:r>
              <w:rPr>
                <w:sz w:val="14"/>
              </w:rPr>
              <w:t>Customer, attacker or compromised content source</w:t>
            </w:r>
          </w:p>
        </w:tc>
        <w:tc>
          <w:tcPr>
            <w:tcW w:type="dxa" w:w="2592"/>
            <w:vAlign w:val="top"/>
          </w:tcPr>
          <w:p>
            <w:r>
              <w:rPr>
                <w:sz w:val="14"/>
              </w:rPr>
              <w:t>Overrides intended chatbot or agent instructions</w:t>
            </w:r>
          </w:p>
        </w:tc>
        <w:tc>
          <w:tcPr>
            <w:tcW w:type="dxa" w:w="1440"/>
            <w:vAlign w:val="top"/>
          </w:tcPr>
          <w:p>
            <w:r>
              <w:rPr>
                <w:sz w:val="14"/>
              </w:rPr>
              <w:t>T2 demonstrated/observed class</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RET-THR-004</w:t>
            </w:r>
          </w:p>
        </w:tc>
        <w:tc>
          <w:tcPr>
            <w:tcW w:type="dxa" w:w="1800"/>
            <w:vAlign w:val="top"/>
          </w:tcPr>
          <w:p>
            <w:r>
              <w:rPr>
                <w:sz w:val="14"/>
              </w:rPr>
              <w:t>Indirect prompt injection</w:t>
            </w:r>
          </w:p>
        </w:tc>
        <w:tc>
          <w:tcPr>
            <w:tcW w:type="dxa" w:w="1800"/>
            <w:vAlign w:val="top"/>
          </w:tcPr>
          <w:p>
            <w:r>
              <w:rPr>
                <w:sz w:val="14"/>
              </w:rPr>
              <w:t>Compromised webpage, email, review or document</w:t>
            </w:r>
          </w:p>
        </w:tc>
        <w:tc>
          <w:tcPr>
            <w:tcW w:type="dxa" w:w="2592"/>
            <w:vAlign w:val="top"/>
          </w:tcPr>
          <w:p>
            <w:r>
              <w:rPr>
                <w:sz w:val="14"/>
              </w:rPr>
              <w:t>Triggers hidden instructions through retrieved content</w:t>
            </w:r>
          </w:p>
        </w:tc>
        <w:tc>
          <w:tcPr>
            <w:tcW w:type="dxa" w:w="1440"/>
            <w:vAlign w:val="top"/>
          </w:tcPr>
          <w:p>
            <w:r>
              <w:rPr>
                <w:sz w:val="14"/>
              </w:rPr>
              <w:t>T3 plausible sector exposure</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RET-THR-005</w:t>
            </w:r>
          </w:p>
        </w:tc>
        <w:tc>
          <w:tcPr>
            <w:tcW w:type="dxa" w:w="1800"/>
            <w:vAlign w:val="top"/>
          </w:tcPr>
          <w:p>
            <w:r>
              <w:rPr>
                <w:sz w:val="14"/>
              </w:rPr>
              <w:t>Model extraction</w:t>
            </w:r>
          </w:p>
        </w:tc>
        <w:tc>
          <w:tcPr>
            <w:tcW w:type="dxa" w:w="1800"/>
            <w:vAlign w:val="top"/>
          </w:tcPr>
          <w:p>
            <w:r>
              <w:rPr>
                <w:sz w:val="14"/>
              </w:rPr>
              <w:t>Competitor or cybercriminal</w:t>
            </w:r>
          </w:p>
        </w:tc>
        <w:tc>
          <w:tcPr>
            <w:tcW w:type="dxa" w:w="2592"/>
            <w:vAlign w:val="top"/>
          </w:tcPr>
          <w:p>
            <w:r>
              <w:rPr>
                <w:sz w:val="14"/>
              </w:rPr>
              <w:t>Steals model behaviour through systematic querying</w:t>
            </w:r>
          </w:p>
        </w:tc>
        <w:tc>
          <w:tcPr>
            <w:tcW w:type="dxa" w:w="1440"/>
            <w:vAlign w:val="top"/>
          </w:tcPr>
          <w:p>
            <w:r>
              <w:rPr>
                <w:sz w:val="14"/>
              </w:rPr>
              <w:t>T2 demonstrated/observed class</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RET-THR-006</w:t>
            </w:r>
          </w:p>
        </w:tc>
        <w:tc>
          <w:tcPr>
            <w:tcW w:type="dxa" w:w="1800"/>
            <w:vAlign w:val="top"/>
          </w:tcPr>
          <w:p>
            <w:r>
              <w:rPr>
                <w:sz w:val="14"/>
              </w:rPr>
              <w:t>Membership or data inference</w:t>
            </w:r>
          </w:p>
        </w:tc>
        <w:tc>
          <w:tcPr>
            <w:tcW w:type="dxa" w:w="1800"/>
            <w:vAlign w:val="top"/>
          </w:tcPr>
          <w:p>
            <w:r>
              <w:rPr>
                <w:sz w:val="14"/>
              </w:rPr>
              <w:t>External attacker</w:t>
            </w:r>
          </w:p>
        </w:tc>
        <w:tc>
          <w:tcPr>
            <w:tcW w:type="dxa" w:w="2592"/>
            <w:vAlign w:val="top"/>
          </w:tcPr>
          <w:p>
            <w:r>
              <w:rPr>
                <w:sz w:val="14"/>
              </w:rPr>
              <w:t>Infers sensitive customer or training-set information</w:t>
            </w:r>
          </w:p>
        </w:tc>
        <w:tc>
          <w:tcPr>
            <w:tcW w:type="dxa" w:w="1440"/>
            <w:vAlign w:val="top"/>
          </w:tcPr>
          <w:p>
            <w:r>
              <w:rPr>
                <w:sz w:val="14"/>
              </w:rPr>
              <w:t>T3 plausible sector exposure</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RET-THR-007</w:t>
            </w:r>
          </w:p>
        </w:tc>
        <w:tc>
          <w:tcPr>
            <w:tcW w:type="dxa" w:w="1800"/>
            <w:vAlign w:val="top"/>
          </w:tcPr>
          <w:p>
            <w:r>
              <w:rPr>
                <w:sz w:val="14"/>
              </w:rPr>
              <w:t>API credential theft</w:t>
            </w:r>
          </w:p>
        </w:tc>
        <w:tc>
          <w:tcPr>
            <w:tcW w:type="dxa" w:w="1800"/>
            <w:vAlign w:val="top"/>
          </w:tcPr>
          <w:p>
            <w:r>
              <w:rPr>
                <w:sz w:val="14"/>
              </w:rPr>
              <w:t>Cybercriminal or insider</w:t>
            </w:r>
          </w:p>
        </w:tc>
        <w:tc>
          <w:tcPr>
            <w:tcW w:type="dxa" w:w="2592"/>
            <w:vAlign w:val="top"/>
          </w:tcPr>
          <w:p>
            <w:r>
              <w:rPr>
                <w:sz w:val="14"/>
              </w:rPr>
              <w:t>Obtains privileged access to model or platform APIs</w:t>
            </w:r>
          </w:p>
        </w:tc>
        <w:tc>
          <w:tcPr>
            <w:tcW w:type="dxa" w:w="1440"/>
            <w:vAlign w:val="top"/>
          </w:tcPr>
          <w:p>
            <w:r>
              <w:rPr>
                <w:sz w:val="14"/>
              </w:rPr>
              <w:t>T2 demonstrated/observed class</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RET-THR-008</w:t>
            </w:r>
          </w:p>
        </w:tc>
        <w:tc>
          <w:tcPr>
            <w:tcW w:type="dxa" w:w="1800"/>
            <w:vAlign w:val="top"/>
          </w:tcPr>
          <w:p>
            <w:r>
              <w:rPr>
                <w:sz w:val="14"/>
              </w:rPr>
              <w:t>Agent tool abuse</w:t>
            </w:r>
          </w:p>
        </w:tc>
        <w:tc>
          <w:tcPr>
            <w:tcW w:type="dxa" w:w="1800"/>
            <w:vAlign w:val="top"/>
          </w:tcPr>
          <w:p>
            <w:r>
              <w:rPr>
                <w:sz w:val="14"/>
              </w:rPr>
              <w:t>Customer, insider or attacker</w:t>
            </w:r>
          </w:p>
        </w:tc>
        <w:tc>
          <w:tcPr>
            <w:tcW w:type="dxa" w:w="2592"/>
            <w:vAlign w:val="top"/>
          </w:tcPr>
          <w:p>
            <w:r>
              <w:rPr>
                <w:sz w:val="14"/>
              </w:rPr>
              <w:t>Causes agent to invoke refunds, promotions or account actions</w:t>
            </w:r>
          </w:p>
        </w:tc>
        <w:tc>
          <w:tcPr>
            <w:tcW w:type="dxa" w:w="1440"/>
            <w:vAlign w:val="top"/>
          </w:tcPr>
          <w:p>
            <w:r>
              <w:rPr>
                <w:sz w:val="14"/>
              </w:rPr>
              <w:t>T3 plausible sector exposure</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RET-THR-009</w:t>
            </w:r>
          </w:p>
        </w:tc>
        <w:tc>
          <w:tcPr>
            <w:tcW w:type="dxa" w:w="1800"/>
            <w:vAlign w:val="top"/>
          </w:tcPr>
          <w:p>
            <w:r>
              <w:rPr>
                <w:sz w:val="14"/>
              </w:rPr>
              <w:t>Inter-agent trust failure</w:t>
            </w:r>
          </w:p>
        </w:tc>
        <w:tc>
          <w:tcPr>
            <w:tcW w:type="dxa" w:w="1800"/>
            <w:vAlign w:val="top"/>
          </w:tcPr>
          <w:p>
            <w:r>
              <w:rPr>
                <w:sz w:val="14"/>
              </w:rPr>
              <w:t>Compromised autonomous component</w:t>
            </w:r>
          </w:p>
        </w:tc>
        <w:tc>
          <w:tcPr>
            <w:tcW w:type="dxa" w:w="2592"/>
            <w:vAlign w:val="top"/>
          </w:tcPr>
          <w:p>
            <w:r>
              <w:rPr>
                <w:sz w:val="14"/>
              </w:rPr>
              <w:t>Propagates untrusted instructions across agents</w:t>
            </w:r>
          </w:p>
        </w:tc>
        <w:tc>
          <w:tcPr>
            <w:tcW w:type="dxa" w:w="1440"/>
            <w:vAlign w:val="top"/>
          </w:tcPr>
          <w:p>
            <w:r>
              <w:rPr>
                <w:sz w:val="14"/>
              </w:rPr>
              <w:t>T3 plausible sector exposure</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RET-THR-010</w:t>
            </w:r>
          </w:p>
        </w:tc>
        <w:tc>
          <w:tcPr>
            <w:tcW w:type="dxa" w:w="1800"/>
            <w:vAlign w:val="top"/>
          </w:tcPr>
          <w:p>
            <w:r>
              <w:rPr>
                <w:sz w:val="14"/>
              </w:rPr>
              <w:t>Uncontrolled model update</w:t>
            </w:r>
          </w:p>
        </w:tc>
        <w:tc>
          <w:tcPr>
            <w:tcW w:type="dxa" w:w="1800"/>
            <w:vAlign w:val="top"/>
          </w:tcPr>
          <w:p>
            <w:r>
              <w:rPr>
                <w:sz w:val="14"/>
              </w:rPr>
              <w:t>Provider or change-management failure</w:t>
            </w:r>
          </w:p>
        </w:tc>
        <w:tc>
          <w:tcPr>
            <w:tcW w:type="dxa" w:w="2592"/>
            <w:vAlign w:val="top"/>
          </w:tcPr>
          <w:p>
            <w:r>
              <w:rPr>
                <w:sz w:val="14"/>
              </w:rPr>
              <w:t>Changes behaviour without retailer approval or validation</w:t>
            </w:r>
          </w:p>
        </w:tc>
        <w:tc>
          <w:tcPr>
            <w:tcW w:type="dxa" w:w="1440"/>
            <w:vAlign w:val="top"/>
          </w:tcPr>
          <w:p>
            <w:r>
              <w:rPr>
                <w:sz w:val="14"/>
              </w:rPr>
              <w:t>T3 plausible sector exposure</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RET-THR-011</w:t>
            </w:r>
          </w:p>
        </w:tc>
        <w:tc>
          <w:tcPr>
            <w:tcW w:type="dxa" w:w="1800"/>
            <w:vAlign w:val="top"/>
          </w:tcPr>
          <w:p>
            <w:r>
              <w:rPr>
                <w:sz w:val="14"/>
              </w:rPr>
              <w:t>Vendor outage or withdrawal</w:t>
            </w:r>
          </w:p>
        </w:tc>
        <w:tc>
          <w:tcPr>
            <w:tcW w:type="dxa" w:w="1800"/>
            <w:vAlign w:val="top"/>
          </w:tcPr>
          <w:p>
            <w:r>
              <w:rPr>
                <w:sz w:val="14"/>
              </w:rPr>
              <w:t>Third-party provider</w:t>
            </w:r>
          </w:p>
        </w:tc>
        <w:tc>
          <w:tcPr>
            <w:tcW w:type="dxa" w:w="2592"/>
            <w:vAlign w:val="top"/>
          </w:tcPr>
          <w:p>
            <w:r>
              <w:rPr>
                <w:sz w:val="14"/>
              </w:rPr>
              <w:t>Removes critical AI service or support</w:t>
            </w:r>
          </w:p>
        </w:tc>
        <w:tc>
          <w:tcPr>
            <w:tcW w:type="dxa" w:w="1440"/>
            <w:vAlign w:val="top"/>
          </w:tcPr>
          <w:p>
            <w:r>
              <w:rPr>
                <w:sz w:val="14"/>
              </w:rPr>
              <w:t>T3 plausible sector exposure</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RET-THR-012</w:t>
            </w:r>
          </w:p>
        </w:tc>
        <w:tc>
          <w:tcPr>
            <w:tcW w:type="dxa" w:w="1800"/>
            <w:vAlign w:val="top"/>
          </w:tcPr>
          <w:p>
            <w:r>
              <w:rPr>
                <w:sz w:val="14"/>
              </w:rPr>
              <w:t>Supplier data reuse</w:t>
            </w:r>
          </w:p>
        </w:tc>
        <w:tc>
          <w:tcPr>
            <w:tcW w:type="dxa" w:w="1800"/>
            <w:vAlign w:val="top"/>
          </w:tcPr>
          <w:p>
            <w:r>
              <w:rPr>
                <w:sz w:val="14"/>
              </w:rPr>
              <w:t>Third-party provider</w:t>
            </w:r>
          </w:p>
        </w:tc>
        <w:tc>
          <w:tcPr>
            <w:tcW w:type="dxa" w:w="2592"/>
            <w:vAlign w:val="top"/>
          </w:tcPr>
          <w:p>
            <w:r>
              <w:rPr>
                <w:sz w:val="14"/>
              </w:rPr>
              <w:t>Uses retailer data for training beyond agreed purpose</w:t>
            </w:r>
          </w:p>
        </w:tc>
        <w:tc>
          <w:tcPr>
            <w:tcW w:type="dxa" w:w="1440"/>
            <w:vAlign w:val="top"/>
          </w:tcPr>
          <w:p>
            <w:r>
              <w:rPr>
                <w:sz w:val="14"/>
              </w:rPr>
              <w:t>T3 plausible sector exposure</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RET-THR-013</w:t>
            </w:r>
          </w:p>
        </w:tc>
        <w:tc>
          <w:tcPr>
            <w:tcW w:type="dxa" w:w="1800"/>
            <w:vAlign w:val="top"/>
          </w:tcPr>
          <w:p>
            <w:r>
              <w:rPr>
                <w:sz w:val="14"/>
              </w:rPr>
              <w:t>Synthetic identity fraud</w:t>
            </w:r>
          </w:p>
        </w:tc>
        <w:tc>
          <w:tcPr>
            <w:tcW w:type="dxa" w:w="1800"/>
            <w:vAlign w:val="top"/>
          </w:tcPr>
          <w:p>
            <w:r>
              <w:rPr>
                <w:sz w:val="14"/>
              </w:rPr>
              <w:t>Fraud ring</w:t>
            </w:r>
          </w:p>
        </w:tc>
        <w:tc>
          <w:tcPr>
            <w:tcW w:type="dxa" w:w="2592"/>
            <w:vAlign w:val="top"/>
          </w:tcPr>
          <w:p>
            <w:r>
              <w:rPr>
                <w:sz w:val="14"/>
              </w:rPr>
              <w:t>Uses generated identities and documents to open accounts</w:t>
            </w:r>
          </w:p>
        </w:tc>
        <w:tc>
          <w:tcPr>
            <w:tcW w:type="dxa" w:w="1440"/>
            <w:vAlign w:val="top"/>
          </w:tcPr>
          <w:p>
            <w:r>
              <w:rPr>
                <w:sz w:val="14"/>
              </w:rPr>
              <w:t>T2 demonstrated/observed class</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RET-THR-014</w:t>
            </w:r>
          </w:p>
        </w:tc>
        <w:tc>
          <w:tcPr>
            <w:tcW w:type="dxa" w:w="1800"/>
            <w:vAlign w:val="top"/>
          </w:tcPr>
          <w:p>
            <w:r>
              <w:rPr>
                <w:sz w:val="14"/>
              </w:rPr>
              <w:t>Loyalty-account takeover</w:t>
            </w:r>
          </w:p>
        </w:tc>
        <w:tc>
          <w:tcPr>
            <w:tcW w:type="dxa" w:w="1800"/>
            <w:vAlign w:val="top"/>
          </w:tcPr>
          <w:p>
            <w:r>
              <w:rPr>
                <w:sz w:val="14"/>
              </w:rPr>
              <w:t>Cybercriminal</w:t>
            </w:r>
          </w:p>
        </w:tc>
        <w:tc>
          <w:tcPr>
            <w:tcW w:type="dxa" w:w="2592"/>
            <w:vAlign w:val="top"/>
          </w:tcPr>
          <w:p>
            <w:r>
              <w:rPr>
                <w:sz w:val="14"/>
              </w:rPr>
              <w:t>Steals rewards, profile data or payment instruments</w:t>
            </w:r>
          </w:p>
        </w:tc>
        <w:tc>
          <w:tcPr>
            <w:tcW w:type="dxa" w:w="1440"/>
            <w:vAlign w:val="top"/>
          </w:tcPr>
          <w:p>
            <w:r>
              <w:rPr>
                <w:sz w:val="14"/>
              </w:rPr>
              <w:t>T2 demonstrated/observed class</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RET-THR-015</w:t>
            </w:r>
          </w:p>
        </w:tc>
        <w:tc>
          <w:tcPr>
            <w:tcW w:type="dxa" w:w="1800"/>
            <w:vAlign w:val="top"/>
          </w:tcPr>
          <w:p>
            <w:r>
              <w:rPr>
                <w:sz w:val="14"/>
              </w:rPr>
              <w:t>Promotion and coupon abuse</w:t>
            </w:r>
          </w:p>
        </w:tc>
        <w:tc>
          <w:tcPr>
            <w:tcW w:type="dxa" w:w="1800"/>
            <w:vAlign w:val="top"/>
          </w:tcPr>
          <w:p>
            <w:r>
              <w:rPr>
                <w:sz w:val="14"/>
              </w:rPr>
              <w:t>Fraud ring or malicious customer</w:t>
            </w:r>
          </w:p>
        </w:tc>
        <w:tc>
          <w:tcPr>
            <w:tcW w:type="dxa" w:w="2592"/>
            <w:vAlign w:val="top"/>
          </w:tcPr>
          <w:p>
            <w:r>
              <w:rPr>
                <w:sz w:val="14"/>
              </w:rPr>
              <w:t>Optimises exploitation of promotion logic</w:t>
            </w:r>
          </w:p>
        </w:tc>
        <w:tc>
          <w:tcPr>
            <w:tcW w:type="dxa" w:w="1440"/>
            <w:vAlign w:val="top"/>
          </w:tcPr>
          <w:p>
            <w:r>
              <w:rPr>
                <w:sz w:val="14"/>
              </w:rPr>
              <w:t>T3 plausible sector exposure</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RET-THR-016</w:t>
            </w:r>
          </w:p>
        </w:tc>
        <w:tc>
          <w:tcPr>
            <w:tcW w:type="dxa" w:w="1800"/>
            <w:vAlign w:val="top"/>
          </w:tcPr>
          <w:p>
            <w:r>
              <w:rPr>
                <w:sz w:val="14"/>
              </w:rPr>
              <w:t>Returns fraud adaptation</w:t>
            </w:r>
          </w:p>
        </w:tc>
        <w:tc>
          <w:tcPr>
            <w:tcW w:type="dxa" w:w="1800"/>
            <w:vAlign w:val="top"/>
          </w:tcPr>
          <w:p>
            <w:r>
              <w:rPr>
                <w:sz w:val="14"/>
              </w:rPr>
              <w:t>Fraud ring</w:t>
            </w:r>
          </w:p>
        </w:tc>
        <w:tc>
          <w:tcPr>
            <w:tcW w:type="dxa" w:w="2592"/>
            <w:vAlign w:val="top"/>
          </w:tcPr>
          <w:p>
            <w:r>
              <w:rPr>
                <w:sz w:val="14"/>
              </w:rPr>
              <w:t>Learns thresholds and evades returns-abuse models</w:t>
            </w:r>
          </w:p>
        </w:tc>
        <w:tc>
          <w:tcPr>
            <w:tcW w:type="dxa" w:w="1440"/>
            <w:vAlign w:val="top"/>
          </w:tcPr>
          <w:p>
            <w:r>
              <w:rPr>
                <w:sz w:val="14"/>
              </w:rPr>
              <w:t>T3 plausible sector exposure</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RET-THR-017</w:t>
            </w:r>
          </w:p>
        </w:tc>
        <w:tc>
          <w:tcPr>
            <w:tcW w:type="dxa" w:w="1800"/>
            <w:vAlign w:val="top"/>
          </w:tcPr>
          <w:p>
            <w:r>
              <w:rPr>
                <w:sz w:val="14"/>
              </w:rPr>
              <w:t>Pricing manipulation</w:t>
            </w:r>
          </w:p>
        </w:tc>
        <w:tc>
          <w:tcPr>
            <w:tcW w:type="dxa" w:w="1800"/>
            <w:vAlign w:val="top"/>
          </w:tcPr>
          <w:p>
            <w:r>
              <w:rPr>
                <w:sz w:val="14"/>
              </w:rPr>
              <w:t>Competitor, scraper or compromised input</w:t>
            </w:r>
          </w:p>
        </w:tc>
        <w:tc>
          <w:tcPr>
            <w:tcW w:type="dxa" w:w="2592"/>
            <w:vAlign w:val="top"/>
          </w:tcPr>
          <w:p>
            <w:r>
              <w:rPr>
                <w:sz w:val="14"/>
              </w:rPr>
              <w:t>Influences dynamic pricing through false signals</w:t>
            </w:r>
          </w:p>
        </w:tc>
        <w:tc>
          <w:tcPr>
            <w:tcW w:type="dxa" w:w="1440"/>
            <w:vAlign w:val="top"/>
          </w:tcPr>
          <w:p>
            <w:r>
              <w:rPr>
                <w:sz w:val="14"/>
              </w:rPr>
              <w:t>T3 plausible sector exposure</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RET-THR-018</w:t>
            </w:r>
          </w:p>
        </w:tc>
        <w:tc>
          <w:tcPr>
            <w:tcW w:type="dxa" w:w="1800"/>
            <w:vAlign w:val="top"/>
          </w:tcPr>
          <w:p>
            <w:r>
              <w:rPr>
                <w:sz w:val="14"/>
              </w:rPr>
              <w:t>Inventory forecast manipulation</w:t>
            </w:r>
          </w:p>
        </w:tc>
        <w:tc>
          <w:tcPr>
            <w:tcW w:type="dxa" w:w="1800"/>
            <w:vAlign w:val="top"/>
          </w:tcPr>
          <w:p>
            <w:r>
              <w:rPr>
                <w:sz w:val="14"/>
              </w:rPr>
              <w:t>Supplier, insider or attacker</w:t>
            </w:r>
          </w:p>
        </w:tc>
        <w:tc>
          <w:tcPr>
            <w:tcW w:type="dxa" w:w="2592"/>
            <w:vAlign w:val="top"/>
          </w:tcPr>
          <w:p>
            <w:r>
              <w:rPr>
                <w:sz w:val="14"/>
              </w:rPr>
              <w:t>Creates shortage, overstock or allocation distortion</w:t>
            </w:r>
          </w:p>
        </w:tc>
        <w:tc>
          <w:tcPr>
            <w:tcW w:type="dxa" w:w="1440"/>
            <w:vAlign w:val="top"/>
          </w:tcPr>
          <w:p>
            <w:r>
              <w:rPr>
                <w:sz w:val="14"/>
              </w:rPr>
              <w:t>T3 plausible sector exposure</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RET-THR-019</w:t>
            </w:r>
          </w:p>
        </w:tc>
        <w:tc>
          <w:tcPr>
            <w:tcW w:type="dxa" w:w="1800"/>
            <w:vAlign w:val="top"/>
          </w:tcPr>
          <w:p>
            <w:r>
              <w:rPr>
                <w:sz w:val="14"/>
              </w:rPr>
              <w:t>Recommendation manipulation</w:t>
            </w:r>
          </w:p>
        </w:tc>
        <w:tc>
          <w:tcPr>
            <w:tcW w:type="dxa" w:w="1800"/>
            <w:vAlign w:val="top"/>
          </w:tcPr>
          <w:p>
            <w:r>
              <w:rPr>
                <w:sz w:val="14"/>
              </w:rPr>
              <w:t>Seller, advertiser or bot network</w:t>
            </w:r>
          </w:p>
        </w:tc>
        <w:tc>
          <w:tcPr>
            <w:tcW w:type="dxa" w:w="2592"/>
            <w:vAlign w:val="top"/>
          </w:tcPr>
          <w:p>
            <w:r>
              <w:rPr>
                <w:sz w:val="14"/>
              </w:rPr>
              <w:t>Improves ranking through adversarial engagement</w:t>
            </w:r>
          </w:p>
        </w:tc>
        <w:tc>
          <w:tcPr>
            <w:tcW w:type="dxa" w:w="1440"/>
            <w:vAlign w:val="top"/>
          </w:tcPr>
          <w:p>
            <w:r>
              <w:rPr>
                <w:sz w:val="14"/>
              </w:rPr>
              <w:t>T3 plausible sector exposure</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RET-THR-020</w:t>
            </w:r>
          </w:p>
        </w:tc>
        <w:tc>
          <w:tcPr>
            <w:tcW w:type="dxa" w:w="1800"/>
            <w:vAlign w:val="top"/>
          </w:tcPr>
          <w:p>
            <w:r>
              <w:rPr>
                <w:sz w:val="14"/>
              </w:rPr>
              <w:t>Hallucinated product claims</w:t>
            </w:r>
          </w:p>
        </w:tc>
        <w:tc>
          <w:tcPr>
            <w:tcW w:type="dxa" w:w="1800"/>
            <w:vAlign w:val="top"/>
          </w:tcPr>
          <w:p>
            <w:r>
              <w:rPr>
                <w:sz w:val="14"/>
              </w:rPr>
              <w:t>Model or workflow failure</w:t>
            </w:r>
          </w:p>
        </w:tc>
        <w:tc>
          <w:tcPr>
            <w:tcW w:type="dxa" w:w="2592"/>
            <w:vAlign w:val="top"/>
          </w:tcPr>
          <w:p>
            <w:r>
              <w:rPr>
                <w:sz w:val="14"/>
              </w:rPr>
              <w:t>Generates false specifications, compatibility or safety information</w:t>
            </w:r>
          </w:p>
        </w:tc>
        <w:tc>
          <w:tcPr>
            <w:tcW w:type="dxa" w:w="1440"/>
            <w:vAlign w:val="top"/>
          </w:tcPr>
          <w:p>
            <w:r>
              <w:rPr>
                <w:sz w:val="14"/>
              </w:rPr>
              <w:t>T3 plausible sector exposure</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RET-THR-021</w:t>
            </w:r>
          </w:p>
        </w:tc>
        <w:tc>
          <w:tcPr>
            <w:tcW w:type="dxa" w:w="1800"/>
            <w:vAlign w:val="top"/>
          </w:tcPr>
          <w:p>
            <w:r>
              <w:rPr>
                <w:sz w:val="14"/>
              </w:rPr>
              <w:t>Deceptive synthetic reviews</w:t>
            </w:r>
          </w:p>
        </w:tc>
        <w:tc>
          <w:tcPr>
            <w:tcW w:type="dxa" w:w="1800"/>
            <w:vAlign w:val="top"/>
          </w:tcPr>
          <w:p>
            <w:r>
              <w:rPr>
                <w:sz w:val="14"/>
              </w:rPr>
              <w:t>Seller or content generator</w:t>
            </w:r>
          </w:p>
        </w:tc>
        <w:tc>
          <w:tcPr>
            <w:tcW w:type="dxa" w:w="2592"/>
            <w:vAlign w:val="top"/>
          </w:tcPr>
          <w:p>
            <w:r>
              <w:rPr>
                <w:sz w:val="14"/>
              </w:rPr>
              <w:t>Creates misleading consumer endorsements</w:t>
            </w:r>
          </w:p>
        </w:tc>
        <w:tc>
          <w:tcPr>
            <w:tcW w:type="dxa" w:w="1440"/>
            <w:vAlign w:val="top"/>
          </w:tcPr>
          <w:p>
            <w:r>
              <w:rPr>
                <w:sz w:val="14"/>
              </w:rPr>
              <w:t>T2 demonstrated/observed class</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RET-THR-022</w:t>
            </w:r>
          </w:p>
        </w:tc>
        <w:tc>
          <w:tcPr>
            <w:tcW w:type="dxa" w:w="1800"/>
            <w:vAlign w:val="top"/>
          </w:tcPr>
          <w:p>
            <w:r>
              <w:rPr>
                <w:sz w:val="14"/>
              </w:rPr>
              <w:t>Biometric false match</w:t>
            </w:r>
          </w:p>
        </w:tc>
        <w:tc>
          <w:tcPr>
            <w:tcW w:type="dxa" w:w="1800"/>
            <w:vAlign w:val="top"/>
          </w:tcPr>
          <w:p>
            <w:r>
              <w:rPr>
                <w:sz w:val="14"/>
              </w:rPr>
              <w:t>Model limitations or poor conditions</w:t>
            </w:r>
          </w:p>
        </w:tc>
        <w:tc>
          <w:tcPr>
            <w:tcW w:type="dxa" w:w="2592"/>
            <w:vAlign w:val="top"/>
          </w:tcPr>
          <w:p>
            <w:r>
              <w:rPr>
                <w:sz w:val="14"/>
              </w:rPr>
              <w:t>Misidentifies a customer or worker</w:t>
            </w:r>
          </w:p>
        </w:tc>
        <w:tc>
          <w:tcPr>
            <w:tcW w:type="dxa" w:w="1440"/>
            <w:vAlign w:val="top"/>
          </w:tcPr>
          <w:p>
            <w:r>
              <w:rPr>
                <w:sz w:val="14"/>
              </w:rPr>
              <w:t>T3 plausible sector exposure</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RET-THR-023</w:t>
            </w:r>
          </w:p>
        </w:tc>
        <w:tc>
          <w:tcPr>
            <w:tcW w:type="dxa" w:w="1800"/>
            <w:vAlign w:val="top"/>
          </w:tcPr>
          <w:p>
            <w:r>
              <w:rPr>
                <w:sz w:val="14"/>
              </w:rPr>
              <w:t>Age-estimation error</w:t>
            </w:r>
          </w:p>
        </w:tc>
        <w:tc>
          <w:tcPr>
            <w:tcW w:type="dxa" w:w="1800"/>
            <w:vAlign w:val="top"/>
          </w:tcPr>
          <w:p>
            <w:r>
              <w:rPr>
                <w:sz w:val="14"/>
              </w:rPr>
              <w:t>Model limitations or demographic disparity</w:t>
            </w:r>
          </w:p>
        </w:tc>
        <w:tc>
          <w:tcPr>
            <w:tcW w:type="dxa" w:w="2592"/>
            <w:vAlign w:val="top"/>
          </w:tcPr>
          <w:p>
            <w:r>
              <w:rPr>
                <w:sz w:val="14"/>
              </w:rPr>
              <w:t>Incorrectly permits or denies restricted sale</w:t>
            </w:r>
          </w:p>
        </w:tc>
        <w:tc>
          <w:tcPr>
            <w:tcW w:type="dxa" w:w="1440"/>
            <w:vAlign w:val="top"/>
          </w:tcPr>
          <w:p>
            <w:r>
              <w:rPr>
                <w:sz w:val="14"/>
              </w:rPr>
              <w:t>T3 plausible sector exposure</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RET-THR-024</w:t>
            </w:r>
          </w:p>
        </w:tc>
        <w:tc>
          <w:tcPr>
            <w:tcW w:type="dxa" w:w="1800"/>
            <w:vAlign w:val="top"/>
          </w:tcPr>
          <w:p>
            <w:r>
              <w:rPr>
                <w:sz w:val="14"/>
              </w:rPr>
              <w:t>Loss-prevention false positive</w:t>
            </w:r>
          </w:p>
        </w:tc>
        <w:tc>
          <w:tcPr>
            <w:tcW w:type="dxa" w:w="1800"/>
            <w:vAlign w:val="top"/>
          </w:tcPr>
          <w:p>
            <w:r>
              <w:rPr>
                <w:sz w:val="14"/>
              </w:rPr>
              <w:t>Model limitations or biased data</w:t>
            </w:r>
          </w:p>
        </w:tc>
        <w:tc>
          <w:tcPr>
            <w:tcW w:type="dxa" w:w="2592"/>
            <w:vAlign w:val="top"/>
          </w:tcPr>
          <w:p>
            <w:r>
              <w:rPr>
                <w:sz w:val="14"/>
              </w:rPr>
              <w:t>Triggers unjustified intervention</w:t>
            </w:r>
          </w:p>
        </w:tc>
        <w:tc>
          <w:tcPr>
            <w:tcW w:type="dxa" w:w="1440"/>
            <w:vAlign w:val="top"/>
          </w:tcPr>
          <w:p>
            <w:r>
              <w:rPr>
                <w:sz w:val="14"/>
              </w:rPr>
              <w:t>T3 plausible sector exposure</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RET-THR-025</w:t>
            </w:r>
          </w:p>
        </w:tc>
        <w:tc>
          <w:tcPr>
            <w:tcW w:type="dxa" w:w="1800"/>
            <w:vAlign w:val="top"/>
          </w:tcPr>
          <w:p>
            <w:r>
              <w:rPr>
                <w:sz w:val="14"/>
              </w:rPr>
              <w:t>Discriminatory segmentation</w:t>
            </w:r>
          </w:p>
        </w:tc>
        <w:tc>
          <w:tcPr>
            <w:tcW w:type="dxa" w:w="1800"/>
            <w:vAlign w:val="top"/>
          </w:tcPr>
          <w:p>
            <w:r>
              <w:rPr>
                <w:sz w:val="14"/>
              </w:rPr>
              <w:t>Design or data bias</w:t>
            </w:r>
          </w:p>
        </w:tc>
        <w:tc>
          <w:tcPr>
            <w:tcW w:type="dxa" w:w="2592"/>
            <w:vAlign w:val="top"/>
          </w:tcPr>
          <w:p>
            <w:r>
              <w:rPr>
                <w:sz w:val="14"/>
              </w:rPr>
              <w:t>Produces unequal targeting, service or offers</w:t>
            </w:r>
          </w:p>
        </w:tc>
        <w:tc>
          <w:tcPr>
            <w:tcW w:type="dxa" w:w="1440"/>
            <w:vAlign w:val="top"/>
          </w:tcPr>
          <w:p>
            <w:r>
              <w:rPr>
                <w:sz w:val="14"/>
              </w:rPr>
              <w:t>T3 plausible sector exposure</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RET-THR-026</w:t>
            </w:r>
          </w:p>
        </w:tc>
        <w:tc>
          <w:tcPr>
            <w:tcW w:type="dxa" w:w="1800"/>
            <w:vAlign w:val="top"/>
          </w:tcPr>
          <w:p>
            <w:r>
              <w:rPr>
                <w:sz w:val="14"/>
              </w:rPr>
              <w:t>Employment decision bias</w:t>
            </w:r>
          </w:p>
        </w:tc>
        <w:tc>
          <w:tcPr>
            <w:tcW w:type="dxa" w:w="1800"/>
            <w:vAlign w:val="top"/>
          </w:tcPr>
          <w:p>
            <w:r>
              <w:rPr>
                <w:sz w:val="14"/>
              </w:rPr>
              <w:t>Design or data bias</w:t>
            </w:r>
          </w:p>
        </w:tc>
        <w:tc>
          <w:tcPr>
            <w:tcW w:type="dxa" w:w="2592"/>
            <w:vAlign w:val="top"/>
          </w:tcPr>
          <w:p>
            <w:r>
              <w:rPr>
                <w:sz w:val="14"/>
              </w:rPr>
              <w:t>Unfairly affects hiring, scheduling or performance outcomes</w:t>
            </w:r>
          </w:p>
        </w:tc>
        <w:tc>
          <w:tcPr>
            <w:tcW w:type="dxa" w:w="1440"/>
            <w:vAlign w:val="top"/>
          </w:tcPr>
          <w:p>
            <w:r>
              <w:rPr>
                <w:sz w:val="14"/>
              </w:rPr>
              <w:t>T3 plausible sector exposure</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RET-THR-027</w:t>
            </w:r>
          </w:p>
        </w:tc>
        <w:tc>
          <w:tcPr>
            <w:tcW w:type="dxa" w:w="1800"/>
            <w:vAlign w:val="top"/>
          </w:tcPr>
          <w:p>
            <w:r>
              <w:rPr>
                <w:sz w:val="14"/>
              </w:rPr>
              <w:t>Edge-device tampering</w:t>
            </w:r>
          </w:p>
        </w:tc>
        <w:tc>
          <w:tcPr>
            <w:tcW w:type="dxa" w:w="1800"/>
            <w:vAlign w:val="top"/>
          </w:tcPr>
          <w:p>
            <w:r>
              <w:rPr>
                <w:sz w:val="14"/>
              </w:rPr>
              <w:t>Physical attacker or insider</w:t>
            </w:r>
          </w:p>
        </w:tc>
        <w:tc>
          <w:tcPr>
            <w:tcW w:type="dxa" w:w="2592"/>
            <w:vAlign w:val="top"/>
          </w:tcPr>
          <w:p>
            <w:r>
              <w:rPr>
                <w:sz w:val="14"/>
              </w:rPr>
              <w:t>Manipulates cameras, sensors or smart shelves</w:t>
            </w:r>
          </w:p>
        </w:tc>
        <w:tc>
          <w:tcPr>
            <w:tcW w:type="dxa" w:w="1440"/>
            <w:vAlign w:val="top"/>
          </w:tcPr>
          <w:p>
            <w:r>
              <w:rPr>
                <w:sz w:val="14"/>
              </w:rPr>
              <w:t>T3 plausible sector exposure</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RET-THR-028</w:t>
            </w:r>
          </w:p>
        </w:tc>
        <w:tc>
          <w:tcPr>
            <w:tcW w:type="dxa" w:w="1800"/>
            <w:vAlign w:val="top"/>
          </w:tcPr>
          <w:p>
            <w:r>
              <w:rPr>
                <w:sz w:val="14"/>
              </w:rPr>
              <w:t>Warehouse command manipulation</w:t>
            </w:r>
          </w:p>
        </w:tc>
        <w:tc>
          <w:tcPr>
            <w:tcW w:type="dxa" w:w="1800"/>
            <w:vAlign w:val="top"/>
          </w:tcPr>
          <w:p>
            <w:r>
              <w:rPr>
                <w:sz w:val="14"/>
              </w:rPr>
              <w:t>Cyber-physical attacker</w:t>
            </w:r>
          </w:p>
        </w:tc>
        <w:tc>
          <w:tcPr>
            <w:tcW w:type="dxa" w:w="2592"/>
            <w:vAlign w:val="top"/>
          </w:tcPr>
          <w:p>
            <w:r>
              <w:rPr>
                <w:sz w:val="14"/>
              </w:rPr>
              <w:t>Issues unsafe or unauthorised robotic actions</w:t>
            </w:r>
          </w:p>
        </w:tc>
        <w:tc>
          <w:tcPr>
            <w:tcW w:type="dxa" w:w="1440"/>
            <w:vAlign w:val="top"/>
          </w:tcPr>
          <w:p>
            <w:r>
              <w:rPr>
                <w:sz w:val="14"/>
              </w:rPr>
              <w:t>T3 plausible sector exposure</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RET-THR-029</w:t>
            </w:r>
          </w:p>
        </w:tc>
        <w:tc>
          <w:tcPr>
            <w:tcW w:type="dxa" w:w="1800"/>
            <w:vAlign w:val="top"/>
          </w:tcPr>
          <w:p>
            <w:r>
              <w:rPr>
                <w:sz w:val="14"/>
              </w:rPr>
              <w:t>Catalogue corruption</w:t>
            </w:r>
          </w:p>
        </w:tc>
        <w:tc>
          <w:tcPr>
            <w:tcW w:type="dxa" w:w="1800"/>
            <w:vAlign w:val="top"/>
          </w:tcPr>
          <w:p>
            <w:r>
              <w:rPr>
                <w:sz w:val="14"/>
              </w:rPr>
              <w:t>Supplier, seller or integration failure</w:t>
            </w:r>
          </w:p>
        </w:tc>
        <w:tc>
          <w:tcPr>
            <w:tcW w:type="dxa" w:w="2592"/>
            <w:vAlign w:val="top"/>
          </w:tcPr>
          <w:p>
            <w:r>
              <w:rPr>
                <w:sz w:val="14"/>
              </w:rPr>
              <w:t>Propagates incorrect attributes and product information</w:t>
            </w:r>
          </w:p>
        </w:tc>
        <w:tc>
          <w:tcPr>
            <w:tcW w:type="dxa" w:w="1440"/>
            <w:vAlign w:val="top"/>
          </w:tcPr>
          <w:p>
            <w:r>
              <w:rPr>
                <w:sz w:val="14"/>
              </w:rPr>
              <w:t>T3 plausible sector exposure</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RET-THR-030</w:t>
            </w:r>
          </w:p>
        </w:tc>
        <w:tc>
          <w:tcPr>
            <w:tcW w:type="dxa" w:w="1800"/>
            <w:vAlign w:val="top"/>
          </w:tcPr>
          <w:p>
            <w:r>
              <w:rPr>
                <w:sz w:val="14"/>
              </w:rPr>
              <w:t>Insufficient audit logging</w:t>
            </w:r>
          </w:p>
        </w:tc>
        <w:tc>
          <w:tcPr>
            <w:tcW w:type="dxa" w:w="1800"/>
            <w:vAlign w:val="top"/>
          </w:tcPr>
          <w:p>
            <w:r>
              <w:rPr>
                <w:sz w:val="14"/>
              </w:rPr>
              <w:t>Design or operational failure</w:t>
            </w:r>
          </w:p>
        </w:tc>
        <w:tc>
          <w:tcPr>
            <w:tcW w:type="dxa" w:w="2592"/>
            <w:vAlign w:val="top"/>
          </w:tcPr>
          <w:p>
            <w:r>
              <w:rPr>
                <w:sz w:val="14"/>
              </w:rPr>
              <w:t>Prevents reconstruction, challenge or accountability</w:t>
            </w:r>
          </w:p>
        </w:tc>
        <w:tc>
          <w:tcPr>
            <w:tcW w:type="dxa" w:w="1440"/>
            <w:vAlign w:val="top"/>
          </w:tcPr>
          <w:p>
            <w:r>
              <w:rPr>
                <w:sz w:val="14"/>
              </w:rPr>
              <w:t>T3 plausible sector exposure</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RET-THR-031</w:t>
            </w:r>
          </w:p>
        </w:tc>
        <w:tc>
          <w:tcPr>
            <w:tcW w:type="dxa" w:w="1800"/>
            <w:vAlign w:val="top"/>
          </w:tcPr>
          <w:p>
            <w:r>
              <w:rPr>
                <w:sz w:val="14"/>
              </w:rPr>
              <w:t>Model drift</w:t>
            </w:r>
          </w:p>
        </w:tc>
        <w:tc>
          <w:tcPr>
            <w:tcW w:type="dxa" w:w="1800"/>
            <w:vAlign w:val="top"/>
          </w:tcPr>
          <w:p>
            <w:r>
              <w:rPr>
                <w:sz w:val="14"/>
              </w:rPr>
              <w:t>Changing demand or environment</w:t>
            </w:r>
          </w:p>
        </w:tc>
        <w:tc>
          <w:tcPr>
            <w:tcW w:type="dxa" w:w="2592"/>
            <w:vAlign w:val="top"/>
          </w:tcPr>
          <w:p>
            <w:r>
              <w:rPr>
                <w:sz w:val="14"/>
              </w:rPr>
              <w:t>Degrades performance after deployment</w:t>
            </w:r>
          </w:p>
        </w:tc>
        <w:tc>
          <w:tcPr>
            <w:tcW w:type="dxa" w:w="1440"/>
            <w:vAlign w:val="top"/>
          </w:tcPr>
          <w:p>
            <w:r>
              <w:rPr>
                <w:sz w:val="14"/>
              </w:rPr>
              <w:t>T3 plausible sector exposure</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RET-THR-032</w:t>
            </w:r>
          </w:p>
        </w:tc>
        <w:tc>
          <w:tcPr>
            <w:tcW w:type="dxa" w:w="1800"/>
            <w:vAlign w:val="top"/>
          </w:tcPr>
          <w:p>
            <w:r>
              <w:rPr>
                <w:sz w:val="14"/>
              </w:rPr>
              <w:t>Seasonal distribution shift</w:t>
            </w:r>
          </w:p>
        </w:tc>
        <w:tc>
          <w:tcPr>
            <w:tcW w:type="dxa" w:w="1800"/>
            <w:vAlign w:val="top"/>
          </w:tcPr>
          <w:p>
            <w:r>
              <w:rPr>
                <w:sz w:val="14"/>
              </w:rPr>
              <w:t>Demand volatility</w:t>
            </w:r>
          </w:p>
        </w:tc>
        <w:tc>
          <w:tcPr>
            <w:tcW w:type="dxa" w:w="2592"/>
            <w:vAlign w:val="top"/>
          </w:tcPr>
          <w:p>
            <w:r>
              <w:rPr>
                <w:sz w:val="14"/>
              </w:rPr>
              <w:t>Causes forecast and fraud models to misperform</w:t>
            </w:r>
          </w:p>
        </w:tc>
        <w:tc>
          <w:tcPr>
            <w:tcW w:type="dxa" w:w="1440"/>
            <w:vAlign w:val="top"/>
          </w:tcPr>
          <w:p>
            <w:r>
              <w:rPr>
                <w:sz w:val="14"/>
              </w:rPr>
              <w:t>T3 plausible sector exposure</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RET-THR-033</w:t>
            </w:r>
          </w:p>
        </w:tc>
        <w:tc>
          <w:tcPr>
            <w:tcW w:type="dxa" w:w="1800"/>
            <w:vAlign w:val="top"/>
          </w:tcPr>
          <w:p>
            <w:r>
              <w:rPr>
                <w:sz w:val="14"/>
              </w:rPr>
              <w:t>Generated phishing</w:t>
            </w:r>
          </w:p>
        </w:tc>
        <w:tc>
          <w:tcPr>
            <w:tcW w:type="dxa" w:w="1800"/>
            <w:vAlign w:val="top"/>
          </w:tcPr>
          <w:p>
            <w:r>
              <w:rPr>
                <w:sz w:val="14"/>
              </w:rPr>
              <w:t>Cybercriminal</w:t>
            </w:r>
          </w:p>
        </w:tc>
        <w:tc>
          <w:tcPr>
            <w:tcW w:type="dxa" w:w="2592"/>
            <w:vAlign w:val="top"/>
          </w:tcPr>
          <w:p>
            <w:r>
              <w:rPr>
                <w:sz w:val="14"/>
              </w:rPr>
              <w:t>Scales targeted attacks against retail workers and suppliers</w:t>
            </w:r>
          </w:p>
        </w:tc>
        <w:tc>
          <w:tcPr>
            <w:tcW w:type="dxa" w:w="1440"/>
            <w:vAlign w:val="top"/>
          </w:tcPr>
          <w:p>
            <w:r>
              <w:rPr>
                <w:sz w:val="14"/>
              </w:rPr>
              <w:t>T2 demonstrated/observed class</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RET-THR-034</w:t>
            </w:r>
          </w:p>
        </w:tc>
        <w:tc>
          <w:tcPr>
            <w:tcW w:type="dxa" w:w="1800"/>
            <w:vAlign w:val="top"/>
          </w:tcPr>
          <w:p>
            <w:r>
              <w:rPr>
                <w:sz w:val="14"/>
              </w:rPr>
              <w:t>Deepfake executive or supplier fraud</w:t>
            </w:r>
          </w:p>
        </w:tc>
        <w:tc>
          <w:tcPr>
            <w:tcW w:type="dxa" w:w="1800"/>
            <w:vAlign w:val="top"/>
          </w:tcPr>
          <w:p>
            <w:r>
              <w:rPr>
                <w:sz w:val="14"/>
              </w:rPr>
              <w:t>Fraudster</w:t>
            </w:r>
          </w:p>
        </w:tc>
        <w:tc>
          <w:tcPr>
            <w:tcW w:type="dxa" w:w="2592"/>
            <w:vAlign w:val="top"/>
          </w:tcPr>
          <w:p>
            <w:r>
              <w:rPr>
                <w:sz w:val="14"/>
              </w:rPr>
              <w:t>Impersonates authorised persons to change payments or orders</w:t>
            </w:r>
          </w:p>
        </w:tc>
        <w:tc>
          <w:tcPr>
            <w:tcW w:type="dxa" w:w="1440"/>
            <w:vAlign w:val="top"/>
          </w:tcPr>
          <w:p>
            <w:r>
              <w:rPr>
                <w:sz w:val="14"/>
              </w:rPr>
              <w:t>T2 demonstrated/observed class</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RET-THR-035</w:t>
            </w:r>
          </w:p>
        </w:tc>
        <w:tc>
          <w:tcPr>
            <w:tcW w:type="dxa" w:w="1800"/>
            <w:vAlign w:val="top"/>
          </w:tcPr>
          <w:p>
            <w:r>
              <w:rPr>
                <w:sz w:val="14"/>
              </w:rPr>
              <w:t>Sensitive prompt leakage</w:t>
            </w:r>
          </w:p>
        </w:tc>
        <w:tc>
          <w:tcPr>
            <w:tcW w:type="dxa" w:w="1800"/>
            <w:vAlign w:val="top"/>
          </w:tcPr>
          <w:p>
            <w:r>
              <w:rPr>
                <w:sz w:val="14"/>
              </w:rPr>
              <w:t>Employee or system error</w:t>
            </w:r>
          </w:p>
        </w:tc>
        <w:tc>
          <w:tcPr>
            <w:tcW w:type="dxa" w:w="2592"/>
            <w:vAlign w:val="top"/>
          </w:tcPr>
          <w:p>
            <w:r>
              <w:rPr>
                <w:sz w:val="14"/>
              </w:rPr>
              <w:t>Exposes customer, supplier or source-code data</w:t>
            </w:r>
          </w:p>
        </w:tc>
        <w:tc>
          <w:tcPr>
            <w:tcW w:type="dxa" w:w="1440"/>
            <w:vAlign w:val="top"/>
          </w:tcPr>
          <w:p>
            <w:r>
              <w:rPr>
                <w:sz w:val="14"/>
              </w:rPr>
              <w:t>T3 plausible sector exposure</w:t>
            </w:r>
          </w:p>
        </w:tc>
        <w:tc>
          <w:tcPr>
            <w:tcW w:type="dxa" w:w="2016"/>
            <w:vAlign w:val="top"/>
          </w:tcPr>
          <w:p>
            <w:r>
              <w:rPr>
                <w:sz w:val="14"/>
              </w:rPr>
              <w:t>Retail prevalence and loss data are incomplete; validate against internal telemetry.</w:t>
            </w:r>
          </w:p>
        </w:tc>
      </w:tr>
      <w:tr>
        <w:tc>
          <w:tcPr>
            <w:tcW w:type="dxa" w:w="1152"/>
            <w:vAlign w:val="top"/>
          </w:tcPr>
          <w:p>
            <w:r>
              <w:rPr>
                <w:sz w:val="14"/>
              </w:rPr>
              <w:t>RET-THR-036</w:t>
            </w:r>
          </w:p>
        </w:tc>
        <w:tc>
          <w:tcPr>
            <w:tcW w:type="dxa" w:w="1800"/>
            <w:vAlign w:val="top"/>
          </w:tcPr>
          <w:p>
            <w:r>
              <w:rPr>
                <w:sz w:val="14"/>
              </w:rPr>
              <w:t>Open-source model compromise</w:t>
            </w:r>
          </w:p>
        </w:tc>
        <w:tc>
          <w:tcPr>
            <w:tcW w:type="dxa" w:w="1800"/>
            <w:vAlign w:val="top"/>
          </w:tcPr>
          <w:p>
            <w:r>
              <w:rPr>
                <w:sz w:val="14"/>
              </w:rPr>
              <w:t>Supply-chain attacker</w:t>
            </w:r>
          </w:p>
        </w:tc>
        <w:tc>
          <w:tcPr>
            <w:tcW w:type="dxa" w:w="2592"/>
            <w:vAlign w:val="top"/>
          </w:tcPr>
          <w:p>
            <w:r>
              <w:rPr>
                <w:sz w:val="14"/>
              </w:rPr>
              <w:t>Introduces malicious or vulnerable model artefact</w:t>
            </w:r>
          </w:p>
        </w:tc>
        <w:tc>
          <w:tcPr>
            <w:tcW w:type="dxa" w:w="1440"/>
            <w:vAlign w:val="top"/>
          </w:tcPr>
          <w:p>
            <w:r>
              <w:rPr>
                <w:sz w:val="14"/>
              </w:rPr>
              <w:t>T3 plausible sector exposure</w:t>
            </w:r>
          </w:p>
        </w:tc>
        <w:tc>
          <w:tcPr>
            <w:tcW w:type="dxa" w:w="2016"/>
            <w:vAlign w:val="top"/>
          </w:tcPr>
          <w:p>
            <w:r>
              <w:rPr>
                <w:sz w:val="14"/>
              </w:rPr>
              <w:t>Retail prevalence and loss data are incomplete; validate against internal telemetry.</w:t>
            </w:r>
          </w:p>
        </w:tc>
      </w:tr>
    </w:tbl>
    <w:p/>
    <w:p>
      <w:pPr>
        <w:pStyle w:val="Heading1"/>
      </w:pPr>
      <w:r>
        <w:t>5. Risk-based retail control profiles</w:t>
      </w:r>
    </w:p>
    <w:p>
      <w:pPr>
        <w:pStyle w:val="Heading2"/>
      </w:pPr>
      <w:r>
        <w:t>E-commerce and customer interaction</w:t>
      </w:r>
    </w:p>
    <w:p>
      <w:pPr>
        <w:pStyle w:val="ListBullet"/>
      </w:pPr>
      <w:r>
        <w:t>Recommendations, search, chatbots, product content, visual search and account services require output validation, prompt-injection controls, customer escalation and change monitoring.</w:t>
      </w:r>
    </w:p>
    <w:p>
      <w:pPr>
        <w:pStyle w:val="Heading2"/>
      </w:pPr>
      <w:r>
        <w:t>Payments, fraud and loyalty</w:t>
      </w:r>
    </w:p>
    <w:p>
      <w:pPr>
        <w:pStyle w:val="ListBullet"/>
      </w:pPr>
      <w:r>
        <w:t>Fraud, payment-risk, returns and loyalty decisions require low-latency controls without removing contestability, evidence retention, fraud monitoring and fallback.</w:t>
      </w:r>
    </w:p>
    <w:p>
      <w:pPr>
        <w:pStyle w:val="Heading2"/>
      </w:pPr>
      <w:r>
        <w:t>Stores, computer vision and biometrics</w:t>
      </w:r>
    </w:p>
    <w:p>
      <w:pPr>
        <w:pStyle w:val="ListBullet"/>
      </w:pPr>
      <w:r>
        <w:t>Store analytics, loss prevention, facial recognition and age estimation require physical-environment testing, privacy and legal review, false-match monitoring and controlled intervention.</w:t>
      </w:r>
    </w:p>
    <w:p>
      <w:pPr>
        <w:pStyle w:val="Heading2"/>
      </w:pPr>
      <w:r>
        <w:t>Supply chain, warehouse and physical AI</w:t>
      </w:r>
    </w:p>
    <w:p>
      <w:pPr>
        <w:pStyle w:val="ListBullet"/>
      </w:pPr>
      <w:r>
        <w:t>Forecasting, replenishment, robotics and autonomous store systems require safe state, command validation, environmental integrity, business continuity and evidence preservation.</w:t>
      </w:r>
    </w:p>
    <w:p>
      <w:pPr>
        <w:pStyle w:val="Heading2"/>
      </w:pPr>
      <w:r>
        <w:t>Workforce AI</w:t>
      </w:r>
    </w:p>
    <w:p>
      <w:pPr>
        <w:pStyle w:val="ListBullet"/>
      </w:pPr>
      <w:r>
        <w:t>Hiring, scheduling and productivity monitoring require documented purpose, impact assessment, human review, appeal routes, access restriction and worker transparency.</w:t>
      </w:r>
    </w:p>
    <w:p>
      <w:pPr>
        <w:pStyle w:val="Heading2"/>
      </w:pPr>
      <w:r>
        <w:t>Generative and agentic AI</w:t>
      </w:r>
    </w:p>
    <w:p>
      <w:pPr>
        <w:pStyle w:val="ListBullet"/>
      </w:pPr>
      <w:r>
        <w:t>Generative content, developer copilots and agents require tool-boundary controls, retrieval security, output validation, supplier governance, logging and rollback.</w:t>
      </w:r>
    </w:p>
    <w:p>
      <w:pPr>
        <w:pStyle w:val="Heading1"/>
      </w:pPr>
      <w:r>
        <w:t>6. Complete GAISSF retail control interpretation</w:t>
      </w:r>
    </w:p>
    <w:p>
      <w:r>
        <w:t>The following records preserve authoritative GAISSF identifiers and titles [T1]. Retail interpretations are practitioner guidance based on public evidence and operational analysis [T3]; they are not prevalence claims or substitutes for system-specific testing.</w:t>
      </w:r>
    </w:p>
    <w:p>
      <w:pPr>
        <w:pStyle w:val="Heading2"/>
      </w:pPr>
      <w:r>
        <w:t>D1-CTL-01 - DATASET PROVENANCE &amp; POISONING PREVENTION</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D1: MODEL INTEGRITY &amp; ADVERSARIAL ROBUSTNESS</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Retail training, tuning and evaluation data often arrive from point-of-sale feeds, loyalty platforms, sellers, suppliers and franchise locations. Preserve source lineage, quarantine abnormal submissions and require approval before contaminated catalogue, fraud or demand data can influence a production model.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RET-UC-001; RET-UC-008; RET-UC-015</w:t>
            </w:r>
          </w:p>
        </w:tc>
      </w:tr>
      <w:tr>
        <w:tc>
          <w:tcPr>
            <w:tcW w:type="dxa" w:w="2232"/>
            <w:vAlign w:val="top"/>
          </w:tcPr>
          <w:p>
            <w:r>
              <w:rPr>
                <w:sz w:val="16"/>
              </w:rPr>
              <w:t>Related threats</w:t>
            </w:r>
          </w:p>
        </w:tc>
        <w:tc>
          <w:tcPr>
            <w:tcW w:type="dxa" w:w="8424"/>
            <w:vAlign w:val="top"/>
          </w:tcPr>
          <w:p>
            <w:r>
              <w:rPr>
                <w:sz w:val="16"/>
              </w:rPr>
              <w:t>RET-THR-001; RET-THR-006; RET-THR-011</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RET-EVD-001; RET-EVD-004</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RET-MET-001; RET-MET-008</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P1 - Start first</w:t>
            </w:r>
          </w:p>
        </w:tc>
      </w:tr>
      <w:tr>
        <w:tc>
          <w:tcPr>
            <w:tcW w:type="dxa" w:w="5184"/>
          </w:tcPr>
          <w:p>
            <w:r>
              <w:t>Scope label</w:t>
            </w:r>
          </w:p>
        </w:tc>
        <w:tc>
          <w:tcPr>
            <w:tcW w:type="dxa" w:w="5184"/>
          </w:tcPr>
          <w:p>
            <w:r>
              <w:t>Foundational - canonical D1-D8 scope</w:t>
            </w:r>
          </w:p>
        </w:tc>
      </w:tr>
    </w:tbl>
    <w:p/>
    <w:p>
      <w:pPr>
        <w:pStyle w:val="Heading2"/>
      </w:pPr>
      <w:r>
        <w:t>D1-CTL-02 - MODEL EXTRACTION RESISTANCE</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D1: MODEL INTEGRITY &amp; ADVERSARIAL ROBUSTNESS</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Recommendation, pricing and fraud APIs can expose commercially valuable decision logic through high-volume queries. Apply rate limits, behavioural detection, response minimisation and contractual controls to make systematic model replication detectable and costly.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RET-UC-002; RET-UC-009; RET-UC-016; RET-UC-023</w:t>
            </w:r>
          </w:p>
        </w:tc>
      </w:tr>
      <w:tr>
        <w:tc>
          <w:tcPr>
            <w:tcW w:type="dxa" w:w="2232"/>
            <w:vAlign w:val="top"/>
          </w:tcPr>
          <w:p>
            <w:r>
              <w:rPr>
                <w:sz w:val="16"/>
              </w:rPr>
              <w:t>Related threats</w:t>
            </w:r>
          </w:p>
        </w:tc>
        <w:tc>
          <w:tcPr>
            <w:tcW w:type="dxa" w:w="8424"/>
            <w:vAlign w:val="top"/>
          </w:tcPr>
          <w:p>
            <w:r>
              <w:rPr>
                <w:sz w:val="16"/>
              </w:rPr>
              <w:t>RET-THR-002; RET-THR-007; RET-THR-012; RET-THR-017</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RET-EVD-002; RET-EVD-005; RET-EVD-008</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RET-MET-002; RET-MET-009</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D1-CTL-03 - BEHAVIORAL DRIFT DETECTION</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D1: MODEL INTEGRITY &amp; ADVERSARIAL ROBUSTNESS</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Retail behaviour changes sharply during promotions, holidays, product launches and fraud campaigns. Monitor performance by channel, store cohort and affected population so seasonal change is distinguished from security manipulation or silent model degradation.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RET-UC-003; RET-UC-010; RET-UC-017; RET-UC-024; RET-UC-031</w:t>
            </w:r>
          </w:p>
        </w:tc>
      </w:tr>
      <w:tr>
        <w:tc>
          <w:tcPr>
            <w:tcW w:type="dxa" w:w="2232"/>
            <w:vAlign w:val="top"/>
          </w:tcPr>
          <w:p>
            <w:r>
              <w:rPr>
                <w:sz w:val="16"/>
              </w:rPr>
              <w:t>Related threats</w:t>
            </w:r>
          </w:p>
        </w:tc>
        <w:tc>
          <w:tcPr>
            <w:tcW w:type="dxa" w:w="8424"/>
            <w:vAlign w:val="top"/>
          </w:tcPr>
          <w:p>
            <w:r>
              <w:rPr>
                <w:sz w:val="16"/>
              </w:rPr>
              <w:t>RET-THR-003; RET-THR-008; RET-THR-013</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RET-EVD-003; RET-EVD-006; RET-EVD-009; RET-EVD-012</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RET-MET-003; RET-MET-010</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P1 - Start first</w:t>
            </w:r>
          </w:p>
        </w:tc>
      </w:tr>
      <w:tr>
        <w:tc>
          <w:tcPr>
            <w:tcW w:type="dxa" w:w="5184"/>
          </w:tcPr>
          <w:p>
            <w:r>
              <w:t>Scope label</w:t>
            </w:r>
          </w:p>
        </w:tc>
        <w:tc>
          <w:tcPr>
            <w:tcW w:type="dxa" w:w="5184"/>
          </w:tcPr>
          <w:p>
            <w:r>
              <w:t>Foundational - canonical D1-D8 scope</w:t>
            </w:r>
          </w:p>
        </w:tc>
      </w:tr>
    </w:tbl>
    <w:p/>
    <w:p>
      <w:pPr>
        <w:pStyle w:val="Heading2"/>
      </w:pPr>
      <w:r>
        <w:t>D1-CTL-04 - FEDERATED LEARNING POISONING PREVENTION</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D1: MODEL INTEGRITY &amp; ADVERSARIAL ROBUSTNESS</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Where stores, franchisees or regional entities train locally, validate and bound each submitted update before aggregation. A compromised edge node must not be able to poison group-wide fraud, forecasting or recommendation behaviour.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RET-UC-004; RET-UC-011; RET-UC-018</w:t>
            </w:r>
          </w:p>
        </w:tc>
      </w:tr>
      <w:tr>
        <w:tc>
          <w:tcPr>
            <w:tcW w:type="dxa" w:w="2232"/>
            <w:vAlign w:val="top"/>
          </w:tcPr>
          <w:p>
            <w:r>
              <w:rPr>
                <w:sz w:val="16"/>
              </w:rPr>
              <w:t>Related threats</w:t>
            </w:r>
          </w:p>
        </w:tc>
        <w:tc>
          <w:tcPr>
            <w:tcW w:type="dxa" w:w="8424"/>
            <w:vAlign w:val="top"/>
          </w:tcPr>
          <w:p>
            <w:r>
              <w:rPr>
                <w:sz w:val="16"/>
              </w:rPr>
              <w:t>RET-THR-004; RET-THR-009; RET-THR-014; RET-THR-019</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RET-EVD-004; RET-EVD-007</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RET-MET-004; RET-MET-011</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D1-CTL-05 - EMBEDDING SPACE ROBUSTNESS</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D1: MODEL INTEGRITY &amp; ADVERSARIAL ROBUSTNESS</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Product search, visual search and retrieval systems depend on embedding similarity. Test whether adversarial images, seller text or catalogue attributes can move prohibited, counterfeit or irrelevant items into trusted result neighbourhoods.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RET-UC-005; RET-UC-012; RET-UC-019; RET-UC-026</w:t>
            </w:r>
          </w:p>
        </w:tc>
      </w:tr>
      <w:tr>
        <w:tc>
          <w:tcPr>
            <w:tcW w:type="dxa" w:w="2232"/>
            <w:vAlign w:val="top"/>
          </w:tcPr>
          <w:p>
            <w:r>
              <w:rPr>
                <w:sz w:val="16"/>
              </w:rPr>
              <w:t>Related threats</w:t>
            </w:r>
          </w:p>
        </w:tc>
        <w:tc>
          <w:tcPr>
            <w:tcW w:type="dxa" w:w="8424"/>
            <w:vAlign w:val="top"/>
          </w:tcPr>
          <w:p>
            <w:r>
              <w:rPr>
                <w:sz w:val="16"/>
              </w:rPr>
              <w:t>RET-THR-005; RET-THR-010; RET-THR-015</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RET-EVD-005; RET-EVD-008; RET-EVD-011</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RET-MET-005; RET-MET-012</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D1-CTL-06 - POST-QUANTUM MODEL SIGNING &amp; CRYPTO HARDENING</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D1: MODEL INTEGRITY &amp; ADVERSARIAL ROBUSTNESS</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Long-lived model artefacts, signed releases and warehouse or store-edge devices may outlive current cryptographic assumptions. Maintain crypto-agility and migration plans; do not represent post-quantum readiness as achieved unless the full signing and verification chain has been tested.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RET-UC-006; RET-UC-013; RET-UC-020; RET-UC-027; RET-UC-002</w:t>
            </w:r>
          </w:p>
        </w:tc>
      </w:tr>
      <w:tr>
        <w:tc>
          <w:tcPr>
            <w:tcW w:type="dxa" w:w="2232"/>
            <w:vAlign w:val="top"/>
          </w:tcPr>
          <w:p>
            <w:r>
              <w:rPr>
                <w:sz w:val="16"/>
              </w:rPr>
              <w:t>Related threats</w:t>
            </w:r>
          </w:p>
        </w:tc>
        <w:tc>
          <w:tcPr>
            <w:tcW w:type="dxa" w:w="8424"/>
            <w:vAlign w:val="top"/>
          </w:tcPr>
          <w:p>
            <w:r>
              <w:rPr>
                <w:sz w:val="16"/>
              </w:rPr>
              <w:t>RET-THR-006; RET-THR-011; RET-THR-016; RET-THR-021</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RET-EVD-006; RET-EVD-009; RET-EVD-012; RET-EVD-015</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RET-MET-006; RET-MET-013</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D1-CTL-07 - LORA/ADAPTER INTEGRITY VERIFICATION</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D1: MODEL INTEGRITY &amp; ADVERSARIAL ROBUSTNESS</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Low-rank adaptation and other adapters may be used to localise models for brands, regions or franchises. Verify adapter origin, hash, approved base-model compatibility and behaviour before loading it into production.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RET-UC-007; RET-UC-014; RET-UC-021</w:t>
            </w:r>
          </w:p>
        </w:tc>
      </w:tr>
      <w:tr>
        <w:tc>
          <w:tcPr>
            <w:tcW w:type="dxa" w:w="2232"/>
            <w:vAlign w:val="top"/>
          </w:tcPr>
          <w:p>
            <w:r>
              <w:rPr>
                <w:sz w:val="16"/>
              </w:rPr>
              <w:t>Related threats</w:t>
            </w:r>
          </w:p>
        </w:tc>
        <w:tc>
          <w:tcPr>
            <w:tcW w:type="dxa" w:w="8424"/>
            <w:vAlign w:val="top"/>
          </w:tcPr>
          <w:p>
            <w:r>
              <w:rPr>
                <w:sz w:val="16"/>
              </w:rPr>
              <w:t>RET-THR-007; RET-THR-012; RET-THR-017</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RET-EVD-007; RET-EVD-010</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RET-MET-007; RET-MET-014</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D1-CTL-08 - MODEL MERGE ATTACK DETECTION</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D1: MODEL INTEGRITY &amp; ADVERSARIAL ROBUSTNESS</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Retail teams may merge models or checkpoints to combine language, vision or fraud capabilities. Treat every merge as a new artefact requiring provenance, behavioural comparison and backdoor testing rather than inheriting trust from the source models.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RET-UC-008; RET-UC-015; RET-UC-022; RET-UC-029</w:t>
            </w:r>
          </w:p>
        </w:tc>
      </w:tr>
      <w:tr>
        <w:tc>
          <w:tcPr>
            <w:tcW w:type="dxa" w:w="2232"/>
            <w:vAlign w:val="top"/>
          </w:tcPr>
          <w:p>
            <w:r>
              <w:rPr>
                <w:sz w:val="16"/>
              </w:rPr>
              <w:t>Related threats</w:t>
            </w:r>
          </w:p>
        </w:tc>
        <w:tc>
          <w:tcPr>
            <w:tcW w:type="dxa" w:w="8424"/>
            <w:vAlign w:val="top"/>
          </w:tcPr>
          <w:p>
            <w:r>
              <w:rPr>
                <w:sz w:val="16"/>
              </w:rPr>
              <w:t>RET-THR-008; RET-THR-013; RET-THR-018; RET-THR-023</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RET-EVD-008; RET-EVD-011; RET-EVD-014</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RET-MET-008; RET-MET-015</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D1-CTL-09 - QUANTIZATION BACKDOOR SCREENING</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D1: MODEL INTEGRITY &amp; ADVERSARIAL ROBUSTNESS</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Quantised models are common on cameras, kiosks and store-edge hardware. Re-test quantised builds because compression can expose or preserve behaviours that were not visible in the full-precision model.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RET-UC-009; RET-UC-016; RET-UC-023; RET-UC-030; RET-UC-005</w:t>
            </w:r>
          </w:p>
        </w:tc>
      </w:tr>
      <w:tr>
        <w:tc>
          <w:tcPr>
            <w:tcW w:type="dxa" w:w="2232"/>
            <w:vAlign w:val="top"/>
          </w:tcPr>
          <w:p>
            <w:r>
              <w:rPr>
                <w:sz w:val="16"/>
              </w:rPr>
              <w:t>Related threats</w:t>
            </w:r>
          </w:p>
        </w:tc>
        <w:tc>
          <w:tcPr>
            <w:tcW w:type="dxa" w:w="8424"/>
            <w:vAlign w:val="top"/>
          </w:tcPr>
          <w:p>
            <w:r>
              <w:rPr>
                <w:sz w:val="16"/>
              </w:rPr>
              <w:t>RET-THR-009; RET-THR-014; RET-THR-019</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RET-EVD-009; RET-EVD-012; RET-EVD-015; RET-EVD-018</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RET-MET-009; RET-MET-016</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D2-CTL-01 - DIRECT PROMPT INJECTION PREVENTION</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D2: RUNTIME SECURITY &amp; ADVERSARIAL DEFENSE</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Customer-service and shopping assistants must treat customer prompts as untrusted input. Separate instructions from customer content, constrain account actions and prevent a conversational request from bypassing refund, discount or identity controls.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RET-UC-010; RET-UC-017; RET-UC-024</w:t>
            </w:r>
          </w:p>
        </w:tc>
      </w:tr>
      <w:tr>
        <w:tc>
          <w:tcPr>
            <w:tcW w:type="dxa" w:w="2232"/>
            <w:vAlign w:val="top"/>
          </w:tcPr>
          <w:p>
            <w:r>
              <w:rPr>
                <w:sz w:val="16"/>
              </w:rPr>
              <w:t>Related threats</w:t>
            </w:r>
          </w:p>
        </w:tc>
        <w:tc>
          <w:tcPr>
            <w:tcW w:type="dxa" w:w="8424"/>
            <w:vAlign w:val="top"/>
          </w:tcPr>
          <w:p>
            <w:r>
              <w:rPr>
                <w:sz w:val="16"/>
              </w:rPr>
              <w:t>RET-THR-010; RET-THR-015; RET-THR-020; RET-THR-025</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RET-EVD-010; RET-EVD-013</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RET-MET-010; RET-MET-017</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P1 - Start first</w:t>
            </w:r>
          </w:p>
        </w:tc>
      </w:tr>
      <w:tr>
        <w:tc>
          <w:tcPr>
            <w:tcW w:type="dxa" w:w="5184"/>
          </w:tcPr>
          <w:p>
            <w:r>
              <w:t>Scope label</w:t>
            </w:r>
          </w:p>
        </w:tc>
        <w:tc>
          <w:tcPr>
            <w:tcW w:type="dxa" w:w="5184"/>
          </w:tcPr>
          <w:p>
            <w:r>
              <w:t>Foundational - canonical D1-D8 scope</w:t>
            </w:r>
          </w:p>
        </w:tc>
      </w:tr>
    </w:tbl>
    <w:p/>
    <w:p>
      <w:pPr>
        <w:pStyle w:val="Heading2"/>
      </w:pPr>
      <w:r>
        <w:t>D2-CTL-02 - INDIRECT PROMPT INJECTION PREVENTION</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D2: RUNTIME SECURITY &amp; ADVERSARIAL DEFENSE</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Retail assistants ingest product pages, reviews, supplier documents and support content. Sanitise retrieved material and isolate tool instructions so hidden text in a listing or document cannot redirect the model or exfiltrate data.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RET-UC-011; RET-UC-018; RET-UC-025; RET-UC-032</w:t>
            </w:r>
          </w:p>
        </w:tc>
      </w:tr>
      <w:tr>
        <w:tc>
          <w:tcPr>
            <w:tcW w:type="dxa" w:w="2232"/>
            <w:vAlign w:val="top"/>
          </w:tcPr>
          <w:p>
            <w:r>
              <w:rPr>
                <w:sz w:val="16"/>
              </w:rPr>
              <w:t>Related threats</w:t>
            </w:r>
          </w:p>
        </w:tc>
        <w:tc>
          <w:tcPr>
            <w:tcW w:type="dxa" w:w="8424"/>
            <w:vAlign w:val="top"/>
          </w:tcPr>
          <w:p>
            <w:r>
              <w:rPr>
                <w:sz w:val="16"/>
              </w:rPr>
              <w:t>RET-THR-011; RET-THR-016; RET-THR-021</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RET-EVD-011; RET-EVD-014; RET-EVD-017</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RET-MET-011; RET-MET-018</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P1 - Start first</w:t>
            </w:r>
          </w:p>
        </w:tc>
      </w:tr>
      <w:tr>
        <w:tc>
          <w:tcPr>
            <w:tcW w:type="dxa" w:w="5184"/>
          </w:tcPr>
          <w:p>
            <w:r>
              <w:t>Scope label</w:t>
            </w:r>
          </w:p>
        </w:tc>
        <w:tc>
          <w:tcPr>
            <w:tcW w:type="dxa" w:w="5184"/>
          </w:tcPr>
          <w:p>
            <w:r>
              <w:t>Foundational - canonical D1-D8 scope</w:t>
            </w:r>
          </w:p>
        </w:tc>
      </w:tr>
    </w:tbl>
    <w:p/>
    <w:p>
      <w:pPr>
        <w:pStyle w:val="Heading2"/>
      </w:pPr>
      <w:r>
        <w:t>D2-CTL-03 - JAILBREAK RESISTANCE TESTING</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D2: RUNTIME SECURITY &amp; ADVERSARIAL DEFENSE</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Test retail assistants against attempts to produce prohibited product advice, reveal policies, create fraudulent discounts or evade age and account controls. Re-test after model, prompt, retrieval or tool changes.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RET-UC-012; RET-UC-019; RET-UC-026; RET-UC-001; RET-UC-008</w:t>
            </w:r>
          </w:p>
        </w:tc>
      </w:tr>
      <w:tr>
        <w:tc>
          <w:tcPr>
            <w:tcW w:type="dxa" w:w="2232"/>
            <w:vAlign w:val="top"/>
          </w:tcPr>
          <w:p>
            <w:r>
              <w:rPr>
                <w:sz w:val="16"/>
              </w:rPr>
              <w:t>Related threats</w:t>
            </w:r>
          </w:p>
        </w:tc>
        <w:tc>
          <w:tcPr>
            <w:tcW w:type="dxa" w:w="8424"/>
            <w:vAlign w:val="top"/>
          </w:tcPr>
          <w:p>
            <w:r>
              <w:rPr>
                <w:sz w:val="16"/>
              </w:rPr>
              <w:t>RET-THR-012; RET-THR-017; RET-THR-022; RET-THR-027</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RET-EVD-012; RET-EVD-015; RET-EVD-018; RET-EVD-021</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RET-MET-012; RET-MET-019</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D2-CTL-04 - MULTI-MODAL INJECTION DEFENSE</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D2: RUNTIME SECURITY &amp; ADVERSARIAL DEFENSE</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Visual-search, receipt, shelf-image and voice systems can carry adversarial instructions outside ordinary text prompts. Validate each modality independently and at the point where modalities are fused.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RET-UC-013; RET-UC-020; RET-UC-027</w:t>
            </w:r>
          </w:p>
        </w:tc>
      </w:tr>
      <w:tr>
        <w:tc>
          <w:tcPr>
            <w:tcW w:type="dxa" w:w="2232"/>
            <w:vAlign w:val="top"/>
          </w:tcPr>
          <w:p>
            <w:r>
              <w:rPr>
                <w:sz w:val="16"/>
              </w:rPr>
              <w:t>Related threats</w:t>
            </w:r>
          </w:p>
        </w:tc>
        <w:tc>
          <w:tcPr>
            <w:tcW w:type="dxa" w:w="8424"/>
            <w:vAlign w:val="top"/>
          </w:tcPr>
          <w:p>
            <w:r>
              <w:rPr>
                <w:sz w:val="16"/>
              </w:rPr>
              <w:t>RET-THR-013; RET-THR-018; RET-THR-023</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RET-EVD-013; RET-EVD-016</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RET-MET-013; RET-MET-020</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D2-CTL-05 - FUNCTION CALL/TOOL CALL INJECTION PREVENTION</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D2: RUNTIME SECURITY &amp; ADVERSARIAL DEFENSE</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Agents connected to refunds, inventory, customer records or campaigns must validate every function call against user identity, transaction state and approved limits. Model-generated arguments are not trusted authorisation.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RET-UC-014; RET-UC-021; RET-UC-028; RET-UC-003</w:t>
            </w:r>
          </w:p>
        </w:tc>
      </w:tr>
      <w:tr>
        <w:tc>
          <w:tcPr>
            <w:tcW w:type="dxa" w:w="2232"/>
            <w:vAlign w:val="top"/>
          </w:tcPr>
          <w:p>
            <w:r>
              <w:rPr>
                <w:sz w:val="16"/>
              </w:rPr>
              <w:t>Related threats</w:t>
            </w:r>
          </w:p>
        </w:tc>
        <w:tc>
          <w:tcPr>
            <w:tcW w:type="dxa" w:w="8424"/>
            <w:vAlign w:val="top"/>
          </w:tcPr>
          <w:p>
            <w:r>
              <w:rPr>
                <w:sz w:val="16"/>
              </w:rPr>
              <w:t>RET-THR-014; RET-THR-019; RET-THR-024; RET-THR-029</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RET-EVD-014; RET-EVD-017; RET-EVD-020</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RET-MET-014; RET-MET-001</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P1 - Start first</w:t>
            </w:r>
          </w:p>
        </w:tc>
      </w:tr>
      <w:tr>
        <w:tc>
          <w:tcPr>
            <w:tcW w:type="dxa" w:w="5184"/>
          </w:tcPr>
          <w:p>
            <w:r>
              <w:t>Scope label</w:t>
            </w:r>
          </w:p>
        </w:tc>
        <w:tc>
          <w:tcPr>
            <w:tcW w:type="dxa" w:w="5184"/>
          </w:tcPr>
          <w:p>
            <w:r>
              <w:t>Foundational - canonical D1-D8 scope</w:t>
            </w:r>
          </w:p>
        </w:tc>
      </w:tr>
    </w:tbl>
    <w:p/>
    <w:p>
      <w:pPr>
        <w:pStyle w:val="Heading2"/>
      </w:pPr>
      <w:r>
        <w:t>D2-CTL-06 - CROSS-CONTEXT HIJACKING MITIGATION</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D2: RUNTIME SECURITY &amp; ADVERSARIAL DEFENSE</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A retailer may reuse one model across customer, employee, seller and developer contexts. Enforce context separation so content or memory from one tenant, account or workflow cannot influence another.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RET-UC-015; RET-UC-022; RET-UC-029; RET-UC-004; RET-UC-011</w:t>
            </w:r>
          </w:p>
        </w:tc>
      </w:tr>
      <w:tr>
        <w:tc>
          <w:tcPr>
            <w:tcW w:type="dxa" w:w="2232"/>
            <w:vAlign w:val="top"/>
          </w:tcPr>
          <w:p>
            <w:r>
              <w:rPr>
                <w:sz w:val="16"/>
              </w:rPr>
              <w:t>Related threats</w:t>
            </w:r>
          </w:p>
        </w:tc>
        <w:tc>
          <w:tcPr>
            <w:tcW w:type="dxa" w:w="8424"/>
            <w:vAlign w:val="top"/>
          </w:tcPr>
          <w:p>
            <w:r>
              <w:rPr>
                <w:sz w:val="16"/>
              </w:rPr>
              <w:t>RET-THR-015; RET-THR-020; RET-THR-025</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RET-EVD-015; RET-EVD-018; RET-EVD-021; RET-EVD-024</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RET-MET-015; RET-MET-002</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D3-CTL-01 - LEAST AGENCY ENFORCEMENT</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D3: AGENTIC RISK &amp; AUTONOMOUS SYSTEM SECURITY</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Retail agents should receive only the tools and transaction authority required for the current task. A product assistant should not obtain refund, pricing or inventory-write capability merely because those tools exist in the same platform.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RET-UC-016; RET-UC-023; RET-UC-030</w:t>
            </w:r>
          </w:p>
        </w:tc>
      </w:tr>
      <w:tr>
        <w:tc>
          <w:tcPr>
            <w:tcW w:type="dxa" w:w="2232"/>
            <w:vAlign w:val="top"/>
          </w:tcPr>
          <w:p>
            <w:r>
              <w:rPr>
                <w:sz w:val="16"/>
              </w:rPr>
              <w:t>Related threats</w:t>
            </w:r>
          </w:p>
        </w:tc>
        <w:tc>
          <w:tcPr>
            <w:tcW w:type="dxa" w:w="8424"/>
            <w:vAlign w:val="top"/>
          </w:tcPr>
          <w:p>
            <w:r>
              <w:rPr>
                <w:sz w:val="16"/>
              </w:rPr>
              <w:t>RET-THR-016; RET-THR-021; RET-THR-026; RET-THR-031</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RET-EVD-016; RET-EVD-019</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RET-MET-016; RET-MET-003</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P1 - Start first</w:t>
            </w:r>
          </w:p>
        </w:tc>
      </w:tr>
      <w:tr>
        <w:tc>
          <w:tcPr>
            <w:tcW w:type="dxa" w:w="5184"/>
          </w:tcPr>
          <w:p>
            <w:r>
              <w:t>Scope label</w:t>
            </w:r>
          </w:p>
        </w:tc>
        <w:tc>
          <w:tcPr>
            <w:tcW w:type="dxa" w:w="5184"/>
          </w:tcPr>
          <w:p>
            <w:r>
              <w:t>Foundational - canonical D1-D8 scope</w:t>
            </w:r>
          </w:p>
        </w:tc>
      </w:tr>
    </w:tbl>
    <w:p/>
    <w:p>
      <w:pPr>
        <w:pStyle w:val="Heading2"/>
      </w:pPr>
      <w:r>
        <w:t>D3-CTL-02 - INTER-AGENT COMMUNICATION SECURITY</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D3: AGENTIC RISK &amp; AUTONOMOUS SYSTEM SECURITY</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When merchandising, inventory, fraud and customer-service agents exchange messages, authenticate the sender, validate message schemas and record delegated authority. Do not allow one agent to create authority for another through natural-language assertions.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RET-UC-017; RET-UC-024; RET-UC-031; RET-UC-006</w:t>
            </w:r>
          </w:p>
        </w:tc>
      </w:tr>
      <w:tr>
        <w:tc>
          <w:tcPr>
            <w:tcW w:type="dxa" w:w="2232"/>
            <w:vAlign w:val="top"/>
          </w:tcPr>
          <w:p>
            <w:r>
              <w:rPr>
                <w:sz w:val="16"/>
              </w:rPr>
              <w:t>Related threats</w:t>
            </w:r>
          </w:p>
        </w:tc>
        <w:tc>
          <w:tcPr>
            <w:tcW w:type="dxa" w:w="8424"/>
            <w:vAlign w:val="top"/>
          </w:tcPr>
          <w:p>
            <w:r>
              <w:rPr>
                <w:sz w:val="16"/>
              </w:rPr>
              <w:t>RET-THR-017; RET-THR-022; RET-THR-027</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RET-EVD-017; RET-EVD-020; RET-EVD-023</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RET-MET-017; RET-MET-004</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D3-CTL-03 - AGENTIC PROMPT CHAINING DETECTION</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D3: AGENTIC RISK &amp; AUTONOMOUS SYSTEM SECURITY</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Multi-step retail workflows can hide unsafe intent across individually benign prompts. Detect chains that progressively obtain customer data, alter promotions or prepare unauthorised transactions.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RET-UC-018; RET-UC-025; RET-UC-032; RET-UC-007; RET-UC-014</w:t>
            </w:r>
          </w:p>
        </w:tc>
      </w:tr>
      <w:tr>
        <w:tc>
          <w:tcPr>
            <w:tcW w:type="dxa" w:w="2232"/>
            <w:vAlign w:val="top"/>
          </w:tcPr>
          <w:p>
            <w:r>
              <w:rPr>
                <w:sz w:val="16"/>
              </w:rPr>
              <w:t>Related threats</w:t>
            </w:r>
          </w:p>
        </w:tc>
        <w:tc>
          <w:tcPr>
            <w:tcW w:type="dxa" w:w="8424"/>
            <w:vAlign w:val="top"/>
          </w:tcPr>
          <w:p>
            <w:r>
              <w:rPr>
                <w:sz w:val="16"/>
              </w:rPr>
              <w:t>RET-THR-018; RET-THR-023; RET-THR-028; RET-THR-033</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RET-EVD-018; RET-EVD-021; RET-EVD-024; RET-EVD-002</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RET-MET-018; RET-MET-005</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D3-CTL-04 - EMBODIED AI SAFETY CONTROLS</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D3: AGENTIC RISK &amp; AUTONOMOUS SYSTEM SECURITY</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Warehouse robots, autonomous stores and AI-enabled handling equipment require bounded operating zones, tested safety interlocks and controlled behaviour when sensors, networks or models fail.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RET-UC-019; RET-UC-026; RET-UC-001</w:t>
            </w:r>
          </w:p>
        </w:tc>
      </w:tr>
      <w:tr>
        <w:tc>
          <w:tcPr>
            <w:tcW w:type="dxa" w:w="2232"/>
            <w:vAlign w:val="top"/>
          </w:tcPr>
          <w:p>
            <w:r>
              <w:rPr>
                <w:sz w:val="16"/>
              </w:rPr>
              <w:t>Related threats</w:t>
            </w:r>
          </w:p>
        </w:tc>
        <w:tc>
          <w:tcPr>
            <w:tcW w:type="dxa" w:w="8424"/>
            <w:vAlign w:val="top"/>
          </w:tcPr>
          <w:p>
            <w:r>
              <w:rPr>
                <w:sz w:val="16"/>
              </w:rPr>
              <w:t>RET-THR-019; RET-THR-024; RET-THR-029</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RET-EVD-019; RET-EVD-022</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RET-MET-019; RET-MET-006</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D3-CTL-05 - MULTI-AGENT TRUST CHAIN ATTESTATION</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D3: AGENTIC RISK &amp; AUTONOMOUS SYSTEM SECURITY</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For multi-agent retail operations, preserve an attested chain showing which agent, identity, model version and policy authorised each consequential action. Break the chain when any participant cannot be verified.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RET-UC-020; RET-UC-027; RET-UC-002; RET-UC-009</w:t>
            </w:r>
          </w:p>
        </w:tc>
      </w:tr>
      <w:tr>
        <w:tc>
          <w:tcPr>
            <w:tcW w:type="dxa" w:w="2232"/>
            <w:vAlign w:val="top"/>
          </w:tcPr>
          <w:p>
            <w:r>
              <w:rPr>
                <w:sz w:val="16"/>
              </w:rPr>
              <w:t>Related threats</w:t>
            </w:r>
          </w:p>
        </w:tc>
        <w:tc>
          <w:tcPr>
            <w:tcW w:type="dxa" w:w="8424"/>
            <w:vAlign w:val="top"/>
          </w:tcPr>
          <w:p>
            <w:r>
              <w:rPr>
                <w:sz w:val="16"/>
              </w:rPr>
              <w:t>RET-THR-020; RET-THR-025; RET-THR-030; RET-THR-035</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RET-EVD-020; RET-EVD-023; RET-EVD-001</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RET-MET-020; RET-MET-007</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D3-CTL-06 - PERSISTENT MEMORY EXFILTRATION PREVENTION</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D3: AGENTIC RISK &amp; AUTONOMOUS SYSTEM SECURITY</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Persistent assistant memory may accumulate customer, employee, seller or source-code information. Prevent retrieval or export of memory outside the originating account and monitor bulk or unusual memory access.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RET-UC-021; RET-UC-028; RET-UC-003; RET-UC-010; RET-UC-017</w:t>
            </w:r>
          </w:p>
        </w:tc>
      </w:tr>
      <w:tr>
        <w:tc>
          <w:tcPr>
            <w:tcW w:type="dxa" w:w="2232"/>
            <w:vAlign w:val="top"/>
          </w:tcPr>
          <w:p>
            <w:r>
              <w:rPr>
                <w:sz w:val="16"/>
              </w:rPr>
              <w:t>Related threats</w:t>
            </w:r>
          </w:p>
        </w:tc>
        <w:tc>
          <w:tcPr>
            <w:tcW w:type="dxa" w:w="8424"/>
            <w:vAlign w:val="top"/>
          </w:tcPr>
          <w:p>
            <w:r>
              <w:rPr>
                <w:sz w:val="16"/>
              </w:rPr>
              <w:t>RET-THR-021; RET-THR-026; RET-THR-031</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RET-EVD-021; RET-EVD-024; RET-EVD-002; RET-EVD-005</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RET-MET-001; RET-MET-008</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D3-CTL-07 - SECURE MEMORY LIFECYCLE MANAGEMENT</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D3: AGENTIC RISK &amp; AUTONOMOUS SYSTEM SECURITY</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Define retention, correction, deletion and re-indexing rules for conversational and agent memory. Account closure, employee departure and model retirement must trigger removal or controlled archival of associated memory.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RET-UC-022; RET-UC-029; RET-UC-004</w:t>
            </w:r>
          </w:p>
        </w:tc>
      </w:tr>
      <w:tr>
        <w:tc>
          <w:tcPr>
            <w:tcW w:type="dxa" w:w="2232"/>
            <w:vAlign w:val="top"/>
          </w:tcPr>
          <w:p>
            <w:r>
              <w:rPr>
                <w:sz w:val="16"/>
              </w:rPr>
              <w:t>Related threats</w:t>
            </w:r>
          </w:p>
        </w:tc>
        <w:tc>
          <w:tcPr>
            <w:tcW w:type="dxa" w:w="8424"/>
            <w:vAlign w:val="top"/>
          </w:tcPr>
          <w:p>
            <w:r>
              <w:rPr>
                <w:sz w:val="16"/>
              </w:rPr>
              <w:t>RET-THR-022; RET-THR-027; RET-THR-032; RET-THR-001</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RET-EVD-022; RET-EVD-025</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RET-MET-002; RET-MET-009</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D4-CTL-01 - AI BILL OF MATERIALS (AI BOM) MAINTENANCE</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D4: SUPPLY CHAIN &amp; THIRD-PARTY AI SECURITY</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Maintain an AI bill of materials for each retail service covering models, adapters, datasets, retrieval stores, prompts, agents, tools, libraries, providers and edge deployments. Link changes to release and incident records.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RET-UC-023; RET-UC-030; RET-UC-005; RET-UC-012</w:t>
            </w:r>
          </w:p>
        </w:tc>
      </w:tr>
      <w:tr>
        <w:tc>
          <w:tcPr>
            <w:tcW w:type="dxa" w:w="2232"/>
            <w:vAlign w:val="top"/>
          </w:tcPr>
          <w:p>
            <w:r>
              <w:rPr>
                <w:sz w:val="16"/>
              </w:rPr>
              <w:t>Related threats</w:t>
            </w:r>
          </w:p>
        </w:tc>
        <w:tc>
          <w:tcPr>
            <w:tcW w:type="dxa" w:w="8424"/>
            <w:vAlign w:val="top"/>
          </w:tcPr>
          <w:p>
            <w:r>
              <w:rPr>
                <w:sz w:val="16"/>
              </w:rPr>
              <w:t>RET-THR-023; RET-THR-028; RET-THR-033</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RET-EVD-023; RET-EVD-001; RET-EVD-004</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RET-MET-003; RET-MET-010</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P1 - Start first</w:t>
            </w:r>
          </w:p>
        </w:tc>
      </w:tr>
      <w:tr>
        <w:tc>
          <w:tcPr>
            <w:tcW w:type="dxa" w:w="5184"/>
          </w:tcPr>
          <w:p>
            <w:r>
              <w:t>Scope label</w:t>
            </w:r>
          </w:p>
        </w:tc>
        <w:tc>
          <w:tcPr>
            <w:tcW w:type="dxa" w:w="5184"/>
          </w:tcPr>
          <w:p>
            <w:r>
              <w:t>Foundational - canonical D1-D8 scope</w:t>
            </w:r>
          </w:p>
        </w:tc>
      </w:tr>
    </w:tbl>
    <w:p/>
    <w:p>
      <w:pPr>
        <w:pStyle w:val="Heading2"/>
      </w:pPr>
      <w:r>
        <w:t>D4-CTL-02 - MODEL FILE &amp; ARTIFACT SCANNING</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D4: SUPPLY CHAIN &amp; THIRD-PARTY AI SECURITY</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Scan downloaded models, adapters and serialized artefacts before use. Retail data-science teams must treat model files from public hubs, vendors and internal experiments as executable supply-chain content.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RET-UC-024; RET-UC-031; RET-UC-006; RET-UC-013; RET-UC-020</w:t>
            </w:r>
          </w:p>
        </w:tc>
      </w:tr>
      <w:tr>
        <w:tc>
          <w:tcPr>
            <w:tcW w:type="dxa" w:w="2232"/>
            <w:vAlign w:val="top"/>
          </w:tcPr>
          <w:p>
            <w:r>
              <w:rPr>
                <w:sz w:val="16"/>
              </w:rPr>
              <w:t>Related threats</w:t>
            </w:r>
          </w:p>
        </w:tc>
        <w:tc>
          <w:tcPr>
            <w:tcW w:type="dxa" w:w="8424"/>
            <w:vAlign w:val="top"/>
          </w:tcPr>
          <w:p>
            <w:r>
              <w:rPr>
                <w:sz w:val="16"/>
              </w:rPr>
              <w:t>RET-THR-024; RET-THR-029; RET-THR-034; RET-THR-003</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RET-EVD-024; RET-EVD-002; RET-EVD-005; RET-EVD-008</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RET-MET-004; RET-MET-011</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D4-CTL-03 - MODEL HUB &amp; REGISTRY VETTING</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D4: SUPPLY CHAIN &amp; THIRD-PARTY AI SECURITY</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Approve model hubs and registries based on provenance, moderation, vulnerability response and licence controls. Prevent unreviewed models from moving directly from an analyst notebook into a customer or store workflow.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RET-UC-025; RET-UC-032; RET-UC-007</w:t>
            </w:r>
          </w:p>
        </w:tc>
      </w:tr>
      <w:tr>
        <w:tc>
          <w:tcPr>
            <w:tcW w:type="dxa" w:w="2232"/>
            <w:vAlign w:val="top"/>
          </w:tcPr>
          <w:p>
            <w:r>
              <w:rPr>
                <w:sz w:val="16"/>
              </w:rPr>
              <w:t>Related threats</w:t>
            </w:r>
          </w:p>
        </w:tc>
        <w:tc>
          <w:tcPr>
            <w:tcW w:type="dxa" w:w="8424"/>
            <w:vAlign w:val="top"/>
          </w:tcPr>
          <w:p>
            <w:r>
              <w:rPr>
                <w:sz w:val="16"/>
              </w:rPr>
              <w:t>RET-THR-025; RET-THR-030; RET-THR-035</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RET-EVD-025; RET-EVD-003</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RET-MET-005; RET-MET-012</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D4-CTL-04 - MCP SERVER BEHAVIORAL MONITORING</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D4: SUPPLY CHAIN &amp; THIRD-PARTY AI SECURITY</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Model Context Protocol servers can expose inventory, customer relationship management and order systems to agents. Monitor server discovery, tool enumeration, read/write patterns and unexpected access to high-value retail data.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RET-UC-026; RET-UC-001; RET-UC-008; RET-UC-015</w:t>
            </w:r>
          </w:p>
        </w:tc>
      </w:tr>
      <w:tr>
        <w:tc>
          <w:tcPr>
            <w:tcW w:type="dxa" w:w="2232"/>
            <w:vAlign w:val="top"/>
          </w:tcPr>
          <w:p>
            <w:r>
              <w:rPr>
                <w:sz w:val="16"/>
              </w:rPr>
              <w:t>Related threats</w:t>
            </w:r>
          </w:p>
        </w:tc>
        <w:tc>
          <w:tcPr>
            <w:tcW w:type="dxa" w:w="8424"/>
            <w:vAlign w:val="top"/>
          </w:tcPr>
          <w:p>
            <w:r>
              <w:rPr>
                <w:sz w:val="16"/>
              </w:rPr>
              <w:t>RET-THR-026; RET-THR-031; RET-THR-036; RET-THR-005</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RET-EVD-001; RET-EVD-004; RET-EVD-007</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RET-MET-006; RET-MET-013</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D4-CTL-05 - THIRD-PARTY AI API SECURITY ASSESSMENT</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D4: SUPPLY CHAIN &amp; THIRD-PARTY AI SECURITY</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Assess external AI application programming interfaces for authentication, tenant isolation, data retention, training use, regional processing, model-change notice, rate limits and incident support before sending customer or commercial data.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RET-UC-027; RET-UC-002; RET-UC-009; RET-UC-016; RET-UC-023</w:t>
            </w:r>
          </w:p>
        </w:tc>
      </w:tr>
      <w:tr>
        <w:tc>
          <w:tcPr>
            <w:tcW w:type="dxa" w:w="2232"/>
            <w:vAlign w:val="top"/>
          </w:tcPr>
          <w:p>
            <w:r>
              <w:rPr>
                <w:sz w:val="16"/>
              </w:rPr>
              <w:t>Related threats</w:t>
            </w:r>
          </w:p>
        </w:tc>
        <w:tc>
          <w:tcPr>
            <w:tcW w:type="dxa" w:w="8424"/>
            <w:vAlign w:val="top"/>
          </w:tcPr>
          <w:p>
            <w:r>
              <w:rPr>
                <w:sz w:val="16"/>
              </w:rPr>
              <w:t>RET-THR-027; RET-THR-032; RET-THR-001</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RET-EVD-002; RET-EVD-005; RET-EVD-008; RET-EVD-011</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RET-MET-007; RET-MET-014</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P1 - Start first</w:t>
            </w:r>
          </w:p>
        </w:tc>
      </w:tr>
      <w:tr>
        <w:tc>
          <w:tcPr>
            <w:tcW w:type="dxa" w:w="5184"/>
          </w:tcPr>
          <w:p>
            <w:r>
              <w:t>Scope label</w:t>
            </w:r>
          </w:p>
        </w:tc>
        <w:tc>
          <w:tcPr>
            <w:tcW w:type="dxa" w:w="5184"/>
          </w:tcPr>
          <w:p>
            <w:r>
              <w:t>Foundational - canonical D1-D8 scope</w:t>
            </w:r>
          </w:p>
        </w:tc>
      </w:tr>
    </w:tbl>
    <w:p/>
    <w:p>
      <w:pPr>
        <w:pStyle w:val="Heading2"/>
      </w:pPr>
      <w:r>
        <w:t>D4-CTL-06 - SHADOW AI DISCOVERY &amp; GOVERNANCE</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D4: SUPPLY CHAIN &amp; THIRD-PARTY AI SECURITY</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Shadow AI commonly appears in marketing, buying, store and franchise teams using consumer tools for copy, images or analysis. Discover unsanctioned use through procurement, network, browser and data-loss signals, then provide an approved alternative and enforce data boundaries.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RET-UC-028; RET-UC-003; RET-UC-010</w:t>
            </w:r>
          </w:p>
        </w:tc>
      </w:tr>
      <w:tr>
        <w:tc>
          <w:tcPr>
            <w:tcW w:type="dxa" w:w="2232"/>
            <w:vAlign w:val="top"/>
          </w:tcPr>
          <w:p>
            <w:r>
              <w:rPr>
                <w:sz w:val="16"/>
              </w:rPr>
              <w:t>Related threats</w:t>
            </w:r>
          </w:p>
        </w:tc>
        <w:tc>
          <w:tcPr>
            <w:tcW w:type="dxa" w:w="8424"/>
            <w:vAlign w:val="top"/>
          </w:tcPr>
          <w:p>
            <w:r>
              <w:rPr>
                <w:sz w:val="16"/>
              </w:rPr>
              <w:t>RET-THR-028; RET-THR-033; RET-THR-002; RET-THR-007</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RET-EVD-003; RET-EVD-006</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RET-MET-008; RET-MET-015</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P1 - Start first</w:t>
            </w:r>
          </w:p>
        </w:tc>
      </w:tr>
      <w:tr>
        <w:tc>
          <w:tcPr>
            <w:tcW w:type="dxa" w:w="5184"/>
          </w:tcPr>
          <w:p>
            <w:r>
              <w:t>Scope label</w:t>
            </w:r>
          </w:p>
        </w:tc>
        <w:tc>
          <w:tcPr>
            <w:tcW w:type="dxa" w:w="5184"/>
          </w:tcPr>
          <w:p>
            <w:r>
              <w:t>Foundational - canonical D1-D8 scope</w:t>
            </w:r>
          </w:p>
        </w:tc>
      </w:tr>
    </w:tbl>
    <w:p/>
    <w:p>
      <w:pPr>
        <w:pStyle w:val="Heading2"/>
      </w:pPr>
      <w:r>
        <w:t>D4-CTL-07 - AI SOFTWARE COMPOSITION ANALYSIS (SCA)</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D4: SUPPLY CHAIN &amp; THIRD-PARTY AI SECURITY</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Software Composition Analysis for retail AI must include orchestration frameworks, vector databases, model loaders, plugins, computer-vision packages and agent tools, not only the conventional web application dependencies.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RET-UC-029; RET-UC-004; RET-UC-011; RET-UC-018</w:t>
            </w:r>
          </w:p>
        </w:tc>
      </w:tr>
      <w:tr>
        <w:tc>
          <w:tcPr>
            <w:tcW w:type="dxa" w:w="2232"/>
            <w:vAlign w:val="top"/>
          </w:tcPr>
          <w:p>
            <w:r>
              <w:rPr>
                <w:sz w:val="16"/>
              </w:rPr>
              <w:t>Related threats</w:t>
            </w:r>
          </w:p>
        </w:tc>
        <w:tc>
          <w:tcPr>
            <w:tcW w:type="dxa" w:w="8424"/>
            <w:vAlign w:val="top"/>
          </w:tcPr>
          <w:p>
            <w:r>
              <w:rPr>
                <w:sz w:val="16"/>
              </w:rPr>
              <w:t>RET-THR-029; RET-THR-034; RET-THR-003</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RET-EVD-004; RET-EVD-007; RET-EVD-010</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RET-MET-009; RET-MET-016</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D5-CTL-01 - HARMFUL CONTENT BLOCKING</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D5: CONTENT SAFETY &amp; OUTPUT INTEGRITY</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Block outputs that facilitate fraud, unsafe product use, harassment, prohibited goods or harmful employee/customer interactions. Calibrate controls to the channel and provide escalation instead of silently failing consequential requests.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RET-UC-030; RET-UC-005; RET-UC-012; RET-UC-019; RET-UC-026</w:t>
            </w:r>
          </w:p>
        </w:tc>
      </w:tr>
      <w:tr>
        <w:tc>
          <w:tcPr>
            <w:tcW w:type="dxa" w:w="2232"/>
            <w:vAlign w:val="top"/>
          </w:tcPr>
          <w:p>
            <w:r>
              <w:rPr>
                <w:sz w:val="16"/>
              </w:rPr>
              <w:t>Related threats</w:t>
            </w:r>
          </w:p>
        </w:tc>
        <w:tc>
          <w:tcPr>
            <w:tcW w:type="dxa" w:w="8424"/>
            <w:vAlign w:val="top"/>
          </w:tcPr>
          <w:p>
            <w:r>
              <w:rPr>
                <w:sz w:val="16"/>
              </w:rPr>
              <w:t>RET-THR-030; RET-THR-035; RET-THR-004; RET-THR-009</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RET-EVD-005; RET-EVD-008; RET-EVD-011; RET-EVD-014</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RET-MET-010; RET-MET-017</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D5-CTL-02 - PII LEAKAGE PREVENTION</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D5: CONTENT SAFETY &amp; OUTPUT INTEGRITY</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Prevent customer, payment, loyalty, employee and supplier identifiers from appearing in prompts, retrieved context or outputs beyond the approved transaction. Test redaction and access boundaries with realistic retail records.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RET-UC-031; RET-UC-006; RET-UC-013</w:t>
            </w:r>
          </w:p>
        </w:tc>
      </w:tr>
      <w:tr>
        <w:tc>
          <w:tcPr>
            <w:tcW w:type="dxa" w:w="2232"/>
            <w:vAlign w:val="top"/>
          </w:tcPr>
          <w:p>
            <w:r>
              <w:rPr>
                <w:sz w:val="16"/>
              </w:rPr>
              <w:t>Related threats</w:t>
            </w:r>
          </w:p>
        </w:tc>
        <w:tc>
          <w:tcPr>
            <w:tcW w:type="dxa" w:w="8424"/>
            <w:vAlign w:val="top"/>
          </w:tcPr>
          <w:p>
            <w:r>
              <w:rPr>
                <w:sz w:val="16"/>
              </w:rPr>
              <w:t>RET-THR-031; RET-THR-036; RET-THR-005</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RET-EVD-006; RET-EVD-009</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RET-MET-011; RET-MET-018</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P1 - Start first</w:t>
            </w:r>
          </w:p>
        </w:tc>
      </w:tr>
      <w:tr>
        <w:tc>
          <w:tcPr>
            <w:tcW w:type="dxa" w:w="5184"/>
          </w:tcPr>
          <w:p>
            <w:r>
              <w:t>Scope label</w:t>
            </w:r>
          </w:p>
        </w:tc>
        <w:tc>
          <w:tcPr>
            <w:tcW w:type="dxa" w:w="5184"/>
          </w:tcPr>
          <w:p>
            <w:r>
              <w:t>Foundational - canonical D1-D8 scope</w:t>
            </w:r>
          </w:p>
        </w:tc>
      </w:tr>
    </w:tbl>
    <w:p/>
    <w:p>
      <w:pPr>
        <w:pStyle w:val="Heading2"/>
      </w:pPr>
      <w:r>
        <w:t>D5-CTL-03 - COPYRIGHT DETECTION</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D5: CONTENT SAFETY &amp; OUTPUT INTEGRITY</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Product descriptions, advertising and generated imagery may reproduce protected material. Record source rights, detect suspicious similarity and route uncertain content for review before publication.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RET-UC-032; RET-UC-007; RET-UC-014; RET-UC-021</w:t>
            </w:r>
          </w:p>
        </w:tc>
      </w:tr>
      <w:tr>
        <w:tc>
          <w:tcPr>
            <w:tcW w:type="dxa" w:w="2232"/>
            <w:vAlign w:val="top"/>
          </w:tcPr>
          <w:p>
            <w:r>
              <w:rPr>
                <w:sz w:val="16"/>
              </w:rPr>
              <w:t>Related threats</w:t>
            </w:r>
          </w:p>
        </w:tc>
        <w:tc>
          <w:tcPr>
            <w:tcW w:type="dxa" w:w="8424"/>
            <w:vAlign w:val="top"/>
          </w:tcPr>
          <w:p>
            <w:r>
              <w:rPr>
                <w:sz w:val="16"/>
              </w:rPr>
              <w:t>RET-THR-032; RET-THR-001; RET-THR-006; RET-THR-011</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RET-EVD-007; RET-EVD-010; RET-EVD-013</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RET-MET-012; RET-MET-019</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D5-CTL-04 - AI WATERMARKING ROBUSTNESS</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D5: CONTENT SAFETY &amp; OUTPUT INTEGRITY</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Where watermarks or provenance markers are used for retail media, test whether resizing, cropping, recompression and marketplace reposting remove them. Do not treat watermark presence as proof that content is authentic.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RET-UC-001; RET-UC-008; RET-UC-015; RET-UC-022; RET-UC-029</w:t>
            </w:r>
          </w:p>
        </w:tc>
      </w:tr>
      <w:tr>
        <w:tc>
          <w:tcPr>
            <w:tcW w:type="dxa" w:w="2232"/>
            <w:vAlign w:val="top"/>
          </w:tcPr>
          <w:p>
            <w:r>
              <w:rPr>
                <w:sz w:val="16"/>
              </w:rPr>
              <w:t>Related threats</w:t>
            </w:r>
          </w:p>
        </w:tc>
        <w:tc>
          <w:tcPr>
            <w:tcW w:type="dxa" w:w="8424"/>
            <w:vAlign w:val="top"/>
          </w:tcPr>
          <w:p>
            <w:r>
              <w:rPr>
                <w:sz w:val="16"/>
              </w:rPr>
              <w:t>RET-THR-033; RET-THR-002; RET-THR-007</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RET-EVD-008; RET-EVD-011; RET-EVD-014; RET-EVD-017</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RET-MET-013; RET-MET-020</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D5-CTL-05 - PRIVACY-BY-DESIGN VERIFICATION</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D5: CONTENT SAFETY &amp; OUTPUT INTEGRITY</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Verify privacy controls at design and release gates for loyalty profiling, retail media, biometrics, employee monitoring and conversational systems. Data minimisation and purpose boundaries must be visible in architecture and operating evidence.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RET-UC-002; RET-UC-009; RET-UC-016</w:t>
            </w:r>
          </w:p>
        </w:tc>
      </w:tr>
      <w:tr>
        <w:tc>
          <w:tcPr>
            <w:tcW w:type="dxa" w:w="2232"/>
            <w:vAlign w:val="top"/>
          </w:tcPr>
          <w:p>
            <w:r>
              <w:rPr>
                <w:sz w:val="16"/>
              </w:rPr>
              <w:t>Related threats</w:t>
            </w:r>
          </w:p>
        </w:tc>
        <w:tc>
          <w:tcPr>
            <w:tcW w:type="dxa" w:w="8424"/>
            <w:vAlign w:val="top"/>
          </w:tcPr>
          <w:p>
            <w:r>
              <w:rPr>
                <w:sz w:val="16"/>
              </w:rPr>
              <w:t>RET-THR-034; RET-THR-003; RET-THR-008; RET-THR-013</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RET-EVD-009; RET-EVD-012</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RET-MET-014; RET-MET-001</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P1 - Start first</w:t>
            </w:r>
          </w:p>
        </w:tc>
      </w:tr>
      <w:tr>
        <w:tc>
          <w:tcPr>
            <w:tcW w:type="dxa" w:w="5184"/>
          </w:tcPr>
          <w:p>
            <w:r>
              <w:t>Scope label</w:t>
            </w:r>
          </w:p>
        </w:tc>
        <w:tc>
          <w:tcPr>
            <w:tcW w:type="dxa" w:w="5184"/>
          </w:tcPr>
          <w:p>
            <w:r>
              <w:t>Foundational - canonical D1-D8 scope</w:t>
            </w:r>
          </w:p>
        </w:tc>
      </w:tr>
    </w:tbl>
    <w:p/>
    <w:p>
      <w:pPr>
        <w:pStyle w:val="Heading2"/>
      </w:pPr>
      <w:r>
        <w:t>D5-CTL-06 - PRIVACY-PRESERVING ML VALIDATION</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D5: CONTENT SAFETY &amp; OUTPUT INTEGRITY</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Where federated learning, differential privacy, synthetic data or secure computation is claimed, test the privacy parameters and residual leakage against the retail use case. A technique label alone is not evidence of effective protection.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RET-UC-003; RET-UC-010; RET-UC-017; RET-UC-024</w:t>
            </w:r>
          </w:p>
        </w:tc>
      </w:tr>
      <w:tr>
        <w:tc>
          <w:tcPr>
            <w:tcW w:type="dxa" w:w="2232"/>
            <w:vAlign w:val="top"/>
          </w:tcPr>
          <w:p>
            <w:r>
              <w:rPr>
                <w:sz w:val="16"/>
              </w:rPr>
              <w:t>Related threats</w:t>
            </w:r>
          </w:p>
        </w:tc>
        <w:tc>
          <w:tcPr>
            <w:tcW w:type="dxa" w:w="8424"/>
            <w:vAlign w:val="top"/>
          </w:tcPr>
          <w:p>
            <w:r>
              <w:rPr>
                <w:sz w:val="16"/>
              </w:rPr>
              <w:t>RET-THR-035; RET-THR-004; RET-THR-009</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RET-EVD-010; RET-EVD-013; RET-EVD-016</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RET-MET-015; RET-MET-002</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D6-CTL-01 - HUMAN-IN-THE-LOOP FOR HIGH-RISK ACTIONS</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D6: GOVERNANCE, ACCOUNTABILITY &amp; HUMAN OVERSIGHT</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Require authorised human review before consequential actions such as account suspension, return denial, biometric intervention, hiring rejection, high-value refund or unsafe warehouse movement. Reviewers need the evidence and authority to reverse the model outcome.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RET-UC-004; RET-UC-011; RET-UC-018; RET-UC-025; RET-UC-032</w:t>
            </w:r>
          </w:p>
        </w:tc>
      </w:tr>
      <w:tr>
        <w:tc>
          <w:tcPr>
            <w:tcW w:type="dxa" w:w="2232"/>
            <w:vAlign w:val="top"/>
          </w:tcPr>
          <w:p>
            <w:r>
              <w:rPr>
                <w:sz w:val="16"/>
              </w:rPr>
              <w:t>Related threats</w:t>
            </w:r>
          </w:p>
        </w:tc>
        <w:tc>
          <w:tcPr>
            <w:tcW w:type="dxa" w:w="8424"/>
            <w:vAlign w:val="top"/>
          </w:tcPr>
          <w:p>
            <w:r>
              <w:rPr>
                <w:sz w:val="16"/>
              </w:rPr>
              <w:t>RET-THR-036; RET-THR-005; RET-THR-010; RET-THR-015</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RET-EVD-011; RET-EVD-014; RET-EVD-017; RET-EVD-020</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RET-MET-016; RET-MET-003</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P1 - Start first</w:t>
            </w:r>
          </w:p>
        </w:tc>
      </w:tr>
      <w:tr>
        <w:tc>
          <w:tcPr>
            <w:tcW w:type="dxa" w:w="5184"/>
          </w:tcPr>
          <w:p>
            <w:r>
              <w:t>Scope label</w:t>
            </w:r>
          </w:p>
        </w:tc>
        <w:tc>
          <w:tcPr>
            <w:tcW w:type="dxa" w:w="5184"/>
          </w:tcPr>
          <w:p>
            <w:r>
              <w:t>Foundational - canonical D1-D8 scope</w:t>
            </w:r>
          </w:p>
        </w:tc>
      </w:tr>
    </w:tbl>
    <w:p/>
    <w:p>
      <w:pPr>
        <w:pStyle w:val="Heading2"/>
      </w:pPr>
      <w:r>
        <w:t>D6-CTL-02 - AUDIT TRAIL COMPLETENESS</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D6: GOVERNANCE, ACCOUNTABILITY &amp; HUMAN OVERSIGHT</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Logs must reconstruct the customer or operational journey: identity, input, retrieved data, model and prompt version, output, tool call, override and final action. Logging only the final response is insufficient for disputes or incidents.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RET-UC-005; RET-UC-012; RET-UC-019</w:t>
            </w:r>
          </w:p>
        </w:tc>
      </w:tr>
      <w:tr>
        <w:tc>
          <w:tcPr>
            <w:tcW w:type="dxa" w:w="2232"/>
            <w:vAlign w:val="top"/>
          </w:tcPr>
          <w:p>
            <w:r>
              <w:rPr>
                <w:sz w:val="16"/>
              </w:rPr>
              <w:t>Related threats</w:t>
            </w:r>
          </w:p>
        </w:tc>
        <w:tc>
          <w:tcPr>
            <w:tcW w:type="dxa" w:w="8424"/>
            <w:vAlign w:val="top"/>
          </w:tcPr>
          <w:p>
            <w:r>
              <w:rPr>
                <w:sz w:val="16"/>
              </w:rPr>
              <w:t>RET-THR-001; RET-THR-006; RET-THR-011</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RET-EVD-012; RET-EVD-015</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RET-MET-017; RET-MET-004</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P1 - Start first</w:t>
            </w:r>
          </w:p>
        </w:tc>
      </w:tr>
      <w:tr>
        <w:tc>
          <w:tcPr>
            <w:tcW w:type="dxa" w:w="5184"/>
          </w:tcPr>
          <w:p>
            <w:r>
              <w:t>Scope label</w:t>
            </w:r>
          </w:p>
        </w:tc>
        <w:tc>
          <w:tcPr>
            <w:tcW w:type="dxa" w:w="5184"/>
          </w:tcPr>
          <w:p>
            <w:r>
              <w:t>Foundational - canonical D1-D8 scope</w:t>
            </w:r>
          </w:p>
        </w:tc>
      </w:tr>
    </w:tbl>
    <w:p/>
    <w:p>
      <w:pPr>
        <w:pStyle w:val="Heading2"/>
      </w:pPr>
      <w:r>
        <w:t>D6-CTL-03 - AI MODEL CARD COMPLETENESS</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D6: GOVERNANCE, ACCOUNTABILITY &amp; HUMAN OVERSIGHT</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Retail model cards should state channel, population, data origin, decision authority, known failure modes, seasonal limits, supplier dependencies and prohibited uses. Generic vendor documentation does not replace a retailer-specific deployment record.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RET-UC-006; RET-UC-013; RET-UC-020; RET-UC-027</w:t>
            </w:r>
          </w:p>
        </w:tc>
      </w:tr>
      <w:tr>
        <w:tc>
          <w:tcPr>
            <w:tcW w:type="dxa" w:w="2232"/>
            <w:vAlign w:val="top"/>
          </w:tcPr>
          <w:p>
            <w:r>
              <w:rPr>
                <w:sz w:val="16"/>
              </w:rPr>
              <w:t>Related threats</w:t>
            </w:r>
          </w:p>
        </w:tc>
        <w:tc>
          <w:tcPr>
            <w:tcW w:type="dxa" w:w="8424"/>
            <w:vAlign w:val="top"/>
          </w:tcPr>
          <w:p>
            <w:r>
              <w:rPr>
                <w:sz w:val="16"/>
              </w:rPr>
              <w:t>RET-THR-002; RET-THR-007; RET-THR-012; RET-THR-017</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RET-EVD-013; RET-EVD-016; RET-EVD-019</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RET-MET-018; RET-MET-005</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D6-CTL-04 - AI INCIDENT RESPONSE READINESS</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D6: GOVERNANCE, ACCOUNTABILITY &amp; HUMAN OVERSIGHT</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AI incident plans should cover misleading product content, pricing errors, fraud-control failure, biometric misidentification, agent misuse, model compromise and provider outages. Preserve model and prompt versions before rollback.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RET-UC-007; RET-UC-014; RET-UC-021; RET-UC-028; RET-UC-003</w:t>
            </w:r>
          </w:p>
        </w:tc>
      </w:tr>
      <w:tr>
        <w:tc>
          <w:tcPr>
            <w:tcW w:type="dxa" w:w="2232"/>
            <w:vAlign w:val="top"/>
          </w:tcPr>
          <w:p>
            <w:r>
              <w:rPr>
                <w:sz w:val="16"/>
              </w:rPr>
              <w:t>Related threats</w:t>
            </w:r>
          </w:p>
        </w:tc>
        <w:tc>
          <w:tcPr>
            <w:tcW w:type="dxa" w:w="8424"/>
            <w:vAlign w:val="top"/>
          </w:tcPr>
          <w:p>
            <w:r>
              <w:rPr>
                <w:sz w:val="16"/>
              </w:rPr>
              <w:t>RET-THR-003; RET-THR-008; RET-THR-013</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RET-EVD-014; RET-EVD-017; RET-EVD-020; RET-EVD-023</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RET-MET-019; RET-MET-006</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P1 - Start first</w:t>
            </w:r>
          </w:p>
        </w:tc>
      </w:tr>
      <w:tr>
        <w:tc>
          <w:tcPr>
            <w:tcW w:type="dxa" w:w="5184"/>
          </w:tcPr>
          <w:p>
            <w:r>
              <w:t>Scope label</w:t>
            </w:r>
          </w:p>
        </w:tc>
        <w:tc>
          <w:tcPr>
            <w:tcW w:type="dxa" w:w="5184"/>
          </w:tcPr>
          <w:p>
            <w:r>
              <w:t>Foundational - canonical D1-D8 scope</w:t>
            </w:r>
          </w:p>
        </w:tc>
      </w:tr>
    </w:tbl>
    <w:p/>
    <w:p>
      <w:pPr>
        <w:pStyle w:val="Heading2"/>
      </w:pPr>
      <w:r>
        <w:t>D6-CTL-05 - MODEL DEPRECATION &amp; DECOMMISSIONING</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D6: GOVERNANCE, ACCOUNTABILITY &amp; HUMAN OVERSIGHT</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When retiring a model, remove endpoints, credentials, cached artefacts and dependent agent routes; archive required evidence; migrate open cases; and verify that stores or franchisees are not still using the superseded version.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RET-UC-008; RET-UC-015; RET-UC-022</w:t>
            </w:r>
          </w:p>
        </w:tc>
      </w:tr>
      <w:tr>
        <w:tc>
          <w:tcPr>
            <w:tcW w:type="dxa" w:w="2232"/>
            <w:vAlign w:val="top"/>
          </w:tcPr>
          <w:p>
            <w:r>
              <w:rPr>
                <w:sz w:val="16"/>
              </w:rPr>
              <w:t>Related threats</w:t>
            </w:r>
          </w:p>
        </w:tc>
        <w:tc>
          <w:tcPr>
            <w:tcW w:type="dxa" w:w="8424"/>
            <w:vAlign w:val="top"/>
          </w:tcPr>
          <w:p>
            <w:r>
              <w:rPr>
                <w:sz w:val="16"/>
              </w:rPr>
              <w:t>RET-THR-004; RET-THR-009; RET-THR-014; RET-THR-019</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RET-EVD-015; RET-EVD-018</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RET-MET-020; RET-MET-007</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D6-CTL-06 - THIRD-PARTY AI VENDOR GOVERNANCE</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D6: GOVERNANCE, ACCOUNTABILITY &amp; HUMAN OVERSIGHT</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Retail contracts should secure evidence access, data-use limits, change notice, incident cooperation, subcontractor transparency, continuity and exit support. Procurement approval without enforceable operating rights leaves a control gap.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RET-UC-009; RET-UC-016; RET-UC-023; RET-UC-030</w:t>
            </w:r>
          </w:p>
        </w:tc>
      </w:tr>
      <w:tr>
        <w:tc>
          <w:tcPr>
            <w:tcW w:type="dxa" w:w="2232"/>
            <w:vAlign w:val="top"/>
          </w:tcPr>
          <w:p>
            <w:r>
              <w:rPr>
                <w:sz w:val="16"/>
              </w:rPr>
              <w:t>Related threats</w:t>
            </w:r>
          </w:p>
        </w:tc>
        <w:tc>
          <w:tcPr>
            <w:tcW w:type="dxa" w:w="8424"/>
            <w:vAlign w:val="top"/>
          </w:tcPr>
          <w:p>
            <w:r>
              <w:rPr>
                <w:sz w:val="16"/>
              </w:rPr>
              <w:t>RET-THR-005; RET-THR-010; RET-THR-015</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RET-EVD-016; RET-EVD-019; RET-EVD-022</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RET-MET-001; RET-MET-008</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P1 - Start first</w:t>
            </w:r>
          </w:p>
        </w:tc>
      </w:tr>
      <w:tr>
        <w:tc>
          <w:tcPr>
            <w:tcW w:type="dxa" w:w="5184"/>
          </w:tcPr>
          <w:p>
            <w:r>
              <w:t>Scope label</w:t>
            </w:r>
          </w:p>
        </w:tc>
        <w:tc>
          <w:tcPr>
            <w:tcW w:type="dxa" w:w="5184"/>
          </w:tcPr>
          <w:p>
            <w:r>
              <w:t>Foundational - canonical D1-D8 scope</w:t>
            </w:r>
          </w:p>
        </w:tc>
      </w:tr>
    </w:tbl>
    <w:p/>
    <w:p>
      <w:pPr>
        <w:pStyle w:val="Heading2"/>
      </w:pPr>
      <w:r>
        <w:t>D6-CTL-07 - AI RESILIENCE &amp; BUSINESS CONTINUITY</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D6: GOVERNANCE, ACCOUNTABILITY &amp; HUMAN OVERSIGHT</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Define degraded modes for payment risk, inventory, checkout, customer service and physical operations. Test manual or rules-based fallback under peak demand rather than assuming the provider will remain available.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RET-UC-010; RET-UC-017; RET-UC-024; RET-UC-031; RET-UC-006</w:t>
            </w:r>
          </w:p>
        </w:tc>
      </w:tr>
      <w:tr>
        <w:tc>
          <w:tcPr>
            <w:tcW w:type="dxa" w:w="2232"/>
            <w:vAlign w:val="top"/>
          </w:tcPr>
          <w:p>
            <w:r>
              <w:rPr>
                <w:sz w:val="16"/>
              </w:rPr>
              <w:t>Related threats</w:t>
            </w:r>
          </w:p>
        </w:tc>
        <w:tc>
          <w:tcPr>
            <w:tcW w:type="dxa" w:w="8424"/>
            <w:vAlign w:val="top"/>
          </w:tcPr>
          <w:p>
            <w:r>
              <w:rPr>
                <w:sz w:val="16"/>
              </w:rPr>
              <w:t>RET-THR-006; RET-THR-011; RET-THR-016; RET-THR-021</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RET-EVD-017; RET-EVD-020; RET-EVD-023; RET-EVD-001</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RET-MET-002; RET-MET-009</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P1 - Start first</w:t>
            </w:r>
          </w:p>
        </w:tc>
      </w:tr>
      <w:tr>
        <w:tc>
          <w:tcPr>
            <w:tcW w:type="dxa" w:w="5184"/>
          </w:tcPr>
          <w:p>
            <w:r>
              <w:t>Scope label</w:t>
            </w:r>
          </w:p>
        </w:tc>
        <w:tc>
          <w:tcPr>
            <w:tcW w:type="dxa" w:w="5184"/>
          </w:tcPr>
          <w:p>
            <w:r>
              <w:t>Foundational - canonical D1-D8 scope</w:t>
            </w:r>
          </w:p>
        </w:tc>
      </w:tr>
    </w:tbl>
    <w:p/>
    <w:p>
      <w:pPr>
        <w:pStyle w:val="Heading2"/>
      </w:pPr>
      <w:r>
        <w:t>D7-CTL-H01 - AI-GENERATED PHISHING SIMULATION</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D7: HUMAN &amp; SOCIETAL HARMS</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Simulate AI-generated phishing against store, finance, buying and supplier-management staff using realistic seasonal and invoice themes. Measure reporting and verification behaviour, not just click rates.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RET-UC-011; RET-UC-018; RET-UC-025</w:t>
            </w:r>
          </w:p>
        </w:tc>
      </w:tr>
      <w:tr>
        <w:tc>
          <w:tcPr>
            <w:tcW w:type="dxa" w:w="2232"/>
            <w:vAlign w:val="top"/>
          </w:tcPr>
          <w:p>
            <w:r>
              <w:rPr>
                <w:sz w:val="16"/>
              </w:rPr>
              <w:t>Related threats</w:t>
            </w:r>
          </w:p>
        </w:tc>
        <w:tc>
          <w:tcPr>
            <w:tcW w:type="dxa" w:w="8424"/>
            <w:vAlign w:val="top"/>
          </w:tcPr>
          <w:p>
            <w:r>
              <w:rPr>
                <w:sz w:val="16"/>
              </w:rPr>
              <w:t>RET-THR-007; RET-THR-012; RET-THR-017</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RET-EVD-018; RET-EVD-021</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RET-MET-003; RET-MET-010</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D7-CTL-H02 - DEEPFAKE DETECTION TRAINING</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D7: HUMAN &amp; SOCIETAL HARMS</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Train staff who approve payments, supplier changes or executive instructions to recognise deepfake voice and video indicators and to use an independent verification channel.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RET-UC-012; RET-UC-019; RET-UC-026; RET-UC-001</w:t>
            </w:r>
          </w:p>
        </w:tc>
      </w:tr>
      <w:tr>
        <w:tc>
          <w:tcPr>
            <w:tcW w:type="dxa" w:w="2232"/>
            <w:vAlign w:val="top"/>
          </w:tcPr>
          <w:p>
            <w:r>
              <w:rPr>
                <w:sz w:val="16"/>
              </w:rPr>
              <w:t>Related threats</w:t>
            </w:r>
          </w:p>
        </w:tc>
        <w:tc>
          <w:tcPr>
            <w:tcW w:type="dxa" w:w="8424"/>
            <w:vAlign w:val="top"/>
          </w:tcPr>
          <w:p>
            <w:r>
              <w:rPr>
                <w:sz w:val="16"/>
              </w:rPr>
              <w:t>RET-THR-008; RET-THR-013; RET-THR-018; RET-THR-023</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RET-EVD-019; RET-EVD-022; RET-EVD-025</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RET-MET-004; RET-MET-011</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D7-CTL-H03 - OUT-OF-BAND AUTHENTICATION</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D7: HUMAN &amp; SOCIETAL HARMS</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Changes to bank details, high-value refunds, privileged access and emergency supplier requests should be confirmed through a pre-registered channel independent of the initiating message or call.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RET-UC-013; RET-UC-020; RET-UC-027; RET-UC-002; RET-UC-009</w:t>
            </w:r>
          </w:p>
        </w:tc>
      </w:tr>
      <w:tr>
        <w:tc>
          <w:tcPr>
            <w:tcW w:type="dxa" w:w="2232"/>
            <w:vAlign w:val="top"/>
          </w:tcPr>
          <w:p>
            <w:r>
              <w:rPr>
                <w:sz w:val="16"/>
              </w:rPr>
              <w:t>Related threats</w:t>
            </w:r>
          </w:p>
        </w:tc>
        <w:tc>
          <w:tcPr>
            <w:tcW w:type="dxa" w:w="8424"/>
            <w:vAlign w:val="top"/>
          </w:tcPr>
          <w:p>
            <w:r>
              <w:rPr>
                <w:sz w:val="16"/>
              </w:rPr>
              <w:t>RET-THR-009; RET-THR-014; RET-THR-019</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RET-EVD-020; RET-EVD-023; RET-EVD-001; RET-EVD-004</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RET-MET-005; RET-MET-012</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D7-CTL-H04 - AI SOCIAL ENGINEERING IR</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D7: HUMAN &amp; SOCIETAL HARMS</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Incident procedures must recognise AI-assisted impersonation, synthetic documents and coordinated social engineering. Preserve media and communications while validating the claimed identity through trusted records.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RET-UC-014; RET-UC-021; RET-UC-028</w:t>
            </w:r>
          </w:p>
        </w:tc>
      </w:tr>
      <w:tr>
        <w:tc>
          <w:tcPr>
            <w:tcW w:type="dxa" w:w="2232"/>
            <w:vAlign w:val="top"/>
          </w:tcPr>
          <w:p>
            <w:r>
              <w:rPr>
                <w:sz w:val="16"/>
              </w:rPr>
              <w:t>Related threats</w:t>
            </w:r>
          </w:p>
        </w:tc>
        <w:tc>
          <w:tcPr>
            <w:tcW w:type="dxa" w:w="8424"/>
            <w:vAlign w:val="top"/>
          </w:tcPr>
          <w:p>
            <w:r>
              <w:rPr>
                <w:sz w:val="16"/>
              </w:rPr>
              <w:t>RET-THR-010; RET-THR-015; RET-THR-020; RET-THR-025</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RET-EVD-021; RET-EVD-024</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RET-MET-006; RET-MET-013</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D7-CTL-H05 - AI-ENHANCED EXTERNAL ATTACK DEFENSE</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D7: HUMAN &amp; SOCIETAL HARMS</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Tune email, identity, endpoint and fraud defences for AI-scaled reconnaissance, credential attacks and content variation. Retail peak periods require heightened monitoring because staffing and transaction volume reduce review time.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RET-UC-015; RET-UC-022; RET-UC-029; RET-UC-004</w:t>
            </w:r>
          </w:p>
        </w:tc>
      </w:tr>
      <w:tr>
        <w:tc>
          <w:tcPr>
            <w:tcW w:type="dxa" w:w="2232"/>
            <w:vAlign w:val="top"/>
          </w:tcPr>
          <w:p>
            <w:r>
              <w:rPr>
                <w:sz w:val="16"/>
              </w:rPr>
              <w:t>Related threats</w:t>
            </w:r>
          </w:p>
        </w:tc>
        <w:tc>
          <w:tcPr>
            <w:tcW w:type="dxa" w:w="8424"/>
            <w:vAlign w:val="top"/>
          </w:tcPr>
          <w:p>
            <w:r>
              <w:rPr>
                <w:sz w:val="16"/>
              </w:rPr>
              <w:t>RET-THR-011; RET-THR-016; RET-THR-021</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RET-EVD-022; RET-EVD-025; RET-EVD-003</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RET-MET-007; RET-MET-014</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D8-CTL-01 - EU AI ACT RISK TIER MAPPING</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D8: REGULATORY ALIGNMENT &amp; COMPLIANCE</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Map each retail AI use case to the European Union Artificial Intelligence Act role and risk analysis where the regulation applies. Do not classify an entire retailer once; assess hiring, biometrics, customer and operational systems separately.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RET-UC-016; RET-UC-023; RET-UC-030; RET-UC-005; RET-UC-012</w:t>
            </w:r>
          </w:p>
        </w:tc>
      </w:tr>
      <w:tr>
        <w:tc>
          <w:tcPr>
            <w:tcW w:type="dxa" w:w="2232"/>
            <w:vAlign w:val="top"/>
          </w:tcPr>
          <w:p>
            <w:r>
              <w:rPr>
                <w:sz w:val="16"/>
              </w:rPr>
              <w:t>Related threats</w:t>
            </w:r>
          </w:p>
        </w:tc>
        <w:tc>
          <w:tcPr>
            <w:tcW w:type="dxa" w:w="8424"/>
            <w:vAlign w:val="top"/>
          </w:tcPr>
          <w:p>
            <w:r>
              <w:rPr>
                <w:sz w:val="16"/>
              </w:rPr>
              <w:t>RET-THR-012; RET-THR-017; RET-THR-022; RET-THR-027</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RET-EVD-023; RET-EVD-001; RET-EVD-004; RET-EVD-007</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RET-MET-008; RET-MET-015</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D8-CTL-02 - ISO 42001 GAP ANALYSIS</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D8: REGULATORY ALIGNMENT &amp; COMPLIANCE</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Use an International Organization for Standardization/International Electrotechnical Commission 42001 gap analysis to compare management-system practices, but preserve GAISSF control-level evidence and do not claim equivalence between the instruments.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RET-UC-017; RET-UC-024; RET-UC-031</w:t>
            </w:r>
          </w:p>
        </w:tc>
      </w:tr>
      <w:tr>
        <w:tc>
          <w:tcPr>
            <w:tcW w:type="dxa" w:w="2232"/>
            <w:vAlign w:val="top"/>
          </w:tcPr>
          <w:p>
            <w:r>
              <w:rPr>
                <w:sz w:val="16"/>
              </w:rPr>
              <w:t>Related threats</w:t>
            </w:r>
          </w:p>
        </w:tc>
        <w:tc>
          <w:tcPr>
            <w:tcW w:type="dxa" w:w="8424"/>
            <w:vAlign w:val="top"/>
          </w:tcPr>
          <w:p>
            <w:r>
              <w:rPr>
                <w:sz w:val="16"/>
              </w:rPr>
              <w:t>RET-THR-013; RET-THR-018; RET-THR-023</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RET-EVD-024; RET-EVD-002</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RET-MET-009; RET-MET-016</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D8-CTL-03 - GPAI TECHNICAL DOCUMENTATION VERIFICATION</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D8: REGULATORY ALIGNMENT &amp; COMPLIANCE</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Where a general-purpose AI provider is in scope, verify that the technical documentation available to the retailer is sufficient for integration, risk assessment, monitoring and downstream instructions. Record unavailable evidence as a supplier limitation.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RET-UC-018; RET-UC-025; RET-UC-032; RET-UC-007</w:t>
            </w:r>
          </w:p>
        </w:tc>
      </w:tr>
      <w:tr>
        <w:tc>
          <w:tcPr>
            <w:tcW w:type="dxa" w:w="2232"/>
            <w:vAlign w:val="top"/>
          </w:tcPr>
          <w:p>
            <w:r>
              <w:rPr>
                <w:sz w:val="16"/>
              </w:rPr>
              <w:t>Related threats</w:t>
            </w:r>
          </w:p>
        </w:tc>
        <w:tc>
          <w:tcPr>
            <w:tcW w:type="dxa" w:w="8424"/>
            <w:vAlign w:val="top"/>
          </w:tcPr>
          <w:p>
            <w:r>
              <w:rPr>
                <w:sz w:val="16"/>
              </w:rPr>
              <w:t>RET-THR-014; RET-THR-019; RET-THR-024; RET-THR-029</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RET-EVD-025; RET-EVD-003; RET-EVD-006</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RET-MET-010; RET-MET-017</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D8-CTL-04 - DORA ICT INCIDENT REPORTING (FINANCIAL SECTOR)</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D8: REGULATORY ALIGNMENT &amp; COMPLIANCE</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Digital Operational Resilience Act incident reporting is relevant only where the retail entity or service falls within its financial-sector scope. Record the applicability decision instead of presenting the control as universally required for retail.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RET-UC-019; RET-UC-026; RET-UC-001; RET-UC-008; RET-UC-015</w:t>
            </w:r>
          </w:p>
        </w:tc>
      </w:tr>
      <w:tr>
        <w:tc>
          <w:tcPr>
            <w:tcW w:type="dxa" w:w="2232"/>
            <w:vAlign w:val="top"/>
          </w:tcPr>
          <w:p>
            <w:r>
              <w:rPr>
                <w:sz w:val="16"/>
              </w:rPr>
              <w:t>Related threats</w:t>
            </w:r>
          </w:p>
        </w:tc>
        <w:tc>
          <w:tcPr>
            <w:tcW w:type="dxa" w:w="8424"/>
            <w:vAlign w:val="top"/>
          </w:tcPr>
          <w:p>
            <w:r>
              <w:rPr>
                <w:sz w:val="16"/>
              </w:rPr>
              <w:t>RET-THR-015; RET-THR-020; RET-THR-025</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RET-EVD-001; RET-EVD-004; RET-EVD-007; RET-EVD-010</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RET-MET-011; RET-MET-018</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D8-CTL-05 - NIST SP 800-218A COMPLIANCE CHECK</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D8: REGULATORY ALIGNMENT &amp; COMPLIANCE</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Apply National Institute of Standards and Technology Special Publication 800-218A practices to AI model and software development where relevant, including provenance, secure build, testing and release evidence. Document gaps for acquired services that the retailer cannot inspect.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RET-UC-020; RET-UC-027; RET-UC-002</w:t>
            </w:r>
          </w:p>
        </w:tc>
      </w:tr>
      <w:tr>
        <w:tc>
          <w:tcPr>
            <w:tcW w:type="dxa" w:w="2232"/>
            <w:vAlign w:val="top"/>
          </w:tcPr>
          <w:p>
            <w:r>
              <w:rPr>
                <w:sz w:val="16"/>
              </w:rPr>
              <w:t>Related threats</w:t>
            </w:r>
          </w:p>
        </w:tc>
        <w:tc>
          <w:tcPr>
            <w:tcW w:type="dxa" w:w="8424"/>
            <w:vAlign w:val="top"/>
          </w:tcPr>
          <w:p>
            <w:r>
              <w:rPr>
                <w:sz w:val="16"/>
              </w:rPr>
              <w:t>RET-THR-016; RET-THR-021; RET-THR-026; RET-THR-031</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RET-EVD-002; RET-EVD-005</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RET-MET-012; RET-MET-019</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Retail AI security specialist review required</w:t>
            </w:r>
          </w:p>
        </w:tc>
      </w:tr>
      <w:tr>
        <w:tc>
          <w:tcPr>
            <w:tcW w:type="dxa" w:w="5184"/>
          </w:tcPr>
          <w:p>
            <w:r>
              <w:t>Implementation priority</w:t>
            </w:r>
          </w:p>
        </w:tc>
        <w:tc>
          <w:tcPr>
            <w:tcW w:type="dxa" w:w="5184"/>
          </w:tcPr>
          <w:p>
            <w:r>
              <w:t>P2 - Risk-triggered / capability-specific</w:t>
            </w:r>
          </w:p>
        </w:tc>
      </w:tr>
      <w:tr>
        <w:tc>
          <w:tcPr>
            <w:tcW w:type="dxa" w:w="5184"/>
          </w:tcPr>
          <w:p>
            <w:r>
              <w:t>Scope label</w:t>
            </w:r>
          </w:p>
        </w:tc>
        <w:tc>
          <w:tcPr>
            <w:tcW w:type="dxa" w:w="5184"/>
          </w:tcPr>
          <w:p>
            <w:r>
              <w:t>Foundational - canonical D1-D8 scope</w:t>
            </w:r>
          </w:p>
        </w:tc>
      </w:tr>
    </w:tbl>
    <w:p/>
    <w:p>
      <w:pPr>
        <w:pStyle w:val="Heading2"/>
      </w:pPr>
      <w:r>
        <w:t>D9-CTL-01 - PHYSICAL HARM BOUNDARY ENFORCEMENT</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D9: PHYSICAL AI SAFETY</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Set explicit physical limits for warehouse robots, automated handling, smart carts and autonomous store systems. Software optimisation must not permit speed, force, route or proximity beyond the approved safety boundary.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RET-UC-021; RET-UC-028; RET-UC-003; RET-UC-010</w:t>
            </w:r>
          </w:p>
        </w:tc>
      </w:tr>
      <w:tr>
        <w:tc>
          <w:tcPr>
            <w:tcW w:type="dxa" w:w="2232"/>
            <w:vAlign w:val="top"/>
          </w:tcPr>
          <w:p>
            <w:r>
              <w:rPr>
                <w:sz w:val="16"/>
              </w:rPr>
              <w:t>Related threats</w:t>
            </w:r>
          </w:p>
        </w:tc>
        <w:tc>
          <w:tcPr>
            <w:tcW w:type="dxa" w:w="8424"/>
            <w:vAlign w:val="top"/>
          </w:tcPr>
          <w:p>
            <w:r>
              <w:rPr>
                <w:sz w:val="16"/>
              </w:rPr>
              <w:t>RET-THR-017; RET-THR-022; RET-THR-027</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RET-EVD-003; RET-EVD-006; RET-EVD-009</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RET-MET-013; RET-MET-020</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Physical-AI specialist review required</w:t>
            </w:r>
          </w:p>
        </w:tc>
      </w:tr>
      <w:tr>
        <w:tc>
          <w:tcPr>
            <w:tcW w:type="dxa" w:w="5184"/>
          </w:tcPr>
          <w:p>
            <w:r>
              <w:t>Implementation priority</w:t>
            </w:r>
          </w:p>
        </w:tc>
        <w:tc>
          <w:tcPr>
            <w:tcW w:type="dxa" w:w="5184"/>
          </w:tcPr>
          <w:p>
            <w:r>
              <w:t>P3 - Conditional physical AI</w:t>
            </w:r>
          </w:p>
        </w:tc>
      </w:tr>
      <w:tr>
        <w:tc>
          <w:tcPr>
            <w:tcW w:type="dxa" w:w="5184"/>
          </w:tcPr>
          <w:p>
            <w:r>
              <w:t>Scope label</w:t>
            </w:r>
          </w:p>
        </w:tc>
        <w:tc>
          <w:tcPr>
            <w:tcW w:type="dxa" w:w="5184"/>
          </w:tcPr>
          <w:p>
            <w:r>
              <w:t>Conditional - physical AI in scope</w:t>
            </w:r>
          </w:p>
        </w:tc>
      </w:tr>
    </w:tbl>
    <w:p/>
    <w:p>
      <w:pPr>
        <w:pStyle w:val="Heading2"/>
      </w:pPr>
      <w:r>
        <w:t>D9-CTL-02 - SAFE STATE AND GRACEFUL DEGRADATION</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D9: PHYSICAL AI SAFETY</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On model, sensor, network or cloud failure, physical retail systems must enter a defined safe or controlled state without depending on continued model inference. Test degraded operation during realistic store and warehouse conditions.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RET-UC-022; RET-UC-029; RET-UC-004; RET-UC-011; RET-UC-018</w:t>
            </w:r>
          </w:p>
        </w:tc>
      </w:tr>
      <w:tr>
        <w:tc>
          <w:tcPr>
            <w:tcW w:type="dxa" w:w="2232"/>
            <w:vAlign w:val="top"/>
          </w:tcPr>
          <w:p>
            <w:r>
              <w:rPr>
                <w:sz w:val="16"/>
              </w:rPr>
              <w:t>Related threats</w:t>
            </w:r>
          </w:p>
        </w:tc>
        <w:tc>
          <w:tcPr>
            <w:tcW w:type="dxa" w:w="8424"/>
            <w:vAlign w:val="top"/>
          </w:tcPr>
          <w:p>
            <w:r>
              <w:rPr>
                <w:sz w:val="16"/>
              </w:rPr>
              <w:t>RET-THR-018; RET-THR-023; RET-THR-028; RET-THR-033</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RET-EVD-004; RET-EVD-007; RET-EVD-010; RET-EVD-013</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RET-MET-014; RET-MET-001</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Physical-AI specialist review required</w:t>
            </w:r>
          </w:p>
        </w:tc>
      </w:tr>
      <w:tr>
        <w:tc>
          <w:tcPr>
            <w:tcW w:type="dxa" w:w="5184"/>
          </w:tcPr>
          <w:p>
            <w:r>
              <w:t>Implementation priority</w:t>
            </w:r>
          </w:p>
        </w:tc>
        <w:tc>
          <w:tcPr>
            <w:tcW w:type="dxa" w:w="5184"/>
          </w:tcPr>
          <w:p>
            <w:r>
              <w:t>P3 - Conditional physical AI</w:t>
            </w:r>
          </w:p>
        </w:tc>
      </w:tr>
      <w:tr>
        <w:tc>
          <w:tcPr>
            <w:tcW w:type="dxa" w:w="5184"/>
          </w:tcPr>
          <w:p>
            <w:r>
              <w:t>Scope label</w:t>
            </w:r>
          </w:p>
        </w:tc>
        <w:tc>
          <w:tcPr>
            <w:tcW w:type="dxa" w:w="5184"/>
          </w:tcPr>
          <w:p>
            <w:r>
              <w:t>Conditional - physical AI in scope</w:t>
            </w:r>
          </w:p>
        </w:tc>
      </w:tr>
    </w:tbl>
    <w:p/>
    <w:p>
      <w:pPr>
        <w:pStyle w:val="Heading2"/>
      </w:pPr>
      <w:r>
        <w:t>D9-CTL-03 - HUMAN OVERRIDE AND EMERGENCY STOP</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D9: PHYSICAL AI SAFETY</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Warehouse robotics and autonomous store systems require accessible local emergency stops and authorised human override. Remote vendor commands or software updates must not disable the emergency function.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RET-UC-023; RET-UC-030; RET-UC-005</w:t>
            </w:r>
          </w:p>
        </w:tc>
      </w:tr>
      <w:tr>
        <w:tc>
          <w:tcPr>
            <w:tcW w:type="dxa" w:w="2232"/>
            <w:vAlign w:val="top"/>
          </w:tcPr>
          <w:p>
            <w:r>
              <w:rPr>
                <w:sz w:val="16"/>
              </w:rPr>
              <w:t>Related threats</w:t>
            </w:r>
          </w:p>
        </w:tc>
        <w:tc>
          <w:tcPr>
            <w:tcW w:type="dxa" w:w="8424"/>
            <w:vAlign w:val="top"/>
          </w:tcPr>
          <w:p>
            <w:r>
              <w:rPr>
                <w:sz w:val="16"/>
              </w:rPr>
              <w:t>RET-THR-019; RET-THR-024; RET-THR-029</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RET-EVD-005; RET-EVD-008</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RET-MET-015; RET-MET-002</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Physical-AI specialist review required</w:t>
            </w:r>
          </w:p>
        </w:tc>
      </w:tr>
      <w:tr>
        <w:tc>
          <w:tcPr>
            <w:tcW w:type="dxa" w:w="5184"/>
          </w:tcPr>
          <w:p>
            <w:r>
              <w:t>Implementation priority</w:t>
            </w:r>
          </w:p>
        </w:tc>
        <w:tc>
          <w:tcPr>
            <w:tcW w:type="dxa" w:w="5184"/>
          </w:tcPr>
          <w:p>
            <w:r>
              <w:t>P3 - Conditional physical AI</w:t>
            </w:r>
          </w:p>
        </w:tc>
      </w:tr>
      <w:tr>
        <w:tc>
          <w:tcPr>
            <w:tcW w:type="dxa" w:w="5184"/>
          </w:tcPr>
          <w:p>
            <w:r>
              <w:t>Scope label</w:t>
            </w:r>
          </w:p>
        </w:tc>
        <w:tc>
          <w:tcPr>
            <w:tcW w:type="dxa" w:w="5184"/>
          </w:tcPr>
          <w:p>
            <w:r>
              <w:t>Conditional - physical AI in scope</w:t>
            </w:r>
          </w:p>
        </w:tc>
      </w:tr>
    </w:tbl>
    <w:p/>
    <w:p>
      <w:pPr>
        <w:pStyle w:val="Heading2"/>
      </w:pPr>
      <w:r>
        <w:t>D9-CTL-04 - CYBER-PHYSICAL ATTACK DETECTION</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D9: PHYSICAL AI SAFETY</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Correlate cyber indicators with physical anomalies such as unexpected routes, repeated sensor disagreement, command bursts or safety-zone violations. Cyber monitoring alone may miss an emerging physical incident.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RET-UC-024; RET-UC-031; RET-UC-006; RET-UC-013</w:t>
            </w:r>
          </w:p>
        </w:tc>
      </w:tr>
      <w:tr>
        <w:tc>
          <w:tcPr>
            <w:tcW w:type="dxa" w:w="2232"/>
            <w:vAlign w:val="top"/>
          </w:tcPr>
          <w:p>
            <w:r>
              <w:rPr>
                <w:sz w:val="16"/>
              </w:rPr>
              <w:t>Related threats</w:t>
            </w:r>
          </w:p>
        </w:tc>
        <w:tc>
          <w:tcPr>
            <w:tcW w:type="dxa" w:w="8424"/>
            <w:vAlign w:val="top"/>
          </w:tcPr>
          <w:p>
            <w:r>
              <w:rPr>
                <w:sz w:val="16"/>
              </w:rPr>
              <w:t>RET-THR-020; RET-THR-025; RET-THR-030; RET-THR-035</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RET-EVD-006; RET-EVD-009; RET-EVD-012</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RET-MET-016; RET-MET-003</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Physical-AI specialist review required</w:t>
            </w:r>
          </w:p>
        </w:tc>
      </w:tr>
      <w:tr>
        <w:tc>
          <w:tcPr>
            <w:tcW w:type="dxa" w:w="5184"/>
          </w:tcPr>
          <w:p>
            <w:r>
              <w:t>Implementation priority</w:t>
            </w:r>
          </w:p>
        </w:tc>
        <w:tc>
          <w:tcPr>
            <w:tcW w:type="dxa" w:w="5184"/>
          </w:tcPr>
          <w:p>
            <w:r>
              <w:t>P3 - Conditional physical AI</w:t>
            </w:r>
          </w:p>
        </w:tc>
      </w:tr>
      <w:tr>
        <w:tc>
          <w:tcPr>
            <w:tcW w:type="dxa" w:w="5184"/>
          </w:tcPr>
          <w:p>
            <w:r>
              <w:t>Scope label</w:t>
            </w:r>
          </w:p>
        </w:tc>
        <w:tc>
          <w:tcPr>
            <w:tcW w:type="dxa" w:w="5184"/>
          </w:tcPr>
          <w:p>
            <w:r>
              <w:t>Conditional - physical AI in scope</w:t>
            </w:r>
          </w:p>
        </w:tc>
      </w:tr>
    </w:tbl>
    <w:p/>
    <w:p>
      <w:pPr>
        <w:pStyle w:val="Heading2"/>
      </w:pPr>
      <w:r>
        <w:t>D9-CTL-05 - PHYSICAL ENVIRONMENT INTEGRITY MONITORING</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D9: PHYSICAL AI SAFETY</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Monitor camera position, sensor obstruction, lighting, floor layout, shelf movement and other environmental changes that can invalidate a physical AI system’s assumptions.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RET-UC-025; RET-UC-032; RET-UC-007; RET-UC-014; RET-UC-021</w:t>
            </w:r>
          </w:p>
        </w:tc>
      </w:tr>
      <w:tr>
        <w:tc>
          <w:tcPr>
            <w:tcW w:type="dxa" w:w="2232"/>
            <w:vAlign w:val="top"/>
          </w:tcPr>
          <w:p>
            <w:r>
              <w:rPr>
                <w:sz w:val="16"/>
              </w:rPr>
              <w:t>Related threats</w:t>
            </w:r>
          </w:p>
        </w:tc>
        <w:tc>
          <w:tcPr>
            <w:tcW w:type="dxa" w:w="8424"/>
            <w:vAlign w:val="top"/>
          </w:tcPr>
          <w:p>
            <w:r>
              <w:rPr>
                <w:sz w:val="16"/>
              </w:rPr>
              <w:t>RET-THR-021; RET-THR-026; RET-THR-031</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RET-EVD-007; RET-EVD-010; RET-EVD-013; RET-EVD-016</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RET-MET-017; RET-MET-004</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Physical-AI specialist review required</w:t>
            </w:r>
          </w:p>
        </w:tc>
      </w:tr>
      <w:tr>
        <w:tc>
          <w:tcPr>
            <w:tcW w:type="dxa" w:w="5184"/>
          </w:tcPr>
          <w:p>
            <w:r>
              <w:t>Implementation priority</w:t>
            </w:r>
          </w:p>
        </w:tc>
        <w:tc>
          <w:tcPr>
            <w:tcW w:type="dxa" w:w="5184"/>
          </w:tcPr>
          <w:p>
            <w:r>
              <w:t>P3 - Conditional physical AI</w:t>
            </w:r>
          </w:p>
        </w:tc>
      </w:tr>
      <w:tr>
        <w:tc>
          <w:tcPr>
            <w:tcW w:type="dxa" w:w="5184"/>
          </w:tcPr>
          <w:p>
            <w:r>
              <w:t>Scope label</w:t>
            </w:r>
          </w:p>
        </w:tc>
        <w:tc>
          <w:tcPr>
            <w:tcW w:type="dxa" w:w="5184"/>
          </w:tcPr>
          <w:p>
            <w:r>
              <w:t>Conditional - physical AI in scope</w:t>
            </w:r>
          </w:p>
        </w:tc>
      </w:tr>
    </w:tbl>
    <w:p/>
    <w:p>
      <w:pPr>
        <w:pStyle w:val="Heading2"/>
      </w:pPr>
      <w:r>
        <w:t>D9-CTL-06 - ACTUATOR COMMAND VERIFICATION</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D9: PHYSICAL AI SAFETY</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Validate actuator commands against identity, authorised workflow, current sensor state and physical limits before execution. Reject stale, duplicated or out-of-sequence commands.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RET-UC-026; RET-UC-001; RET-UC-008</w:t>
            </w:r>
          </w:p>
        </w:tc>
      </w:tr>
      <w:tr>
        <w:tc>
          <w:tcPr>
            <w:tcW w:type="dxa" w:w="2232"/>
            <w:vAlign w:val="top"/>
          </w:tcPr>
          <w:p>
            <w:r>
              <w:rPr>
                <w:sz w:val="16"/>
              </w:rPr>
              <w:t>Related threats</w:t>
            </w:r>
          </w:p>
        </w:tc>
        <w:tc>
          <w:tcPr>
            <w:tcW w:type="dxa" w:w="8424"/>
            <w:vAlign w:val="top"/>
          </w:tcPr>
          <w:p>
            <w:r>
              <w:rPr>
                <w:sz w:val="16"/>
              </w:rPr>
              <w:t>RET-THR-022; RET-THR-027; RET-THR-032; RET-THR-001</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RET-EVD-008; RET-EVD-011</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RET-MET-018; RET-MET-005</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Physical-AI specialist review required</w:t>
            </w:r>
          </w:p>
        </w:tc>
      </w:tr>
      <w:tr>
        <w:tc>
          <w:tcPr>
            <w:tcW w:type="dxa" w:w="5184"/>
          </w:tcPr>
          <w:p>
            <w:r>
              <w:t>Implementation priority</w:t>
            </w:r>
          </w:p>
        </w:tc>
        <w:tc>
          <w:tcPr>
            <w:tcW w:type="dxa" w:w="5184"/>
          </w:tcPr>
          <w:p>
            <w:r>
              <w:t>P3 - Conditional physical AI</w:t>
            </w:r>
          </w:p>
        </w:tc>
      </w:tr>
      <w:tr>
        <w:tc>
          <w:tcPr>
            <w:tcW w:type="dxa" w:w="5184"/>
          </w:tcPr>
          <w:p>
            <w:r>
              <w:t>Scope label</w:t>
            </w:r>
          </w:p>
        </w:tc>
        <w:tc>
          <w:tcPr>
            <w:tcW w:type="dxa" w:w="5184"/>
          </w:tcPr>
          <w:p>
            <w:r>
              <w:t>Conditional - physical AI in scope</w:t>
            </w:r>
          </w:p>
        </w:tc>
      </w:tr>
    </w:tbl>
    <w:p/>
    <w:p>
      <w:pPr>
        <w:pStyle w:val="Heading2"/>
      </w:pPr>
      <w:r>
        <w:t>D9-CTL-07 - PHYSICAL INCIDENT EVIDENCE PRESERVATION</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232"/>
            <w:shd w:fill="17365D"/>
            <w:vAlign w:val="center"/>
          </w:tcPr>
          <w:p>
            <w:r>
              <w:rPr>
                <w:b/>
                <w:color w:val="FFFFFF"/>
                <w:sz w:val="16"/>
              </w:rPr>
              <w:t>Field</w:t>
            </w:r>
          </w:p>
        </w:tc>
        <w:tc>
          <w:tcPr>
            <w:tcW w:type="dxa" w:w="8424"/>
            <w:shd w:fill="17365D"/>
            <w:vAlign w:val="center"/>
          </w:tcPr>
          <w:p>
            <w:r>
              <w:rPr>
                <w:b/>
                <w:color w:val="FFFFFF"/>
                <w:sz w:val="16"/>
              </w:rPr>
              <w:t>Retail implementation record</w:t>
            </w:r>
          </w:p>
        </w:tc>
      </w:tr>
      <w:tr>
        <w:tc>
          <w:tcPr>
            <w:tcW w:type="dxa" w:w="2232"/>
            <w:vAlign w:val="top"/>
          </w:tcPr>
          <w:p>
            <w:r>
              <w:rPr>
                <w:sz w:val="16"/>
              </w:rPr>
              <w:t>Domain</w:t>
            </w:r>
          </w:p>
        </w:tc>
        <w:tc>
          <w:tcPr>
            <w:tcW w:type="dxa" w:w="8424"/>
            <w:vAlign w:val="top"/>
          </w:tcPr>
          <w:p>
            <w:r>
              <w:rPr>
                <w:sz w:val="16"/>
              </w:rPr>
              <w:t>D9: PHYSICAL AI SAFETY</w:t>
            </w:r>
          </w:p>
        </w:tc>
      </w:tr>
      <w:tr>
        <w:tc>
          <w:tcPr>
            <w:tcW w:type="dxa" w:w="2232"/>
            <w:vAlign w:val="top"/>
          </w:tcPr>
          <w:p>
            <w:r>
              <w:rPr>
                <w:sz w:val="16"/>
              </w:rPr>
              <w:t>Authoritative requirement</w:t>
            </w:r>
          </w:p>
        </w:tc>
        <w:tc>
          <w:tcPr>
            <w:tcW w:type="dxa" w:w="8424"/>
            <w:vAlign w:val="top"/>
          </w:tcPr>
          <w:p>
            <w:r>
              <w:rPr>
                <w:sz w:val="16"/>
              </w:rPr>
              <w:t>Refer to GAISSF-NOR-001 v1.0 for the complete normative requirement.</w:t>
            </w:r>
          </w:p>
        </w:tc>
      </w:tr>
      <w:tr>
        <w:tc>
          <w:tcPr>
            <w:tcW w:type="dxa" w:w="2232"/>
            <w:vAlign w:val="top"/>
          </w:tcPr>
          <w:p>
            <w:r>
              <w:rPr>
                <w:sz w:val="16"/>
              </w:rPr>
              <w:t>Retail interpretation</w:t>
            </w:r>
          </w:p>
        </w:tc>
        <w:tc>
          <w:tcPr>
            <w:tcW w:type="dxa" w:w="8424"/>
            <w:vAlign w:val="top"/>
          </w:tcPr>
          <w:p>
            <w:r>
              <w:t>For physical incidents, preserve commands, sensor streams, model version, safety interlock state, operator actions and relevant video with synchronized time. Ordinary application logs are not sufficient for reconstruction. [T3]</w:t>
            </w:r>
          </w:p>
        </w:tc>
      </w:tr>
      <w:tr>
        <w:tc>
          <w:tcPr>
            <w:tcW w:type="dxa" w:w="2232"/>
            <w:vAlign w:val="top"/>
          </w:tcPr>
          <w:p>
            <w:r>
              <w:rPr>
                <w:sz w:val="16"/>
              </w:rPr>
              <w:t>Applicability</w:t>
            </w:r>
          </w:p>
        </w:tc>
        <w:tc>
          <w:tcPr>
            <w:tcW w:type="dxa" w:w="8424"/>
            <w:vAlign w:val="top"/>
          </w:tcPr>
          <w:p>
            <w:r>
              <w:rPr>
                <w:sz w:val="16"/>
              </w:rPr>
              <w:t>Determine for every in-scope system. Record Not Applicable only with approved, risk-based rationale.</w:t>
            </w:r>
          </w:p>
        </w:tc>
      </w:tr>
      <w:tr>
        <w:tc>
          <w:tcPr>
            <w:tcW w:type="dxa" w:w="2232"/>
            <w:vAlign w:val="top"/>
          </w:tcPr>
          <w:p>
            <w:r>
              <w:rPr>
                <w:sz w:val="16"/>
              </w:rPr>
              <w:t>Related use cases</w:t>
            </w:r>
          </w:p>
        </w:tc>
        <w:tc>
          <w:tcPr>
            <w:tcW w:type="dxa" w:w="8424"/>
            <w:vAlign w:val="top"/>
          </w:tcPr>
          <w:p>
            <w:r>
              <w:rPr>
                <w:sz w:val="16"/>
              </w:rPr>
              <w:t>RET-UC-027; RET-UC-002; RET-UC-009; RET-UC-016</w:t>
            </w:r>
          </w:p>
        </w:tc>
      </w:tr>
      <w:tr>
        <w:tc>
          <w:tcPr>
            <w:tcW w:type="dxa" w:w="2232"/>
            <w:vAlign w:val="top"/>
          </w:tcPr>
          <w:p>
            <w:r>
              <w:rPr>
                <w:sz w:val="16"/>
              </w:rPr>
              <w:t>Related threats</w:t>
            </w:r>
          </w:p>
        </w:tc>
        <w:tc>
          <w:tcPr>
            <w:tcW w:type="dxa" w:w="8424"/>
            <w:vAlign w:val="top"/>
          </w:tcPr>
          <w:p>
            <w:r>
              <w:rPr>
                <w:sz w:val="16"/>
              </w:rPr>
              <w:t>RET-THR-023; RET-THR-028; RET-THR-033</w:t>
            </w:r>
          </w:p>
        </w:tc>
      </w:tr>
      <w:tr>
        <w:tc>
          <w:tcPr>
            <w:tcW w:type="dxa" w:w="2232"/>
            <w:vAlign w:val="top"/>
          </w:tcPr>
          <w:p>
            <w:r>
              <w:rPr>
                <w:sz w:val="16"/>
              </w:rPr>
              <w:t>Minimum implementation</w:t>
            </w:r>
          </w:p>
        </w:tc>
        <w:tc>
          <w:tcPr>
            <w:tcW w:type="dxa" w:w="8424"/>
            <w:vAlign w:val="top"/>
          </w:tcPr>
          <w:p>
            <w:r>
              <w:rPr>
                <w:sz w:val="16"/>
              </w:rPr>
              <w:t>Approved scope and owner; documented applicability; baseline technical or procedural safeguard; retained design and operating evidence; exception and escalation route.</w:t>
            </w:r>
          </w:p>
        </w:tc>
      </w:tr>
      <w:tr>
        <w:tc>
          <w:tcPr>
            <w:tcW w:type="dxa" w:w="2232"/>
            <w:vAlign w:val="top"/>
          </w:tcPr>
          <w:p>
            <w:r>
              <w:rPr>
                <w:sz w:val="16"/>
              </w:rPr>
              <w:t>Enhanced implementation</w:t>
            </w:r>
          </w:p>
        </w:tc>
        <w:tc>
          <w:tcPr>
            <w:tcW w:type="dxa" w:w="8424"/>
            <w:vAlign w:val="top"/>
          </w:tcPr>
          <w:p>
            <w:r>
              <w:rPr>
                <w:sz w:val="16"/>
              </w:rPr>
              <w:t>Automated enforcement and telemetry; independent testing; supplier evidence rights; change-triggered reassessment; cross-channel correlation where relevant.</w:t>
            </w:r>
          </w:p>
        </w:tc>
      </w:tr>
      <w:tr>
        <w:tc>
          <w:tcPr>
            <w:tcW w:type="dxa" w:w="2232"/>
            <w:vAlign w:val="top"/>
          </w:tcPr>
          <w:p>
            <w:r>
              <w:rPr>
                <w:sz w:val="16"/>
              </w:rPr>
              <w:t>Illustrative evidence</w:t>
            </w:r>
          </w:p>
        </w:tc>
        <w:tc>
          <w:tcPr>
            <w:tcW w:type="dxa" w:w="8424"/>
            <w:vAlign w:val="top"/>
          </w:tcPr>
          <w:p>
            <w:r>
              <w:rPr>
                <w:sz w:val="16"/>
              </w:rPr>
              <w:t>RET-EVD-009; RET-EVD-012; RET-EVD-015</w:t>
            </w:r>
          </w:p>
        </w:tc>
      </w:tr>
      <w:tr>
        <w:tc>
          <w:tcPr>
            <w:tcW w:type="dxa" w:w="2232"/>
            <w:vAlign w:val="top"/>
          </w:tcPr>
          <w:p>
            <w:r>
              <w:rPr>
                <w:sz w:val="16"/>
              </w:rPr>
              <w:t>Test procedure</w:t>
            </w:r>
          </w:p>
        </w:tc>
        <w:tc>
          <w:tcPr>
            <w:tcW w:type="dxa" w:w="8424"/>
            <w:vAlign w:val="top"/>
          </w:tcPr>
          <w:p>
            <w:r>
              <w:rPr>
                <w:sz w:val="16"/>
              </w:rPr>
              <w:t>Inspect design evidence, sample operating records, test one representative failure or attack path, verify exceptions and confirm change triggers.</w:t>
            </w:r>
          </w:p>
        </w:tc>
      </w:tr>
      <w:tr>
        <w:tc>
          <w:tcPr>
            <w:tcW w:type="dxa" w:w="2232"/>
            <w:vAlign w:val="top"/>
          </w:tcPr>
          <w:p>
            <w:r>
              <w:rPr>
                <w:sz w:val="16"/>
              </w:rPr>
              <w:t>Illustrative metrics</w:t>
            </w:r>
          </w:p>
        </w:tc>
        <w:tc>
          <w:tcPr>
            <w:tcW w:type="dxa" w:w="8424"/>
            <w:vAlign w:val="top"/>
          </w:tcPr>
          <w:p>
            <w:r>
              <w:rPr>
                <w:sz w:val="16"/>
              </w:rPr>
              <w:t>RET-MET-019; RET-MET-006</w:t>
            </w:r>
          </w:p>
        </w:tc>
      </w:tr>
      <w:tr>
        <w:tc>
          <w:tcPr>
            <w:tcW w:type="dxa" w:w="2232"/>
            <w:vAlign w:val="top"/>
          </w:tcPr>
          <w:p>
            <w:r>
              <w:rPr>
                <w:sz w:val="16"/>
              </w:rPr>
              <w:t>Responsible roles</w:t>
            </w:r>
          </w:p>
        </w:tc>
        <w:tc>
          <w:tcPr>
            <w:tcW w:type="dxa" w:w="8424"/>
            <w:vAlign w:val="top"/>
          </w:tcPr>
          <w:p>
            <w:r>
              <w:rPr>
                <w:sz w:val="16"/>
              </w:rPr>
              <w:t>AI Security Lead / relevant retail system owner / independent reviewer</w:t>
            </w:r>
          </w:p>
        </w:tc>
      </w:tr>
      <w:tr>
        <w:tc>
          <w:tcPr>
            <w:tcW w:type="dxa" w:w="2232"/>
            <w:vAlign w:val="top"/>
          </w:tcPr>
          <w:p>
            <w:r>
              <w:rPr>
                <w:sz w:val="16"/>
              </w:rPr>
              <w:t>Common failure</w:t>
            </w:r>
          </w:p>
        </w:tc>
        <w:tc>
          <w:tcPr>
            <w:tcW w:type="dxa" w:w="8424"/>
            <w:vAlign w:val="top"/>
          </w:tcPr>
          <w:p>
            <w:r>
              <w:rPr>
                <w:sz w:val="16"/>
              </w:rPr>
              <w:t>Policy exists but scope, operating evidence, supplier coverage or remediation closure is missing.</w:t>
            </w:r>
          </w:p>
        </w:tc>
      </w:tr>
      <w:tr>
        <w:tc>
          <w:tcPr>
            <w:tcW w:type="dxa" w:w="2232"/>
            <w:vAlign w:val="top"/>
          </w:tcPr>
          <w:p>
            <w:r>
              <w:rPr>
                <w:sz w:val="16"/>
              </w:rPr>
              <w:t>Compensating control</w:t>
            </w:r>
          </w:p>
        </w:tc>
        <w:tc>
          <w:tcPr>
            <w:tcW w:type="dxa" w:w="8424"/>
            <w:vAlign w:val="top"/>
          </w:tcPr>
          <w:p>
            <w:r>
              <w:rPr>
                <w:sz w:val="16"/>
              </w:rPr>
              <w:t>Documented manual review, constrained functionality, segmented deployment, enhanced monitoring or service fallback pending remediation.</w:t>
            </w:r>
          </w:p>
        </w:tc>
      </w:tr>
      <w:tr>
        <w:tc>
          <w:tcPr>
            <w:tcW w:type="dxa" w:w="2232"/>
            <w:vAlign w:val="top"/>
          </w:tcPr>
          <w:p>
            <w:r>
              <w:rPr>
                <w:sz w:val="16"/>
              </w:rPr>
              <w:t>Maturity indicator</w:t>
            </w:r>
          </w:p>
        </w:tc>
        <w:tc>
          <w:tcPr>
            <w:tcW w:type="dxa" w:w="8424"/>
            <w:vAlign w:val="top"/>
          </w:tcPr>
          <w:p>
            <w:r>
              <w:rPr>
                <w:sz w:val="16"/>
              </w:rPr>
              <w:t>Current evidence for all applicable systems, measured effectiveness and no overdue high-risk exception.</w:t>
            </w:r>
          </w:p>
        </w:tc>
      </w:tr>
      <w:tr>
        <w:tc>
          <w:tcPr>
            <w:tcW w:type="dxa" w:w="2232"/>
            <w:vAlign w:val="top"/>
          </w:tcPr>
          <w:p>
            <w:r>
              <w:rPr>
                <w:sz w:val="16"/>
              </w:rPr>
              <w:t>Review gate</w:t>
            </w:r>
          </w:p>
        </w:tc>
        <w:tc>
          <w:tcPr>
            <w:tcW w:type="dxa" w:w="8424"/>
            <w:vAlign w:val="top"/>
          </w:tcPr>
          <w:p>
            <w:r>
              <w:rPr>
                <w:sz w:val="16"/>
              </w:rPr>
              <w:t>Physical-AI specialist review required</w:t>
            </w:r>
          </w:p>
        </w:tc>
      </w:tr>
      <w:tr>
        <w:tc>
          <w:tcPr>
            <w:tcW w:type="dxa" w:w="5184"/>
          </w:tcPr>
          <w:p>
            <w:r>
              <w:t>Implementation priority</w:t>
            </w:r>
          </w:p>
        </w:tc>
        <w:tc>
          <w:tcPr>
            <w:tcW w:type="dxa" w:w="5184"/>
          </w:tcPr>
          <w:p>
            <w:r>
              <w:t>P3 - Conditional physical AI</w:t>
            </w:r>
          </w:p>
        </w:tc>
      </w:tr>
      <w:tr>
        <w:tc>
          <w:tcPr>
            <w:tcW w:type="dxa" w:w="5184"/>
          </w:tcPr>
          <w:p>
            <w:r>
              <w:t>Scope label</w:t>
            </w:r>
          </w:p>
        </w:tc>
        <w:tc>
          <w:tcPr>
            <w:tcW w:type="dxa" w:w="5184"/>
          </w:tcPr>
          <w:p>
            <w:r>
              <w:t>Conditional - physical AI in scope</w:t>
            </w:r>
          </w:p>
        </w:tc>
      </w:tr>
    </w:tbl>
    <w:p/>
    <w:p>
      <w:pPr>
        <w:pStyle w:val="Heading1"/>
      </w:pPr>
      <w:r>
        <w:t>7. Data governance and retail information assets</w:t>
      </w:r>
    </w:p>
    <w:p>
      <w:pPr>
        <w:pStyle w:val="ListBullet"/>
      </w:pPr>
      <w:r>
        <w:t>Retail data classification and purpose controls are grounded in applicable legal and standards obligations [T1], while the specific implementation examples are contextual retail guidance [T3].</w:t>
      </w:r>
    </w:p>
    <w:p>
      <w:pPr>
        <w:pStyle w:val="ListBullet"/>
      </w:pPr>
      <w:r>
        <w:t>Document purpose, lawful or contractual basis where applicable, lineage, retention, access, transfers, deletion and production-data use in testing.</w:t>
      </w:r>
    </w:p>
    <w:p>
      <w:pPr>
        <w:pStyle w:val="ListBullet"/>
      </w:pPr>
      <w:r>
        <w:t>Separate data required for fraud and security from data reused for marketing, model training or provider improvement.</w:t>
      </w:r>
    </w:p>
    <w:p>
      <w:pPr>
        <w:pStyle w:val="ListBullet"/>
      </w:pPr>
      <w:r>
        <w:t>Treat prompts, retrieved context, model outputs, embeddings and agent action logs as governed information assets.</w:t>
      </w:r>
    </w:p>
    <w:p>
      <w:pPr>
        <w:pStyle w:val="Heading1"/>
      </w:pPr>
      <w:r>
        <w:t>8. AI supply-chain and third-party risk</w:t>
      </w:r>
    </w:p>
    <w:p>
      <w:r>
        <w:t>Supplier evidence, data-use and change-notification requirements are implementation guidance [T3] that should be reconciled with applicable contracts, laws and standards [T1].</w:t>
      </w:r>
    </w:p>
    <w:p>
      <w:pPr>
        <w:pStyle w:val="Heading1"/>
      </w:pPr>
      <w:r>
        <w:t>9. Secure retail AI lifecycle</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1944"/>
            <w:shd w:fill="17365D"/>
            <w:vAlign w:val="center"/>
          </w:tcPr>
          <w:p>
            <w:r>
              <w:rPr>
                <w:b/>
                <w:color w:val="FFFFFF"/>
                <w:sz w:val="16"/>
              </w:rPr>
              <w:t>Stage</w:t>
            </w:r>
          </w:p>
        </w:tc>
        <w:tc>
          <w:tcPr>
            <w:tcW w:type="dxa" w:w="8712"/>
            <w:shd w:fill="17365D"/>
            <w:vAlign w:val="center"/>
          </w:tcPr>
          <w:p>
            <w:r>
              <w:rPr>
                <w:b/>
                <w:color w:val="FFFFFF"/>
                <w:sz w:val="16"/>
              </w:rPr>
              <w:t>Required retail gate</w:t>
            </w:r>
          </w:p>
        </w:tc>
      </w:tr>
      <w:tr>
        <w:tc>
          <w:tcPr>
            <w:tcW w:type="dxa" w:w="1944"/>
            <w:vAlign w:val="top"/>
          </w:tcPr>
          <w:p>
            <w:r>
              <w:rPr>
                <w:sz w:val="16"/>
              </w:rPr>
              <w:t>Use-case approval</w:t>
            </w:r>
          </w:p>
        </w:tc>
        <w:tc>
          <w:tcPr>
            <w:tcW w:type="dxa" w:w="8712"/>
            <w:vAlign w:val="top"/>
          </w:tcPr>
          <w:p>
            <w:r>
              <w:rPr>
                <w:sz w:val="16"/>
              </w:rPr>
              <w:t>Document purpose, owner, affected persons, authority, legal review triggers and prohibited uses.</w:t>
            </w:r>
          </w:p>
        </w:tc>
      </w:tr>
      <w:tr>
        <w:tc>
          <w:tcPr>
            <w:tcW w:type="dxa" w:w="1944"/>
            <w:vAlign w:val="top"/>
          </w:tcPr>
          <w:p>
            <w:r>
              <w:rPr>
                <w:sz w:val="16"/>
              </w:rPr>
              <w:t>Procurement</w:t>
            </w:r>
          </w:p>
        </w:tc>
        <w:tc>
          <w:tcPr>
            <w:tcW w:type="dxa" w:w="8712"/>
            <w:vAlign w:val="top"/>
          </w:tcPr>
          <w:p>
            <w:r>
              <w:rPr>
                <w:sz w:val="16"/>
              </w:rPr>
              <w:t>Complete due diligence, data-use restrictions, evidence rights, exit and change notification.</w:t>
            </w:r>
          </w:p>
        </w:tc>
      </w:tr>
      <w:tr>
        <w:tc>
          <w:tcPr>
            <w:tcW w:type="dxa" w:w="1944"/>
            <w:vAlign w:val="top"/>
          </w:tcPr>
          <w:p>
            <w:r>
              <w:rPr>
                <w:sz w:val="16"/>
              </w:rPr>
              <w:t>Design and development</w:t>
            </w:r>
          </w:p>
        </w:tc>
        <w:tc>
          <w:tcPr>
            <w:tcW w:type="dxa" w:w="8712"/>
            <w:vAlign w:val="top"/>
          </w:tcPr>
          <w:p>
            <w:r>
              <w:rPr>
                <w:sz w:val="16"/>
              </w:rPr>
              <w:t>Threat model, data lineage, architecture review, access boundaries and human oversight.</w:t>
            </w:r>
          </w:p>
        </w:tc>
      </w:tr>
      <w:tr>
        <w:tc>
          <w:tcPr>
            <w:tcW w:type="dxa" w:w="1944"/>
            <w:vAlign w:val="top"/>
          </w:tcPr>
          <w:p>
            <w:r>
              <w:rPr>
                <w:sz w:val="16"/>
              </w:rPr>
              <w:t>Testing</w:t>
            </w:r>
          </w:p>
        </w:tc>
        <w:tc>
          <w:tcPr>
            <w:tcW w:type="dxa" w:w="8712"/>
            <w:vAlign w:val="top"/>
          </w:tcPr>
          <w:p>
            <w:r>
              <w:rPr>
                <w:sz w:val="16"/>
              </w:rPr>
              <w:t>Security, adversarial, fraud, privacy, fairness, accessibility, output, fallback and physical-environment tests as applicable.</w:t>
            </w:r>
          </w:p>
        </w:tc>
      </w:tr>
      <w:tr>
        <w:tc>
          <w:tcPr>
            <w:tcW w:type="dxa" w:w="1944"/>
            <w:vAlign w:val="top"/>
          </w:tcPr>
          <w:p>
            <w:r>
              <w:rPr>
                <w:sz w:val="16"/>
              </w:rPr>
              <w:t>Release</w:t>
            </w:r>
          </w:p>
        </w:tc>
        <w:tc>
          <w:tcPr>
            <w:tcW w:type="dxa" w:w="8712"/>
            <w:vAlign w:val="top"/>
          </w:tcPr>
          <w:p>
            <w:r>
              <w:rPr>
                <w:sz w:val="16"/>
              </w:rPr>
              <w:t>Approved evidence pack, residual risk, rollback, monitoring and incident ownership.</w:t>
            </w:r>
          </w:p>
        </w:tc>
      </w:tr>
      <w:tr>
        <w:tc>
          <w:tcPr>
            <w:tcW w:type="dxa" w:w="1944"/>
            <w:vAlign w:val="top"/>
          </w:tcPr>
          <w:p>
            <w:r>
              <w:rPr>
                <w:sz w:val="16"/>
              </w:rPr>
              <w:t>Operation</w:t>
            </w:r>
          </w:p>
        </w:tc>
        <w:tc>
          <w:tcPr>
            <w:tcW w:type="dxa" w:w="8712"/>
            <w:vAlign w:val="top"/>
          </w:tcPr>
          <w:p>
            <w:r>
              <w:rPr>
                <w:sz w:val="16"/>
              </w:rPr>
              <w:t>Monitor drift, abuse, complaints, provider changes, exceptions and business continuity.</w:t>
            </w:r>
          </w:p>
        </w:tc>
      </w:tr>
      <w:tr>
        <w:tc>
          <w:tcPr>
            <w:tcW w:type="dxa" w:w="1944"/>
            <w:vAlign w:val="top"/>
          </w:tcPr>
          <w:p>
            <w:r>
              <w:rPr>
                <w:sz w:val="16"/>
              </w:rPr>
              <w:t>Retirement</w:t>
            </w:r>
          </w:p>
        </w:tc>
        <w:tc>
          <w:tcPr>
            <w:tcW w:type="dxa" w:w="8712"/>
            <w:vAlign w:val="top"/>
          </w:tcPr>
          <w:p>
            <w:r>
              <w:rPr>
                <w:sz w:val="16"/>
              </w:rPr>
              <w:t>Revoke access, preserve required evidence, delete or archive data and manage dependent systems.</w:t>
            </w:r>
          </w:p>
        </w:tc>
      </w:tr>
    </w:tbl>
    <w:p/>
    <w:p>
      <w:pPr>
        <w:pStyle w:val="Heading1"/>
      </w:pPr>
      <w:r>
        <w:t>10. Testing and evaluation catalogue</w:t>
      </w:r>
    </w:p>
    <w:tbl>
      <w:tblPr>
        <w:tblStyle w:val="TableGrid"/>
        <w:tblW w:type="auto" w:w="0"/>
        <w:jc w:val="center"/>
        <w:tblLook w:firstColumn="1" w:firstRow="1" w:lastColumn="0" w:lastRow="0" w:noHBand="0" w:noVBand="1" w:val="04A0"/>
      </w:tblPr>
      <w:tblGrid>
        <w:gridCol w:w="2074"/>
        <w:gridCol w:w="2074"/>
        <w:gridCol w:w="2074"/>
        <w:gridCol w:w="2074"/>
        <w:gridCol w:w="2074"/>
      </w:tblGrid>
      <w:tr>
        <w:trPr>
          <w:tblHeader w:val="true"/>
        </w:trPr>
        <w:tc>
          <w:tcPr>
            <w:tcW w:type="dxa" w:w="1152"/>
            <w:shd w:fill="17365D"/>
            <w:vAlign w:val="center"/>
          </w:tcPr>
          <w:p>
            <w:r>
              <w:rPr>
                <w:b/>
                <w:color w:val="FFFFFF"/>
                <w:sz w:val="16"/>
              </w:rPr>
              <w:t>ID</w:t>
            </w:r>
          </w:p>
        </w:tc>
        <w:tc>
          <w:tcPr>
            <w:tcW w:type="dxa" w:w="2160"/>
            <w:shd w:fill="17365D"/>
            <w:vAlign w:val="center"/>
          </w:tcPr>
          <w:p>
            <w:r>
              <w:rPr>
                <w:b/>
                <w:color w:val="FFFFFF"/>
                <w:sz w:val="16"/>
              </w:rPr>
              <w:t>Test</w:t>
            </w:r>
          </w:p>
        </w:tc>
        <w:tc>
          <w:tcPr>
            <w:tcW w:type="dxa" w:w="1872"/>
            <w:shd w:fill="17365D"/>
            <w:vAlign w:val="center"/>
          </w:tcPr>
          <w:p>
            <w:r>
              <w:rPr>
                <w:b/>
                <w:color w:val="FFFFFF"/>
                <w:sz w:val="16"/>
              </w:rPr>
              <w:t>Trigger</w:t>
            </w:r>
          </w:p>
        </w:tc>
        <w:tc>
          <w:tcPr>
            <w:tcW w:type="dxa" w:w="2880"/>
            <w:shd w:fill="17365D"/>
            <w:vAlign w:val="center"/>
          </w:tcPr>
          <w:p>
            <w:r>
              <w:rPr>
                <w:b/>
                <w:color w:val="FFFFFF"/>
                <w:sz w:val="16"/>
              </w:rPr>
              <w:t>Method</w:t>
            </w:r>
          </w:p>
        </w:tc>
        <w:tc>
          <w:tcPr>
            <w:tcW w:type="dxa" w:w="2592"/>
            <w:shd w:fill="17365D"/>
            <w:vAlign w:val="center"/>
          </w:tcPr>
          <w:p>
            <w:r>
              <w:rPr>
                <w:b/>
                <w:color w:val="FFFFFF"/>
                <w:sz w:val="16"/>
              </w:rPr>
              <w:t>Acceptance</w:t>
            </w:r>
          </w:p>
        </w:tc>
      </w:tr>
      <w:tr>
        <w:tc>
          <w:tcPr>
            <w:tcW w:type="dxa" w:w="1152"/>
            <w:vAlign w:val="top"/>
          </w:tcPr>
          <w:p>
            <w:r>
              <w:rPr>
                <w:sz w:val="16"/>
              </w:rPr>
              <w:t>RET-TST-001</w:t>
            </w:r>
          </w:p>
        </w:tc>
        <w:tc>
          <w:tcPr>
            <w:tcW w:type="dxa" w:w="2160"/>
            <w:vAlign w:val="top"/>
          </w:tcPr>
          <w:p>
            <w:r>
              <w:rPr>
                <w:sz w:val="16"/>
              </w:rPr>
              <w:t>Prompt-injection and tool-abuse test</w:t>
            </w:r>
          </w:p>
        </w:tc>
        <w:tc>
          <w:tcPr>
            <w:tcW w:type="dxa" w:w="1872"/>
            <w:vAlign w:val="top"/>
          </w:tcPr>
          <w:p>
            <w:r>
              <w:rPr>
                <w:sz w:val="16"/>
              </w:rPr>
              <w:t>On deployment and material change</w:t>
            </w:r>
          </w:p>
        </w:tc>
        <w:tc>
          <w:tcPr>
            <w:tcW w:type="dxa" w:w="2880"/>
            <w:vAlign w:val="top"/>
          </w:tcPr>
          <w:p>
            <w:r>
              <w:rPr>
                <w:sz w:val="16"/>
              </w:rPr>
              <w:t>Representative direct and indirect attacks</w:t>
            </w:r>
          </w:p>
        </w:tc>
        <w:tc>
          <w:tcPr>
            <w:tcW w:type="dxa" w:w="2592"/>
            <w:vAlign w:val="top"/>
          </w:tcPr>
          <w:p>
            <w:r>
              <w:rPr>
                <w:sz w:val="16"/>
              </w:rPr>
              <w:t>No unauthorised action or sensitive disclosure</w:t>
            </w:r>
          </w:p>
        </w:tc>
      </w:tr>
      <w:tr>
        <w:tc>
          <w:tcPr>
            <w:tcW w:type="dxa" w:w="1152"/>
            <w:vAlign w:val="top"/>
          </w:tcPr>
          <w:p>
            <w:r>
              <w:rPr>
                <w:sz w:val="16"/>
              </w:rPr>
              <w:t>RET-TST-002</w:t>
            </w:r>
          </w:p>
        </w:tc>
        <w:tc>
          <w:tcPr>
            <w:tcW w:type="dxa" w:w="2160"/>
            <w:vAlign w:val="top"/>
          </w:tcPr>
          <w:p>
            <w:r>
              <w:rPr>
                <w:sz w:val="16"/>
              </w:rPr>
              <w:t>Fraud resilience test</w:t>
            </w:r>
          </w:p>
        </w:tc>
        <w:tc>
          <w:tcPr>
            <w:tcW w:type="dxa" w:w="1872"/>
            <w:vAlign w:val="top"/>
          </w:tcPr>
          <w:p>
            <w:r>
              <w:rPr>
                <w:sz w:val="16"/>
              </w:rPr>
              <w:t>At least quarterly for critical fraud systems</w:t>
            </w:r>
          </w:p>
        </w:tc>
        <w:tc>
          <w:tcPr>
            <w:tcW w:type="dxa" w:w="2880"/>
            <w:vAlign w:val="top"/>
          </w:tcPr>
          <w:p>
            <w:r>
              <w:rPr>
                <w:sz w:val="16"/>
              </w:rPr>
              <w:t>Known fraud, adaptive evasion and false-positive sampling</w:t>
            </w:r>
          </w:p>
        </w:tc>
        <w:tc>
          <w:tcPr>
            <w:tcW w:type="dxa" w:w="2592"/>
            <w:vAlign w:val="top"/>
          </w:tcPr>
          <w:p>
            <w:r>
              <w:rPr>
                <w:sz w:val="16"/>
              </w:rPr>
              <w:t>Approved detection and customer-impact thresholds</w:t>
            </w:r>
          </w:p>
        </w:tc>
      </w:tr>
      <w:tr>
        <w:tc>
          <w:tcPr>
            <w:tcW w:type="dxa" w:w="1152"/>
            <w:vAlign w:val="top"/>
          </w:tcPr>
          <w:p>
            <w:r>
              <w:rPr>
                <w:sz w:val="16"/>
              </w:rPr>
              <w:t>RET-TST-003</w:t>
            </w:r>
          </w:p>
        </w:tc>
        <w:tc>
          <w:tcPr>
            <w:tcW w:type="dxa" w:w="2160"/>
            <w:vAlign w:val="top"/>
          </w:tcPr>
          <w:p>
            <w:r>
              <w:rPr>
                <w:sz w:val="16"/>
              </w:rPr>
              <w:t>Product-information accuracy test</w:t>
            </w:r>
          </w:p>
        </w:tc>
        <w:tc>
          <w:tcPr>
            <w:tcW w:type="dxa" w:w="1872"/>
            <w:vAlign w:val="top"/>
          </w:tcPr>
          <w:p>
            <w:r>
              <w:rPr>
                <w:sz w:val="16"/>
              </w:rPr>
              <w:t>Each release and catalogue-model change</w:t>
            </w:r>
          </w:p>
        </w:tc>
        <w:tc>
          <w:tcPr>
            <w:tcW w:type="dxa" w:w="2880"/>
            <w:vAlign w:val="top"/>
          </w:tcPr>
          <w:p>
            <w:r>
              <w:rPr>
                <w:sz w:val="16"/>
              </w:rPr>
              <w:t>Sample specifications, compatibility, safety and restricted claims</w:t>
            </w:r>
          </w:p>
        </w:tc>
        <w:tc>
          <w:tcPr>
            <w:tcW w:type="dxa" w:w="2592"/>
            <w:vAlign w:val="top"/>
          </w:tcPr>
          <w:p>
            <w:r>
              <w:rPr>
                <w:sz w:val="16"/>
              </w:rPr>
              <w:t>Critical factual errors blocked or escalated</w:t>
            </w:r>
          </w:p>
        </w:tc>
      </w:tr>
      <w:tr>
        <w:tc>
          <w:tcPr>
            <w:tcW w:type="dxa" w:w="1152"/>
            <w:vAlign w:val="top"/>
          </w:tcPr>
          <w:p>
            <w:r>
              <w:rPr>
                <w:sz w:val="16"/>
              </w:rPr>
              <w:t>RET-TST-004</w:t>
            </w:r>
          </w:p>
        </w:tc>
        <w:tc>
          <w:tcPr>
            <w:tcW w:type="dxa" w:w="2160"/>
            <w:vAlign w:val="top"/>
          </w:tcPr>
          <w:p>
            <w:r>
              <w:rPr>
                <w:sz w:val="16"/>
              </w:rPr>
              <w:t>Pricing and promotion integrity test</w:t>
            </w:r>
          </w:p>
        </w:tc>
        <w:tc>
          <w:tcPr>
            <w:tcW w:type="dxa" w:w="1872"/>
            <w:vAlign w:val="top"/>
          </w:tcPr>
          <w:p>
            <w:r>
              <w:rPr>
                <w:sz w:val="16"/>
              </w:rPr>
              <w:t>Before campaign or model release</w:t>
            </w:r>
          </w:p>
        </w:tc>
        <w:tc>
          <w:tcPr>
            <w:tcW w:type="dxa" w:w="2880"/>
            <w:vAlign w:val="top"/>
          </w:tcPr>
          <w:p>
            <w:r>
              <w:rPr>
                <w:sz w:val="16"/>
              </w:rPr>
              <w:t>Boundary, adversarial and rollback tests</w:t>
            </w:r>
          </w:p>
        </w:tc>
        <w:tc>
          <w:tcPr>
            <w:tcW w:type="dxa" w:w="2592"/>
            <w:vAlign w:val="top"/>
          </w:tcPr>
          <w:p>
            <w:r>
              <w:rPr>
                <w:sz w:val="16"/>
              </w:rPr>
              <w:t>No unauthorised or unexplained price/promotion outcome</w:t>
            </w:r>
          </w:p>
        </w:tc>
      </w:tr>
      <w:tr>
        <w:tc>
          <w:tcPr>
            <w:tcW w:type="dxa" w:w="1152"/>
            <w:vAlign w:val="top"/>
          </w:tcPr>
          <w:p>
            <w:r>
              <w:rPr>
                <w:sz w:val="16"/>
              </w:rPr>
              <w:t>RET-TST-005</w:t>
            </w:r>
          </w:p>
        </w:tc>
        <w:tc>
          <w:tcPr>
            <w:tcW w:type="dxa" w:w="2160"/>
            <w:vAlign w:val="top"/>
          </w:tcPr>
          <w:p>
            <w:r>
              <w:rPr>
                <w:sz w:val="16"/>
              </w:rPr>
              <w:t>Biometric and vision performance test</w:t>
            </w:r>
          </w:p>
        </w:tc>
        <w:tc>
          <w:tcPr>
            <w:tcW w:type="dxa" w:w="1872"/>
            <w:vAlign w:val="top"/>
          </w:tcPr>
          <w:p>
            <w:r>
              <w:rPr>
                <w:sz w:val="16"/>
              </w:rPr>
              <w:t>Before use and periodically</w:t>
            </w:r>
          </w:p>
        </w:tc>
        <w:tc>
          <w:tcPr>
            <w:tcW w:type="dxa" w:w="2880"/>
            <w:vAlign w:val="top"/>
          </w:tcPr>
          <w:p>
            <w:r>
              <w:rPr>
                <w:sz w:val="16"/>
              </w:rPr>
              <w:t>Representative environment and demographic slices</w:t>
            </w:r>
          </w:p>
        </w:tc>
        <w:tc>
          <w:tcPr>
            <w:tcW w:type="dxa" w:w="2592"/>
            <w:vAlign w:val="top"/>
          </w:tcPr>
          <w:p>
            <w:r>
              <w:rPr>
                <w:sz w:val="16"/>
              </w:rPr>
              <w:t>Approved performance, escalation and intervention limits</w:t>
            </w:r>
          </w:p>
        </w:tc>
      </w:tr>
      <w:tr>
        <w:tc>
          <w:tcPr>
            <w:tcW w:type="dxa" w:w="1152"/>
            <w:vAlign w:val="top"/>
          </w:tcPr>
          <w:p>
            <w:r>
              <w:rPr>
                <w:sz w:val="16"/>
              </w:rPr>
              <w:t>RET-TST-006</w:t>
            </w:r>
          </w:p>
        </w:tc>
        <w:tc>
          <w:tcPr>
            <w:tcW w:type="dxa" w:w="2160"/>
            <w:vAlign w:val="top"/>
          </w:tcPr>
          <w:p>
            <w:r>
              <w:rPr>
                <w:sz w:val="16"/>
              </w:rPr>
              <w:t>Seasonal drift and stress test</w:t>
            </w:r>
          </w:p>
        </w:tc>
        <w:tc>
          <w:tcPr>
            <w:tcW w:type="dxa" w:w="1872"/>
            <w:vAlign w:val="top"/>
          </w:tcPr>
          <w:p>
            <w:r>
              <w:rPr>
                <w:sz w:val="16"/>
              </w:rPr>
              <w:t>Before major seasonal events</w:t>
            </w:r>
          </w:p>
        </w:tc>
        <w:tc>
          <w:tcPr>
            <w:tcW w:type="dxa" w:w="2880"/>
            <w:vAlign w:val="top"/>
          </w:tcPr>
          <w:p>
            <w:r>
              <w:rPr>
                <w:sz w:val="16"/>
              </w:rPr>
              <w:t>Peak load and shifted distributions</w:t>
            </w:r>
          </w:p>
        </w:tc>
        <w:tc>
          <w:tcPr>
            <w:tcW w:type="dxa" w:w="2592"/>
            <w:vAlign w:val="top"/>
          </w:tcPr>
          <w:p>
            <w:r>
              <w:rPr>
                <w:sz w:val="16"/>
              </w:rPr>
              <w:t>Fallback and thresholds operate under peak conditions</w:t>
            </w:r>
          </w:p>
        </w:tc>
      </w:tr>
      <w:tr>
        <w:tc>
          <w:tcPr>
            <w:tcW w:type="dxa" w:w="1152"/>
            <w:vAlign w:val="top"/>
          </w:tcPr>
          <w:p>
            <w:r>
              <w:rPr>
                <w:sz w:val="16"/>
              </w:rPr>
              <w:t>RET-TST-007</w:t>
            </w:r>
          </w:p>
        </w:tc>
        <w:tc>
          <w:tcPr>
            <w:tcW w:type="dxa" w:w="2160"/>
            <w:vAlign w:val="top"/>
          </w:tcPr>
          <w:p>
            <w:r>
              <w:rPr>
                <w:sz w:val="16"/>
              </w:rPr>
              <w:t>Third-party outage and fallback test</w:t>
            </w:r>
          </w:p>
        </w:tc>
        <w:tc>
          <w:tcPr>
            <w:tcW w:type="dxa" w:w="1872"/>
            <w:vAlign w:val="top"/>
          </w:tcPr>
          <w:p>
            <w:r>
              <w:rPr>
                <w:sz w:val="16"/>
              </w:rPr>
              <w:t>At least annually</w:t>
            </w:r>
          </w:p>
        </w:tc>
        <w:tc>
          <w:tcPr>
            <w:tcW w:type="dxa" w:w="2880"/>
            <w:vAlign w:val="top"/>
          </w:tcPr>
          <w:p>
            <w:r>
              <w:rPr>
                <w:sz w:val="16"/>
              </w:rPr>
              <w:t>Provider loss, degraded mode and data recovery</w:t>
            </w:r>
          </w:p>
        </w:tc>
        <w:tc>
          <w:tcPr>
            <w:tcW w:type="dxa" w:w="2592"/>
            <w:vAlign w:val="top"/>
          </w:tcPr>
          <w:p>
            <w:r>
              <w:rPr>
                <w:sz w:val="16"/>
              </w:rPr>
              <w:t>Approved service continuity and manual fallback</w:t>
            </w:r>
          </w:p>
        </w:tc>
      </w:tr>
      <w:tr>
        <w:tc>
          <w:tcPr>
            <w:tcW w:type="dxa" w:w="1152"/>
            <w:vAlign w:val="top"/>
          </w:tcPr>
          <w:p>
            <w:r>
              <w:rPr>
                <w:sz w:val="16"/>
              </w:rPr>
              <w:t>RET-TST-008</w:t>
            </w:r>
          </w:p>
        </w:tc>
        <w:tc>
          <w:tcPr>
            <w:tcW w:type="dxa" w:w="2160"/>
            <w:vAlign w:val="top"/>
          </w:tcPr>
          <w:p>
            <w:r>
              <w:rPr>
                <w:sz w:val="16"/>
              </w:rPr>
              <w:t>Physical AI safe-state test</w:t>
            </w:r>
          </w:p>
        </w:tc>
        <w:tc>
          <w:tcPr>
            <w:tcW w:type="dxa" w:w="1872"/>
            <w:vAlign w:val="top"/>
          </w:tcPr>
          <w:p>
            <w:r>
              <w:rPr>
                <w:sz w:val="16"/>
              </w:rPr>
              <w:t>Before release and after safety-relevant change</w:t>
            </w:r>
          </w:p>
        </w:tc>
        <w:tc>
          <w:tcPr>
            <w:tcW w:type="dxa" w:w="2880"/>
            <w:vAlign w:val="top"/>
          </w:tcPr>
          <w:p>
            <w:r>
              <w:rPr>
                <w:sz w:val="16"/>
              </w:rPr>
              <w:t>Sensor, command, network and emergency-stop failures</w:t>
            </w:r>
          </w:p>
        </w:tc>
        <w:tc>
          <w:tcPr>
            <w:tcW w:type="dxa" w:w="2592"/>
            <w:vAlign w:val="top"/>
          </w:tcPr>
          <w:p>
            <w:r>
              <w:rPr>
                <w:sz w:val="16"/>
              </w:rPr>
              <w:t>System enters defined safe or controlled state</w:t>
            </w:r>
          </w:p>
        </w:tc>
      </w:tr>
    </w:tbl>
    <w:p/>
    <w:p>
      <w:pPr>
        <w:pStyle w:val="Heading1"/>
      </w:pPr>
      <w:r>
        <w:t>11. Human oversight and accountability</w:t>
      </w:r>
    </w:p>
    <w:p>
      <w:r>
        <w:t>Oversight must be more than nominal [T3]. High-risk retail actions include payment or account blocking, return denial, biometric intervention, hiring rejection, high-value refunds, personalised-pricing exceptions and physical movement by autonomous equipment. The reviewer should receive the model rationale, relevant source records, confidence or uncertainty, policy limits and prior overrides; have authority to pause or reverse the action; and record the decision, evidence and escalation. Sampling after the event is not an adequate substitute where harm occurs immediately.</w:t>
      </w:r>
    </w:p>
    <w:p>
      <w:pPr>
        <w:pStyle w:val="Heading1"/>
      </w:pPr>
      <w:r>
        <w:t>12. Consumer protection and transparency</w:t>
      </w:r>
    </w:p>
    <w:p>
      <w:pPr>
        <w:pStyle w:val="ListBullet"/>
      </w:pPr>
      <w:r>
        <w:t>Identify when customers are interacting with AI and when generated content could affect a purchasing decision.</w:t>
      </w:r>
    </w:p>
    <w:p>
      <w:pPr>
        <w:pStyle w:val="ListBullet"/>
      </w:pPr>
      <w:r>
        <w:t>Prevent unsupported product, safety, compatibility, pricing and promotional claims.</w:t>
      </w:r>
    </w:p>
    <w:p>
      <w:pPr>
        <w:pStyle w:val="ListBullet"/>
      </w:pPr>
      <w:r>
        <w:t>Provide escalation and correction routes for consequential account, fraud, returns, biometric or age decisions.</w:t>
      </w:r>
    </w:p>
    <w:p>
      <w:pPr>
        <w:pStyle w:val="ListBullet"/>
      </w:pPr>
      <w:r>
        <w:t>Assess dark-pattern, personalised-pricing, vulnerable-consumer, child, accessibility and synthetic-review risks by jurisdiction.</w:t>
      </w:r>
    </w:p>
    <w:p>
      <w:pPr>
        <w:pStyle w:val="Heading1"/>
      </w:pPr>
      <w:r>
        <w:t>13. Monitoring metrics</w:t>
      </w:r>
    </w:p>
    <w:tbl>
      <w:tblPr>
        <w:tblStyle w:val="TableGrid"/>
        <w:tblW w:type="auto" w:w="0"/>
        <w:jc w:val="center"/>
        <w:tblLook w:firstColumn="1" w:firstRow="1" w:lastColumn="0" w:lastRow="0" w:noHBand="0" w:noVBand="1" w:val="04A0"/>
      </w:tblPr>
      <w:tblGrid>
        <w:gridCol w:w="1481"/>
        <w:gridCol w:w="1481"/>
        <w:gridCol w:w="1481"/>
        <w:gridCol w:w="1481"/>
        <w:gridCol w:w="1481"/>
        <w:gridCol w:w="1481"/>
        <w:gridCol w:w="1481"/>
      </w:tblGrid>
      <w:tr>
        <w:trPr>
          <w:tblHeader w:val="true"/>
        </w:trPr>
        <w:tc>
          <w:tcPr>
            <w:tcW w:type="dxa" w:w="1152"/>
            <w:shd w:fill="17365D"/>
            <w:vAlign w:val="center"/>
          </w:tcPr>
          <w:p>
            <w:r>
              <w:rPr>
                <w:b/>
                <w:color w:val="FFFFFF"/>
                <w:sz w:val="14"/>
              </w:rPr>
              <w:t>ID</w:t>
            </w:r>
          </w:p>
        </w:tc>
        <w:tc>
          <w:tcPr>
            <w:tcW w:type="dxa" w:w="1944"/>
            <w:shd w:fill="17365D"/>
            <w:vAlign w:val="center"/>
          </w:tcPr>
          <w:p>
            <w:r>
              <w:rPr>
                <w:b/>
                <w:color w:val="FFFFFF"/>
                <w:sz w:val="14"/>
              </w:rPr>
              <w:t>Metric</w:t>
            </w:r>
          </w:p>
        </w:tc>
        <w:tc>
          <w:tcPr>
            <w:tcW w:type="dxa" w:w="2376"/>
            <w:shd w:fill="17365D"/>
            <w:vAlign w:val="center"/>
          </w:tcPr>
          <w:p>
            <w:r>
              <w:rPr>
                <w:b/>
                <w:color w:val="FFFFFF"/>
                <w:sz w:val="14"/>
              </w:rPr>
              <w:t>Definition</w:t>
            </w:r>
          </w:p>
        </w:tc>
        <w:tc>
          <w:tcPr>
            <w:tcW w:type="dxa" w:w="1872"/>
            <w:shd w:fill="17365D"/>
            <w:vAlign w:val="center"/>
          </w:tcPr>
          <w:p>
            <w:r>
              <w:rPr>
                <w:b/>
                <w:color w:val="FFFFFF"/>
                <w:sz w:val="14"/>
              </w:rPr>
              <w:t>Data source</w:t>
            </w:r>
          </w:p>
        </w:tc>
        <w:tc>
          <w:tcPr>
            <w:tcW w:type="dxa" w:w="1440"/>
            <w:shd w:fill="17365D"/>
            <w:vAlign w:val="center"/>
          </w:tcPr>
          <w:p>
            <w:r>
              <w:rPr>
                <w:b/>
                <w:color w:val="FFFFFF"/>
                <w:sz w:val="14"/>
              </w:rPr>
              <w:t>Frequency</w:t>
            </w:r>
          </w:p>
        </w:tc>
        <w:tc>
          <w:tcPr>
            <w:tcW w:type="dxa" w:w="1872"/>
            <w:shd w:fill="17365D"/>
            <w:vAlign w:val="center"/>
          </w:tcPr>
          <w:p>
            <w:r>
              <w:rPr>
                <w:b/>
                <w:color w:val="FFFFFF"/>
                <w:sz w:val="14"/>
              </w:rPr>
              <w:t>Limitation</w:t>
            </w:r>
          </w:p>
        </w:tc>
        <w:tc>
          <w:tcPr>
            <w:tcW w:type="dxa" w:w="1872"/>
            <w:shd w:fill="17365D"/>
            <w:vAlign w:val="center"/>
          </w:tcPr>
          <w:p>
            <w:r>
              <w:rPr>
                <w:b/>
                <w:color w:val="FFFFFF"/>
                <w:sz w:val="14"/>
              </w:rPr>
              <w:t>Escalation</w:t>
            </w:r>
          </w:p>
        </w:tc>
      </w:tr>
      <w:tr>
        <w:tc>
          <w:tcPr>
            <w:tcW w:type="dxa" w:w="1152"/>
            <w:vAlign w:val="top"/>
          </w:tcPr>
          <w:p>
            <w:r>
              <w:rPr>
                <w:sz w:val="14"/>
              </w:rPr>
              <w:t>RET-MET-001</w:t>
            </w:r>
          </w:p>
        </w:tc>
        <w:tc>
          <w:tcPr>
            <w:tcW w:type="dxa" w:w="1944"/>
            <w:vAlign w:val="top"/>
          </w:tcPr>
          <w:p>
            <w:r>
              <w:rPr>
                <w:sz w:val="14"/>
              </w:rPr>
              <w:t>Applicable controls with current evidence</w:t>
            </w:r>
          </w:p>
        </w:tc>
        <w:tc>
          <w:tcPr>
            <w:tcW w:type="dxa" w:w="2376"/>
            <w:vAlign w:val="top"/>
          </w:tcPr>
          <w:p>
            <w:r>
              <w:rPr>
                <w:sz w:val="14"/>
              </w:rPr>
              <w:t>Documented measure of applicable controls with current evidence for the approved retail AI scope.</w:t>
            </w:r>
          </w:p>
        </w:tc>
        <w:tc>
          <w:tcPr>
            <w:tcW w:type="dxa" w:w="1872"/>
            <w:vAlign w:val="top"/>
          </w:tcPr>
          <w:p>
            <w:r>
              <w:rPr>
                <w:sz w:val="14"/>
              </w:rPr>
              <w:t>Security, model, fraud, customer-service, IAM, change or incident telemetry</w:t>
            </w:r>
          </w:p>
        </w:tc>
        <w:tc>
          <w:tcPr>
            <w:tcW w:type="dxa" w:w="1440"/>
            <w:vAlign w:val="top"/>
          </w:tcPr>
          <w:p>
            <w:r>
              <w:rPr>
                <w:sz w:val="14"/>
              </w:rPr>
              <w:t>Monthly for critical systems; quarterly otherwise</w:t>
            </w:r>
          </w:p>
        </w:tc>
        <w:tc>
          <w:tcPr>
            <w:tcW w:type="dxa" w:w="1872"/>
            <w:vAlign w:val="top"/>
          </w:tcPr>
          <w:p>
            <w:r>
              <w:rPr>
                <w:sz w:val="14"/>
              </w:rPr>
              <w:t>Thresholds require internal baseline; cross-retailer comparisons may be invalid.</w:t>
            </w:r>
          </w:p>
        </w:tc>
        <w:tc>
          <w:tcPr>
            <w:tcW w:type="dxa" w:w="1872"/>
            <w:vAlign w:val="top"/>
          </w:tcPr>
          <w:p>
            <w:r>
              <w:rPr>
                <w:sz w:val="14"/>
              </w:rPr>
              <w:t>Board- or executive-approved threshold for material deviation</w:t>
            </w:r>
          </w:p>
        </w:tc>
      </w:tr>
      <w:tr>
        <w:tc>
          <w:tcPr>
            <w:tcW w:type="dxa" w:w="1152"/>
            <w:vAlign w:val="top"/>
          </w:tcPr>
          <w:p>
            <w:r>
              <w:rPr>
                <w:sz w:val="14"/>
              </w:rPr>
              <w:t>RET-MET-002</w:t>
            </w:r>
          </w:p>
        </w:tc>
        <w:tc>
          <w:tcPr>
            <w:tcW w:type="dxa" w:w="1944"/>
            <w:vAlign w:val="top"/>
          </w:tcPr>
          <w:p>
            <w:r>
              <w:rPr>
                <w:sz w:val="14"/>
              </w:rPr>
              <w:t>High-risk systems with approved human oversight</w:t>
            </w:r>
          </w:p>
        </w:tc>
        <w:tc>
          <w:tcPr>
            <w:tcW w:type="dxa" w:w="2376"/>
            <w:vAlign w:val="top"/>
          </w:tcPr>
          <w:p>
            <w:r>
              <w:rPr>
                <w:sz w:val="14"/>
              </w:rPr>
              <w:t>Documented measure of high-risk systems with approved human oversight for the approved retail AI scope.</w:t>
            </w:r>
          </w:p>
        </w:tc>
        <w:tc>
          <w:tcPr>
            <w:tcW w:type="dxa" w:w="1872"/>
            <w:vAlign w:val="top"/>
          </w:tcPr>
          <w:p>
            <w:r>
              <w:rPr>
                <w:sz w:val="14"/>
              </w:rPr>
              <w:t>Security, model, fraud, customer-service, IAM, change or incident telemetry</w:t>
            </w:r>
          </w:p>
        </w:tc>
        <w:tc>
          <w:tcPr>
            <w:tcW w:type="dxa" w:w="1440"/>
            <w:vAlign w:val="top"/>
          </w:tcPr>
          <w:p>
            <w:r>
              <w:rPr>
                <w:sz w:val="14"/>
              </w:rPr>
              <w:t>Monthly for critical systems; quarterly otherwise</w:t>
            </w:r>
          </w:p>
        </w:tc>
        <w:tc>
          <w:tcPr>
            <w:tcW w:type="dxa" w:w="1872"/>
            <w:vAlign w:val="top"/>
          </w:tcPr>
          <w:p>
            <w:r>
              <w:rPr>
                <w:sz w:val="14"/>
              </w:rPr>
              <w:t>Thresholds require internal baseline; cross-retailer comparisons may be invalid.</w:t>
            </w:r>
          </w:p>
        </w:tc>
        <w:tc>
          <w:tcPr>
            <w:tcW w:type="dxa" w:w="1872"/>
            <w:vAlign w:val="top"/>
          </w:tcPr>
          <w:p>
            <w:r>
              <w:rPr>
                <w:sz w:val="14"/>
              </w:rPr>
              <w:t>Board- or executive-approved threshold for material deviation</w:t>
            </w:r>
          </w:p>
        </w:tc>
      </w:tr>
      <w:tr>
        <w:tc>
          <w:tcPr>
            <w:tcW w:type="dxa" w:w="1152"/>
            <w:vAlign w:val="top"/>
          </w:tcPr>
          <w:p>
            <w:r>
              <w:rPr>
                <w:sz w:val="14"/>
              </w:rPr>
              <w:t>RET-MET-003</w:t>
            </w:r>
          </w:p>
        </w:tc>
        <w:tc>
          <w:tcPr>
            <w:tcW w:type="dxa" w:w="1944"/>
            <w:vAlign w:val="top"/>
          </w:tcPr>
          <w:p>
            <w:r>
              <w:rPr>
                <w:sz w:val="14"/>
              </w:rPr>
              <w:t>AI-related customer escalations</w:t>
            </w:r>
          </w:p>
        </w:tc>
        <w:tc>
          <w:tcPr>
            <w:tcW w:type="dxa" w:w="2376"/>
            <w:vAlign w:val="top"/>
          </w:tcPr>
          <w:p>
            <w:r>
              <w:rPr>
                <w:sz w:val="14"/>
              </w:rPr>
              <w:t>Documented measure of ai-related customer escalations for the approved retail AI scope.</w:t>
            </w:r>
          </w:p>
        </w:tc>
        <w:tc>
          <w:tcPr>
            <w:tcW w:type="dxa" w:w="1872"/>
            <w:vAlign w:val="top"/>
          </w:tcPr>
          <w:p>
            <w:r>
              <w:rPr>
                <w:sz w:val="14"/>
              </w:rPr>
              <w:t>Security, model, fraud, customer-service, IAM, change or incident telemetry</w:t>
            </w:r>
          </w:p>
        </w:tc>
        <w:tc>
          <w:tcPr>
            <w:tcW w:type="dxa" w:w="1440"/>
            <w:vAlign w:val="top"/>
          </w:tcPr>
          <w:p>
            <w:r>
              <w:rPr>
                <w:sz w:val="14"/>
              </w:rPr>
              <w:t>Monthly for critical systems; quarterly otherwise</w:t>
            </w:r>
          </w:p>
        </w:tc>
        <w:tc>
          <w:tcPr>
            <w:tcW w:type="dxa" w:w="1872"/>
            <w:vAlign w:val="top"/>
          </w:tcPr>
          <w:p>
            <w:r>
              <w:rPr>
                <w:sz w:val="14"/>
              </w:rPr>
              <w:t>Thresholds require internal baseline; cross-retailer comparisons may be invalid.</w:t>
            </w:r>
          </w:p>
        </w:tc>
        <w:tc>
          <w:tcPr>
            <w:tcW w:type="dxa" w:w="1872"/>
            <w:vAlign w:val="top"/>
          </w:tcPr>
          <w:p>
            <w:r>
              <w:rPr>
                <w:sz w:val="14"/>
              </w:rPr>
              <w:t>Board- or executive-approved threshold for material deviation</w:t>
            </w:r>
          </w:p>
        </w:tc>
      </w:tr>
      <w:tr>
        <w:tc>
          <w:tcPr>
            <w:tcW w:type="dxa" w:w="1152"/>
            <w:vAlign w:val="top"/>
          </w:tcPr>
          <w:p>
            <w:r>
              <w:rPr>
                <w:sz w:val="14"/>
              </w:rPr>
              <w:t>RET-MET-004</w:t>
            </w:r>
          </w:p>
        </w:tc>
        <w:tc>
          <w:tcPr>
            <w:tcW w:type="dxa" w:w="1944"/>
            <w:vAlign w:val="top"/>
          </w:tcPr>
          <w:p>
            <w:r>
              <w:rPr>
                <w:sz w:val="14"/>
              </w:rPr>
              <w:t>Prompt-injection detections</w:t>
            </w:r>
          </w:p>
        </w:tc>
        <w:tc>
          <w:tcPr>
            <w:tcW w:type="dxa" w:w="2376"/>
            <w:vAlign w:val="top"/>
          </w:tcPr>
          <w:p>
            <w:r>
              <w:rPr>
                <w:sz w:val="14"/>
              </w:rPr>
              <w:t>Documented measure of prompt-injection detections for the approved retail AI scope.</w:t>
            </w:r>
          </w:p>
        </w:tc>
        <w:tc>
          <w:tcPr>
            <w:tcW w:type="dxa" w:w="1872"/>
            <w:vAlign w:val="top"/>
          </w:tcPr>
          <w:p>
            <w:r>
              <w:rPr>
                <w:sz w:val="14"/>
              </w:rPr>
              <w:t>Security, model, fraud, customer-service, IAM, change or incident telemetry</w:t>
            </w:r>
          </w:p>
        </w:tc>
        <w:tc>
          <w:tcPr>
            <w:tcW w:type="dxa" w:w="1440"/>
            <w:vAlign w:val="top"/>
          </w:tcPr>
          <w:p>
            <w:r>
              <w:rPr>
                <w:sz w:val="14"/>
              </w:rPr>
              <w:t>Monthly for critical systems; quarterly otherwise</w:t>
            </w:r>
          </w:p>
        </w:tc>
        <w:tc>
          <w:tcPr>
            <w:tcW w:type="dxa" w:w="1872"/>
            <w:vAlign w:val="top"/>
          </w:tcPr>
          <w:p>
            <w:r>
              <w:rPr>
                <w:sz w:val="14"/>
              </w:rPr>
              <w:t>Thresholds require internal baseline; cross-retailer comparisons may be invalid.</w:t>
            </w:r>
          </w:p>
        </w:tc>
        <w:tc>
          <w:tcPr>
            <w:tcW w:type="dxa" w:w="1872"/>
            <w:vAlign w:val="top"/>
          </w:tcPr>
          <w:p>
            <w:r>
              <w:rPr>
                <w:sz w:val="14"/>
              </w:rPr>
              <w:t>Board- or executive-approved threshold for material deviation</w:t>
            </w:r>
          </w:p>
        </w:tc>
      </w:tr>
      <w:tr>
        <w:tc>
          <w:tcPr>
            <w:tcW w:type="dxa" w:w="1152"/>
            <w:vAlign w:val="top"/>
          </w:tcPr>
          <w:p>
            <w:r>
              <w:rPr>
                <w:sz w:val="14"/>
              </w:rPr>
              <w:t>RET-MET-005</w:t>
            </w:r>
          </w:p>
        </w:tc>
        <w:tc>
          <w:tcPr>
            <w:tcW w:type="dxa" w:w="1944"/>
            <w:vAlign w:val="top"/>
          </w:tcPr>
          <w:p>
            <w:r>
              <w:rPr>
                <w:sz w:val="14"/>
              </w:rPr>
              <w:t>Fraud false-positive rate</w:t>
            </w:r>
          </w:p>
        </w:tc>
        <w:tc>
          <w:tcPr>
            <w:tcW w:type="dxa" w:w="2376"/>
            <w:vAlign w:val="top"/>
          </w:tcPr>
          <w:p>
            <w:r>
              <w:rPr>
                <w:sz w:val="14"/>
              </w:rPr>
              <w:t>Documented measure of fraud false-positive rate for the approved retail AI scope.</w:t>
            </w:r>
          </w:p>
        </w:tc>
        <w:tc>
          <w:tcPr>
            <w:tcW w:type="dxa" w:w="1872"/>
            <w:vAlign w:val="top"/>
          </w:tcPr>
          <w:p>
            <w:r>
              <w:rPr>
                <w:sz w:val="14"/>
              </w:rPr>
              <w:t>Security, model, fraud, customer-service, IAM, change or incident telemetry</w:t>
            </w:r>
          </w:p>
        </w:tc>
        <w:tc>
          <w:tcPr>
            <w:tcW w:type="dxa" w:w="1440"/>
            <w:vAlign w:val="top"/>
          </w:tcPr>
          <w:p>
            <w:r>
              <w:rPr>
                <w:sz w:val="14"/>
              </w:rPr>
              <w:t>Monthly for critical systems; quarterly otherwise</w:t>
            </w:r>
          </w:p>
        </w:tc>
        <w:tc>
          <w:tcPr>
            <w:tcW w:type="dxa" w:w="1872"/>
            <w:vAlign w:val="top"/>
          </w:tcPr>
          <w:p>
            <w:r>
              <w:rPr>
                <w:sz w:val="14"/>
              </w:rPr>
              <w:t>Thresholds require internal baseline; cross-retailer comparisons may be invalid.</w:t>
            </w:r>
          </w:p>
        </w:tc>
        <w:tc>
          <w:tcPr>
            <w:tcW w:type="dxa" w:w="1872"/>
            <w:vAlign w:val="top"/>
          </w:tcPr>
          <w:p>
            <w:r>
              <w:rPr>
                <w:sz w:val="14"/>
              </w:rPr>
              <w:t>Board- or executive-approved threshold for material deviation</w:t>
            </w:r>
          </w:p>
        </w:tc>
      </w:tr>
      <w:tr>
        <w:tc>
          <w:tcPr>
            <w:tcW w:type="dxa" w:w="1152"/>
            <w:vAlign w:val="top"/>
          </w:tcPr>
          <w:p>
            <w:r>
              <w:rPr>
                <w:sz w:val="14"/>
              </w:rPr>
              <w:t>RET-MET-006</w:t>
            </w:r>
          </w:p>
        </w:tc>
        <w:tc>
          <w:tcPr>
            <w:tcW w:type="dxa" w:w="1944"/>
            <w:vAlign w:val="top"/>
          </w:tcPr>
          <w:p>
            <w:r>
              <w:rPr>
                <w:sz w:val="14"/>
              </w:rPr>
              <w:t>Fraud false-negative estimate</w:t>
            </w:r>
          </w:p>
        </w:tc>
        <w:tc>
          <w:tcPr>
            <w:tcW w:type="dxa" w:w="2376"/>
            <w:vAlign w:val="top"/>
          </w:tcPr>
          <w:p>
            <w:r>
              <w:rPr>
                <w:sz w:val="14"/>
              </w:rPr>
              <w:t>Documented measure of fraud false-negative estimate for the approved retail AI scope.</w:t>
            </w:r>
          </w:p>
        </w:tc>
        <w:tc>
          <w:tcPr>
            <w:tcW w:type="dxa" w:w="1872"/>
            <w:vAlign w:val="top"/>
          </w:tcPr>
          <w:p>
            <w:r>
              <w:rPr>
                <w:sz w:val="14"/>
              </w:rPr>
              <w:t>Security, model, fraud, customer-service, IAM, change or incident telemetry</w:t>
            </w:r>
          </w:p>
        </w:tc>
        <w:tc>
          <w:tcPr>
            <w:tcW w:type="dxa" w:w="1440"/>
            <w:vAlign w:val="top"/>
          </w:tcPr>
          <w:p>
            <w:r>
              <w:rPr>
                <w:sz w:val="14"/>
              </w:rPr>
              <w:t>Monthly for critical systems; quarterly otherwise</w:t>
            </w:r>
          </w:p>
        </w:tc>
        <w:tc>
          <w:tcPr>
            <w:tcW w:type="dxa" w:w="1872"/>
            <w:vAlign w:val="top"/>
          </w:tcPr>
          <w:p>
            <w:r>
              <w:rPr>
                <w:sz w:val="14"/>
              </w:rPr>
              <w:t>Thresholds require internal baseline; cross-retailer comparisons may be invalid.</w:t>
            </w:r>
          </w:p>
        </w:tc>
        <w:tc>
          <w:tcPr>
            <w:tcW w:type="dxa" w:w="1872"/>
            <w:vAlign w:val="top"/>
          </w:tcPr>
          <w:p>
            <w:r>
              <w:rPr>
                <w:sz w:val="14"/>
              </w:rPr>
              <w:t>Board- or executive-approved threshold for material deviation</w:t>
            </w:r>
          </w:p>
        </w:tc>
      </w:tr>
      <w:tr>
        <w:tc>
          <w:tcPr>
            <w:tcW w:type="dxa" w:w="1152"/>
            <w:vAlign w:val="top"/>
          </w:tcPr>
          <w:p>
            <w:r>
              <w:rPr>
                <w:sz w:val="14"/>
              </w:rPr>
              <w:t>RET-MET-007</w:t>
            </w:r>
          </w:p>
        </w:tc>
        <w:tc>
          <w:tcPr>
            <w:tcW w:type="dxa" w:w="1944"/>
            <w:vAlign w:val="top"/>
          </w:tcPr>
          <w:p>
            <w:r>
              <w:rPr>
                <w:sz w:val="14"/>
              </w:rPr>
              <w:t>Pricing anomaly rate</w:t>
            </w:r>
          </w:p>
        </w:tc>
        <w:tc>
          <w:tcPr>
            <w:tcW w:type="dxa" w:w="2376"/>
            <w:vAlign w:val="top"/>
          </w:tcPr>
          <w:p>
            <w:r>
              <w:rPr>
                <w:sz w:val="14"/>
              </w:rPr>
              <w:t>Documented measure of pricing anomaly rate for the approved retail AI scope.</w:t>
            </w:r>
          </w:p>
        </w:tc>
        <w:tc>
          <w:tcPr>
            <w:tcW w:type="dxa" w:w="1872"/>
            <w:vAlign w:val="top"/>
          </w:tcPr>
          <w:p>
            <w:r>
              <w:rPr>
                <w:sz w:val="14"/>
              </w:rPr>
              <w:t>Security, model, fraud, customer-service, IAM, change or incident telemetry</w:t>
            </w:r>
          </w:p>
        </w:tc>
        <w:tc>
          <w:tcPr>
            <w:tcW w:type="dxa" w:w="1440"/>
            <w:vAlign w:val="top"/>
          </w:tcPr>
          <w:p>
            <w:r>
              <w:rPr>
                <w:sz w:val="14"/>
              </w:rPr>
              <w:t>Monthly for critical systems; quarterly otherwise</w:t>
            </w:r>
          </w:p>
        </w:tc>
        <w:tc>
          <w:tcPr>
            <w:tcW w:type="dxa" w:w="1872"/>
            <w:vAlign w:val="top"/>
          </w:tcPr>
          <w:p>
            <w:r>
              <w:rPr>
                <w:sz w:val="14"/>
              </w:rPr>
              <w:t>Thresholds require internal baseline; cross-retailer comparisons may be invalid.</w:t>
            </w:r>
          </w:p>
        </w:tc>
        <w:tc>
          <w:tcPr>
            <w:tcW w:type="dxa" w:w="1872"/>
            <w:vAlign w:val="top"/>
          </w:tcPr>
          <w:p>
            <w:r>
              <w:rPr>
                <w:sz w:val="14"/>
              </w:rPr>
              <w:t>Board- or executive-approved threshold for material deviation</w:t>
            </w:r>
          </w:p>
        </w:tc>
      </w:tr>
      <w:tr>
        <w:tc>
          <w:tcPr>
            <w:tcW w:type="dxa" w:w="1152"/>
            <w:vAlign w:val="top"/>
          </w:tcPr>
          <w:p>
            <w:r>
              <w:rPr>
                <w:sz w:val="14"/>
              </w:rPr>
              <w:t>RET-MET-008</w:t>
            </w:r>
          </w:p>
        </w:tc>
        <w:tc>
          <w:tcPr>
            <w:tcW w:type="dxa" w:w="1944"/>
            <w:vAlign w:val="top"/>
          </w:tcPr>
          <w:p>
            <w:r>
              <w:rPr>
                <w:sz w:val="14"/>
              </w:rPr>
              <w:t>Product-output correction rate</w:t>
            </w:r>
          </w:p>
        </w:tc>
        <w:tc>
          <w:tcPr>
            <w:tcW w:type="dxa" w:w="2376"/>
            <w:vAlign w:val="top"/>
          </w:tcPr>
          <w:p>
            <w:r>
              <w:rPr>
                <w:sz w:val="14"/>
              </w:rPr>
              <w:t>Documented measure of product-output correction rate for the approved retail AI scope.</w:t>
            </w:r>
          </w:p>
        </w:tc>
        <w:tc>
          <w:tcPr>
            <w:tcW w:type="dxa" w:w="1872"/>
            <w:vAlign w:val="top"/>
          </w:tcPr>
          <w:p>
            <w:r>
              <w:rPr>
                <w:sz w:val="14"/>
              </w:rPr>
              <w:t>Security, model, fraud, customer-service, IAM, change or incident telemetry</w:t>
            </w:r>
          </w:p>
        </w:tc>
        <w:tc>
          <w:tcPr>
            <w:tcW w:type="dxa" w:w="1440"/>
            <w:vAlign w:val="top"/>
          </w:tcPr>
          <w:p>
            <w:r>
              <w:rPr>
                <w:sz w:val="14"/>
              </w:rPr>
              <w:t>Monthly for critical systems; quarterly otherwise</w:t>
            </w:r>
          </w:p>
        </w:tc>
        <w:tc>
          <w:tcPr>
            <w:tcW w:type="dxa" w:w="1872"/>
            <w:vAlign w:val="top"/>
          </w:tcPr>
          <w:p>
            <w:r>
              <w:rPr>
                <w:sz w:val="14"/>
              </w:rPr>
              <w:t>Thresholds require internal baseline; cross-retailer comparisons may be invalid.</w:t>
            </w:r>
          </w:p>
        </w:tc>
        <w:tc>
          <w:tcPr>
            <w:tcW w:type="dxa" w:w="1872"/>
            <w:vAlign w:val="top"/>
          </w:tcPr>
          <w:p>
            <w:r>
              <w:rPr>
                <w:sz w:val="14"/>
              </w:rPr>
              <w:t>Board- or executive-approved threshold for material deviation</w:t>
            </w:r>
          </w:p>
        </w:tc>
      </w:tr>
      <w:tr>
        <w:tc>
          <w:tcPr>
            <w:tcW w:type="dxa" w:w="1152"/>
            <w:vAlign w:val="top"/>
          </w:tcPr>
          <w:p>
            <w:r>
              <w:rPr>
                <w:sz w:val="14"/>
              </w:rPr>
              <w:t>RET-MET-009</w:t>
            </w:r>
          </w:p>
        </w:tc>
        <w:tc>
          <w:tcPr>
            <w:tcW w:type="dxa" w:w="1944"/>
            <w:vAlign w:val="top"/>
          </w:tcPr>
          <w:p>
            <w:r>
              <w:rPr>
                <w:sz w:val="14"/>
              </w:rPr>
              <w:t>Recommendation complaint rate</w:t>
            </w:r>
          </w:p>
        </w:tc>
        <w:tc>
          <w:tcPr>
            <w:tcW w:type="dxa" w:w="2376"/>
            <w:vAlign w:val="top"/>
          </w:tcPr>
          <w:p>
            <w:r>
              <w:rPr>
                <w:sz w:val="14"/>
              </w:rPr>
              <w:t>Documented measure of recommendation complaint rate for the approved retail AI scope.</w:t>
            </w:r>
          </w:p>
        </w:tc>
        <w:tc>
          <w:tcPr>
            <w:tcW w:type="dxa" w:w="1872"/>
            <w:vAlign w:val="top"/>
          </w:tcPr>
          <w:p>
            <w:r>
              <w:rPr>
                <w:sz w:val="14"/>
              </w:rPr>
              <w:t>Security, model, fraud, customer-service, IAM, change or incident telemetry</w:t>
            </w:r>
          </w:p>
        </w:tc>
        <w:tc>
          <w:tcPr>
            <w:tcW w:type="dxa" w:w="1440"/>
            <w:vAlign w:val="top"/>
          </w:tcPr>
          <w:p>
            <w:r>
              <w:rPr>
                <w:sz w:val="14"/>
              </w:rPr>
              <w:t>Monthly for critical systems; quarterly otherwise</w:t>
            </w:r>
          </w:p>
        </w:tc>
        <w:tc>
          <w:tcPr>
            <w:tcW w:type="dxa" w:w="1872"/>
            <w:vAlign w:val="top"/>
          </w:tcPr>
          <w:p>
            <w:r>
              <w:rPr>
                <w:sz w:val="14"/>
              </w:rPr>
              <w:t>Thresholds require internal baseline; cross-retailer comparisons may be invalid.</w:t>
            </w:r>
          </w:p>
        </w:tc>
        <w:tc>
          <w:tcPr>
            <w:tcW w:type="dxa" w:w="1872"/>
            <w:vAlign w:val="top"/>
          </w:tcPr>
          <w:p>
            <w:r>
              <w:rPr>
                <w:sz w:val="14"/>
              </w:rPr>
              <w:t>Board- or executive-approved threshold for material deviation</w:t>
            </w:r>
          </w:p>
        </w:tc>
      </w:tr>
      <w:tr>
        <w:tc>
          <w:tcPr>
            <w:tcW w:type="dxa" w:w="1152"/>
            <w:vAlign w:val="top"/>
          </w:tcPr>
          <w:p>
            <w:r>
              <w:rPr>
                <w:sz w:val="14"/>
              </w:rPr>
              <w:t>RET-MET-010</w:t>
            </w:r>
          </w:p>
        </w:tc>
        <w:tc>
          <w:tcPr>
            <w:tcW w:type="dxa" w:w="1944"/>
            <w:vAlign w:val="top"/>
          </w:tcPr>
          <w:p>
            <w:r>
              <w:rPr>
                <w:sz w:val="14"/>
              </w:rPr>
              <w:t>Model drift alerts</w:t>
            </w:r>
          </w:p>
        </w:tc>
        <w:tc>
          <w:tcPr>
            <w:tcW w:type="dxa" w:w="2376"/>
            <w:vAlign w:val="top"/>
          </w:tcPr>
          <w:p>
            <w:r>
              <w:rPr>
                <w:sz w:val="14"/>
              </w:rPr>
              <w:t>Documented measure of model drift alerts for the approved retail AI scope.</w:t>
            </w:r>
          </w:p>
        </w:tc>
        <w:tc>
          <w:tcPr>
            <w:tcW w:type="dxa" w:w="1872"/>
            <w:vAlign w:val="top"/>
          </w:tcPr>
          <w:p>
            <w:r>
              <w:rPr>
                <w:sz w:val="14"/>
              </w:rPr>
              <w:t>Security, model, fraud, customer-service, IAM, change or incident telemetry</w:t>
            </w:r>
          </w:p>
        </w:tc>
        <w:tc>
          <w:tcPr>
            <w:tcW w:type="dxa" w:w="1440"/>
            <w:vAlign w:val="top"/>
          </w:tcPr>
          <w:p>
            <w:r>
              <w:rPr>
                <w:sz w:val="14"/>
              </w:rPr>
              <w:t>Monthly for critical systems; quarterly otherwise</w:t>
            </w:r>
          </w:p>
        </w:tc>
        <w:tc>
          <w:tcPr>
            <w:tcW w:type="dxa" w:w="1872"/>
            <w:vAlign w:val="top"/>
          </w:tcPr>
          <w:p>
            <w:r>
              <w:rPr>
                <w:sz w:val="14"/>
              </w:rPr>
              <w:t>Thresholds require internal baseline; cross-retailer comparisons may be invalid.</w:t>
            </w:r>
          </w:p>
        </w:tc>
        <w:tc>
          <w:tcPr>
            <w:tcW w:type="dxa" w:w="1872"/>
            <w:vAlign w:val="top"/>
          </w:tcPr>
          <w:p>
            <w:r>
              <w:rPr>
                <w:sz w:val="14"/>
              </w:rPr>
              <w:t>Board- or executive-approved threshold for material deviation</w:t>
            </w:r>
          </w:p>
        </w:tc>
      </w:tr>
      <w:tr>
        <w:tc>
          <w:tcPr>
            <w:tcW w:type="dxa" w:w="1152"/>
            <w:vAlign w:val="top"/>
          </w:tcPr>
          <w:p>
            <w:r>
              <w:rPr>
                <w:sz w:val="14"/>
              </w:rPr>
              <w:t>RET-MET-011</w:t>
            </w:r>
          </w:p>
        </w:tc>
        <w:tc>
          <w:tcPr>
            <w:tcW w:type="dxa" w:w="1944"/>
            <w:vAlign w:val="top"/>
          </w:tcPr>
          <w:p>
            <w:r>
              <w:rPr>
                <w:sz w:val="14"/>
              </w:rPr>
              <w:t>Third-party AI outages</w:t>
            </w:r>
          </w:p>
        </w:tc>
        <w:tc>
          <w:tcPr>
            <w:tcW w:type="dxa" w:w="2376"/>
            <w:vAlign w:val="top"/>
          </w:tcPr>
          <w:p>
            <w:r>
              <w:rPr>
                <w:sz w:val="14"/>
              </w:rPr>
              <w:t>Documented measure of third-party ai outages for the approved retail AI scope.</w:t>
            </w:r>
          </w:p>
        </w:tc>
        <w:tc>
          <w:tcPr>
            <w:tcW w:type="dxa" w:w="1872"/>
            <w:vAlign w:val="top"/>
          </w:tcPr>
          <w:p>
            <w:r>
              <w:rPr>
                <w:sz w:val="14"/>
              </w:rPr>
              <w:t>Security, model, fraud, customer-service, IAM, change or incident telemetry</w:t>
            </w:r>
          </w:p>
        </w:tc>
        <w:tc>
          <w:tcPr>
            <w:tcW w:type="dxa" w:w="1440"/>
            <w:vAlign w:val="top"/>
          </w:tcPr>
          <w:p>
            <w:r>
              <w:rPr>
                <w:sz w:val="14"/>
              </w:rPr>
              <w:t>Monthly for critical systems; quarterly otherwise</w:t>
            </w:r>
          </w:p>
        </w:tc>
        <w:tc>
          <w:tcPr>
            <w:tcW w:type="dxa" w:w="1872"/>
            <w:vAlign w:val="top"/>
          </w:tcPr>
          <w:p>
            <w:r>
              <w:rPr>
                <w:sz w:val="14"/>
              </w:rPr>
              <w:t>Thresholds require internal baseline; cross-retailer comparisons may be invalid.</w:t>
            </w:r>
          </w:p>
        </w:tc>
        <w:tc>
          <w:tcPr>
            <w:tcW w:type="dxa" w:w="1872"/>
            <w:vAlign w:val="top"/>
          </w:tcPr>
          <w:p>
            <w:r>
              <w:rPr>
                <w:sz w:val="14"/>
              </w:rPr>
              <w:t>Board- or executive-approved threshold for material deviation</w:t>
            </w:r>
          </w:p>
        </w:tc>
      </w:tr>
      <w:tr>
        <w:tc>
          <w:tcPr>
            <w:tcW w:type="dxa" w:w="1152"/>
            <w:vAlign w:val="top"/>
          </w:tcPr>
          <w:p>
            <w:r>
              <w:rPr>
                <w:sz w:val="14"/>
              </w:rPr>
              <w:t>RET-MET-012</w:t>
            </w:r>
          </w:p>
        </w:tc>
        <w:tc>
          <w:tcPr>
            <w:tcW w:type="dxa" w:w="1944"/>
            <w:vAlign w:val="top"/>
          </w:tcPr>
          <w:p>
            <w:r>
              <w:rPr>
                <w:sz w:val="14"/>
              </w:rPr>
              <w:t>Unapproved model changes</w:t>
            </w:r>
          </w:p>
        </w:tc>
        <w:tc>
          <w:tcPr>
            <w:tcW w:type="dxa" w:w="2376"/>
            <w:vAlign w:val="top"/>
          </w:tcPr>
          <w:p>
            <w:r>
              <w:rPr>
                <w:sz w:val="14"/>
              </w:rPr>
              <w:t>Documented measure of unapproved model changes for the approved retail AI scope.</w:t>
            </w:r>
          </w:p>
        </w:tc>
        <w:tc>
          <w:tcPr>
            <w:tcW w:type="dxa" w:w="1872"/>
            <w:vAlign w:val="top"/>
          </w:tcPr>
          <w:p>
            <w:r>
              <w:rPr>
                <w:sz w:val="14"/>
              </w:rPr>
              <w:t>Security, model, fraud, customer-service, IAM, change or incident telemetry</w:t>
            </w:r>
          </w:p>
        </w:tc>
        <w:tc>
          <w:tcPr>
            <w:tcW w:type="dxa" w:w="1440"/>
            <w:vAlign w:val="top"/>
          </w:tcPr>
          <w:p>
            <w:r>
              <w:rPr>
                <w:sz w:val="14"/>
              </w:rPr>
              <w:t>Monthly for critical systems; quarterly otherwise</w:t>
            </w:r>
          </w:p>
        </w:tc>
        <w:tc>
          <w:tcPr>
            <w:tcW w:type="dxa" w:w="1872"/>
            <w:vAlign w:val="top"/>
          </w:tcPr>
          <w:p>
            <w:r>
              <w:rPr>
                <w:sz w:val="14"/>
              </w:rPr>
              <w:t>Thresholds require internal baseline; cross-retailer comparisons may be invalid.</w:t>
            </w:r>
          </w:p>
        </w:tc>
        <w:tc>
          <w:tcPr>
            <w:tcW w:type="dxa" w:w="1872"/>
            <w:vAlign w:val="top"/>
          </w:tcPr>
          <w:p>
            <w:r>
              <w:rPr>
                <w:sz w:val="14"/>
              </w:rPr>
              <w:t>Board- or executive-approved threshold for material deviation</w:t>
            </w:r>
          </w:p>
        </w:tc>
      </w:tr>
      <w:tr>
        <w:tc>
          <w:tcPr>
            <w:tcW w:type="dxa" w:w="1152"/>
            <w:vAlign w:val="top"/>
          </w:tcPr>
          <w:p>
            <w:r>
              <w:rPr>
                <w:sz w:val="14"/>
              </w:rPr>
              <w:t>RET-MET-013</w:t>
            </w:r>
          </w:p>
        </w:tc>
        <w:tc>
          <w:tcPr>
            <w:tcW w:type="dxa" w:w="1944"/>
            <w:vAlign w:val="top"/>
          </w:tcPr>
          <w:p>
            <w:r>
              <w:rPr>
                <w:sz w:val="14"/>
              </w:rPr>
              <w:t>Privileged AI access events</w:t>
            </w:r>
          </w:p>
        </w:tc>
        <w:tc>
          <w:tcPr>
            <w:tcW w:type="dxa" w:w="2376"/>
            <w:vAlign w:val="top"/>
          </w:tcPr>
          <w:p>
            <w:r>
              <w:rPr>
                <w:sz w:val="14"/>
              </w:rPr>
              <w:t>Documented measure of privileged ai access events for the approved retail AI scope.</w:t>
            </w:r>
          </w:p>
        </w:tc>
        <w:tc>
          <w:tcPr>
            <w:tcW w:type="dxa" w:w="1872"/>
            <w:vAlign w:val="top"/>
          </w:tcPr>
          <w:p>
            <w:r>
              <w:rPr>
                <w:sz w:val="14"/>
              </w:rPr>
              <w:t>Security, model, fraud, customer-service, IAM, change or incident telemetry</w:t>
            </w:r>
          </w:p>
        </w:tc>
        <w:tc>
          <w:tcPr>
            <w:tcW w:type="dxa" w:w="1440"/>
            <w:vAlign w:val="top"/>
          </w:tcPr>
          <w:p>
            <w:r>
              <w:rPr>
                <w:sz w:val="14"/>
              </w:rPr>
              <w:t>Monthly for critical systems; quarterly otherwise</w:t>
            </w:r>
          </w:p>
        </w:tc>
        <w:tc>
          <w:tcPr>
            <w:tcW w:type="dxa" w:w="1872"/>
            <w:vAlign w:val="top"/>
          </w:tcPr>
          <w:p>
            <w:r>
              <w:rPr>
                <w:sz w:val="14"/>
              </w:rPr>
              <w:t>Thresholds require internal baseline; cross-retailer comparisons may be invalid.</w:t>
            </w:r>
          </w:p>
        </w:tc>
        <w:tc>
          <w:tcPr>
            <w:tcW w:type="dxa" w:w="1872"/>
            <w:vAlign w:val="top"/>
          </w:tcPr>
          <w:p>
            <w:r>
              <w:rPr>
                <w:sz w:val="14"/>
              </w:rPr>
              <w:t>Board- or executive-approved threshold for material deviation</w:t>
            </w:r>
          </w:p>
        </w:tc>
      </w:tr>
      <w:tr>
        <w:tc>
          <w:tcPr>
            <w:tcW w:type="dxa" w:w="1152"/>
            <w:vAlign w:val="top"/>
          </w:tcPr>
          <w:p>
            <w:r>
              <w:rPr>
                <w:sz w:val="14"/>
              </w:rPr>
              <w:t>RET-MET-014</w:t>
            </w:r>
          </w:p>
        </w:tc>
        <w:tc>
          <w:tcPr>
            <w:tcW w:type="dxa" w:w="1944"/>
            <w:vAlign w:val="top"/>
          </w:tcPr>
          <w:p>
            <w:r>
              <w:rPr>
                <w:sz w:val="14"/>
              </w:rPr>
              <w:t>Blocked agent actions</w:t>
            </w:r>
          </w:p>
        </w:tc>
        <w:tc>
          <w:tcPr>
            <w:tcW w:type="dxa" w:w="2376"/>
            <w:vAlign w:val="top"/>
          </w:tcPr>
          <w:p>
            <w:r>
              <w:rPr>
                <w:sz w:val="14"/>
              </w:rPr>
              <w:t>Documented measure of blocked agent actions for the approved retail AI scope.</w:t>
            </w:r>
          </w:p>
        </w:tc>
        <w:tc>
          <w:tcPr>
            <w:tcW w:type="dxa" w:w="1872"/>
            <w:vAlign w:val="top"/>
          </w:tcPr>
          <w:p>
            <w:r>
              <w:rPr>
                <w:sz w:val="14"/>
              </w:rPr>
              <w:t>Security, model, fraud, customer-service, IAM, change or incident telemetry</w:t>
            </w:r>
          </w:p>
        </w:tc>
        <w:tc>
          <w:tcPr>
            <w:tcW w:type="dxa" w:w="1440"/>
            <w:vAlign w:val="top"/>
          </w:tcPr>
          <w:p>
            <w:r>
              <w:rPr>
                <w:sz w:val="14"/>
              </w:rPr>
              <w:t>Monthly for critical systems; quarterly otherwise</w:t>
            </w:r>
          </w:p>
        </w:tc>
        <w:tc>
          <w:tcPr>
            <w:tcW w:type="dxa" w:w="1872"/>
            <w:vAlign w:val="top"/>
          </w:tcPr>
          <w:p>
            <w:r>
              <w:rPr>
                <w:sz w:val="14"/>
              </w:rPr>
              <w:t>Thresholds require internal baseline; cross-retailer comparisons may be invalid.</w:t>
            </w:r>
          </w:p>
        </w:tc>
        <w:tc>
          <w:tcPr>
            <w:tcW w:type="dxa" w:w="1872"/>
            <w:vAlign w:val="top"/>
          </w:tcPr>
          <w:p>
            <w:r>
              <w:rPr>
                <w:sz w:val="14"/>
              </w:rPr>
              <w:t>Board- or executive-approved threshold for material deviation</w:t>
            </w:r>
          </w:p>
        </w:tc>
      </w:tr>
      <w:tr>
        <w:tc>
          <w:tcPr>
            <w:tcW w:type="dxa" w:w="1152"/>
            <w:vAlign w:val="top"/>
          </w:tcPr>
          <w:p>
            <w:r>
              <w:rPr>
                <w:sz w:val="14"/>
              </w:rPr>
              <w:t>RET-MET-015</w:t>
            </w:r>
          </w:p>
        </w:tc>
        <w:tc>
          <w:tcPr>
            <w:tcW w:type="dxa" w:w="1944"/>
            <w:vAlign w:val="top"/>
          </w:tcPr>
          <w:p>
            <w:r>
              <w:rPr>
                <w:sz w:val="14"/>
              </w:rPr>
              <w:t>Biometric false-match rate</w:t>
            </w:r>
          </w:p>
        </w:tc>
        <w:tc>
          <w:tcPr>
            <w:tcW w:type="dxa" w:w="2376"/>
            <w:vAlign w:val="top"/>
          </w:tcPr>
          <w:p>
            <w:r>
              <w:rPr>
                <w:sz w:val="14"/>
              </w:rPr>
              <w:t>Documented measure of biometric false-match rate for the approved retail AI scope.</w:t>
            </w:r>
          </w:p>
        </w:tc>
        <w:tc>
          <w:tcPr>
            <w:tcW w:type="dxa" w:w="1872"/>
            <w:vAlign w:val="top"/>
          </w:tcPr>
          <w:p>
            <w:r>
              <w:rPr>
                <w:sz w:val="14"/>
              </w:rPr>
              <w:t>Security, model, fraud, customer-service, IAM, change or incident telemetry</w:t>
            </w:r>
          </w:p>
        </w:tc>
        <w:tc>
          <w:tcPr>
            <w:tcW w:type="dxa" w:w="1440"/>
            <w:vAlign w:val="top"/>
          </w:tcPr>
          <w:p>
            <w:r>
              <w:rPr>
                <w:sz w:val="14"/>
              </w:rPr>
              <w:t>Monthly for critical systems; quarterly otherwise</w:t>
            </w:r>
          </w:p>
        </w:tc>
        <w:tc>
          <w:tcPr>
            <w:tcW w:type="dxa" w:w="1872"/>
            <w:vAlign w:val="top"/>
          </w:tcPr>
          <w:p>
            <w:r>
              <w:rPr>
                <w:sz w:val="14"/>
              </w:rPr>
              <w:t>Thresholds require internal baseline; cross-retailer comparisons may be invalid.</w:t>
            </w:r>
          </w:p>
        </w:tc>
        <w:tc>
          <w:tcPr>
            <w:tcW w:type="dxa" w:w="1872"/>
            <w:vAlign w:val="top"/>
          </w:tcPr>
          <w:p>
            <w:r>
              <w:rPr>
                <w:sz w:val="14"/>
              </w:rPr>
              <w:t>Board- or executive-approved threshold for material deviation</w:t>
            </w:r>
          </w:p>
        </w:tc>
      </w:tr>
      <w:tr>
        <w:tc>
          <w:tcPr>
            <w:tcW w:type="dxa" w:w="1152"/>
            <w:vAlign w:val="top"/>
          </w:tcPr>
          <w:p>
            <w:r>
              <w:rPr>
                <w:sz w:val="14"/>
              </w:rPr>
              <w:t>RET-MET-016</w:t>
            </w:r>
          </w:p>
        </w:tc>
        <w:tc>
          <w:tcPr>
            <w:tcW w:type="dxa" w:w="1944"/>
            <w:vAlign w:val="top"/>
          </w:tcPr>
          <w:p>
            <w:r>
              <w:rPr>
                <w:sz w:val="14"/>
              </w:rPr>
              <w:t>Loss-prevention intervention precision</w:t>
            </w:r>
          </w:p>
        </w:tc>
        <w:tc>
          <w:tcPr>
            <w:tcW w:type="dxa" w:w="2376"/>
            <w:vAlign w:val="top"/>
          </w:tcPr>
          <w:p>
            <w:r>
              <w:rPr>
                <w:sz w:val="14"/>
              </w:rPr>
              <w:t>Documented measure of loss-prevention intervention precision for the approved retail AI scope.</w:t>
            </w:r>
          </w:p>
        </w:tc>
        <w:tc>
          <w:tcPr>
            <w:tcW w:type="dxa" w:w="1872"/>
            <w:vAlign w:val="top"/>
          </w:tcPr>
          <w:p>
            <w:r>
              <w:rPr>
                <w:sz w:val="14"/>
              </w:rPr>
              <w:t>Security, model, fraud, customer-service, IAM, change or incident telemetry</w:t>
            </w:r>
          </w:p>
        </w:tc>
        <w:tc>
          <w:tcPr>
            <w:tcW w:type="dxa" w:w="1440"/>
            <w:vAlign w:val="top"/>
          </w:tcPr>
          <w:p>
            <w:r>
              <w:rPr>
                <w:sz w:val="14"/>
              </w:rPr>
              <w:t>Monthly for critical systems; quarterly otherwise</w:t>
            </w:r>
          </w:p>
        </w:tc>
        <w:tc>
          <w:tcPr>
            <w:tcW w:type="dxa" w:w="1872"/>
            <w:vAlign w:val="top"/>
          </w:tcPr>
          <w:p>
            <w:r>
              <w:rPr>
                <w:sz w:val="14"/>
              </w:rPr>
              <w:t>Thresholds require internal baseline; cross-retailer comparisons may be invalid.</w:t>
            </w:r>
          </w:p>
        </w:tc>
        <w:tc>
          <w:tcPr>
            <w:tcW w:type="dxa" w:w="1872"/>
            <w:vAlign w:val="top"/>
          </w:tcPr>
          <w:p>
            <w:r>
              <w:rPr>
                <w:sz w:val="14"/>
              </w:rPr>
              <w:t>Board- or executive-approved threshold for material deviation</w:t>
            </w:r>
          </w:p>
        </w:tc>
      </w:tr>
      <w:tr>
        <w:tc>
          <w:tcPr>
            <w:tcW w:type="dxa" w:w="1152"/>
            <w:vAlign w:val="top"/>
          </w:tcPr>
          <w:p>
            <w:r>
              <w:rPr>
                <w:sz w:val="14"/>
              </w:rPr>
              <w:t>RET-MET-017</w:t>
            </w:r>
          </w:p>
        </w:tc>
        <w:tc>
          <w:tcPr>
            <w:tcW w:type="dxa" w:w="1944"/>
            <w:vAlign w:val="top"/>
          </w:tcPr>
          <w:p>
            <w:r>
              <w:rPr>
                <w:sz w:val="14"/>
              </w:rPr>
              <w:t>Rollback frequency</w:t>
            </w:r>
          </w:p>
        </w:tc>
        <w:tc>
          <w:tcPr>
            <w:tcW w:type="dxa" w:w="2376"/>
            <w:vAlign w:val="top"/>
          </w:tcPr>
          <w:p>
            <w:r>
              <w:rPr>
                <w:sz w:val="14"/>
              </w:rPr>
              <w:t>Documented measure of rollback frequency for the approved retail AI scope.</w:t>
            </w:r>
          </w:p>
        </w:tc>
        <w:tc>
          <w:tcPr>
            <w:tcW w:type="dxa" w:w="1872"/>
            <w:vAlign w:val="top"/>
          </w:tcPr>
          <w:p>
            <w:r>
              <w:rPr>
                <w:sz w:val="14"/>
              </w:rPr>
              <w:t>Security, model, fraud, customer-service, IAM, change or incident telemetry</w:t>
            </w:r>
          </w:p>
        </w:tc>
        <w:tc>
          <w:tcPr>
            <w:tcW w:type="dxa" w:w="1440"/>
            <w:vAlign w:val="top"/>
          </w:tcPr>
          <w:p>
            <w:r>
              <w:rPr>
                <w:sz w:val="14"/>
              </w:rPr>
              <w:t>Monthly for critical systems; quarterly otherwise</w:t>
            </w:r>
          </w:p>
        </w:tc>
        <w:tc>
          <w:tcPr>
            <w:tcW w:type="dxa" w:w="1872"/>
            <w:vAlign w:val="top"/>
          </w:tcPr>
          <w:p>
            <w:r>
              <w:rPr>
                <w:sz w:val="14"/>
              </w:rPr>
              <w:t>Thresholds require internal baseline; cross-retailer comparisons may be invalid.</w:t>
            </w:r>
          </w:p>
        </w:tc>
        <w:tc>
          <w:tcPr>
            <w:tcW w:type="dxa" w:w="1872"/>
            <w:vAlign w:val="top"/>
          </w:tcPr>
          <w:p>
            <w:r>
              <w:rPr>
                <w:sz w:val="14"/>
              </w:rPr>
              <w:t>Board- or executive-approved threshold for material deviation</w:t>
            </w:r>
          </w:p>
        </w:tc>
      </w:tr>
      <w:tr>
        <w:tc>
          <w:tcPr>
            <w:tcW w:type="dxa" w:w="1152"/>
            <w:vAlign w:val="top"/>
          </w:tcPr>
          <w:p>
            <w:r>
              <w:rPr>
                <w:sz w:val="14"/>
              </w:rPr>
              <w:t>RET-MET-018</w:t>
            </w:r>
          </w:p>
        </w:tc>
        <w:tc>
          <w:tcPr>
            <w:tcW w:type="dxa" w:w="1944"/>
            <w:vAlign w:val="top"/>
          </w:tcPr>
          <w:p>
            <w:r>
              <w:rPr>
                <w:sz w:val="14"/>
              </w:rPr>
              <w:t>Overdue high-risk exceptions</w:t>
            </w:r>
          </w:p>
        </w:tc>
        <w:tc>
          <w:tcPr>
            <w:tcW w:type="dxa" w:w="2376"/>
            <w:vAlign w:val="top"/>
          </w:tcPr>
          <w:p>
            <w:r>
              <w:rPr>
                <w:sz w:val="14"/>
              </w:rPr>
              <w:t>Documented measure of overdue high-risk exceptions for the approved retail AI scope.</w:t>
            </w:r>
          </w:p>
        </w:tc>
        <w:tc>
          <w:tcPr>
            <w:tcW w:type="dxa" w:w="1872"/>
            <w:vAlign w:val="top"/>
          </w:tcPr>
          <w:p>
            <w:r>
              <w:rPr>
                <w:sz w:val="14"/>
              </w:rPr>
              <w:t>Security, model, fraud, customer-service, IAM, change or incident telemetry</w:t>
            </w:r>
          </w:p>
        </w:tc>
        <w:tc>
          <w:tcPr>
            <w:tcW w:type="dxa" w:w="1440"/>
            <w:vAlign w:val="top"/>
          </w:tcPr>
          <w:p>
            <w:r>
              <w:rPr>
                <w:sz w:val="14"/>
              </w:rPr>
              <w:t>Monthly for critical systems; quarterly otherwise</w:t>
            </w:r>
          </w:p>
        </w:tc>
        <w:tc>
          <w:tcPr>
            <w:tcW w:type="dxa" w:w="1872"/>
            <w:vAlign w:val="top"/>
          </w:tcPr>
          <w:p>
            <w:r>
              <w:rPr>
                <w:sz w:val="14"/>
              </w:rPr>
              <w:t>Thresholds require internal baseline; cross-retailer comparisons may be invalid.</w:t>
            </w:r>
          </w:p>
        </w:tc>
        <w:tc>
          <w:tcPr>
            <w:tcW w:type="dxa" w:w="1872"/>
            <w:vAlign w:val="top"/>
          </w:tcPr>
          <w:p>
            <w:r>
              <w:rPr>
                <w:sz w:val="14"/>
              </w:rPr>
              <w:t>Board- or executive-approved threshold for material deviation</w:t>
            </w:r>
          </w:p>
        </w:tc>
      </w:tr>
      <w:tr>
        <w:tc>
          <w:tcPr>
            <w:tcW w:type="dxa" w:w="1152"/>
            <w:vAlign w:val="top"/>
          </w:tcPr>
          <w:p>
            <w:r>
              <w:rPr>
                <w:sz w:val="14"/>
              </w:rPr>
              <w:t>RET-MET-019</w:t>
            </w:r>
          </w:p>
        </w:tc>
        <w:tc>
          <w:tcPr>
            <w:tcW w:type="dxa" w:w="1944"/>
            <w:vAlign w:val="top"/>
          </w:tcPr>
          <w:p>
            <w:r>
              <w:rPr>
                <w:sz w:val="14"/>
              </w:rPr>
              <w:t>Mean time to detect AI incidents</w:t>
            </w:r>
          </w:p>
        </w:tc>
        <w:tc>
          <w:tcPr>
            <w:tcW w:type="dxa" w:w="2376"/>
            <w:vAlign w:val="top"/>
          </w:tcPr>
          <w:p>
            <w:r>
              <w:rPr>
                <w:sz w:val="14"/>
              </w:rPr>
              <w:t>Documented measure of mean time to detect ai incidents for the approved retail AI scope.</w:t>
            </w:r>
          </w:p>
        </w:tc>
        <w:tc>
          <w:tcPr>
            <w:tcW w:type="dxa" w:w="1872"/>
            <w:vAlign w:val="top"/>
          </w:tcPr>
          <w:p>
            <w:r>
              <w:rPr>
                <w:sz w:val="14"/>
              </w:rPr>
              <w:t>Security, model, fraud, customer-service, IAM, change or incident telemetry</w:t>
            </w:r>
          </w:p>
        </w:tc>
        <w:tc>
          <w:tcPr>
            <w:tcW w:type="dxa" w:w="1440"/>
            <w:vAlign w:val="top"/>
          </w:tcPr>
          <w:p>
            <w:r>
              <w:rPr>
                <w:sz w:val="14"/>
              </w:rPr>
              <w:t>Monthly for critical systems; quarterly otherwise</w:t>
            </w:r>
          </w:p>
        </w:tc>
        <w:tc>
          <w:tcPr>
            <w:tcW w:type="dxa" w:w="1872"/>
            <w:vAlign w:val="top"/>
          </w:tcPr>
          <w:p>
            <w:r>
              <w:rPr>
                <w:sz w:val="14"/>
              </w:rPr>
              <w:t>Thresholds require internal baseline; cross-retailer comparisons may be invalid.</w:t>
            </w:r>
          </w:p>
        </w:tc>
        <w:tc>
          <w:tcPr>
            <w:tcW w:type="dxa" w:w="1872"/>
            <w:vAlign w:val="top"/>
          </w:tcPr>
          <w:p>
            <w:r>
              <w:rPr>
                <w:sz w:val="14"/>
              </w:rPr>
              <w:t>Board- or executive-approved threshold for material deviation</w:t>
            </w:r>
          </w:p>
        </w:tc>
      </w:tr>
      <w:tr>
        <w:tc>
          <w:tcPr>
            <w:tcW w:type="dxa" w:w="1152"/>
            <w:vAlign w:val="top"/>
          </w:tcPr>
          <w:p>
            <w:r>
              <w:rPr>
                <w:sz w:val="14"/>
              </w:rPr>
              <w:t>RET-MET-020</w:t>
            </w:r>
          </w:p>
        </w:tc>
        <w:tc>
          <w:tcPr>
            <w:tcW w:type="dxa" w:w="1944"/>
            <w:vAlign w:val="top"/>
          </w:tcPr>
          <w:p>
            <w:r>
              <w:rPr>
                <w:sz w:val="14"/>
              </w:rPr>
              <w:t>Mean time to contain AI incidents</w:t>
            </w:r>
          </w:p>
        </w:tc>
        <w:tc>
          <w:tcPr>
            <w:tcW w:type="dxa" w:w="2376"/>
            <w:vAlign w:val="top"/>
          </w:tcPr>
          <w:p>
            <w:r>
              <w:rPr>
                <w:sz w:val="14"/>
              </w:rPr>
              <w:t>Documented measure of mean time to contain ai incidents for the approved retail AI scope.</w:t>
            </w:r>
          </w:p>
        </w:tc>
        <w:tc>
          <w:tcPr>
            <w:tcW w:type="dxa" w:w="1872"/>
            <w:vAlign w:val="top"/>
          </w:tcPr>
          <w:p>
            <w:r>
              <w:rPr>
                <w:sz w:val="14"/>
              </w:rPr>
              <w:t>Security, model, fraud, customer-service, IAM, change or incident telemetry</w:t>
            </w:r>
          </w:p>
        </w:tc>
        <w:tc>
          <w:tcPr>
            <w:tcW w:type="dxa" w:w="1440"/>
            <w:vAlign w:val="top"/>
          </w:tcPr>
          <w:p>
            <w:r>
              <w:rPr>
                <w:sz w:val="14"/>
              </w:rPr>
              <w:t>Monthly for critical systems; quarterly otherwise</w:t>
            </w:r>
          </w:p>
        </w:tc>
        <w:tc>
          <w:tcPr>
            <w:tcW w:type="dxa" w:w="1872"/>
            <w:vAlign w:val="top"/>
          </w:tcPr>
          <w:p>
            <w:r>
              <w:rPr>
                <w:sz w:val="14"/>
              </w:rPr>
              <w:t>Thresholds require internal baseline; cross-retailer comparisons may be invalid.</w:t>
            </w:r>
          </w:p>
        </w:tc>
        <w:tc>
          <w:tcPr>
            <w:tcW w:type="dxa" w:w="1872"/>
            <w:vAlign w:val="top"/>
          </w:tcPr>
          <w:p>
            <w:r>
              <w:rPr>
                <w:sz w:val="14"/>
              </w:rPr>
              <w:t>Board- or executive-approved threshold for material deviation</w:t>
            </w:r>
          </w:p>
        </w:tc>
      </w:tr>
    </w:tbl>
    <w:p/>
    <w:p>
      <w:pPr>
        <w:pStyle w:val="Heading1"/>
      </w:pPr>
      <w:r>
        <w:t>14. AI incident management and resilience</w:t>
      </w:r>
    </w:p>
    <w:p>
      <w:r>
        <w:t>AI incidents should be triaged by customer, worker, financial, operational, legal, privacy, safety and evidence impact. Response plans should preserve model versions, prompts, retrieved context, outputs, decisions, agent actions, access records and supplier communications. Retail fallback may include manual review, static rules, disabling personalisation, suspending biometric matching or operating warehouse systems in constrained mode.</w:t>
      </w:r>
    </w:p>
    <w:p>
      <w:pPr>
        <w:pStyle w:val="Heading1"/>
      </w:pPr>
      <w:r>
        <w:t>15. Roles and responsibilities</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rPr>
          <w:tblHeader w:val="true"/>
        </w:trPr>
        <w:tc>
          <w:tcPr>
            <w:tcW w:type="dxa" w:w="2592"/>
            <w:shd w:fill="17365D"/>
            <w:vAlign w:val="center"/>
          </w:tcPr>
          <w:p>
            <w:r>
              <w:rPr>
                <w:b/>
                <w:color w:val="FFFFFF"/>
                <w:sz w:val="16"/>
              </w:rPr>
              <w:t>Role</w:t>
            </w:r>
          </w:p>
        </w:tc>
        <w:tc>
          <w:tcPr>
            <w:tcW w:type="dxa" w:w="1584"/>
            <w:shd w:fill="17365D"/>
            <w:vAlign w:val="center"/>
          </w:tcPr>
          <w:p>
            <w:r>
              <w:rPr>
                <w:b/>
                <w:color w:val="FFFFFF"/>
                <w:sz w:val="16"/>
              </w:rPr>
              <w:t>Governance</w:t>
            </w:r>
          </w:p>
        </w:tc>
        <w:tc>
          <w:tcPr>
            <w:tcW w:type="dxa" w:w="1728"/>
            <w:shd w:fill="17365D"/>
            <w:vAlign w:val="center"/>
          </w:tcPr>
          <w:p>
            <w:r>
              <w:rPr>
                <w:b/>
                <w:color w:val="FFFFFF"/>
                <w:sz w:val="16"/>
              </w:rPr>
              <w:t>Implementation</w:t>
            </w:r>
          </w:p>
        </w:tc>
        <w:tc>
          <w:tcPr>
            <w:tcW w:type="dxa" w:w="1584"/>
            <w:shd w:fill="17365D"/>
            <w:vAlign w:val="center"/>
          </w:tcPr>
          <w:p>
            <w:r>
              <w:rPr>
                <w:b/>
                <w:color w:val="FFFFFF"/>
                <w:sz w:val="16"/>
              </w:rPr>
              <w:t>Testing</w:t>
            </w:r>
          </w:p>
        </w:tc>
        <w:tc>
          <w:tcPr>
            <w:tcW w:type="dxa" w:w="1584"/>
            <w:shd w:fill="17365D"/>
            <w:vAlign w:val="center"/>
          </w:tcPr>
          <w:p>
            <w:r>
              <w:rPr>
                <w:b/>
                <w:color w:val="FFFFFF"/>
                <w:sz w:val="16"/>
              </w:rPr>
              <w:t>Operation</w:t>
            </w:r>
          </w:p>
        </w:tc>
        <w:tc>
          <w:tcPr>
            <w:tcW w:type="dxa" w:w="1728"/>
            <w:shd w:fill="17365D"/>
            <w:vAlign w:val="center"/>
          </w:tcPr>
          <w:p>
            <w:r>
              <w:rPr>
                <w:b/>
                <w:color w:val="FFFFFF"/>
                <w:sz w:val="16"/>
              </w:rPr>
              <w:t>Assurance</w:t>
            </w:r>
          </w:p>
        </w:tc>
      </w:tr>
      <w:tr>
        <w:tc>
          <w:tcPr>
            <w:tcW w:type="dxa" w:w="2592"/>
            <w:vAlign w:val="top"/>
          </w:tcPr>
          <w:p>
            <w:r>
              <w:rPr>
                <w:sz w:val="16"/>
              </w:rPr>
              <w:t>Board/risk committee</w:t>
            </w:r>
          </w:p>
        </w:tc>
        <w:tc>
          <w:tcPr>
            <w:tcW w:type="dxa" w:w="1584"/>
            <w:vAlign w:val="top"/>
          </w:tcPr>
          <w:p>
            <w:r>
              <w:rPr>
                <w:sz w:val="16"/>
              </w:rPr>
              <w:t>A</w:t>
            </w:r>
          </w:p>
        </w:tc>
        <w:tc>
          <w:tcPr>
            <w:tcW w:type="dxa" w:w="1728"/>
            <w:vAlign w:val="top"/>
          </w:tcPr>
          <w:p>
            <w:r>
              <w:rPr>
                <w:sz w:val="16"/>
              </w:rPr>
              <w:t>I</w:t>
            </w:r>
          </w:p>
        </w:tc>
        <w:tc>
          <w:tcPr>
            <w:tcW w:type="dxa" w:w="1584"/>
            <w:vAlign w:val="top"/>
          </w:tcPr>
          <w:p>
            <w:r>
              <w:rPr>
                <w:sz w:val="16"/>
              </w:rPr>
              <w:t>I</w:t>
            </w:r>
          </w:p>
        </w:tc>
        <w:tc>
          <w:tcPr>
            <w:tcW w:type="dxa" w:w="1584"/>
            <w:vAlign w:val="top"/>
          </w:tcPr>
          <w:p>
            <w:r>
              <w:rPr>
                <w:sz w:val="16"/>
              </w:rPr>
              <w:t>I</w:t>
            </w:r>
          </w:p>
        </w:tc>
        <w:tc>
          <w:tcPr>
            <w:tcW w:type="dxa" w:w="1728"/>
            <w:vAlign w:val="top"/>
          </w:tcPr>
          <w:p>
            <w:r>
              <w:rPr>
                <w:sz w:val="16"/>
              </w:rPr>
              <w:t>I</w:t>
            </w:r>
          </w:p>
        </w:tc>
      </w:tr>
      <w:tr>
        <w:tc>
          <w:tcPr>
            <w:tcW w:type="dxa" w:w="2592"/>
            <w:vAlign w:val="top"/>
          </w:tcPr>
          <w:p>
            <w:r>
              <w:rPr>
                <w:sz w:val="16"/>
              </w:rPr>
              <w:t>Executive sponsor</w:t>
            </w:r>
          </w:p>
        </w:tc>
        <w:tc>
          <w:tcPr>
            <w:tcW w:type="dxa" w:w="1584"/>
            <w:vAlign w:val="top"/>
          </w:tcPr>
          <w:p>
            <w:r>
              <w:rPr>
                <w:sz w:val="16"/>
              </w:rPr>
              <w:t>A</w:t>
            </w:r>
          </w:p>
        </w:tc>
        <w:tc>
          <w:tcPr>
            <w:tcW w:type="dxa" w:w="1728"/>
            <w:vAlign w:val="top"/>
          </w:tcPr>
          <w:p>
            <w:r>
              <w:rPr>
                <w:sz w:val="16"/>
              </w:rPr>
              <w:t>R</w:t>
            </w:r>
          </w:p>
        </w:tc>
        <w:tc>
          <w:tcPr>
            <w:tcW w:type="dxa" w:w="1584"/>
            <w:vAlign w:val="top"/>
          </w:tcPr>
          <w:p>
            <w:r>
              <w:rPr>
                <w:sz w:val="16"/>
              </w:rPr>
              <w:t>I</w:t>
            </w:r>
          </w:p>
        </w:tc>
        <w:tc>
          <w:tcPr>
            <w:tcW w:type="dxa" w:w="1584"/>
            <w:vAlign w:val="top"/>
          </w:tcPr>
          <w:p>
            <w:r>
              <w:rPr>
                <w:sz w:val="16"/>
              </w:rPr>
              <w:t>I</w:t>
            </w:r>
          </w:p>
        </w:tc>
        <w:tc>
          <w:tcPr>
            <w:tcW w:type="dxa" w:w="1728"/>
            <w:vAlign w:val="top"/>
          </w:tcPr>
          <w:p>
            <w:r>
              <w:rPr>
                <w:sz w:val="16"/>
              </w:rPr>
              <w:t>I</w:t>
            </w:r>
          </w:p>
        </w:tc>
      </w:tr>
      <w:tr>
        <w:tc>
          <w:tcPr>
            <w:tcW w:type="dxa" w:w="2592"/>
            <w:vAlign w:val="top"/>
          </w:tcPr>
          <w:p>
            <w:r>
              <w:rPr>
                <w:sz w:val="16"/>
              </w:rPr>
              <w:t>CISO / AI Security Lead</w:t>
            </w:r>
          </w:p>
        </w:tc>
        <w:tc>
          <w:tcPr>
            <w:tcW w:type="dxa" w:w="1584"/>
            <w:vAlign w:val="top"/>
          </w:tcPr>
          <w:p>
            <w:r>
              <w:rPr>
                <w:sz w:val="16"/>
              </w:rPr>
              <w:t>C</w:t>
            </w:r>
          </w:p>
        </w:tc>
        <w:tc>
          <w:tcPr>
            <w:tcW w:type="dxa" w:w="1728"/>
            <w:vAlign w:val="top"/>
          </w:tcPr>
          <w:p>
            <w:r>
              <w:rPr>
                <w:sz w:val="16"/>
              </w:rPr>
              <w:t>R</w:t>
            </w:r>
          </w:p>
        </w:tc>
        <w:tc>
          <w:tcPr>
            <w:tcW w:type="dxa" w:w="1584"/>
            <w:vAlign w:val="top"/>
          </w:tcPr>
          <w:p>
            <w:r>
              <w:rPr>
                <w:sz w:val="16"/>
              </w:rPr>
              <w:t>R</w:t>
            </w:r>
          </w:p>
        </w:tc>
        <w:tc>
          <w:tcPr>
            <w:tcW w:type="dxa" w:w="1584"/>
            <w:vAlign w:val="top"/>
          </w:tcPr>
          <w:p>
            <w:r>
              <w:rPr>
                <w:sz w:val="16"/>
              </w:rPr>
              <w:t>R</w:t>
            </w:r>
          </w:p>
        </w:tc>
        <w:tc>
          <w:tcPr>
            <w:tcW w:type="dxa" w:w="1728"/>
            <w:vAlign w:val="top"/>
          </w:tcPr>
          <w:p>
            <w:r>
              <w:rPr>
                <w:sz w:val="16"/>
              </w:rPr>
              <w:t>C</w:t>
            </w:r>
          </w:p>
        </w:tc>
      </w:tr>
      <w:tr>
        <w:tc>
          <w:tcPr>
            <w:tcW w:type="dxa" w:w="2592"/>
            <w:vAlign w:val="top"/>
          </w:tcPr>
          <w:p>
            <w:r>
              <w:rPr>
                <w:sz w:val="16"/>
              </w:rPr>
              <w:t>AI Governance Lead</w:t>
            </w:r>
          </w:p>
        </w:tc>
        <w:tc>
          <w:tcPr>
            <w:tcW w:type="dxa" w:w="1584"/>
            <w:vAlign w:val="top"/>
          </w:tcPr>
          <w:p>
            <w:r>
              <w:rPr>
                <w:sz w:val="16"/>
              </w:rPr>
              <w:t>R</w:t>
            </w:r>
          </w:p>
        </w:tc>
        <w:tc>
          <w:tcPr>
            <w:tcW w:type="dxa" w:w="1728"/>
            <w:vAlign w:val="top"/>
          </w:tcPr>
          <w:p>
            <w:r>
              <w:rPr>
                <w:sz w:val="16"/>
              </w:rPr>
              <w:t>R</w:t>
            </w:r>
          </w:p>
        </w:tc>
        <w:tc>
          <w:tcPr>
            <w:tcW w:type="dxa" w:w="1584"/>
            <w:vAlign w:val="top"/>
          </w:tcPr>
          <w:p>
            <w:r>
              <w:rPr>
                <w:sz w:val="16"/>
              </w:rPr>
              <w:t>C</w:t>
            </w:r>
          </w:p>
        </w:tc>
        <w:tc>
          <w:tcPr>
            <w:tcW w:type="dxa" w:w="1584"/>
            <w:vAlign w:val="top"/>
          </w:tcPr>
          <w:p>
            <w:r>
              <w:rPr>
                <w:sz w:val="16"/>
              </w:rPr>
              <w:t>C</w:t>
            </w:r>
          </w:p>
        </w:tc>
        <w:tc>
          <w:tcPr>
            <w:tcW w:type="dxa" w:w="1728"/>
            <w:vAlign w:val="top"/>
          </w:tcPr>
          <w:p>
            <w:r>
              <w:rPr>
                <w:sz w:val="16"/>
              </w:rPr>
              <w:t>R</w:t>
            </w:r>
          </w:p>
        </w:tc>
      </w:tr>
      <w:tr>
        <w:tc>
          <w:tcPr>
            <w:tcW w:type="dxa" w:w="2592"/>
            <w:vAlign w:val="top"/>
          </w:tcPr>
          <w:p>
            <w:r>
              <w:rPr>
                <w:sz w:val="16"/>
              </w:rPr>
              <w:t>Privacy / Legal / Compliance</w:t>
            </w:r>
          </w:p>
        </w:tc>
        <w:tc>
          <w:tcPr>
            <w:tcW w:type="dxa" w:w="1584"/>
            <w:vAlign w:val="top"/>
          </w:tcPr>
          <w:p>
            <w:r>
              <w:rPr>
                <w:sz w:val="16"/>
              </w:rPr>
              <w:t>C</w:t>
            </w:r>
          </w:p>
        </w:tc>
        <w:tc>
          <w:tcPr>
            <w:tcW w:type="dxa" w:w="1728"/>
            <w:vAlign w:val="top"/>
          </w:tcPr>
          <w:p>
            <w:r>
              <w:rPr>
                <w:sz w:val="16"/>
              </w:rPr>
              <w:t>C</w:t>
            </w:r>
          </w:p>
        </w:tc>
        <w:tc>
          <w:tcPr>
            <w:tcW w:type="dxa" w:w="1584"/>
            <w:vAlign w:val="top"/>
          </w:tcPr>
          <w:p>
            <w:r>
              <w:rPr>
                <w:sz w:val="16"/>
              </w:rPr>
              <w:t>C</w:t>
            </w:r>
          </w:p>
        </w:tc>
        <w:tc>
          <w:tcPr>
            <w:tcW w:type="dxa" w:w="1584"/>
            <w:vAlign w:val="top"/>
          </w:tcPr>
          <w:p>
            <w:r>
              <w:rPr>
                <w:sz w:val="16"/>
              </w:rPr>
              <w:t>C</w:t>
            </w:r>
          </w:p>
        </w:tc>
        <w:tc>
          <w:tcPr>
            <w:tcW w:type="dxa" w:w="1728"/>
            <w:vAlign w:val="top"/>
          </w:tcPr>
          <w:p>
            <w:r>
              <w:rPr>
                <w:sz w:val="16"/>
              </w:rPr>
              <w:t>R</w:t>
            </w:r>
          </w:p>
        </w:tc>
      </w:tr>
      <w:tr>
        <w:tc>
          <w:tcPr>
            <w:tcW w:type="dxa" w:w="2592"/>
            <w:vAlign w:val="top"/>
          </w:tcPr>
          <w:p>
            <w:r>
              <w:rPr>
                <w:sz w:val="16"/>
              </w:rPr>
              <w:t>Retail system owner</w:t>
            </w:r>
          </w:p>
        </w:tc>
        <w:tc>
          <w:tcPr>
            <w:tcW w:type="dxa" w:w="1584"/>
            <w:vAlign w:val="top"/>
          </w:tcPr>
          <w:p>
            <w:r>
              <w:rPr>
                <w:sz w:val="16"/>
              </w:rPr>
              <w:t>I</w:t>
            </w:r>
          </w:p>
        </w:tc>
        <w:tc>
          <w:tcPr>
            <w:tcW w:type="dxa" w:w="1728"/>
            <w:vAlign w:val="top"/>
          </w:tcPr>
          <w:p>
            <w:r>
              <w:rPr>
                <w:sz w:val="16"/>
              </w:rPr>
              <w:t>R</w:t>
            </w:r>
          </w:p>
        </w:tc>
        <w:tc>
          <w:tcPr>
            <w:tcW w:type="dxa" w:w="1584"/>
            <w:vAlign w:val="top"/>
          </w:tcPr>
          <w:p>
            <w:r>
              <w:rPr>
                <w:sz w:val="16"/>
              </w:rPr>
              <w:t>R</w:t>
            </w:r>
          </w:p>
        </w:tc>
        <w:tc>
          <w:tcPr>
            <w:tcW w:type="dxa" w:w="1584"/>
            <w:vAlign w:val="top"/>
          </w:tcPr>
          <w:p>
            <w:r>
              <w:rPr>
                <w:sz w:val="16"/>
              </w:rPr>
              <w:t>R</w:t>
            </w:r>
          </w:p>
        </w:tc>
        <w:tc>
          <w:tcPr>
            <w:tcW w:type="dxa" w:w="1728"/>
            <w:vAlign w:val="top"/>
          </w:tcPr>
          <w:p>
            <w:r>
              <w:rPr>
                <w:sz w:val="16"/>
              </w:rPr>
              <w:t>R</w:t>
            </w:r>
          </w:p>
        </w:tc>
      </w:tr>
      <w:tr>
        <w:tc>
          <w:tcPr>
            <w:tcW w:type="dxa" w:w="2592"/>
            <w:vAlign w:val="top"/>
          </w:tcPr>
          <w:p>
            <w:r>
              <w:rPr>
                <w:sz w:val="16"/>
              </w:rPr>
              <w:t>Fraud / Loss Prevention</w:t>
            </w:r>
          </w:p>
        </w:tc>
        <w:tc>
          <w:tcPr>
            <w:tcW w:type="dxa" w:w="1584"/>
            <w:vAlign w:val="top"/>
          </w:tcPr>
          <w:p>
            <w:r>
              <w:rPr>
                <w:sz w:val="16"/>
              </w:rPr>
              <w:t>I</w:t>
            </w:r>
          </w:p>
        </w:tc>
        <w:tc>
          <w:tcPr>
            <w:tcW w:type="dxa" w:w="1728"/>
            <w:vAlign w:val="top"/>
          </w:tcPr>
          <w:p>
            <w:r>
              <w:rPr>
                <w:sz w:val="16"/>
              </w:rPr>
              <w:t>C</w:t>
            </w:r>
          </w:p>
        </w:tc>
        <w:tc>
          <w:tcPr>
            <w:tcW w:type="dxa" w:w="1584"/>
            <w:vAlign w:val="top"/>
          </w:tcPr>
          <w:p>
            <w:r>
              <w:rPr>
                <w:sz w:val="16"/>
              </w:rPr>
              <w:t>R</w:t>
            </w:r>
          </w:p>
        </w:tc>
        <w:tc>
          <w:tcPr>
            <w:tcW w:type="dxa" w:w="1584"/>
            <w:vAlign w:val="top"/>
          </w:tcPr>
          <w:p>
            <w:r>
              <w:rPr>
                <w:sz w:val="16"/>
              </w:rPr>
              <w:t>R</w:t>
            </w:r>
          </w:p>
        </w:tc>
        <w:tc>
          <w:tcPr>
            <w:tcW w:type="dxa" w:w="1728"/>
            <w:vAlign w:val="top"/>
          </w:tcPr>
          <w:p>
            <w:r>
              <w:rPr>
                <w:sz w:val="16"/>
              </w:rPr>
              <w:t>R</w:t>
            </w:r>
          </w:p>
        </w:tc>
      </w:tr>
      <w:tr>
        <w:tc>
          <w:tcPr>
            <w:tcW w:type="dxa" w:w="2592"/>
            <w:vAlign w:val="top"/>
          </w:tcPr>
          <w:p>
            <w:r>
              <w:rPr>
                <w:sz w:val="16"/>
              </w:rPr>
              <w:t>Procurement / Supplier Assurance</w:t>
            </w:r>
          </w:p>
        </w:tc>
        <w:tc>
          <w:tcPr>
            <w:tcW w:type="dxa" w:w="1584"/>
            <w:vAlign w:val="top"/>
          </w:tcPr>
          <w:p>
            <w:r>
              <w:rPr>
                <w:sz w:val="16"/>
              </w:rPr>
              <w:t>I</w:t>
            </w:r>
          </w:p>
        </w:tc>
        <w:tc>
          <w:tcPr>
            <w:tcW w:type="dxa" w:w="1728"/>
            <w:vAlign w:val="top"/>
          </w:tcPr>
          <w:p>
            <w:r>
              <w:rPr>
                <w:sz w:val="16"/>
              </w:rPr>
              <w:t>C</w:t>
            </w:r>
          </w:p>
        </w:tc>
        <w:tc>
          <w:tcPr>
            <w:tcW w:type="dxa" w:w="1584"/>
            <w:vAlign w:val="top"/>
          </w:tcPr>
          <w:p>
            <w:r>
              <w:rPr>
                <w:sz w:val="16"/>
              </w:rPr>
              <w:t>R</w:t>
            </w:r>
          </w:p>
        </w:tc>
        <w:tc>
          <w:tcPr>
            <w:tcW w:type="dxa" w:w="1584"/>
            <w:vAlign w:val="top"/>
          </w:tcPr>
          <w:p>
            <w:r>
              <w:rPr>
                <w:sz w:val="16"/>
              </w:rPr>
              <w:t>C</w:t>
            </w:r>
          </w:p>
        </w:tc>
        <w:tc>
          <w:tcPr>
            <w:tcW w:type="dxa" w:w="1728"/>
            <w:vAlign w:val="top"/>
          </w:tcPr>
          <w:p>
            <w:r>
              <w:rPr>
                <w:sz w:val="16"/>
              </w:rPr>
              <w:t>R</w:t>
            </w:r>
          </w:p>
        </w:tc>
      </w:tr>
      <w:tr>
        <w:tc>
          <w:tcPr>
            <w:tcW w:type="dxa" w:w="2592"/>
            <w:vAlign w:val="top"/>
          </w:tcPr>
          <w:p>
            <w:r>
              <w:rPr>
                <w:sz w:val="16"/>
              </w:rPr>
              <w:t>Internal Audit / Independent Assessor</w:t>
            </w:r>
          </w:p>
        </w:tc>
        <w:tc>
          <w:tcPr>
            <w:tcW w:type="dxa" w:w="1584"/>
            <w:vAlign w:val="top"/>
          </w:tcPr>
          <w:p>
            <w:r>
              <w:rPr>
                <w:sz w:val="16"/>
              </w:rPr>
              <w:t>I</w:t>
            </w:r>
          </w:p>
        </w:tc>
        <w:tc>
          <w:tcPr>
            <w:tcW w:type="dxa" w:w="1728"/>
            <w:vAlign w:val="top"/>
          </w:tcPr>
          <w:p>
            <w:r>
              <w:rPr>
                <w:sz w:val="16"/>
              </w:rPr>
              <w:t>C</w:t>
            </w:r>
          </w:p>
        </w:tc>
        <w:tc>
          <w:tcPr>
            <w:tcW w:type="dxa" w:w="1584"/>
            <w:vAlign w:val="top"/>
          </w:tcPr>
          <w:p>
            <w:r>
              <w:rPr>
                <w:sz w:val="16"/>
              </w:rPr>
              <w:t>C</w:t>
            </w:r>
          </w:p>
        </w:tc>
        <w:tc>
          <w:tcPr>
            <w:tcW w:type="dxa" w:w="1584"/>
            <w:vAlign w:val="top"/>
          </w:tcPr>
          <w:p>
            <w:r>
              <w:rPr>
                <w:sz w:val="16"/>
              </w:rPr>
              <w:t>C</w:t>
            </w:r>
          </w:p>
        </w:tc>
        <w:tc>
          <w:tcPr>
            <w:tcW w:type="dxa" w:w="1728"/>
            <w:vAlign w:val="top"/>
          </w:tcPr>
          <w:p>
            <w:r>
              <w:rPr>
                <w:sz w:val="16"/>
              </w:rPr>
              <w:t>R</w:t>
            </w:r>
          </w:p>
        </w:tc>
      </w:tr>
    </w:tbl>
    <w:p/>
    <w:p>
      <w:pPr>
        <w:pStyle w:val="Heading1"/>
      </w:pPr>
      <w:r>
        <w:t>16. Implementation roadmap</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2304"/>
            <w:shd w:fill="17365D"/>
            <w:vAlign w:val="center"/>
          </w:tcPr>
          <w:p>
            <w:r>
              <w:rPr>
                <w:b/>
                <w:color w:val="FFFFFF"/>
                <w:sz w:val="16"/>
              </w:rPr>
              <w:t>Phase</w:t>
            </w:r>
          </w:p>
        </w:tc>
        <w:tc>
          <w:tcPr>
            <w:tcW w:type="dxa" w:w="2016"/>
            <w:shd w:fill="17365D"/>
            <w:vAlign w:val="center"/>
          </w:tcPr>
          <w:p>
            <w:r>
              <w:rPr>
                <w:b/>
                <w:color w:val="FFFFFF"/>
                <w:sz w:val="16"/>
              </w:rPr>
              <w:t>Indicative window</w:t>
            </w:r>
          </w:p>
        </w:tc>
        <w:tc>
          <w:tcPr>
            <w:tcW w:type="dxa" w:w="6624"/>
            <w:shd w:fill="17365D"/>
            <w:vAlign w:val="center"/>
          </w:tcPr>
          <w:p>
            <w:r>
              <w:rPr>
                <w:b/>
                <w:color w:val="FFFFFF"/>
                <w:sz w:val="16"/>
              </w:rPr>
              <w:t>Outputs</w:t>
            </w:r>
          </w:p>
        </w:tc>
      </w:tr>
      <w:tr>
        <w:tc>
          <w:tcPr>
            <w:tcW w:type="dxa" w:w="2304"/>
            <w:vAlign w:val="top"/>
          </w:tcPr>
          <w:p>
            <w:r>
              <w:rPr>
                <w:sz w:val="16"/>
              </w:rPr>
              <w:t>1 - Discovery and inventory</w:t>
            </w:r>
          </w:p>
        </w:tc>
        <w:tc>
          <w:tcPr>
            <w:tcW w:type="dxa" w:w="2016"/>
            <w:vAlign w:val="top"/>
          </w:tcPr>
          <w:p>
            <w:r>
              <w:rPr>
                <w:sz w:val="16"/>
              </w:rPr>
              <w:t>Days 0-30</w:t>
            </w:r>
          </w:p>
        </w:tc>
        <w:tc>
          <w:tcPr>
            <w:tcW w:type="dxa" w:w="6624"/>
            <w:vAlign w:val="top"/>
          </w:tcPr>
          <w:p>
            <w:r>
              <w:rPr>
                <w:sz w:val="16"/>
              </w:rPr>
              <w:t>Scope, owners, inventory, suppliers, data flows and criticality.</w:t>
            </w:r>
          </w:p>
        </w:tc>
      </w:tr>
      <w:tr>
        <w:tc>
          <w:tcPr>
            <w:tcW w:type="dxa" w:w="2304"/>
            <w:vAlign w:val="top"/>
          </w:tcPr>
          <w:p>
            <w:r>
              <w:rPr>
                <w:sz w:val="16"/>
              </w:rPr>
              <w:t>2 - Risk and gap assessment</w:t>
            </w:r>
          </w:p>
        </w:tc>
        <w:tc>
          <w:tcPr>
            <w:tcW w:type="dxa" w:w="2016"/>
            <w:vAlign w:val="top"/>
          </w:tcPr>
          <w:p>
            <w:r>
              <w:rPr>
                <w:sz w:val="16"/>
              </w:rPr>
              <w:t>Days 31-60</w:t>
            </w:r>
          </w:p>
        </w:tc>
        <w:tc>
          <w:tcPr>
            <w:tcW w:type="dxa" w:w="6624"/>
            <w:vAlign w:val="top"/>
          </w:tcPr>
          <w:p>
            <w:r>
              <w:rPr>
                <w:sz w:val="16"/>
              </w:rPr>
              <w:t>Statement of Applicability, risk profiles, threat models and remediation plan.</w:t>
            </w:r>
          </w:p>
        </w:tc>
      </w:tr>
      <w:tr>
        <w:tc>
          <w:tcPr>
            <w:tcW w:type="dxa" w:w="2304"/>
            <w:vAlign w:val="top"/>
          </w:tcPr>
          <w:p>
            <w:r>
              <w:rPr>
                <w:sz w:val="16"/>
              </w:rPr>
              <w:t>3 - Control implementation</w:t>
            </w:r>
          </w:p>
        </w:tc>
        <w:tc>
          <w:tcPr>
            <w:tcW w:type="dxa" w:w="2016"/>
            <w:vAlign w:val="top"/>
          </w:tcPr>
          <w:p>
            <w:r>
              <w:rPr>
                <w:sz w:val="16"/>
              </w:rPr>
              <w:t>Days 61-120</w:t>
            </w:r>
          </w:p>
        </w:tc>
        <w:tc>
          <w:tcPr>
            <w:tcW w:type="dxa" w:w="6624"/>
            <w:vAlign w:val="top"/>
          </w:tcPr>
          <w:p>
            <w:r>
              <w:rPr>
                <w:sz w:val="16"/>
              </w:rPr>
              <w:t>Technical and procedural controls, supplier clauses, testing and monitoring.</w:t>
            </w:r>
          </w:p>
        </w:tc>
      </w:tr>
      <w:tr>
        <w:tc>
          <w:tcPr>
            <w:tcW w:type="dxa" w:w="2304"/>
            <w:vAlign w:val="top"/>
          </w:tcPr>
          <w:p>
            <w:r>
              <w:rPr>
                <w:sz w:val="16"/>
              </w:rPr>
              <w:t>4 - Assurance</w:t>
            </w:r>
          </w:p>
        </w:tc>
        <w:tc>
          <w:tcPr>
            <w:tcW w:type="dxa" w:w="2016"/>
            <w:vAlign w:val="top"/>
          </w:tcPr>
          <w:p>
            <w:r>
              <w:rPr>
                <w:sz w:val="16"/>
              </w:rPr>
              <w:t>Days 121-180</w:t>
            </w:r>
          </w:p>
        </w:tc>
        <w:tc>
          <w:tcPr>
            <w:tcW w:type="dxa" w:w="6624"/>
            <w:vAlign w:val="top"/>
          </w:tcPr>
          <w:p>
            <w:r>
              <w:rPr>
                <w:sz w:val="16"/>
              </w:rPr>
              <w:t>Evidence pack, internal assessment, issue closure and management review.</w:t>
            </w:r>
          </w:p>
        </w:tc>
      </w:tr>
      <w:tr>
        <w:tc>
          <w:tcPr>
            <w:tcW w:type="dxa" w:w="2304"/>
            <w:vAlign w:val="top"/>
          </w:tcPr>
          <w:p>
            <w:r>
              <w:rPr>
                <w:sz w:val="16"/>
              </w:rPr>
              <w:t>5 - Continuous improvement</w:t>
            </w:r>
          </w:p>
        </w:tc>
        <w:tc>
          <w:tcPr>
            <w:tcW w:type="dxa" w:w="2016"/>
            <w:vAlign w:val="top"/>
          </w:tcPr>
          <w:p>
            <w:r>
              <w:rPr>
                <w:sz w:val="16"/>
              </w:rPr>
              <w:t>Ongoing</w:t>
            </w:r>
          </w:p>
        </w:tc>
        <w:tc>
          <w:tcPr>
            <w:tcW w:type="dxa" w:w="6624"/>
            <w:vAlign w:val="top"/>
          </w:tcPr>
          <w:p>
            <w:r>
              <w:rPr>
                <w:sz w:val="16"/>
              </w:rPr>
              <w:t>Change monitoring, incidents, drift, regulatory review and reassessment.</w:t>
            </w:r>
          </w:p>
        </w:tc>
      </w:tr>
    </w:tbl>
    <w:p/>
    <w:p>
      <w:r>
        <w:t>Planning estimates are informative. Small retailers may use simpler governance and tooling, but should not omit applicable outcomes without documented rationale.</w:t>
      </w:r>
    </w:p>
    <w:p>
      <w:pPr>
        <w:pStyle w:val="Heading1"/>
      </w:pPr>
      <w:r>
        <w:t>17. Evidence catalogue</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rPr>
          <w:tblHeader w:val="true"/>
        </w:trPr>
        <w:tc>
          <w:tcPr>
            <w:tcW w:type="dxa" w:w="1152"/>
            <w:shd w:fill="17365D"/>
            <w:vAlign w:val="center"/>
          </w:tcPr>
          <w:p>
            <w:r>
              <w:rPr>
                <w:b/>
                <w:color w:val="FFFFFF"/>
                <w:sz w:val="14"/>
              </w:rPr>
              <w:t>ID</w:t>
            </w:r>
          </w:p>
        </w:tc>
        <w:tc>
          <w:tcPr>
            <w:tcW w:type="dxa" w:w="2088"/>
            <w:shd w:fill="17365D"/>
            <w:vAlign w:val="center"/>
          </w:tcPr>
          <w:p>
            <w:r>
              <w:rPr>
                <w:b/>
                <w:color w:val="FFFFFF"/>
                <w:sz w:val="14"/>
              </w:rPr>
              <w:t>Evidence</w:t>
            </w:r>
          </w:p>
        </w:tc>
        <w:tc>
          <w:tcPr>
            <w:tcW w:type="dxa" w:w="1728"/>
            <w:shd w:fill="17365D"/>
            <w:vAlign w:val="center"/>
          </w:tcPr>
          <w:p>
            <w:r>
              <w:rPr>
                <w:b/>
                <w:color w:val="FFFFFF"/>
                <w:sz w:val="14"/>
              </w:rPr>
              <w:t>Owner</w:t>
            </w:r>
          </w:p>
        </w:tc>
        <w:tc>
          <w:tcPr>
            <w:tcW w:type="dxa" w:w="3168"/>
            <w:shd w:fill="17365D"/>
            <w:vAlign w:val="center"/>
          </w:tcPr>
          <w:p>
            <w:r>
              <w:rPr>
                <w:b/>
                <w:color w:val="FFFFFF"/>
                <w:sz w:val="14"/>
              </w:rPr>
              <w:t>Minimum contents</w:t>
            </w:r>
          </w:p>
        </w:tc>
        <w:tc>
          <w:tcPr>
            <w:tcW w:type="dxa" w:w="1440"/>
            <w:shd w:fill="17365D"/>
            <w:vAlign w:val="center"/>
          </w:tcPr>
          <w:p>
            <w:r>
              <w:rPr>
                <w:b/>
                <w:color w:val="FFFFFF"/>
                <w:sz w:val="14"/>
              </w:rPr>
              <w:t>Frequency</w:t>
            </w:r>
          </w:p>
        </w:tc>
        <w:tc>
          <w:tcPr>
            <w:tcW w:type="dxa" w:w="2160"/>
            <w:shd w:fill="17365D"/>
            <w:vAlign w:val="center"/>
          </w:tcPr>
          <w:p>
            <w:r>
              <w:rPr>
                <w:b/>
                <w:color w:val="FFFFFF"/>
                <w:sz w:val="14"/>
              </w:rPr>
              <w:t>Common deficiency</w:t>
            </w:r>
          </w:p>
        </w:tc>
      </w:tr>
      <w:tr>
        <w:tc>
          <w:tcPr>
            <w:tcW w:type="dxa" w:w="1152"/>
            <w:vAlign w:val="top"/>
          </w:tcPr>
          <w:p>
            <w:r>
              <w:rPr>
                <w:sz w:val="14"/>
              </w:rPr>
              <w:t>RET-EVD-001</w:t>
            </w:r>
          </w:p>
        </w:tc>
        <w:tc>
          <w:tcPr>
            <w:tcW w:type="dxa" w:w="2088"/>
            <w:vAlign w:val="top"/>
          </w:tcPr>
          <w:p>
            <w:r>
              <w:rPr>
                <w:sz w:val="14"/>
              </w:rPr>
              <w:t>AI system inventory</w:t>
            </w:r>
          </w:p>
        </w:tc>
        <w:tc>
          <w:tcPr>
            <w:tcW w:type="dxa" w:w="1728"/>
            <w:vAlign w:val="top"/>
          </w:tcPr>
          <w:p>
            <w:r>
              <w:rPr>
                <w:sz w:val="14"/>
              </w:rPr>
              <w:t>AI Security Lead</w:t>
            </w:r>
          </w:p>
        </w:tc>
        <w:tc>
          <w:tcPr>
            <w:tcW w:type="dxa" w:w="3168"/>
            <w:vAlign w:val="top"/>
          </w:tcPr>
          <w:p>
            <w:r>
              <w:rPr>
                <w:sz w:val="14"/>
              </w:rPr>
              <w:t>Scope, owner, date, method, result, exceptions, approvals and referenced systems</w:t>
            </w:r>
          </w:p>
        </w:tc>
        <w:tc>
          <w:tcPr>
            <w:tcW w:type="dxa" w:w="1440"/>
            <w:vAlign w:val="top"/>
          </w:tcPr>
          <w:p>
            <w:r>
              <w:rPr>
                <w:sz w:val="14"/>
              </w:rPr>
              <w:t>At least annually and on material change</w:t>
            </w:r>
          </w:p>
        </w:tc>
        <w:tc>
          <w:tcPr>
            <w:tcW w:type="dxa" w:w="2160"/>
            <w:vAlign w:val="top"/>
          </w:tcPr>
          <w:p>
            <w:r>
              <w:rPr>
                <w:sz w:val="14"/>
              </w:rPr>
              <w:t>Missing scope, stale approval, unsupported assertion or absent operating evidence</w:t>
            </w:r>
          </w:p>
        </w:tc>
      </w:tr>
      <w:tr>
        <w:tc>
          <w:tcPr>
            <w:tcW w:type="dxa" w:w="1152"/>
            <w:vAlign w:val="top"/>
          </w:tcPr>
          <w:p>
            <w:r>
              <w:rPr>
                <w:sz w:val="14"/>
              </w:rPr>
              <w:t>RET-EVD-002</w:t>
            </w:r>
          </w:p>
        </w:tc>
        <w:tc>
          <w:tcPr>
            <w:tcW w:type="dxa" w:w="2088"/>
            <w:vAlign w:val="top"/>
          </w:tcPr>
          <w:p>
            <w:r>
              <w:rPr>
                <w:sz w:val="14"/>
              </w:rPr>
              <w:t>Statement of Applicability</w:t>
            </w:r>
          </w:p>
        </w:tc>
        <w:tc>
          <w:tcPr>
            <w:tcW w:type="dxa" w:w="1728"/>
            <w:vAlign w:val="top"/>
          </w:tcPr>
          <w:p>
            <w:r>
              <w:rPr>
                <w:sz w:val="14"/>
              </w:rPr>
              <w:t>Data Governance Lead</w:t>
            </w:r>
          </w:p>
        </w:tc>
        <w:tc>
          <w:tcPr>
            <w:tcW w:type="dxa" w:w="3168"/>
            <w:vAlign w:val="top"/>
          </w:tcPr>
          <w:p>
            <w:r>
              <w:rPr>
                <w:sz w:val="14"/>
              </w:rPr>
              <w:t>Scope, owner, date, method, result, exceptions, approvals and referenced systems</w:t>
            </w:r>
          </w:p>
        </w:tc>
        <w:tc>
          <w:tcPr>
            <w:tcW w:type="dxa" w:w="1440"/>
            <w:vAlign w:val="top"/>
          </w:tcPr>
          <w:p>
            <w:r>
              <w:rPr>
                <w:sz w:val="14"/>
              </w:rPr>
              <w:t>At least annually and on material change</w:t>
            </w:r>
          </w:p>
        </w:tc>
        <w:tc>
          <w:tcPr>
            <w:tcW w:type="dxa" w:w="2160"/>
            <w:vAlign w:val="top"/>
          </w:tcPr>
          <w:p>
            <w:r>
              <w:rPr>
                <w:sz w:val="14"/>
              </w:rPr>
              <w:t>Missing scope, stale approval, unsupported assertion or absent operating evidence</w:t>
            </w:r>
          </w:p>
        </w:tc>
      </w:tr>
      <w:tr>
        <w:tc>
          <w:tcPr>
            <w:tcW w:type="dxa" w:w="1152"/>
            <w:vAlign w:val="top"/>
          </w:tcPr>
          <w:p>
            <w:r>
              <w:rPr>
                <w:sz w:val="14"/>
              </w:rPr>
              <w:t>RET-EVD-003</w:t>
            </w:r>
          </w:p>
        </w:tc>
        <w:tc>
          <w:tcPr>
            <w:tcW w:type="dxa" w:w="2088"/>
            <w:vAlign w:val="top"/>
          </w:tcPr>
          <w:p>
            <w:r>
              <w:rPr>
                <w:sz w:val="14"/>
              </w:rPr>
              <w:t>Retail AI risk assessment</w:t>
            </w:r>
          </w:p>
        </w:tc>
        <w:tc>
          <w:tcPr>
            <w:tcW w:type="dxa" w:w="1728"/>
            <w:vAlign w:val="top"/>
          </w:tcPr>
          <w:p>
            <w:r>
              <w:rPr>
                <w:sz w:val="14"/>
              </w:rPr>
              <w:t>Supplier Assurance Lead</w:t>
            </w:r>
          </w:p>
        </w:tc>
        <w:tc>
          <w:tcPr>
            <w:tcW w:type="dxa" w:w="3168"/>
            <w:vAlign w:val="top"/>
          </w:tcPr>
          <w:p>
            <w:r>
              <w:rPr>
                <w:sz w:val="14"/>
              </w:rPr>
              <w:t>Scope, owner, date, method, result, exceptions, approvals and referenced systems</w:t>
            </w:r>
          </w:p>
        </w:tc>
        <w:tc>
          <w:tcPr>
            <w:tcW w:type="dxa" w:w="1440"/>
            <w:vAlign w:val="top"/>
          </w:tcPr>
          <w:p>
            <w:r>
              <w:rPr>
                <w:sz w:val="14"/>
              </w:rPr>
              <w:t>At least annually and on material change</w:t>
            </w:r>
          </w:p>
        </w:tc>
        <w:tc>
          <w:tcPr>
            <w:tcW w:type="dxa" w:w="2160"/>
            <w:vAlign w:val="top"/>
          </w:tcPr>
          <w:p>
            <w:r>
              <w:rPr>
                <w:sz w:val="14"/>
              </w:rPr>
              <w:t>Missing scope, stale approval, unsupported assertion or absent operating evidence</w:t>
            </w:r>
          </w:p>
        </w:tc>
      </w:tr>
      <w:tr>
        <w:tc>
          <w:tcPr>
            <w:tcW w:type="dxa" w:w="1152"/>
            <w:vAlign w:val="top"/>
          </w:tcPr>
          <w:p>
            <w:r>
              <w:rPr>
                <w:sz w:val="14"/>
              </w:rPr>
              <w:t>RET-EVD-004</w:t>
            </w:r>
          </w:p>
        </w:tc>
        <w:tc>
          <w:tcPr>
            <w:tcW w:type="dxa" w:w="2088"/>
            <w:vAlign w:val="top"/>
          </w:tcPr>
          <w:p>
            <w:r>
              <w:rPr>
                <w:sz w:val="14"/>
              </w:rPr>
              <w:t>Threat model</w:t>
            </w:r>
          </w:p>
        </w:tc>
        <w:tc>
          <w:tcPr>
            <w:tcW w:type="dxa" w:w="1728"/>
            <w:vAlign w:val="top"/>
          </w:tcPr>
          <w:p>
            <w:r>
              <w:rPr>
                <w:sz w:val="14"/>
              </w:rPr>
              <w:t>Retail Operations Lead</w:t>
            </w:r>
          </w:p>
        </w:tc>
        <w:tc>
          <w:tcPr>
            <w:tcW w:type="dxa" w:w="3168"/>
            <w:vAlign w:val="top"/>
          </w:tcPr>
          <w:p>
            <w:r>
              <w:rPr>
                <w:sz w:val="14"/>
              </w:rPr>
              <w:t>Scope, owner, date, method, result, exceptions, approvals and referenced systems</w:t>
            </w:r>
          </w:p>
        </w:tc>
        <w:tc>
          <w:tcPr>
            <w:tcW w:type="dxa" w:w="1440"/>
            <w:vAlign w:val="top"/>
          </w:tcPr>
          <w:p>
            <w:r>
              <w:rPr>
                <w:sz w:val="14"/>
              </w:rPr>
              <w:t>At least annually and on material change</w:t>
            </w:r>
          </w:p>
        </w:tc>
        <w:tc>
          <w:tcPr>
            <w:tcW w:type="dxa" w:w="2160"/>
            <w:vAlign w:val="top"/>
          </w:tcPr>
          <w:p>
            <w:r>
              <w:rPr>
                <w:sz w:val="14"/>
              </w:rPr>
              <w:t>Missing scope, stale approval, unsupported assertion or absent operating evidence</w:t>
            </w:r>
          </w:p>
        </w:tc>
      </w:tr>
      <w:tr>
        <w:tc>
          <w:tcPr>
            <w:tcW w:type="dxa" w:w="1152"/>
            <w:vAlign w:val="top"/>
          </w:tcPr>
          <w:p>
            <w:r>
              <w:rPr>
                <w:sz w:val="14"/>
              </w:rPr>
              <w:t>RET-EVD-005</w:t>
            </w:r>
          </w:p>
        </w:tc>
        <w:tc>
          <w:tcPr>
            <w:tcW w:type="dxa" w:w="2088"/>
            <w:vAlign w:val="top"/>
          </w:tcPr>
          <w:p>
            <w:r>
              <w:rPr>
                <w:sz w:val="14"/>
              </w:rPr>
              <w:t>Data-flow diagram</w:t>
            </w:r>
          </w:p>
        </w:tc>
        <w:tc>
          <w:tcPr>
            <w:tcW w:type="dxa" w:w="1728"/>
            <w:vAlign w:val="top"/>
          </w:tcPr>
          <w:p>
            <w:r>
              <w:rPr>
                <w:sz w:val="14"/>
              </w:rPr>
              <w:t>Privacy Lead</w:t>
            </w:r>
          </w:p>
        </w:tc>
        <w:tc>
          <w:tcPr>
            <w:tcW w:type="dxa" w:w="3168"/>
            <w:vAlign w:val="top"/>
          </w:tcPr>
          <w:p>
            <w:r>
              <w:rPr>
                <w:sz w:val="14"/>
              </w:rPr>
              <w:t>Scope, owner, date, method, result, exceptions, approvals and referenced systems</w:t>
            </w:r>
          </w:p>
        </w:tc>
        <w:tc>
          <w:tcPr>
            <w:tcW w:type="dxa" w:w="1440"/>
            <w:vAlign w:val="top"/>
          </w:tcPr>
          <w:p>
            <w:r>
              <w:rPr>
                <w:sz w:val="14"/>
              </w:rPr>
              <w:t>At least annually and on material change</w:t>
            </w:r>
          </w:p>
        </w:tc>
        <w:tc>
          <w:tcPr>
            <w:tcW w:type="dxa" w:w="2160"/>
            <w:vAlign w:val="top"/>
          </w:tcPr>
          <w:p>
            <w:r>
              <w:rPr>
                <w:sz w:val="14"/>
              </w:rPr>
              <w:t>Missing scope, stale approval, unsupported assertion or absent operating evidence</w:t>
            </w:r>
          </w:p>
        </w:tc>
      </w:tr>
      <w:tr>
        <w:tc>
          <w:tcPr>
            <w:tcW w:type="dxa" w:w="1152"/>
            <w:vAlign w:val="top"/>
          </w:tcPr>
          <w:p>
            <w:r>
              <w:rPr>
                <w:sz w:val="14"/>
              </w:rPr>
              <w:t>RET-EVD-006</w:t>
            </w:r>
          </w:p>
        </w:tc>
        <w:tc>
          <w:tcPr>
            <w:tcW w:type="dxa" w:w="2088"/>
            <w:vAlign w:val="top"/>
          </w:tcPr>
          <w:p>
            <w:r>
              <w:rPr>
                <w:sz w:val="14"/>
              </w:rPr>
              <w:t>Data provenance and lineage record</w:t>
            </w:r>
          </w:p>
        </w:tc>
        <w:tc>
          <w:tcPr>
            <w:tcW w:type="dxa" w:w="1728"/>
            <w:vAlign w:val="top"/>
          </w:tcPr>
          <w:p>
            <w:r>
              <w:rPr>
                <w:sz w:val="14"/>
              </w:rPr>
              <w:t>Fraud Lead</w:t>
            </w:r>
          </w:p>
        </w:tc>
        <w:tc>
          <w:tcPr>
            <w:tcW w:type="dxa" w:w="3168"/>
            <w:vAlign w:val="top"/>
          </w:tcPr>
          <w:p>
            <w:r>
              <w:rPr>
                <w:sz w:val="14"/>
              </w:rPr>
              <w:t>Scope, owner, date, method, result, exceptions, approvals and referenced systems</w:t>
            </w:r>
          </w:p>
        </w:tc>
        <w:tc>
          <w:tcPr>
            <w:tcW w:type="dxa" w:w="1440"/>
            <w:vAlign w:val="top"/>
          </w:tcPr>
          <w:p>
            <w:r>
              <w:rPr>
                <w:sz w:val="14"/>
              </w:rPr>
              <w:t>At least annually and on material change</w:t>
            </w:r>
          </w:p>
        </w:tc>
        <w:tc>
          <w:tcPr>
            <w:tcW w:type="dxa" w:w="2160"/>
            <w:vAlign w:val="top"/>
          </w:tcPr>
          <w:p>
            <w:r>
              <w:rPr>
                <w:sz w:val="14"/>
              </w:rPr>
              <w:t>Missing scope, stale approval, unsupported assertion or absent operating evidence</w:t>
            </w:r>
          </w:p>
        </w:tc>
      </w:tr>
      <w:tr>
        <w:tc>
          <w:tcPr>
            <w:tcW w:type="dxa" w:w="1152"/>
            <w:vAlign w:val="top"/>
          </w:tcPr>
          <w:p>
            <w:r>
              <w:rPr>
                <w:sz w:val="14"/>
              </w:rPr>
              <w:t>RET-EVD-007</w:t>
            </w:r>
          </w:p>
        </w:tc>
        <w:tc>
          <w:tcPr>
            <w:tcW w:type="dxa" w:w="2088"/>
            <w:vAlign w:val="top"/>
          </w:tcPr>
          <w:p>
            <w:r>
              <w:rPr>
                <w:sz w:val="14"/>
              </w:rPr>
              <w:t>Model or system card</w:t>
            </w:r>
          </w:p>
        </w:tc>
        <w:tc>
          <w:tcPr>
            <w:tcW w:type="dxa" w:w="1728"/>
            <w:vAlign w:val="top"/>
          </w:tcPr>
          <w:p>
            <w:r>
              <w:rPr>
                <w:sz w:val="14"/>
              </w:rPr>
              <w:t>AI Governance Lead</w:t>
            </w:r>
          </w:p>
        </w:tc>
        <w:tc>
          <w:tcPr>
            <w:tcW w:type="dxa" w:w="3168"/>
            <w:vAlign w:val="top"/>
          </w:tcPr>
          <w:p>
            <w:r>
              <w:rPr>
                <w:sz w:val="14"/>
              </w:rPr>
              <w:t>Scope, owner, date, method, result, exceptions, approvals and referenced systems</w:t>
            </w:r>
          </w:p>
        </w:tc>
        <w:tc>
          <w:tcPr>
            <w:tcW w:type="dxa" w:w="1440"/>
            <w:vAlign w:val="top"/>
          </w:tcPr>
          <w:p>
            <w:r>
              <w:rPr>
                <w:sz w:val="14"/>
              </w:rPr>
              <w:t>At least annually and on material change</w:t>
            </w:r>
          </w:p>
        </w:tc>
        <w:tc>
          <w:tcPr>
            <w:tcW w:type="dxa" w:w="2160"/>
            <w:vAlign w:val="top"/>
          </w:tcPr>
          <w:p>
            <w:r>
              <w:rPr>
                <w:sz w:val="14"/>
              </w:rPr>
              <w:t>Missing scope, stale approval, unsupported assertion or absent operating evidence</w:t>
            </w:r>
          </w:p>
        </w:tc>
      </w:tr>
      <w:tr>
        <w:tc>
          <w:tcPr>
            <w:tcW w:type="dxa" w:w="1152"/>
            <w:vAlign w:val="top"/>
          </w:tcPr>
          <w:p>
            <w:r>
              <w:rPr>
                <w:sz w:val="14"/>
              </w:rPr>
              <w:t>RET-EVD-008</w:t>
            </w:r>
          </w:p>
        </w:tc>
        <w:tc>
          <w:tcPr>
            <w:tcW w:type="dxa" w:w="2088"/>
            <w:vAlign w:val="top"/>
          </w:tcPr>
          <w:p>
            <w:r>
              <w:rPr>
                <w:sz w:val="14"/>
              </w:rPr>
              <w:t>Supplier due-diligence record</w:t>
            </w:r>
          </w:p>
        </w:tc>
        <w:tc>
          <w:tcPr>
            <w:tcW w:type="dxa" w:w="1728"/>
            <w:vAlign w:val="top"/>
          </w:tcPr>
          <w:p>
            <w:r>
              <w:rPr>
                <w:sz w:val="14"/>
              </w:rPr>
              <w:t>AI Security Lead</w:t>
            </w:r>
          </w:p>
        </w:tc>
        <w:tc>
          <w:tcPr>
            <w:tcW w:type="dxa" w:w="3168"/>
            <w:vAlign w:val="top"/>
          </w:tcPr>
          <w:p>
            <w:r>
              <w:rPr>
                <w:sz w:val="14"/>
              </w:rPr>
              <w:t>Scope, owner, date, method, result, exceptions, approvals and referenced systems</w:t>
            </w:r>
          </w:p>
        </w:tc>
        <w:tc>
          <w:tcPr>
            <w:tcW w:type="dxa" w:w="1440"/>
            <w:vAlign w:val="top"/>
          </w:tcPr>
          <w:p>
            <w:r>
              <w:rPr>
                <w:sz w:val="14"/>
              </w:rPr>
              <w:t>At least annually and on material change</w:t>
            </w:r>
          </w:p>
        </w:tc>
        <w:tc>
          <w:tcPr>
            <w:tcW w:type="dxa" w:w="2160"/>
            <w:vAlign w:val="top"/>
          </w:tcPr>
          <w:p>
            <w:r>
              <w:rPr>
                <w:sz w:val="14"/>
              </w:rPr>
              <w:t>Missing scope, stale approval, unsupported assertion or absent operating evidence</w:t>
            </w:r>
          </w:p>
        </w:tc>
      </w:tr>
      <w:tr>
        <w:tc>
          <w:tcPr>
            <w:tcW w:type="dxa" w:w="1152"/>
            <w:vAlign w:val="top"/>
          </w:tcPr>
          <w:p>
            <w:r>
              <w:rPr>
                <w:sz w:val="14"/>
              </w:rPr>
              <w:t>RET-EVD-009</w:t>
            </w:r>
          </w:p>
        </w:tc>
        <w:tc>
          <w:tcPr>
            <w:tcW w:type="dxa" w:w="2088"/>
            <w:vAlign w:val="top"/>
          </w:tcPr>
          <w:p>
            <w:r>
              <w:rPr>
                <w:sz w:val="14"/>
              </w:rPr>
              <w:t>AI bill of materials</w:t>
            </w:r>
          </w:p>
        </w:tc>
        <w:tc>
          <w:tcPr>
            <w:tcW w:type="dxa" w:w="1728"/>
            <w:vAlign w:val="top"/>
          </w:tcPr>
          <w:p>
            <w:r>
              <w:rPr>
                <w:sz w:val="14"/>
              </w:rPr>
              <w:t>Data Governance Lead</w:t>
            </w:r>
          </w:p>
        </w:tc>
        <w:tc>
          <w:tcPr>
            <w:tcW w:type="dxa" w:w="3168"/>
            <w:vAlign w:val="top"/>
          </w:tcPr>
          <w:p>
            <w:r>
              <w:rPr>
                <w:sz w:val="14"/>
              </w:rPr>
              <w:t>Scope, owner, date, method, result, exceptions, approvals and referenced systems</w:t>
            </w:r>
          </w:p>
        </w:tc>
        <w:tc>
          <w:tcPr>
            <w:tcW w:type="dxa" w:w="1440"/>
            <w:vAlign w:val="top"/>
          </w:tcPr>
          <w:p>
            <w:r>
              <w:rPr>
                <w:sz w:val="14"/>
              </w:rPr>
              <w:t>At least annually and on material change</w:t>
            </w:r>
          </w:p>
        </w:tc>
        <w:tc>
          <w:tcPr>
            <w:tcW w:type="dxa" w:w="2160"/>
            <w:vAlign w:val="top"/>
          </w:tcPr>
          <w:p>
            <w:r>
              <w:rPr>
                <w:sz w:val="14"/>
              </w:rPr>
              <w:t>Missing scope, stale approval, unsupported assertion or absent operating evidence</w:t>
            </w:r>
          </w:p>
        </w:tc>
      </w:tr>
      <w:tr>
        <w:tc>
          <w:tcPr>
            <w:tcW w:type="dxa" w:w="1152"/>
            <w:vAlign w:val="top"/>
          </w:tcPr>
          <w:p>
            <w:r>
              <w:rPr>
                <w:sz w:val="14"/>
              </w:rPr>
              <w:t>RET-EVD-010</w:t>
            </w:r>
          </w:p>
        </w:tc>
        <w:tc>
          <w:tcPr>
            <w:tcW w:type="dxa" w:w="2088"/>
            <w:vAlign w:val="top"/>
          </w:tcPr>
          <w:p>
            <w:r>
              <w:rPr>
                <w:sz w:val="14"/>
              </w:rPr>
              <w:t>Security architecture review</w:t>
            </w:r>
          </w:p>
        </w:tc>
        <w:tc>
          <w:tcPr>
            <w:tcW w:type="dxa" w:w="1728"/>
            <w:vAlign w:val="top"/>
          </w:tcPr>
          <w:p>
            <w:r>
              <w:rPr>
                <w:sz w:val="14"/>
              </w:rPr>
              <w:t>Supplier Assurance Lead</w:t>
            </w:r>
          </w:p>
        </w:tc>
        <w:tc>
          <w:tcPr>
            <w:tcW w:type="dxa" w:w="3168"/>
            <w:vAlign w:val="top"/>
          </w:tcPr>
          <w:p>
            <w:r>
              <w:rPr>
                <w:sz w:val="14"/>
              </w:rPr>
              <w:t>Scope, owner, date, method, result, exceptions, approvals and referenced systems</w:t>
            </w:r>
          </w:p>
        </w:tc>
        <w:tc>
          <w:tcPr>
            <w:tcW w:type="dxa" w:w="1440"/>
            <w:vAlign w:val="top"/>
          </w:tcPr>
          <w:p>
            <w:r>
              <w:rPr>
                <w:sz w:val="14"/>
              </w:rPr>
              <w:t>At least annually and on material change</w:t>
            </w:r>
          </w:p>
        </w:tc>
        <w:tc>
          <w:tcPr>
            <w:tcW w:type="dxa" w:w="2160"/>
            <w:vAlign w:val="top"/>
          </w:tcPr>
          <w:p>
            <w:r>
              <w:rPr>
                <w:sz w:val="14"/>
              </w:rPr>
              <w:t>Missing scope, stale approval, unsupported assertion or absent operating evidence</w:t>
            </w:r>
          </w:p>
        </w:tc>
      </w:tr>
      <w:tr>
        <w:tc>
          <w:tcPr>
            <w:tcW w:type="dxa" w:w="1152"/>
            <w:vAlign w:val="top"/>
          </w:tcPr>
          <w:p>
            <w:r>
              <w:rPr>
                <w:sz w:val="14"/>
              </w:rPr>
              <w:t>RET-EVD-011</w:t>
            </w:r>
          </w:p>
        </w:tc>
        <w:tc>
          <w:tcPr>
            <w:tcW w:type="dxa" w:w="2088"/>
            <w:vAlign w:val="top"/>
          </w:tcPr>
          <w:p>
            <w:r>
              <w:rPr>
                <w:sz w:val="14"/>
              </w:rPr>
              <w:t>Adversarial test report</w:t>
            </w:r>
          </w:p>
        </w:tc>
        <w:tc>
          <w:tcPr>
            <w:tcW w:type="dxa" w:w="1728"/>
            <w:vAlign w:val="top"/>
          </w:tcPr>
          <w:p>
            <w:r>
              <w:rPr>
                <w:sz w:val="14"/>
              </w:rPr>
              <w:t>Retail Operations Lead</w:t>
            </w:r>
          </w:p>
        </w:tc>
        <w:tc>
          <w:tcPr>
            <w:tcW w:type="dxa" w:w="3168"/>
            <w:vAlign w:val="top"/>
          </w:tcPr>
          <w:p>
            <w:r>
              <w:rPr>
                <w:sz w:val="14"/>
              </w:rPr>
              <w:t>Scope, owner, date, method, result, exceptions, approvals and referenced systems</w:t>
            </w:r>
          </w:p>
        </w:tc>
        <w:tc>
          <w:tcPr>
            <w:tcW w:type="dxa" w:w="1440"/>
            <w:vAlign w:val="top"/>
          </w:tcPr>
          <w:p>
            <w:r>
              <w:rPr>
                <w:sz w:val="14"/>
              </w:rPr>
              <w:t>At least annually and on material change</w:t>
            </w:r>
          </w:p>
        </w:tc>
        <w:tc>
          <w:tcPr>
            <w:tcW w:type="dxa" w:w="2160"/>
            <w:vAlign w:val="top"/>
          </w:tcPr>
          <w:p>
            <w:r>
              <w:rPr>
                <w:sz w:val="14"/>
              </w:rPr>
              <w:t>Missing scope, stale approval, unsupported assertion or absent operating evidence</w:t>
            </w:r>
          </w:p>
        </w:tc>
      </w:tr>
      <w:tr>
        <w:tc>
          <w:tcPr>
            <w:tcW w:type="dxa" w:w="1152"/>
            <w:vAlign w:val="top"/>
          </w:tcPr>
          <w:p>
            <w:r>
              <w:rPr>
                <w:sz w:val="14"/>
              </w:rPr>
              <w:t>RET-EVD-012</w:t>
            </w:r>
          </w:p>
        </w:tc>
        <w:tc>
          <w:tcPr>
            <w:tcW w:type="dxa" w:w="2088"/>
            <w:vAlign w:val="top"/>
          </w:tcPr>
          <w:p>
            <w:r>
              <w:rPr>
                <w:sz w:val="14"/>
              </w:rPr>
              <w:t>Fraud-resilience test report</w:t>
            </w:r>
          </w:p>
        </w:tc>
        <w:tc>
          <w:tcPr>
            <w:tcW w:type="dxa" w:w="1728"/>
            <w:vAlign w:val="top"/>
          </w:tcPr>
          <w:p>
            <w:r>
              <w:rPr>
                <w:sz w:val="14"/>
              </w:rPr>
              <w:t>Privacy Lead</w:t>
            </w:r>
          </w:p>
        </w:tc>
        <w:tc>
          <w:tcPr>
            <w:tcW w:type="dxa" w:w="3168"/>
            <w:vAlign w:val="top"/>
          </w:tcPr>
          <w:p>
            <w:r>
              <w:rPr>
                <w:sz w:val="14"/>
              </w:rPr>
              <w:t>Scope, owner, date, method, result, exceptions, approvals and referenced systems</w:t>
            </w:r>
          </w:p>
        </w:tc>
        <w:tc>
          <w:tcPr>
            <w:tcW w:type="dxa" w:w="1440"/>
            <w:vAlign w:val="top"/>
          </w:tcPr>
          <w:p>
            <w:r>
              <w:rPr>
                <w:sz w:val="14"/>
              </w:rPr>
              <w:t>At least annually and on material change</w:t>
            </w:r>
          </w:p>
        </w:tc>
        <w:tc>
          <w:tcPr>
            <w:tcW w:type="dxa" w:w="2160"/>
            <w:vAlign w:val="top"/>
          </w:tcPr>
          <w:p>
            <w:r>
              <w:rPr>
                <w:sz w:val="14"/>
              </w:rPr>
              <w:t>Missing scope, stale approval, unsupported assertion or absent operating evidence</w:t>
            </w:r>
          </w:p>
        </w:tc>
      </w:tr>
      <w:tr>
        <w:tc>
          <w:tcPr>
            <w:tcW w:type="dxa" w:w="1152"/>
            <w:vAlign w:val="top"/>
          </w:tcPr>
          <w:p>
            <w:r>
              <w:rPr>
                <w:sz w:val="14"/>
              </w:rPr>
              <w:t>RET-EVD-013</w:t>
            </w:r>
          </w:p>
        </w:tc>
        <w:tc>
          <w:tcPr>
            <w:tcW w:type="dxa" w:w="2088"/>
            <w:vAlign w:val="top"/>
          </w:tcPr>
          <w:p>
            <w:r>
              <w:rPr>
                <w:sz w:val="14"/>
              </w:rPr>
              <w:t>Privacy impact assessment</w:t>
            </w:r>
          </w:p>
        </w:tc>
        <w:tc>
          <w:tcPr>
            <w:tcW w:type="dxa" w:w="1728"/>
            <w:vAlign w:val="top"/>
          </w:tcPr>
          <w:p>
            <w:r>
              <w:rPr>
                <w:sz w:val="14"/>
              </w:rPr>
              <w:t>Fraud Lead</w:t>
            </w:r>
          </w:p>
        </w:tc>
        <w:tc>
          <w:tcPr>
            <w:tcW w:type="dxa" w:w="3168"/>
            <w:vAlign w:val="top"/>
          </w:tcPr>
          <w:p>
            <w:r>
              <w:rPr>
                <w:sz w:val="14"/>
              </w:rPr>
              <w:t>Scope, owner, date, method, result, exceptions, approvals and referenced systems</w:t>
            </w:r>
          </w:p>
        </w:tc>
        <w:tc>
          <w:tcPr>
            <w:tcW w:type="dxa" w:w="1440"/>
            <w:vAlign w:val="top"/>
          </w:tcPr>
          <w:p>
            <w:r>
              <w:rPr>
                <w:sz w:val="14"/>
              </w:rPr>
              <w:t>At least annually and on material change</w:t>
            </w:r>
          </w:p>
        </w:tc>
        <w:tc>
          <w:tcPr>
            <w:tcW w:type="dxa" w:w="2160"/>
            <w:vAlign w:val="top"/>
          </w:tcPr>
          <w:p>
            <w:r>
              <w:rPr>
                <w:sz w:val="14"/>
              </w:rPr>
              <w:t>Missing scope, stale approval, unsupported assertion or absent operating evidence</w:t>
            </w:r>
          </w:p>
        </w:tc>
      </w:tr>
      <w:tr>
        <w:tc>
          <w:tcPr>
            <w:tcW w:type="dxa" w:w="1152"/>
            <w:vAlign w:val="top"/>
          </w:tcPr>
          <w:p>
            <w:r>
              <w:rPr>
                <w:sz w:val="14"/>
              </w:rPr>
              <w:t>RET-EVD-014</w:t>
            </w:r>
          </w:p>
        </w:tc>
        <w:tc>
          <w:tcPr>
            <w:tcW w:type="dxa" w:w="2088"/>
            <w:vAlign w:val="top"/>
          </w:tcPr>
          <w:p>
            <w:r>
              <w:rPr>
                <w:sz w:val="14"/>
              </w:rPr>
              <w:t>Fairness and impact assessment</w:t>
            </w:r>
          </w:p>
        </w:tc>
        <w:tc>
          <w:tcPr>
            <w:tcW w:type="dxa" w:w="1728"/>
            <w:vAlign w:val="top"/>
          </w:tcPr>
          <w:p>
            <w:r>
              <w:rPr>
                <w:sz w:val="14"/>
              </w:rPr>
              <w:t>AI Governance Lead</w:t>
            </w:r>
          </w:p>
        </w:tc>
        <w:tc>
          <w:tcPr>
            <w:tcW w:type="dxa" w:w="3168"/>
            <w:vAlign w:val="top"/>
          </w:tcPr>
          <w:p>
            <w:r>
              <w:rPr>
                <w:sz w:val="14"/>
              </w:rPr>
              <w:t>Scope, owner, date, method, result, exceptions, approvals and referenced systems</w:t>
            </w:r>
          </w:p>
        </w:tc>
        <w:tc>
          <w:tcPr>
            <w:tcW w:type="dxa" w:w="1440"/>
            <w:vAlign w:val="top"/>
          </w:tcPr>
          <w:p>
            <w:r>
              <w:rPr>
                <w:sz w:val="14"/>
              </w:rPr>
              <w:t>At least annually and on material change</w:t>
            </w:r>
          </w:p>
        </w:tc>
        <w:tc>
          <w:tcPr>
            <w:tcW w:type="dxa" w:w="2160"/>
            <w:vAlign w:val="top"/>
          </w:tcPr>
          <w:p>
            <w:r>
              <w:rPr>
                <w:sz w:val="14"/>
              </w:rPr>
              <w:t>Missing scope, stale approval, unsupported assertion or absent operating evidence</w:t>
            </w:r>
          </w:p>
        </w:tc>
      </w:tr>
      <w:tr>
        <w:tc>
          <w:tcPr>
            <w:tcW w:type="dxa" w:w="1152"/>
            <w:vAlign w:val="top"/>
          </w:tcPr>
          <w:p>
            <w:r>
              <w:rPr>
                <w:sz w:val="14"/>
              </w:rPr>
              <w:t>RET-EVD-015</w:t>
            </w:r>
          </w:p>
        </w:tc>
        <w:tc>
          <w:tcPr>
            <w:tcW w:type="dxa" w:w="2088"/>
            <w:vAlign w:val="top"/>
          </w:tcPr>
          <w:p>
            <w:r>
              <w:rPr>
                <w:sz w:val="14"/>
              </w:rPr>
              <w:t>Human-oversight procedure</w:t>
            </w:r>
          </w:p>
        </w:tc>
        <w:tc>
          <w:tcPr>
            <w:tcW w:type="dxa" w:w="1728"/>
            <w:vAlign w:val="top"/>
          </w:tcPr>
          <w:p>
            <w:r>
              <w:rPr>
                <w:sz w:val="14"/>
              </w:rPr>
              <w:t>AI Security Lead</w:t>
            </w:r>
          </w:p>
        </w:tc>
        <w:tc>
          <w:tcPr>
            <w:tcW w:type="dxa" w:w="3168"/>
            <w:vAlign w:val="top"/>
          </w:tcPr>
          <w:p>
            <w:r>
              <w:rPr>
                <w:sz w:val="14"/>
              </w:rPr>
              <w:t>Scope, owner, date, method, result, exceptions, approvals and referenced systems</w:t>
            </w:r>
          </w:p>
        </w:tc>
        <w:tc>
          <w:tcPr>
            <w:tcW w:type="dxa" w:w="1440"/>
            <w:vAlign w:val="top"/>
          </w:tcPr>
          <w:p>
            <w:r>
              <w:rPr>
                <w:sz w:val="14"/>
              </w:rPr>
              <w:t>At least annually and on material change</w:t>
            </w:r>
          </w:p>
        </w:tc>
        <w:tc>
          <w:tcPr>
            <w:tcW w:type="dxa" w:w="2160"/>
            <w:vAlign w:val="top"/>
          </w:tcPr>
          <w:p>
            <w:r>
              <w:rPr>
                <w:sz w:val="14"/>
              </w:rPr>
              <w:t>Missing scope, stale approval, unsupported assertion or absent operating evidence</w:t>
            </w:r>
          </w:p>
        </w:tc>
      </w:tr>
      <w:tr>
        <w:tc>
          <w:tcPr>
            <w:tcW w:type="dxa" w:w="1152"/>
            <w:vAlign w:val="top"/>
          </w:tcPr>
          <w:p>
            <w:r>
              <w:rPr>
                <w:sz w:val="14"/>
              </w:rPr>
              <w:t>RET-EVD-016</w:t>
            </w:r>
          </w:p>
        </w:tc>
        <w:tc>
          <w:tcPr>
            <w:tcW w:type="dxa" w:w="2088"/>
            <w:vAlign w:val="top"/>
          </w:tcPr>
          <w:p>
            <w:r>
              <w:rPr>
                <w:sz w:val="14"/>
              </w:rPr>
              <w:t>Access-control review</w:t>
            </w:r>
          </w:p>
        </w:tc>
        <w:tc>
          <w:tcPr>
            <w:tcW w:type="dxa" w:w="1728"/>
            <w:vAlign w:val="top"/>
          </w:tcPr>
          <w:p>
            <w:r>
              <w:rPr>
                <w:sz w:val="14"/>
              </w:rPr>
              <w:t>Data Governance Lead</w:t>
            </w:r>
          </w:p>
        </w:tc>
        <w:tc>
          <w:tcPr>
            <w:tcW w:type="dxa" w:w="3168"/>
            <w:vAlign w:val="top"/>
          </w:tcPr>
          <w:p>
            <w:r>
              <w:rPr>
                <w:sz w:val="14"/>
              </w:rPr>
              <w:t>Scope, owner, date, method, result, exceptions, approvals and referenced systems</w:t>
            </w:r>
          </w:p>
        </w:tc>
        <w:tc>
          <w:tcPr>
            <w:tcW w:type="dxa" w:w="1440"/>
            <w:vAlign w:val="top"/>
          </w:tcPr>
          <w:p>
            <w:r>
              <w:rPr>
                <w:sz w:val="14"/>
              </w:rPr>
              <w:t>At least annually and on material change</w:t>
            </w:r>
          </w:p>
        </w:tc>
        <w:tc>
          <w:tcPr>
            <w:tcW w:type="dxa" w:w="2160"/>
            <w:vAlign w:val="top"/>
          </w:tcPr>
          <w:p>
            <w:r>
              <w:rPr>
                <w:sz w:val="14"/>
              </w:rPr>
              <w:t>Missing scope, stale approval, unsupported assertion or absent operating evidence</w:t>
            </w:r>
          </w:p>
        </w:tc>
      </w:tr>
      <w:tr>
        <w:tc>
          <w:tcPr>
            <w:tcW w:type="dxa" w:w="1152"/>
            <w:vAlign w:val="top"/>
          </w:tcPr>
          <w:p>
            <w:r>
              <w:rPr>
                <w:sz w:val="14"/>
              </w:rPr>
              <w:t>RET-EVD-017</w:t>
            </w:r>
          </w:p>
        </w:tc>
        <w:tc>
          <w:tcPr>
            <w:tcW w:type="dxa" w:w="2088"/>
            <w:vAlign w:val="top"/>
          </w:tcPr>
          <w:p>
            <w:r>
              <w:rPr>
                <w:sz w:val="14"/>
              </w:rPr>
              <w:t>Change and release approval</w:t>
            </w:r>
          </w:p>
        </w:tc>
        <w:tc>
          <w:tcPr>
            <w:tcW w:type="dxa" w:w="1728"/>
            <w:vAlign w:val="top"/>
          </w:tcPr>
          <w:p>
            <w:r>
              <w:rPr>
                <w:sz w:val="14"/>
              </w:rPr>
              <w:t>Supplier Assurance Lead</w:t>
            </w:r>
          </w:p>
        </w:tc>
        <w:tc>
          <w:tcPr>
            <w:tcW w:type="dxa" w:w="3168"/>
            <w:vAlign w:val="top"/>
          </w:tcPr>
          <w:p>
            <w:r>
              <w:rPr>
                <w:sz w:val="14"/>
              </w:rPr>
              <w:t>Scope, owner, date, method, result, exceptions, approvals and referenced systems</w:t>
            </w:r>
          </w:p>
        </w:tc>
        <w:tc>
          <w:tcPr>
            <w:tcW w:type="dxa" w:w="1440"/>
            <w:vAlign w:val="top"/>
          </w:tcPr>
          <w:p>
            <w:r>
              <w:rPr>
                <w:sz w:val="14"/>
              </w:rPr>
              <w:t>At least annually and on material change</w:t>
            </w:r>
          </w:p>
        </w:tc>
        <w:tc>
          <w:tcPr>
            <w:tcW w:type="dxa" w:w="2160"/>
            <w:vAlign w:val="top"/>
          </w:tcPr>
          <w:p>
            <w:r>
              <w:rPr>
                <w:sz w:val="14"/>
              </w:rPr>
              <w:t>Missing scope, stale approval, unsupported assertion or absent operating evidence</w:t>
            </w:r>
          </w:p>
        </w:tc>
      </w:tr>
      <w:tr>
        <w:tc>
          <w:tcPr>
            <w:tcW w:type="dxa" w:w="1152"/>
            <w:vAlign w:val="top"/>
          </w:tcPr>
          <w:p>
            <w:r>
              <w:rPr>
                <w:sz w:val="14"/>
              </w:rPr>
              <w:t>RET-EVD-018</w:t>
            </w:r>
          </w:p>
        </w:tc>
        <w:tc>
          <w:tcPr>
            <w:tcW w:type="dxa" w:w="2088"/>
            <w:vAlign w:val="top"/>
          </w:tcPr>
          <w:p>
            <w:r>
              <w:rPr>
                <w:sz w:val="14"/>
              </w:rPr>
              <w:t>Model monitoring report</w:t>
            </w:r>
          </w:p>
        </w:tc>
        <w:tc>
          <w:tcPr>
            <w:tcW w:type="dxa" w:w="1728"/>
            <w:vAlign w:val="top"/>
          </w:tcPr>
          <w:p>
            <w:r>
              <w:rPr>
                <w:sz w:val="14"/>
              </w:rPr>
              <w:t>Retail Operations Lead</w:t>
            </w:r>
          </w:p>
        </w:tc>
        <w:tc>
          <w:tcPr>
            <w:tcW w:type="dxa" w:w="3168"/>
            <w:vAlign w:val="top"/>
          </w:tcPr>
          <w:p>
            <w:r>
              <w:rPr>
                <w:sz w:val="14"/>
              </w:rPr>
              <w:t>Scope, owner, date, method, result, exceptions, approvals and referenced systems</w:t>
            </w:r>
          </w:p>
        </w:tc>
        <w:tc>
          <w:tcPr>
            <w:tcW w:type="dxa" w:w="1440"/>
            <w:vAlign w:val="top"/>
          </w:tcPr>
          <w:p>
            <w:r>
              <w:rPr>
                <w:sz w:val="14"/>
              </w:rPr>
              <w:t>At least annually and on material change</w:t>
            </w:r>
          </w:p>
        </w:tc>
        <w:tc>
          <w:tcPr>
            <w:tcW w:type="dxa" w:w="2160"/>
            <w:vAlign w:val="top"/>
          </w:tcPr>
          <w:p>
            <w:r>
              <w:rPr>
                <w:sz w:val="14"/>
              </w:rPr>
              <w:t>Missing scope, stale approval, unsupported assertion or absent operating evidence</w:t>
            </w:r>
          </w:p>
        </w:tc>
      </w:tr>
      <w:tr>
        <w:tc>
          <w:tcPr>
            <w:tcW w:type="dxa" w:w="1152"/>
            <w:vAlign w:val="top"/>
          </w:tcPr>
          <w:p>
            <w:r>
              <w:rPr>
                <w:sz w:val="14"/>
              </w:rPr>
              <w:t>RET-EVD-019</w:t>
            </w:r>
          </w:p>
        </w:tc>
        <w:tc>
          <w:tcPr>
            <w:tcW w:type="dxa" w:w="2088"/>
            <w:vAlign w:val="top"/>
          </w:tcPr>
          <w:p>
            <w:r>
              <w:rPr>
                <w:sz w:val="14"/>
              </w:rPr>
              <w:t>Incident record</w:t>
            </w:r>
          </w:p>
        </w:tc>
        <w:tc>
          <w:tcPr>
            <w:tcW w:type="dxa" w:w="1728"/>
            <w:vAlign w:val="top"/>
          </w:tcPr>
          <w:p>
            <w:r>
              <w:rPr>
                <w:sz w:val="14"/>
              </w:rPr>
              <w:t>Privacy Lead</w:t>
            </w:r>
          </w:p>
        </w:tc>
        <w:tc>
          <w:tcPr>
            <w:tcW w:type="dxa" w:w="3168"/>
            <w:vAlign w:val="top"/>
          </w:tcPr>
          <w:p>
            <w:r>
              <w:rPr>
                <w:sz w:val="14"/>
              </w:rPr>
              <w:t>Scope, owner, date, method, result, exceptions, approvals and referenced systems</w:t>
            </w:r>
          </w:p>
        </w:tc>
        <w:tc>
          <w:tcPr>
            <w:tcW w:type="dxa" w:w="1440"/>
            <w:vAlign w:val="top"/>
          </w:tcPr>
          <w:p>
            <w:r>
              <w:rPr>
                <w:sz w:val="14"/>
              </w:rPr>
              <w:t>At least annually and on material change</w:t>
            </w:r>
          </w:p>
        </w:tc>
        <w:tc>
          <w:tcPr>
            <w:tcW w:type="dxa" w:w="2160"/>
            <w:vAlign w:val="top"/>
          </w:tcPr>
          <w:p>
            <w:r>
              <w:rPr>
                <w:sz w:val="14"/>
              </w:rPr>
              <w:t>Missing scope, stale approval, unsupported assertion or absent operating evidence</w:t>
            </w:r>
          </w:p>
        </w:tc>
      </w:tr>
      <w:tr>
        <w:tc>
          <w:tcPr>
            <w:tcW w:type="dxa" w:w="1152"/>
            <w:vAlign w:val="top"/>
          </w:tcPr>
          <w:p>
            <w:r>
              <w:rPr>
                <w:sz w:val="14"/>
              </w:rPr>
              <w:t>RET-EVD-020</w:t>
            </w:r>
          </w:p>
        </w:tc>
        <w:tc>
          <w:tcPr>
            <w:tcW w:type="dxa" w:w="2088"/>
            <w:vAlign w:val="top"/>
          </w:tcPr>
          <w:p>
            <w:r>
              <w:rPr>
                <w:sz w:val="14"/>
              </w:rPr>
              <w:t>Business continuity and fallback test</w:t>
            </w:r>
          </w:p>
        </w:tc>
        <w:tc>
          <w:tcPr>
            <w:tcW w:type="dxa" w:w="1728"/>
            <w:vAlign w:val="top"/>
          </w:tcPr>
          <w:p>
            <w:r>
              <w:rPr>
                <w:sz w:val="14"/>
              </w:rPr>
              <w:t>Fraud Lead</w:t>
            </w:r>
          </w:p>
        </w:tc>
        <w:tc>
          <w:tcPr>
            <w:tcW w:type="dxa" w:w="3168"/>
            <w:vAlign w:val="top"/>
          </w:tcPr>
          <w:p>
            <w:r>
              <w:rPr>
                <w:sz w:val="14"/>
              </w:rPr>
              <w:t>Scope, owner, date, method, result, exceptions, approvals and referenced systems</w:t>
            </w:r>
          </w:p>
        </w:tc>
        <w:tc>
          <w:tcPr>
            <w:tcW w:type="dxa" w:w="1440"/>
            <w:vAlign w:val="top"/>
          </w:tcPr>
          <w:p>
            <w:r>
              <w:rPr>
                <w:sz w:val="14"/>
              </w:rPr>
              <w:t>At least annually and on material change</w:t>
            </w:r>
          </w:p>
        </w:tc>
        <w:tc>
          <w:tcPr>
            <w:tcW w:type="dxa" w:w="2160"/>
            <w:vAlign w:val="top"/>
          </w:tcPr>
          <w:p>
            <w:r>
              <w:rPr>
                <w:sz w:val="14"/>
              </w:rPr>
              <w:t>Missing scope, stale approval, unsupported assertion or absent operating evidence</w:t>
            </w:r>
          </w:p>
        </w:tc>
      </w:tr>
      <w:tr>
        <w:tc>
          <w:tcPr>
            <w:tcW w:type="dxa" w:w="1152"/>
            <w:vAlign w:val="top"/>
          </w:tcPr>
          <w:p>
            <w:r>
              <w:rPr>
                <w:sz w:val="14"/>
              </w:rPr>
              <w:t>RET-EVD-021</w:t>
            </w:r>
          </w:p>
        </w:tc>
        <w:tc>
          <w:tcPr>
            <w:tcW w:type="dxa" w:w="2088"/>
            <w:vAlign w:val="top"/>
          </w:tcPr>
          <w:p>
            <w:r>
              <w:rPr>
                <w:sz w:val="14"/>
              </w:rPr>
              <w:t>Customer disclosure and escalation record</w:t>
            </w:r>
          </w:p>
        </w:tc>
        <w:tc>
          <w:tcPr>
            <w:tcW w:type="dxa" w:w="1728"/>
            <w:vAlign w:val="top"/>
          </w:tcPr>
          <w:p>
            <w:r>
              <w:rPr>
                <w:sz w:val="14"/>
              </w:rPr>
              <w:t>AI Governance Lead</w:t>
            </w:r>
          </w:p>
        </w:tc>
        <w:tc>
          <w:tcPr>
            <w:tcW w:type="dxa" w:w="3168"/>
            <w:vAlign w:val="top"/>
          </w:tcPr>
          <w:p>
            <w:r>
              <w:rPr>
                <w:sz w:val="14"/>
              </w:rPr>
              <w:t>Scope, owner, date, method, result, exceptions, approvals and referenced systems</w:t>
            </w:r>
          </w:p>
        </w:tc>
        <w:tc>
          <w:tcPr>
            <w:tcW w:type="dxa" w:w="1440"/>
            <w:vAlign w:val="top"/>
          </w:tcPr>
          <w:p>
            <w:r>
              <w:rPr>
                <w:sz w:val="14"/>
              </w:rPr>
              <w:t>At least annually and on material change</w:t>
            </w:r>
          </w:p>
        </w:tc>
        <w:tc>
          <w:tcPr>
            <w:tcW w:type="dxa" w:w="2160"/>
            <w:vAlign w:val="top"/>
          </w:tcPr>
          <w:p>
            <w:r>
              <w:rPr>
                <w:sz w:val="14"/>
              </w:rPr>
              <w:t>Missing scope, stale approval, unsupported assertion or absent operating evidence</w:t>
            </w:r>
          </w:p>
        </w:tc>
      </w:tr>
      <w:tr>
        <w:tc>
          <w:tcPr>
            <w:tcW w:type="dxa" w:w="1152"/>
            <w:vAlign w:val="top"/>
          </w:tcPr>
          <w:p>
            <w:r>
              <w:rPr>
                <w:sz w:val="14"/>
              </w:rPr>
              <w:t>RET-EVD-022</w:t>
            </w:r>
          </w:p>
        </w:tc>
        <w:tc>
          <w:tcPr>
            <w:tcW w:type="dxa" w:w="2088"/>
            <w:vAlign w:val="top"/>
          </w:tcPr>
          <w:p>
            <w:r>
              <w:rPr>
                <w:sz w:val="14"/>
              </w:rPr>
              <w:t>Biometric or computer-vision approval record</w:t>
            </w:r>
          </w:p>
        </w:tc>
        <w:tc>
          <w:tcPr>
            <w:tcW w:type="dxa" w:w="1728"/>
            <w:vAlign w:val="top"/>
          </w:tcPr>
          <w:p>
            <w:r>
              <w:rPr>
                <w:sz w:val="14"/>
              </w:rPr>
              <w:t>AI Security Lead</w:t>
            </w:r>
          </w:p>
        </w:tc>
        <w:tc>
          <w:tcPr>
            <w:tcW w:type="dxa" w:w="3168"/>
            <w:vAlign w:val="top"/>
          </w:tcPr>
          <w:p>
            <w:r>
              <w:rPr>
                <w:sz w:val="14"/>
              </w:rPr>
              <w:t>Scope, owner, date, method, result, exceptions, approvals and referenced systems</w:t>
            </w:r>
          </w:p>
        </w:tc>
        <w:tc>
          <w:tcPr>
            <w:tcW w:type="dxa" w:w="1440"/>
            <w:vAlign w:val="top"/>
          </w:tcPr>
          <w:p>
            <w:r>
              <w:rPr>
                <w:sz w:val="14"/>
              </w:rPr>
              <w:t>At least annually and on material change</w:t>
            </w:r>
          </w:p>
        </w:tc>
        <w:tc>
          <w:tcPr>
            <w:tcW w:type="dxa" w:w="2160"/>
            <w:vAlign w:val="top"/>
          </w:tcPr>
          <w:p>
            <w:r>
              <w:rPr>
                <w:sz w:val="14"/>
              </w:rPr>
              <w:t>Missing scope, stale approval, unsupported assertion or absent operating evidence</w:t>
            </w:r>
          </w:p>
        </w:tc>
      </w:tr>
      <w:tr>
        <w:tc>
          <w:tcPr>
            <w:tcW w:type="dxa" w:w="1152"/>
            <w:vAlign w:val="top"/>
          </w:tcPr>
          <w:p>
            <w:r>
              <w:rPr>
                <w:sz w:val="14"/>
              </w:rPr>
              <w:t>RET-EVD-023</w:t>
            </w:r>
          </w:p>
        </w:tc>
        <w:tc>
          <w:tcPr>
            <w:tcW w:type="dxa" w:w="2088"/>
            <w:vAlign w:val="top"/>
          </w:tcPr>
          <w:p>
            <w:r>
              <w:rPr>
                <w:sz w:val="14"/>
              </w:rPr>
              <w:t>Training and competency record</w:t>
            </w:r>
          </w:p>
        </w:tc>
        <w:tc>
          <w:tcPr>
            <w:tcW w:type="dxa" w:w="1728"/>
            <w:vAlign w:val="top"/>
          </w:tcPr>
          <w:p>
            <w:r>
              <w:rPr>
                <w:sz w:val="14"/>
              </w:rPr>
              <w:t>Data Governance Lead</w:t>
            </w:r>
          </w:p>
        </w:tc>
        <w:tc>
          <w:tcPr>
            <w:tcW w:type="dxa" w:w="3168"/>
            <w:vAlign w:val="top"/>
          </w:tcPr>
          <w:p>
            <w:r>
              <w:rPr>
                <w:sz w:val="14"/>
              </w:rPr>
              <w:t>Scope, owner, date, method, result, exceptions, approvals and referenced systems</w:t>
            </w:r>
          </w:p>
        </w:tc>
        <w:tc>
          <w:tcPr>
            <w:tcW w:type="dxa" w:w="1440"/>
            <w:vAlign w:val="top"/>
          </w:tcPr>
          <w:p>
            <w:r>
              <w:rPr>
                <w:sz w:val="14"/>
              </w:rPr>
              <w:t>At least annually and on material change</w:t>
            </w:r>
          </w:p>
        </w:tc>
        <w:tc>
          <w:tcPr>
            <w:tcW w:type="dxa" w:w="2160"/>
            <w:vAlign w:val="top"/>
          </w:tcPr>
          <w:p>
            <w:r>
              <w:rPr>
                <w:sz w:val="14"/>
              </w:rPr>
              <w:t>Missing scope, stale approval, unsupported assertion or absent operating evidence</w:t>
            </w:r>
          </w:p>
        </w:tc>
      </w:tr>
      <w:tr>
        <w:tc>
          <w:tcPr>
            <w:tcW w:type="dxa" w:w="1152"/>
            <w:vAlign w:val="top"/>
          </w:tcPr>
          <w:p>
            <w:r>
              <w:rPr>
                <w:sz w:val="14"/>
              </w:rPr>
              <w:t>RET-EVD-024</w:t>
            </w:r>
          </w:p>
        </w:tc>
        <w:tc>
          <w:tcPr>
            <w:tcW w:type="dxa" w:w="2088"/>
            <w:vAlign w:val="top"/>
          </w:tcPr>
          <w:p>
            <w:r>
              <w:rPr>
                <w:sz w:val="14"/>
              </w:rPr>
              <w:t>Exception register</w:t>
            </w:r>
          </w:p>
        </w:tc>
        <w:tc>
          <w:tcPr>
            <w:tcW w:type="dxa" w:w="1728"/>
            <w:vAlign w:val="top"/>
          </w:tcPr>
          <w:p>
            <w:r>
              <w:rPr>
                <w:sz w:val="14"/>
              </w:rPr>
              <w:t>Supplier Assurance Lead</w:t>
            </w:r>
          </w:p>
        </w:tc>
        <w:tc>
          <w:tcPr>
            <w:tcW w:type="dxa" w:w="3168"/>
            <w:vAlign w:val="top"/>
          </w:tcPr>
          <w:p>
            <w:r>
              <w:rPr>
                <w:sz w:val="14"/>
              </w:rPr>
              <w:t>Scope, owner, date, method, result, exceptions, approvals and referenced systems</w:t>
            </w:r>
          </w:p>
        </w:tc>
        <w:tc>
          <w:tcPr>
            <w:tcW w:type="dxa" w:w="1440"/>
            <w:vAlign w:val="top"/>
          </w:tcPr>
          <w:p>
            <w:r>
              <w:rPr>
                <w:sz w:val="14"/>
              </w:rPr>
              <w:t>At least annually and on material change</w:t>
            </w:r>
          </w:p>
        </w:tc>
        <w:tc>
          <w:tcPr>
            <w:tcW w:type="dxa" w:w="2160"/>
            <w:vAlign w:val="top"/>
          </w:tcPr>
          <w:p>
            <w:r>
              <w:rPr>
                <w:sz w:val="14"/>
              </w:rPr>
              <w:t>Missing scope, stale approval, unsupported assertion or absent operating evidence</w:t>
            </w:r>
          </w:p>
        </w:tc>
      </w:tr>
      <w:tr>
        <w:tc>
          <w:tcPr>
            <w:tcW w:type="dxa" w:w="1152"/>
            <w:vAlign w:val="top"/>
          </w:tcPr>
          <w:p>
            <w:r>
              <w:rPr>
                <w:sz w:val="14"/>
              </w:rPr>
              <w:t>RET-EVD-025</w:t>
            </w:r>
          </w:p>
        </w:tc>
        <w:tc>
          <w:tcPr>
            <w:tcW w:type="dxa" w:w="2088"/>
            <w:vAlign w:val="top"/>
          </w:tcPr>
          <w:p>
            <w:r>
              <w:rPr>
                <w:sz w:val="14"/>
              </w:rPr>
              <w:t>Management review minutes</w:t>
            </w:r>
          </w:p>
        </w:tc>
        <w:tc>
          <w:tcPr>
            <w:tcW w:type="dxa" w:w="1728"/>
            <w:vAlign w:val="top"/>
          </w:tcPr>
          <w:p>
            <w:r>
              <w:rPr>
                <w:sz w:val="14"/>
              </w:rPr>
              <w:t>Retail Operations Lead</w:t>
            </w:r>
          </w:p>
        </w:tc>
        <w:tc>
          <w:tcPr>
            <w:tcW w:type="dxa" w:w="3168"/>
            <w:vAlign w:val="top"/>
          </w:tcPr>
          <w:p>
            <w:r>
              <w:rPr>
                <w:sz w:val="14"/>
              </w:rPr>
              <w:t>Scope, owner, date, method, result, exceptions, approvals and referenced systems</w:t>
            </w:r>
          </w:p>
        </w:tc>
        <w:tc>
          <w:tcPr>
            <w:tcW w:type="dxa" w:w="1440"/>
            <w:vAlign w:val="top"/>
          </w:tcPr>
          <w:p>
            <w:r>
              <w:rPr>
                <w:sz w:val="14"/>
              </w:rPr>
              <w:t>At least annually and on material change</w:t>
            </w:r>
          </w:p>
        </w:tc>
        <w:tc>
          <w:tcPr>
            <w:tcW w:type="dxa" w:w="2160"/>
            <w:vAlign w:val="top"/>
          </w:tcPr>
          <w:p>
            <w:r>
              <w:rPr>
                <w:sz w:val="14"/>
              </w:rPr>
              <w:t>Missing scope, stale approval, unsupported assertion or absent operating evidence</w:t>
            </w:r>
          </w:p>
        </w:tc>
      </w:tr>
    </w:tbl>
    <w:p/>
    <w:p>
      <w:pPr>
        <w:pStyle w:val="Heading1"/>
      </w:pPr>
      <w:r>
        <w:t>18. Maturity model</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1872"/>
            <w:shd w:fill="17365D"/>
            <w:vAlign w:val="center"/>
          </w:tcPr>
          <w:p>
            <w:r>
              <w:rPr>
                <w:b/>
                <w:color w:val="FFFFFF"/>
                <w:sz w:val="18"/>
              </w:rPr>
              <w:t>Level</w:t>
            </w:r>
          </w:p>
        </w:tc>
        <w:tc>
          <w:tcPr>
            <w:tcW w:type="dxa" w:w="8784"/>
            <w:shd w:fill="17365D"/>
            <w:vAlign w:val="center"/>
          </w:tcPr>
          <w:p>
            <w:r>
              <w:rPr>
                <w:b/>
                <w:color w:val="FFFFFF"/>
                <w:sz w:val="18"/>
              </w:rPr>
              <w:t>Description</w:t>
            </w:r>
          </w:p>
        </w:tc>
      </w:tr>
      <w:tr>
        <w:tc>
          <w:tcPr>
            <w:tcW w:type="dxa" w:w="1872"/>
            <w:vAlign w:val="top"/>
          </w:tcPr>
          <w:p>
            <w:r>
              <w:rPr>
                <w:sz w:val="18"/>
              </w:rPr>
              <w:t>1 - Initial</w:t>
            </w:r>
          </w:p>
        </w:tc>
        <w:tc>
          <w:tcPr>
            <w:tcW w:type="dxa" w:w="8784"/>
            <w:vAlign w:val="top"/>
          </w:tcPr>
          <w:p>
            <w:r>
              <w:rPr>
                <w:sz w:val="18"/>
              </w:rPr>
              <w:t>AI systems and controls are incomplete, reactive or undocumented.</w:t>
            </w:r>
          </w:p>
        </w:tc>
      </w:tr>
      <w:tr>
        <w:tc>
          <w:tcPr>
            <w:tcW w:type="dxa" w:w="1872"/>
            <w:vAlign w:val="top"/>
          </w:tcPr>
          <w:p>
            <w:r>
              <w:rPr>
                <w:sz w:val="18"/>
              </w:rPr>
              <w:t>2 - Repeatable</w:t>
            </w:r>
          </w:p>
        </w:tc>
        <w:tc>
          <w:tcPr>
            <w:tcW w:type="dxa" w:w="8784"/>
            <w:vAlign w:val="top"/>
          </w:tcPr>
          <w:p>
            <w:r>
              <w:rPr>
                <w:sz w:val="18"/>
              </w:rPr>
              <w:t>Priority systems have owners and recurring control activity, but coverage is inconsistent.</w:t>
            </w:r>
          </w:p>
        </w:tc>
      </w:tr>
      <w:tr>
        <w:tc>
          <w:tcPr>
            <w:tcW w:type="dxa" w:w="1872"/>
            <w:vAlign w:val="top"/>
          </w:tcPr>
          <w:p>
            <w:r>
              <w:rPr>
                <w:sz w:val="18"/>
              </w:rPr>
              <w:t>3 - Defined</w:t>
            </w:r>
          </w:p>
        </w:tc>
        <w:tc>
          <w:tcPr>
            <w:tcW w:type="dxa" w:w="8784"/>
            <w:vAlign w:val="top"/>
          </w:tcPr>
          <w:p>
            <w:r>
              <w:rPr>
                <w:sz w:val="18"/>
              </w:rPr>
              <w:t>Common governance, lifecycle, supplier and evidence methods are implemented across scope.</w:t>
            </w:r>
          </w:p>
        </w:tc>
      </w:tr>
      <w:tr>
        <w:tc>
          <w:tcPr>
            <w:tcW w:type="dxa" w:w="1872"/>
            <w:vAlign w:val="top"/>
          </w:tcPr>
          <w:p>
            <w:r>
              <w:rPr>
                <w:sz w:val="18"/>
              </w:rPr>
              <w:t>4 - Measured</w:t>
            </w:r>
          </w:p>
        </w:tc>
        <w:tc>
          <w:tcPr>
            <w:tcW w:type="dxa" w:w="8784"/>
            <w:vAlign w:val="top"/>
          </w:tcPr>
          <w:p>
            <w:r>
              <w:rPr>
                <w:sz w:val="18"/>
              </w:rPr>
              <w:t>Effectiveness, drift, incidents, exceptions and customer impacts are measured and reviewed.</w:t>
            </w:r>
          </w:p>
        </w:tc>
      </w:tr>
      <w:tr>
        <w:tc>
          <w:tcPr>
            <w:tcW w:type="dxa" w:w="1872"/>
            <w:vAlign w:val="top"/>
          </w:tcPr>
          <w:p>
            <w:r>
              <w:rPr>
                <w:sz w:val="18"/>
              </w:rPr>
              <w:t>5 - Adaptive</w:t>
            </w:r>
          </w:p>
        </w:tc>
        <w:tc>
          <w:tcPr>
            <w:tcW w:type="dxa" w:w="8784"/>
            <w:vAlign w:val="top"/>
          </w:tcPr>
          <w:p>
            <w:r>
              <w:rPr>
                <w:sz w:val="18"/>
              </w:rPr>
              <w:t>Controls are adjusted from telemetry, incidents, threat change and independent assurance.</w:t>
            </w:r>
          </w:p>
        </w:tc>
      </w:tr>
    </w:tbl>
    <w:p/>
    <w:p>
      <w:pPr>
        <w:pStyle w:val="Heading1"/>
      </w:pPr>
      <w:r>
        <w:t>19. Common implementation failures</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2448"/>
            <w:shd w:fill="17365D"/>
            <w:vAlign w:val="center"/>
          </w:tcPr>
          <w:p>
            <w:r>
              <w:rPr>
                <w:b/>
                <w:color w:val="FFFFFF"/>
                <w:sz w:val="16"/>
              </w:rPr>
              <w:t>Failure</w:t>
            </w:r>
          </w:p>
        </w:tc>
        <w:tc>
          <w:tcPr>
            <w:tcW w:type="dxa" w:w="3744"/>
            <w:shd w:fill="17365D"/>
            <w:vAlign w:val="center"/>
          </w:tcPr>
          <w:p>
            <w:r>
              <w:rPr>
                <w:b/>
                <w:color w:val="FFFFFF"/>
                <w:sz w:val="16"/>
              </w:rPr>
              <w:t>Consequence</w:t>
            </w:r>
          </w:p>
        </w:tc>
        <w:tc>
          <w:tcPr>
            <w:tcW w:type="dxa" w:w="4464"/>
            <w:shd w:fill="17365D"/>
            <w:vAlign w:val="center"/>
          </w:tcPr>
          <w:p>
            <w:r>
              <w:rPr>
                <w:b/>
                <w:color w:val="FFFFFF"/>
                <w:sz w:val="16"/>
              </w:rPr>
              <w:t>Corrective action</w:t>
            </w:r>
          </w:p>
        </w:tc>
      </w:tr>
      <w:tr>
        <w:tc>
          <w:tcPr>
            <w:tcW w:type="dxa" w:w="2448"/>
            <w:vAlign w:val="top"/>
          </w:tcPr>
          <w:p>
            <w:r>
              <w:rPr>
                <w:sz w:val="16"/>
              </w:rPr>
              <w:t>Treating AI as ordinary software</w:t>
            </w:r>
          </w:p>
        </w:tc>
        <w:tc>
          <w:tcPr>
            <w:tcW w:type="dxa" w:w="3744"/>
            <w:vAlign w:val="top"/>
          </w:tcPr>
          <w:p>
            <w:r>
              <w:rPr>
                <w:sz w:val="16"/>
              </w:rPr>
              <w:t>Model behaviour, data and provider change are not separately governed</w:t>
            </w:r>
          </w:p>
        </w:tc>
        <w:tc>
          <w:tcPr>
            <w:tcW w:type="dxa" w:w="4464"/>
            <w:vAlign w:val="top"/>
          </w:tcPr>
          <w:p>
            <w:r>
              <w:rPr>
                <w:sz w:val="16"/>
              </w:rPr>
              <w:t>Inventory model and data dependencies; add change triggers and monitoring.</w:t>
            </w:r>
          </w:p>
        </w:tc>
      </w:tr>
      <w:tr>
        <w:tc>
          <w:tcPr>
            <w:tcW w:type="dxa" w:w="2448"/>
            <w:vAlign w:val="top"/>
          </w:tcPr>
          <w:p>
            <w:r>
              <w:rPr>
                <w:sz w:val="16"/>
              </w:rPr>
              <w:t>Incomplete inventory</w:t>
            </w:r>
          </w:p>
        </w:tc>
        <w:tc>
          <w:tcPr>
            <w:tcW w:type="dxa" w:w="3744"/>
            <w:vAlign w:val="top"/>
          </w:tcPr>
          <w:p>
            <w:r>
              <w:rPr>
                <w:sz w:val="16"/>
              </w:rPr>
              <w:t>Embedded, franchise or SaaS AI remains outside assurance</w:t>
            </w:r>
          </w:p>
        </w:tc>
        <w:tc>
          <w:tcPr>
            <w:tcW w:type="dxa" w:w="4464"/>
            <w:vAlign w:val="top"/>
          </w:tcPr>
          <w:p>
            <w:r>
              <w:rPr>
                <w:sz w:val="16"/>
              </w:rPr>
              <w:t>Reconcile procurement, architecture, data and supplier records.</w:t>
            </w:r>
          </w:p>
        </w:tc>
      </w:tr>
      <w:tr>
        <w:tc>
          <w:tcPr>
            <w:tcW w:type="dxa" w:w="2448"/>
            <w:vAlign w:val="top"/>
          </w:tcPr>
          <w:p>
            <w:r>
              <w:rPr>
                <w:sz w:val="16"/>
              </w:rPr>
              <w:t>Reliance on vendor assurances</w:t>
            </w:r>
          </w:p>
        </w:tc>
        <w:tc>
          <w:tcPr>
            <w:tcW w:type="dxa" w:w="3744"/>
            <w:vAlign w:val="top"/>
          </w:tcPr>
          <w:p>
            <w:r>
              <w:rPr>
                <w:sz w:val="16"/>
              </w:rPr>
              <w:t>No retailer-specific operating evidence</w:t>
            </w:r>
          </w:p>
        </w:tc>
        <w:tc>
          <w:tcPr>
            <w:tcW w:type="dxa" w:w="4464"/>
            <w:vAlign w:val="top"/>
          </w:tcPr>
          <w:p>
            <w:r>
              <w:rPr>
                <w:sz w:val="16"/>
              </w:rPr>
              <w:t>Contract for evidence and test representative controls.</w:t>
            </w:r>
          </w:p>
        </w:tc>
      </w:tr>
      <w:tr>
        <w:tc>
          <w:tcPr>
            <w:tcW w:type="dxa" w:w="2448"/>
            <w:vAlign w:val="top"/>
          </w:tcPr>
          <w:p>
            <w:r>
              <w:rPr>
                <w:sz w:val="16"/>
              </w:rPr>
              <w:t>No tested fallback</w:t>
            </w:r>
          </w:p>
        </w:tc>
        <w:tc>
          <w:tcPr>
            <w:tcW w:type="dxa" w:w="3744"/>
            <w:vAlign w:val="top"/>
          </w:tcPr>
          <w:p>
            <w:r>
              <w:rPr>
                <w:sz w:val="16"/>
              </w:rPr>
              <w:t>Outage or model failure stops retail operations</w:t>
            </w:r>
          </w:p>
        </w:tc>
        <w:tc>
          <w:tcPr>
            <w:tcW w:type="dxa" w:w="4464"/>
            <w:vAlign w:val="top"/>
          </w:tcPr>
          <w:p>
            <w:r>
              <w:rPr>
                <w:sz w:val="16"/>
              </w:rPr>
              <w:t>Define and exercise manual or degraded modes.</w:t>
            </w:r>
          </w:p>
        </w:tc>
      </w:tr>
      <w:tr>
        <w:tc>
          <w:tcPr>
            <w:tcW w:type="dxa" w:w="2448"/>
            <w:vAlign w:val="top"/>
          </w:tcPr>
          <w:p>
            <w:r>
              <w:rPr>
                <w:sz w:val="16"/>
              </w:rPr>
              <w:t>Policy without evidence</w:t>
            </w:r>
          </w:p>
        </w:tc>
        <w:tc>
          <w:tcPr>
            <w:tcW w:type="dxa" w:w="3744"/>
            <w:vAlign w:val="top"/>
          </w:tcPr>
          <w:p>
            <w:r>
              <w:rPr>
                <w:sz w:val="16"/>
              </w:rPr>
              <w:t>Assessment cannot establish effectiveness</w:t>
            </w:r>
          </w:p>
        </w:tc>
        <w:tc>
          <w:tcPr>
            <w:tcW w:type="dxa" w:w="4464"/>
            <w:vAlign w:val="top"/>
          </w:tcPr>
          <w:p>
            <w:r>
              <w:rPr>
                <w:sz w:val="16"/>
              </w:rPr>
              <w:t>Collect sampled operating records, logs and approvals.</w:t>
            </w:r>
          </w:p>
        </w:tc>
      </w:tr>
      <w:tr>
        <w:tc>
          <w:tcPr>
            <w:tcW w:type="dxa" w:w="2448"/>
            <w:vAlign w:val="top"/>
          </w:tcPr>
          <w:p>
            <w:r>
              <w:rPr>
                <w:sz w:val="16"/>
              </w:rPr>
              <w:t>Uncontrolled generative AI</w:t>
            </w:r>
          </w:p>
        </w:tc>
        <w:tc>
          <w:tcPr>
            <w:tcW w:type="dxa" w:w="3744"/>
            <w:vAlign w:val="top"/>
          </w:tcPr>
          <w:p>
            <w:r>
              <w:rPr>
                <w:sz w:val="16"/>
              </w:rPr>
              <w:t>Data leakage and misleading content</w:t>
            </w:r>
          </w:p>
        </w:tc>
        <w:tc>
          <w:tcPr>
            <w:tcW w:type="dxa" w:w="4464"/>
            <w:vAlign w:val="top"/>
          </w:tcPr>
          <w:p>
            <w:r>
              <w:rPr>
                <w:sz w:val="16"/>
              </w:rPr>
              <w:t>Apply approved tools, retrieval controls, output checks and logging.</w:t>
            </w:r>
          </w:p>
        </w:tc>
      </w:tr>
    </w:tbl>
    <w:p/>
    <w:p>
      <w:pPr>
        <w:pStyle w:val="Heading1"/>
      </w:pPr>
      <w:r>
        <w:t>20. Worked scenarios</w:t>
      </w:r>
    </w:p>
    <w:p>
      <w:pPr>
        <w:pStyle w:val="Heading2"/>
      </w:pPr>
      <w:r>
        <w:t>RET-SCN-001 - E-commerce recommendation manipulation</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160"/>
            <w:shd w:fill="17365D"/>
            <w:vAlign w:val="center"/>
          </w:tcPr>
          <w:p>
            <w:r>
              <w:rPr>
                <w:b/>
                <w:color w:val="FFFFFF"/>
                <w:sz w:val="16"/>
              </w:rPr>
              <w:t>Field</w:t>
            </w:r>
          </w:p>
        </w:tc>
        <w:tc>
          <w:tcPr>
            <w:tcW w:type="dxa" w:w="8496"/>
            <w:shd w:fill="17365D"/>
            <w:vAlign w:val="center"/>
          </w:tcPr>
          <w:p>
            <w:r>
              <w:rPr>
                <w:b/>
                <w:color w:val="FFFFFF"/>
                <w:sz w:val="16"/>
              </w:rPr>
              <w:t>Scenario record</w:t>
            </w:r>
          </w:p>
        </w:tc>
      </w:tr>
      <w:tr>
        <w:tc>
          <w:tcPr>
            <w:tcW w:type="dxa" w:w="2160"/>
            <w:vAlign w:val="top"/>
          </w:tcPr>
          <w:p>
            <w:r>
              <w:rPr>
                <w:sz w:val="16"/>
              </w:rPr>
              <w:t>Use case</w:t>
            </w:r>
          </w:p>
        </w:tc>
        <w:tc>
          <w:tcPr>
            <w:tcW w:type="dxa" w:w="8496"/>
            <w:vAlign w:val="top"/>
          </w:tcPr>
          <w:p>
            <w:r>
              <w:rPr>
                <w:sz w:val="16"/>
              </w:rPr>
              <w:t>RET-UC-001</w:t>
            </w:r>
          </w:p>
        </w:tc>
      </w:tr>
      <w:tr>
        <w:tc>
          <w:tcPr>
            <w:tcW w:type="dxa" w:w="2160"/>
            <w:vAlign w:val="top"/>
          </w:tcPr>
          <w:p>
            <w:r>
              <w:rPr>
                <w:sz w:val="16"/>
              </w:rPr>
              <w:t>Threat/failure</w:t>
            </w:r>
          </w:p>
        </w:tc>
        <w:tc>
          <w:tcPr>
            <w:tcW w:type="dxa" w:w="8496"/>
            <w:vAlign w:val="top"/>
          </w:tcPr>
          <w:p>
            <w:r>
              <w:rPr>
                <w:sz w:val="16"/>
              </w:rPr>
              <w:t>RET-THR-019</w:t>
            </w:r>
          </w:p>
        </w:tc>
      </w:tr>
      <w:tr>
        <w:tc>
          <w:tcPr>
            <w:tcW w:type="dxa" w:w="2160"/>
            <w:vAlign w:val="top"/>
          </w:tcPr>
          <w:p>
            <w:r>
              <w:rPr>
                <w:sz w:val="16"/>
              </w:rPr>
              <w:t>Context</w:t>
            </w:r>
          </w:p>
        </w:tc>
        <w:tc>
          <w:tcPr>
            <w:tcW w:type="dxa" w:w="8496"/>
            <w:vAlign w:val="top"/>
          </w:tcPr>
          <w:p>
            <w:r>
              <w:rPr>
                <w:sz w:val="16"/>
              </w:rPr>
              <w:t>Illustrative, non-vendor-specific retail scenario.</w:t>
            </w:r>
          </w:p>
        </w:tc>
      </w:tr>
      <w:tr>
        <w:tc>
          <w:tcPr>
            <w:tcW w:type="dxa" w:w="2160"/>
            <w:vAlign w:val="top"/>
          </w:tcPr>
          <w:p>
            <w:r>
              <w:rPr>
                <w:sz w:val="16"/>
              </w:rPr>
              <w:t>Likely control failures</w:t>
            </w:r>
          </w:p>
        </w:tc>
        <w:tc>
          <w:tcPr>
            <w:tcW w:type="dxa" w:w="8496"/>
            <w:vAlign w:val="top"/>
          </w:tcPr>
          <w:p>
            <w:r>
              <w:t>Controls linked to RET-UC-001 and RET-THR-019 were absent, ineffective or not evidenced in operation.</w:t>
            </w:r>
          </w:p>
        </w:tc>
      </w:tr>
      <w:tr>
        <w:tc>
          <w:tcPr>
            <w:tcW w:type="dxa" w:w="2160"/>
            <w:vAlign w:val="top"/>
          </w:tcPr>
          <w:p>
            <w:r>
              <w:rPr>
                <w:sz w:val="16"/>
              </w:rPr>
              <w:t>Detection</w:t>
            </w:r>
          </w:p>
        </w:tc>
        <w:tc>
          <w:tcPr>
            <w:tcW w:type="dxa" w:w="8496"/>
            <w:vAlign w:val="top"/>
          </w:tcPr>
          <w:p>
            <w:r>
              <w:t>Detect abnormal seller/bot engagement, ranking shifts and conversion patterns; compare against clean holdout queries.</w:t>
            </w:r>
          </w:p>
        </w:tc>
      </w:tr>
      <w:tr>
        <w:tc>
          <w:tcPr>
            <w:tcW w:type="dxa" w:w="2160"/>
            <w:vAlign w:val="top"/>
          </w:tcPr>
          <w:p>
            <w:r>
              <w:rPr>
                <w:sz w:val="16"/>
              </w:rPr>
              <w:t>Containment</w:t>
            </w:r>
          </w:p>
        </w:tc>
        <w:tc>
          <w:tcPr>
            <w:tcW w:type="dxa" w:w="8496"/>
            <w:vAlign w:val="top"/>
          </w:tcPr>
          <w:p>
            <w:r>
              <w:t>Freeze suspicious ranking signals, remove manipulated inputs, revert the ranking model and review affected seller decisions.</w:t>
            </w:r>
          </w:p>
        </w:tc>
      </w:tr>
      <w:tr>
        <w:tc>
          <w:tcPr>
            <w:tcW w:type="dxa" w:w="2160"/>
            <w:vAlign w:val="top"/>
          </w:tcPr>
          <w:p>
            <w:r>
              <w:rPr>
                <w:sz w:val="16"/>
              </w:rPr>
              <w:t>Lesson</w:t>
            </w:r>
          </w:p>
        </w:tc>
        <w:tc>
          <w:tcPr>
            <w:tcW w:type="dxa" w:w="8496"/>
            <w:vAlign w:val="top"/>
          </w:tcPr>
          <w:p>
            <w:r>
              <w:t>Ranking integrity requires adversarial engagement monitoring, not only offline relevance testing.</w:t>
            </w:r>
          </w:p>
        </w:tc>
      </w:tr>
      <w:tr>
        <w:tc>
          <w:tcPr>
            <w:tcW w:type="dxa" w:w="2160"/>
            <w:vAlign w:val="top"/>
          </w:tcPr>
          <w:p>
            <w:r>
              <w:rPr>
                <w:sz w:val="16"/>
              </w:rPr>
              <w:t>Notably Absent</w:t>
            </w:r>
          </w:p>
        </w:tc>
        <w:tc>
          <w:tcPr>
            <w:tcW w:type="dxa" w:w="8496"/>
            <w:vAlign w:val="top"/>
          </w:tcPr>
          <w:p>
            <w:r>
              <w:rPr>
                <w:sz w:val="16"/>
              </w:rPr>
              <w:t>This is not represented as a confirmed incident or prevalence estimate.</w:t>
            </w:r>
          </w:p>
        </w:tc>
      </w:tr>
      <w:tr>
        <w:tc>
          <w:tcPr>
            <w:tcW w:type="dxa" w:w="5184"/>
          </w:tcPr>
          <w:p>
            <w:r>
              <w:t>Recommended immediate action</w:t>
            </w:r>
          </w:p>
        </w:tc>
        <w:tc>
          <w:tcPr>
            <w:tcW w:type="dxa" w:w="5184"/>
          </w:tcPr>
          <w:p>
            <w:r>
              <w:t>Freeze suspicious ranking signals, remove manipulated inputs, revert the ranking model and review affected seller decisions.</w:t>
            </w:r>
          </w:p>
        </w:tc>
      </w:tr>
    </w:tbl>
    <w:p/>
    <w:p>
      <w:pPr>
        <w:pStyle w:val="Heading2"/>
      </w:pPr>
      <w:r>
        <w:t>RET-SCN-002 - Loyalty takeover with AI-assisted fraud</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160"/>
            <w:shd w:fill="17365D"/>
            <w:vAlign w:val="center"/>
          </w:tcPr>
          <w:p>
            <w:r>
              <w:rPr>
                <w:b/>
                <w:color w:val="FFFFFF"/>
                <w:sz w:val="16"/>
              </w:rPr>
              <w:t>Field</w:t>
            </w:r>
          </w:p>
        </w:tc>
        <w:tc>
          <w:tcPr>
            <w:tcW w:type="dxa" w:w="8496"/>
            <w:shd w:fill="17365D"/>
            <w:vAlign w:val="center"/>
          </w:tcPr>
          <w:p>
            <w:r>
              <w:rPr>
                <w:b/>
                <w:color w:val="FFFFFF"/>
                <w:sz w:val="16"/>
              </w:rPr>
              <w:t>Scenario record</w:t>
            </w:r>
          </w:p>
        </w:tc>
      </w:tr>
      <w:tr>
        <w:tc>
          <w:tcPr>
            <w:tcW w:type="dxa" w:w="2160"/>
            <w:vAlign w:val="top"/>
          </w:tcPr>
          <w:p>
            <w:r>
              <w:rPr>
                <w:sz w:val="16"/>
              </w:rPr>
              <w:t>Use case</w:t>
            </w:r>
          </w:p>
        </w:tc>
        <w:tc>
          <w:tcPr>
            <w:tcW w:type="dxa" w:w="8496"/>
            <w:vAlign w:val="top"/>
          </w:tcPr>
          <w:p>
            <w:r>
              <w:rPr>
                <w:sz w:val="16"/>
              </w:rPr>
              <w:t>RET-UC-018</w:t>
            </w:r>
          </w:p>
        </w:tc>
      </w:tr>
      <w:tr>
        <w:tc>
          <w:tcPr>
            <w:tcW w:type="dxa" w:w="2160"/>
            <w:vAlign w:val="top"/>
          </w:tcPr>
          <w:p>
            <w:r>
              <w:rPr>
                <w:sz w:val="16"/>
              </w:rPr>
              <w:t>Threat/failure</w:t>
            </w:r>
          </w:p>
        </w:tc>
        <w:tc>
          <w:tcPr>
            <w:tcW w:type="dxa" w:w="8496"/>
            <w:vAlign w:val="top"/>
          </w:tcPr>
          <w:p>
            <w:r>
              <w:rPr>
                <w:sz w:val="16"/>
              </w:rPr>
              <w:t>RET-THR-014</w:t>
            </w:r>
          </w:p>
        </w:tc>
      </w:tr>
      <w:tr>
        <w:tc>
          <w:tcPr>
            <w:tcW w:type="dxa" w:w="2160"/>
            <w:vAlign w:val="top"/>
          </w:tcPr>
          <w:p>
            <w:r>
              <w:rPr>
                <w:sz w:val="16"/>
              </w:rPr>
              <w:t>Context</w:t>
            </w:r>
          </w:p>
        </w:tc>
        <w:tc>
          <w:tcPr>
            <w:tcW w:type="dxa" w:w="8496"/>
            <w:vAlign w:val="top"/>
          </w:tcPr>
          <w:p>
            <w:r>
              <w:rPr>
                <w:sz w:val="16"/>
              </w:rPr>
              <w:t>Illustrative, non-vendor-specific retail scenario.</w:t>
            </w:r>
          </w:p>
        </w:tc>
      </w:tr>
      <w:tr>
        <w:tc>
          <w:tcPr>
            <w:tcW w:type="dxa" w:w="2160"/>
            <w:vAlign w:val="top"/>
          </w:tcPr>
          <w:p>
            <w:r>
              <w:rPr>
                <w:sz w:val="16"/>
              </w:rPr>
              <w:t>Likely control failures</w:t>
            </w:r>
          </w:p>
        </w:tc>
        <w:tc>
          <w:tcPr>
            <w:tcW w:type="dxa" w:w="8496"/>
            <w:vAlign w:val="top"/>
          </w:tcPr>
          <w:p>
            <w:r>
              <w:t>Controls linked to RET-UC-018 and RET-THR-014 were absent, ineffective or not evidenced in operation.</w:t>
            </w:r>
          </w:p>
        </w:tc>
      </w:tr>
      <w:tr>
        <w:tc>
          <w:tcPr>
            <w:tcW w:type="dxa" w:w="2160"/>
            <w:vAlign w:val="top"/>
          </w:tcPr>
          <w:p>
            <w:r>
              <w:rPr>
                <w:sz w:val="16"/>
              </w:rPr>
              <w:t>Detection</w:t>
            </w:r>
          </w:p>
        </w:tc>
        <w:tc>
          <w:tcPr>
            <w:tcW w:type="dxa" w:w="8496"/>
            <w:vAlign w:val="top"/>
          </w:tcPr>
          <w:p>
            <w:r>
              <w:t>Correlate impossible travel, device change, reward redemption and AI-generated support interactions.</w:t>
            </w:r>
          </w:p>
        </w:tc>
      </w:tr>
      <w:tr>
        <w:tc>
          <w:tcPr>
            <w:tcW w:type="dxa" w:w="2160"/>
            <w:vAlign w:val="top"/>
          </w:tcPr>
          <w:p>
            <w:r>
              <w:rPr>
                <w:sz w:val="16"/>
              </w:rPr>
              <w:t>Containment</w:t>
            </w:r>
          </w:p>
        </w:tc>
        <w:tc>
          <w:tcPr>
            <w:tcW w:type="dxa" w:w="8496"/>
            <w:vAlign w:val="top"/>
          </w:tcPr>
          <w:p>
            <w:r>
              <w:t>Lock redemption, preserve account/session evidence, step up identity verification and reverse unauthorised reward transfers.</w:t>
            </w:r>
          </w:p>
        </w:tc>
      </w:tr>
      <w:tr>
        <w:tc>
          <w:tcPr>
            <w:tcW w:type="dxa" w:w="2160"/>
            <w:vAlign w:val="top"/>
          </w:tcPr>
          <w:p>
            <w:r>
              <w:rPr>
                <w:sz w:val="16"/>
              </w:rPr>
              <w:t>Lesson</w:t>
            </w:r>
          </w:p>
        </w:tc>
        <w:tc>
          <w:tcPr>
            <w:tcW w:type="dxa" w:w="8496"/>
            <w:vAlign w:val="top"/>
          </w:tcPr>
          <w:p>
            <w:r>
              <w:t>Loyalty value should be protected with payment-grade identity and recovery controls.</w:t>
            </w:r>
          </w:p>
        </w:tc>
      </w:tr>
      <w:tr>
        <w:tc>
          <w:tcPr>
            <w:tcW w:type="dxa" w:w="2160"/>
            <w:vAlign w:val="top"/>
          </w:tcPr>
          <w:p>
            <w:r>
              <w:rPr>
                <w:sz w:val="16"/>
              </w:rPr>
              <w:t>Notably Absent</w:t>
            </w:r>
          </w:p>
        </w:tc>
        <w:tc>
          <w:tcPr>
            <w:tcW w:type="dxa" w:w="8496"/>
            <w:vAlign w:val="top"/>
          </w:tcPr>
          <w:p>
            <w:r>
              <w:rPr>
                <w:sz w:val="16"/>
              </w:rPr>
              <w:t>This is not represented as a confirmed incident or prevalence estimate.</w:t>
            </w:r>
          </w:p>
        </w:tc>
      </w:tr>
      <w:tr>
        <w:tc>
          <w:tcPr>
            <w:tcW w:type="dxa" w:w="5184"/>
          </w:tcPr>
          <w:p>
            <w:r>
              <w:t>Recommended immediate action</w:t>
            </w:r>
          </w:p>
        </w:tc>
        <w:tc>
          <w:tcPr>
            <w:tcW w:type="dxa" w:w="5184"/>
          </w:tcPr>
          <w:p>
            <w:r>
              <w:t>Lock redemption, preserve account/session evidence, step up identity verification and reverse unauthorised reward transfers.</w:t>
            </w:r>
          </w:p>
        </w:tc>
      </w:tr>
    </w:tbl>
    <w:p/>
    <w:p>
      <w:pPr>
        <w:pStyle w:val="Heading2"/>
      </w:pPr>
      <w:r>
        <w:t>RET-SCN-003 - Hallucinated product information</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160"/>
            <w:shd w:fill="17365D"/>
            <w:vAlign w:val="center"/>
          </w:tcPr>
          <w:p>
            <w:r>
              <w:rPr>
                <w:b/>
                <w:color w:val="FFFFFF"/>
                <w:sz w:val="16"/>
              </w:rPr>
              <w:t>Field</w:t>
            </w:r>
          </w:p>
        </w:tc>
        <w:tc>
          <w:tcPr>
            <w:tcW w:type="dxa" w:w="8496"/>
            <w:shd w:fill="17365D"/>
            <w:vAlign w:val="center"/>
          </w:tcPr>
          <w:p>
            <w:r>
              <w:rPr>
                <w:b/>
                <w:color w:val="FFFFFF"/>
                <w:sz w:val="16"/>
              </w:rPr>
              <w:t>Scenario record</w:t>
            </w:r>
          </w:p>
        </w:tc>
      </w:tr>
      <w:tr>
        <w:tc>
          <w:tcPr>
            <w:tcW w:type="dxa" w:w="2160"/>
            <w:vAlign w:val="top"/>
          </w:tcPr>
          <w:p>
            <w:r>
              <w:rPr>
                <w:sz w:val="16"/>
              </w:rPr>
              <w:t>Use case</w:t>
            </w:r>
          </w:p>
        </w:tc>
        <w:tc>
          <w:tcPr>
            <w:tcW w:type="dxa" w:w="8496"/>
            <w:vAlign w:val="top"/>
          </w:tcPr>
          <w:p>
            <w:r>
              <w:rPr>
                <w:sz w:val="16"/>
              </w:rPr>
              <w:t>RET-UC-015</w:t>
            </w:r>
          </w:p>
        </w:tc>
      </w:tr>
      <w:tr>
        <w:tc>
          <w:tcPr>
            <w:tcW w:type="dxa" w:w="2160"/>
            <w:vAlign w:val="top"/>
          </w:tcPr>
          <w:p>
            <w:r>
              <w:rPr>
                <w:sz w:val="16"/>
              </w:rPr>
              <w:t>Threat/failure</w:t>
            </w:r>
          </w:p>
        </w:tc>
        <w:tc>
          <w:tcPr>
            <w:tcW w:type="dxa" w:w="8496"/>
            <w:vAlign w:val="top"/>
          </w:tcPr>
          <w:p>
            <w:r>
              <w:rPr>
                <w:sz w:val="16"/>
              </w:rPr>
              <w:t>RET-THR-020</w:t>
            </w:r>
          </w:p>
        </w:tc>
      </w:tr>
      <w:tr>
        <w:tc>
          <w:tcPr>
            <w:tcW w:type="dxa" w:w="2160"/>
            <w:vAlign w:val="top"/>
          </w:tcPr>
          <w:p>
            <w:r>
              <w:rPr>
                <w:sz w:val="16"/>
              </w:rPr>
              <w:t>Context</w:t>
            </w:r>
          </w:p>
        </w:tc>
        <w:tc>
          <w:tcPr>
            <w:tcW w:type="dxa" w:w="8496"/>
            <w:vAlign w:val="top"/>
          </w:tcPr>
          <w:p>
            <w:r>
              <w:rPr>
                <w:sz w:val="16"/>
              </w:rPr>
              <w:t>Illustrative, non-vendor-specific retail scenario.</w:t>
            </w:r>
          </w:p>
        </w:tc>
      </w:tr>
      <w:tr>
        <w:tc>
          <w:tcPr>
            <w:tcW w:type="dxa" w:w="2160"/>
            <w:vAlign w:val="top"/>
          </w:tcPr>
          <w:p>
            <w:r>
              <w:rPr>
                <w:sz w:val="16"/>
              </w:rPr>
              <w:t>Likely control failures</w:t>
            </w:r>
          </w:p>
        </w:tc>
        <w:tc>
          <w:tcPr>
            <w:tcW w:type="dxa" w:w="8496"/>
            <w:vAlign w:val="top"/>
          </w:tcPr>
          <w:p>
            <w:r>
              <w:t>Controls linked to RET-UC-015 and RET-THR-020 were absent, ineffective or not evidenced in operation.</w:t>
            </w:r>
          </w:p>
        </w:tc>
      </w:tr>
      <w:tr>
        <w:tc>
          <w:tcPr>
            <w:tcW w:type="dxa" w:w="2160"/>
            <w:vAlign w:val="top"/>
          </w:tcPr>
          <w:p>
            <w:r>
              <w:rPr>
                <w:sz w:val="16"/>
              </w:rPr>
              <w:t>Detection</w:t>
            </w:r>
          </w:p>
        </w:tc>
        <w:tc>
          <w:tcPr>
            <w:tcW w:type="dxa" w:w="8496"/>
            <w:vAlign w:val="top"/>
          </w:tcPr>
          <w:p>
            <w:r>
              <w:t>Sample generated specifications against authoritative supplier data and monitor corrections, returns and complaints.</w:t>
            </w:r>
          </w:p>
        </w:tc>
      </w:tr>
      <w:tr>
        <w:tc>
          <w:tcPr>
            <w:tcW w:type="dxa" w:w="2160"/>
            <w:vAlign w:val="top"/>
          </w:tcPr>
          <w:p>
            <w:r>
              <w:rPr>
                <w:sz w:val="16"/>
              </w:rPr>
              <w:t>Containment</w:t>
            </w:r>
          </w:p>
        </w:tc>
        <w:tc>
          <w:tcPr>
            <w:tcW w:type="dxa" w:w="8496"/>
            <w:vAlign w:val="top"/>
          </w:tcPr>
          <w:p>
            <w:r>
              <w:t>Unpublish affected content, revert to approved catalogue text, notify owners and correct customers where reliance may have occurred.</w:t>
            </w:r>
          </w:p>
        </w:tc>
      </w:tr>
      <w:tr>
        <w:tc>
          <w:tcPr>
            <w:tcW w:type="dxa" w:w="2160"/>
            <w:vAlign w:val="top"/>
          </w:tcPr>
          <w:p>
            <w:r>
              <w:rPr>
                <w:sz w:val="16"/>
              </w:rPr>
              <w:t>Lesson</w:t>
            </w:r>
          </w:p>
        </w:tc>
        <w:tc>
          <w:tcPr>
            <w:tcW w:type="dxa" w:w="8496"/>
            <w:vAlign w:val="top"/>
          </w:tcPr>
          <w:p>
            <w:r>
              <w:t>Generated retail content needs authoritative attribute validation before publication.</w:t>
            </w:r>
          </w:p>
        </w:tc>
      </w:tr>
      <w:tr>
        <w:tc>
          <w:tcPr>
            <w:tcW w:type="dxa" w:w="2160"/>
            <w:vAlign w:val="top"/>
          </w:tcPr>
          <w:p>
            <w:r>
              <w:rPr>
                <w:sz w:val="16"/>
              </w:rPr>
              <w:t>Notably Absent</w:t>
            </w:r>
          </w:p>
        </w:tc>
        <w:tc>
          <w:tcPr>
            <w:tcW w:type="dxa" w:w="8496"/>
            <w:vAlign w:val="top"/>
          </w:tcPr>
          <w:p>
            <w:r>
              <w:rPr>
                <w:sz w:val="16"/>
              </w:rPr>
              <w:t>This is not represented as a confirmed incident or prevalence estimate.</w:t>
            </w:r>
          </w:p>
        </w:tc>
      </w:tr>
      <w:tr>
        <w:tc>
          <w:tcPr>
            <w:tcW w:type="dxa" w:w="5184"/>
          </w:tcPr>
          <w:p>
            <w:r>
              <w:t>Recommended immediate action</w:t>
            </w:r>
          </w:p>
        </w:tc>
        <w:tc>
          <w:tcPr>
            <w:tcW w:type="dxa" w:w="5184"/>
          </w:tcPr>
          <w:p>
            <w:r>
              <w:t>Unpublish affected content, revert to approved catalogue text, notify owners and correct customers where reliance may have occurred.</w:t>
            </w:r>
          </w:p>
        </w:tc>
      </w:tr>
    </w:tbl>
    <w:p/>
    <w:p>
      <w:pPr>
        <w:pStyle w:val="Heading2"/>
      </w:pPr>
      <w:r>
        <w:t>RET-SCN-004 - Promotion-engine abuse</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160"/>
            <w:shd w:fill="17365D"/>
            <w:vAlign w:val="center"/>
          </w:tcPr>
          <w:p>
            <w:r>
              <w:rPr>
                <w:b/>
                <w:color w:val="FFFFFF"/>
                <w:sz w:val="16"/>
              </w:rPr>
              <w:t>Field</w:t>
            </w:r>
          </w:p>
        </w:tc>
        <w:tc>
          <w:tcPr>
            <w:tcW w:type="dxa" w:w="8496"/>
            <w:shd w:fill="17365D"/>
            <w:vAlign w:val="center"/>
          </w:tcPr>
          <w:p>
            <w:r>
              <w:rPr>
                <w:b/>
                <w:color w:val="FFFFFF"/>
                <w:sz w:val="16"/>
              </w:rPr>
              <w:t>Scenario record</w:t>
            </w:r>
          </w:p>
        </w:tc>
      </w:tr>
      <w:tr>
        <w:tc>
          <w:tcPr>
            <w:tcW w:type="dxa" w:w="2160"/>
            <w:vAlign w:val="top"/>
          </w:tcPr>
          <w:p>
            <w:r>
              <w:rPr>
                <w:sz w:val="16"/>
              </w:rPr>
              <w:t>Use case</w:t>
            </w:r>
          </w:p>
        </w:tc>
        <w:tc>
          <w:tcPr>
            <w:tcW w:type="dxa" w:w="8496"/>
            <w:vAlign w:val="top"/>
          </w:tcPr>
          <w:p>
            <w:r>
              <w:rPr>
                <w:sz w:val="16"/>
              </w:rPr>
              <w:t>RET-UC-004</w:t>
            </w:r>
          </w:p>
        </w:tc>
      </w:tr>
      <w:tr>
        <w:tc>
          <w:tcPr>
            <w:tcW w:type="dxa" w:w="2160"/>
            <w:vAlign w:val="top"/>
          </w:tcPr>
          <w:p>
            <w:r>
              <w:rPr>
                <w:sz w:val="16"/>
              </w:rPr>
              <w:t>Threat/failure</w:t>
            </w:r>
          </w:p>
        </w:tc>
        <w:tc>
          <w:tcPr>
            <w:tcW w:type="dxa" w:w="8496"/>
            <w:vAlign w:val="top"/>
          </w:tcPr>
          <w:p>
            <w:r>
              <w:rPr>
                <w:sz w:val="16"/>
              </w:rPr>
              <w:t>RET-THR-015</w:t>
            </w:r>
          </w:p>
        </w:tc>
      </w:tr>
      <w:tr>
        <w:tc>
          <w:tcPr>
            <w:tcW w:type="dxa" w:w="2160"/>
            <w:vAlign w:val="top"/>
          </w:tcPr>
          <w:p>
            <w:r>
              <w:rPr>
                <w:sz w:val="16"/>
              </w:rPr>
              <w:t>Context</w:t>
            </w:r>
          </w:p>
        </w:tc>
        <w:tc>
          <w:tcPr>
            <w:tcW w:type="dxa" w:w="8496"/>
            <w:vAlign w:val="top"/>
          </w:tcPr>
          <w:p>
            <w:r>
              <w:rPr>
                <w:sz w:val="16"/>
              </w:rPr>
              <w:t>Illustrative, non-vendor-specific retail scenario.</w:t>
            </w:r>
          </w:p>
        </w:tc>
      </w:tr>
      <w:tr>
        <w:tc>
          <w:tcPr>
            <w:tcW w:type="dxa" w:w="2160"/>
            <w:vAlign w:val="top"/>
          </w:tcPr>
          <w:p>
            <w:r>
              <w:rPr>
                <w:sz w:val="16"/>
              </w:rPr>
              <w:t>Likely control failures</w:t>
            </w:r>
          </w:p>
        </w:tc>
        <w:tc>
          <w:tcPr>
            <w:tcW w:type="dxa" w:w="8496"/>
            <w:vAlign w:val="top"/>
          </w:tcPr>
          <w:p>
            <w:r>
              <w:t>Controls linked to RET-UC-004 and RET-THR-015 were absent, ineffective or not evidenced in operation.</w:t>
            </w:r>
          </w:p>
        </w:tc>
      </w:tr>
      <w:tr>
        <w:tc>
          <w:tcPr>
            <w:tcW w:type="dxa" w:w="2160"/>
            <w:vAlign w:val="top"/>
          </w:tcPr>
          <w:p>
            <w:r>
              <w:rPr>
                <w:sz w:val="16"/>
              </w:rPr>
              <w:t>Detection</w:t>
            </w:r>
          </w:p>
        </w:tc>
        <w:tc>
          <w:tcPr>
            <w:tcW w:type="dxa" w:w="8496"/>
            <w:vAlign w:val="top"/>
          </w:tcPr>
          <w:p>
            <w:r>
              <w:t>Detect unusual coupon combinations, account clusters, rapid redemptions and margin anomalies.</w:t>
            </w:r>
          </w:p>
        </w:tc>
      </w:tr>
      <w:tr>
        <w:tc>
          <w:tcPr>
            <w:tcW w:type="dxa" w:w="2160"/>
            <w:vAlign w:val="top"/>
          </w:tcPr>
          <w:p>
            <w:r>
              <w:rPr>
                <w:sz w:val="16"/>
              </w:rPr>
              <w:t>Containment</w:t>
            </w:r>
          </w:p>
        </w:tc>
        <w:tc>
          <w:tcPr>
            <w:tcW w:type="dxa" w:w="8496"/>
            <w:vAlign w:val="top"/>
          </w:tcPr>
          <w:p>
            <w:r>
              <w:t>Disable the promotion rule, block abusive sessions, preserve transaction evidence and reissue corrected terms where needed.</w:t>
            </w:r>
          </w:p>
        </w:tc>
      </w:tr>
      <w:tr>
        <w:tc>
          <w:tcPr>
            <w:tcW w:type="dxa" w:w="2160"/>
            <w:vAlign w:val="top"/>
          </w:tcPr>
          <w:p>
            <w:r>
              <w:rPr>
                <w:sz w:val="16"/>
              </w:rPr>
              <w:t>Lesson</w:t>
            </w:r>
          </w:p>
        </w:tc>
        <w:tc>
          <w:tcPr>
            <w:tcW w:type="dxa" w:w="8496"/>
            <w:vAlign w:val="top"/>
          </w:tcPr>
          <w:p>
            <w:r>
              <w:t>Promotion optimisation and promotion enforcement must be separated and independently tested.</w:t>
            </w:r>
          </w:p>
        </w:tc>
      </w:tr>
      <w:tr>
        <w:tc>
          <w:tcPr>
            <w:tcW w:type="dxa" w:w="2160"/>
            <w:vAlign w:val="top"/>
          </w:tcPr>
          <w:p>
            <w:r>
              <w:rPr>
                <w:sz w:val="16"/>
              </w:rPr>
              <w:t>Notably Absent</w:t>
            </w:r>
          </w:p>
        </w:tc>
        <w:tc>
          <w:tcPr>
            <w:tcW w:type="dxa" w:w="8496"/>
            <w:vAlign w:val="top"/>
          </w:tcPr>
          <w:p>
            <w:r>
              <w:rPr>
                <w:sz w:val="16"/>
              </w:rPr>
              <w:t>This is not represented as a confirmed incident or prevalence estimate.</w:t>
            </w:r>
          </w:p>
        </w:tc>
      </w:tr>
      <w:tr>
        <w:tc>
          <w:tcPr>
            <w:tcW w:type="dxa" w:w="5184"/>
          </w:tcPr>
          <w:p>
            <w:r>
              <w:t>Recommended immediate action</w:t>
            </w:r>
          </w:p>
        </w:tc>
        <w:tc>
          <w:tcPr>
            <w:tcW w:type="dxa" w:w="5184"/>
          </w:tcPr>
          <w:p>
            <w:r>
              <w:t>Disable the promotion rule, block abusive sessions, preserve transaction evidence and reissue corrected terms where needed.</w:t>
            </w:r>
          </w:p>
        </w:tc>
      </w:tr>
    </w:tbl>
    <w:p/>
    <w:p>
      <w:pPr>
        <w:pStyle w:val="Heading2"/>
      </w:pPr>
      <w:r>
        <w:t>RET-SCN-005 - Self-checkout vision failure</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160"/>
            <w:shd w:fill="17365D"/>
            <w:vAlign w:val="center"/>
          </w:tcPr>
          <w:p>
            <w:r>
              <w:rPr>
                <w:b/>
                <w:color w:val="FFFFFF"/>
                <w:sz w:val="16"/>
              </w:rPr>
              <w:t>Field</w:t>
            </w:r>
          </w:p>
        </w:tc>
        <w:tc>
          <w:tcPr>
            <w:tcW w:type="dxa" w:w="8496"/>
            <w:shd w:fill="17365D"/>
            <w:vAlign w:val="center"/>
          </w:tcPr>
          <w:p>
            <w:r>
              <w:rPr>
                <w:b/>
                <w:color w:val="FFFFFF"/>
                <w:sz w:val="16"/>
              </w:rPr>
              <w:t>Scenario record</w:t>
            </w:r>
          </w:p>
        </w:tc>
      </w:tr>
      <w:tr>
        <w:tc>
          <w:tcPr>
            <w:tcW w:type="dxa" w:w="2160"/>
            <w:vAlign w:val="top"/>
          </w:tcPr>
          <w:p>
            <w:r>
              <w:rPr>
                <w:sz w:val="16"/>
              </w:rPr>
              <w:t>Use case</w:t>
            </w:r>
          </w:p>
        </w:tc>
        <w:tc>
          <w:tcPr>
            <w:tcW w:type="dxa" w:w="8496"/>
            <w:vAlign w:val="top"/>
          </w:tcPr>
          <w:p>
            <w:r>
              <w:rPr>
                <w:sz w:val="16"/>
              </w:rPr>
              <w:t>RET-UC-010</w:t>
            </w:r>
          </w:p>
        </w:tc>
      </w:tr>
      <w:tr>
        <w:tc>
          <w:tcPr>
            <w:tcW w:type="dxa" w:w="2160"/>
            <w:vAlign w:val="top"/>
          </w:tcPr>
          <w:p>
            <w:r>
              <w:rPr>
                <w:sz w:val="16"/>
              </w:rPr>
              <w:t>Threat/failure</w:t>
            </w:r>
          </w:p>
        </w:tc>
        <w:tc>
          <w:tcPr>
            <w:tcW w:type="dxa" w:w="8496"/>
            <w:vAlign w:val="top"/>
          </w:tcPr>
          <w:p>
            <w:r>
              <w:rPr>
                <w:sz w:val="16"/>
              </w:rPr>
              <w:t>RET-THR-024</w:t>
            </w:r>
          </w:p>
        </w:tc>
      </w:tr>
      <w:tr>
        <w:tc>
          <w:tcPr>
            <w:tcW w:type="dxa" w:w="2160"/>
            <w:vAlign w:val="top"/>
          </w:tcPr>
          <w:p>
            <w:r>
              <w:rPr>
                <w:sz w:val="16"/>
              </w:rPr>
              <w:t>Context</w:t>
            </w:r>
          </w:p>
        </w:tc>
        <w:tc>
          <w:tcPr>
            <w:tcW w:type="dxa" w:w="8496"/>
            <w:vAlign w:val="top"/>
          </w:tcPr>
          <w:p>
            <w:r>
              <w:rPr>
                <w:sz w:val="16"/>
              </w:rPr>
              <w:t>Illustrative, non-vendor-specific retail scenario.</w:t>
            </w:r>
          </w:p>
        </w:tc>
      </w:tr>
      <w:tr>
        <w:tc>
          <w:tcPr>
            <w:tcW w:type="dxa" w:w="2160"/>
            <w:vAlign w:val="top"/>
          </w:tcPr>
          <w:p>
            <w:r>
              <w:rPr>
                <w:sz w:val="16"/>
              </w:rPr>
              <w:t>Likely control failures</w:t>
            </w:r>
          </w:p>
        </w:tc>
        <w:tc>
          <w:tcPr>
            <w:tcW w:type="dxa" w:w="8496"/>
            <w:vAlign w:val="top"/>
          </w:tcPr>
          <w:p>
            <w:r>
              <w:t>Controls linked to RET-UC-010 and RET-THR-024 were absent, ineffective or not evidenced in operation.</w:t>
            </w:r>
          </w:p>
        </w:tc>
      </w:tr>
      <w:tr>
        <w:tc>
          <w:tcPr>
            <w:tcW w:type="dxa" w:w="2160"/>
            <w:vAlign w:val="top"/>
          </w:tcPr>
          <w:p>
            <w:r>
              <w:rPr>
                <w:sz w:val="16"/>
              </w:rPr>
              <w:t>Detection</w:t>
            </w:r>
          </w:p>
        </w:tc>
        <w:tc>
          <w:tcPr>
            <w:tcW w:type="dxa" w:w="8496"/>
            <w:vAlign w:val="top"/>
          </w:tcPr>
          <w:p>
            <w:r>
              <w:t>Monitor mismatch between vision events, scanned items, weight sensors, payment events and staff overrides.</w:t>
            </w:r>
          </w:p>
        </w:tc>
      </w:tr>
      <w:tr>
        <w:tc>
          <w:tcPr>
            <w:tcW w:type="dxa" w:w="2160"/>
            <w:vAlign w:val="top"/>
          </w:tcPr>
          <w:p>
            <w:r>
              <w:rPr>
                <w:sz w:val="16"/>
              </w:rPr>
              <w:t>Containment</w:t>
            </w:r>
          </w:p>
        </w:tc>
        <w:tc>
          <w:tcPr>
            <w:tcW w:type="dxa" w:w="8496"/>
            <w:vAlign w:val="top"/>
          </w:tcPr>
          <w:p>
            <w:r>
              <w:t>Place lanes in assisted mode, isolate the failing model/device and preserve video and sensor logs before recalibration.</w:t>
            </w:r>
          </w:p>
        </w:tc>
      </w:tr>
      <w:tr>
        <w:tc>
          <w:tcPr>
            <w:tcW w:type="dxa" w:w="2160"/>
            <w:vAlign w:val="top"/>
          </w:tcPr>
          <w:p>
            <w:r>
              <w:rPr>
                <w:sz w:val="16"/>
              </w:rPr>
              <w:t>Lesson</w:t>
            </w:r>
          </w:p>
        </w:tc>
        <w:tc>
          <w:tcPr>
            <w:tcW w:type="dxa" w:w="8496"/>
            <w:vAlign w:val="top"/>
          </w:tcPr>
          <w:p>
            <w:r>
              <w:t>Store vision controls need tested human fallback during peak operations.</w:t>
            </w:r>
          </w:p>
        </w:tc>
      </w:tr>
      <w:tr>
        <w:tc>
          <w:tcPr>
            <w:tcW w:type="dxa" w:w="2160"/>
            <w:vAlign w:val="top"/>
          </w:tcPr>
          <w:p>
            <w:r>
              <w:rPr>
                <w:sz w:val="16"/>
              </w:rPr>
              <w:t>Notably Absent</w:t>
            </w:r>
          </w:p>
        </w:tc>
        <w:tc>
          <w:tcPr>
            <w:tcW w:type="dxa" w:w="8496"/>
            <w:vAlign w:val="top"/>
          </w:tcPr>
          <w:p>
            <w:r>
              <w:rPr>
                <w:sz w:val="16"/>
              </w:rPr>
              <w:t>This is not represented as a confirmed incident or prevalence estimate.</w:t>
            </w:r>
          </w:p>
        </w:tc>
      </w:tr>
      <w:tr>
        <w:tc>
          <w:tcPr>
            <w:tcW w:type="dxa" w:w="5184"/>
          </w:tcPr>
          <w:p>
            <w:r>
              <w:t>Recommended immediate action</w:t>
            </w:r>
          </w:p>
        </w:tc>
        <w:tc>
          <w:tcPr>
            <w:tcW w:type="dxa" w:w="5184"/>
          </w:tcPr>
          <w:p>
            <w:r>
              <w:t>Place lanes in assisted mode, isolate the failing model/device and preserve video and sensor logs before recalibration.</w:t>
            </w:r>
          </w:p>
        </w:tc>
      </w:tr>
    </w:tbl>
    <w:p/>
    <w:p>
      <w:pPr>
        <w:pStyle w:val="Heading2"/>
      </w:pPr>
      <w:r>
        <w:t>RET-SCN-006 - Facial-recognition false match</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160"/>
            <w:shd w:fill="17365D"/>
            <w:vAlign w:val="center"/>
          </w:tcPr>
          <w:p>
            <w:r>
              <w:rPr>
                <w:b/>
                <w:color w:val="FFFFFF"/>
                <w:sz w:val="16"/>
              </w:rPr>
              <w:t>Field</w:t>
            </w:r>
          </w:p>
        </w:tc>
        <w:tc>
          <w:tcPr>
            <w:tcW w:type="dxa" w:w="8496"/>
            <w:shd w:fill="17365D"/>
            <w:vAlign w:val="center"/>
          </w:tcPr>
          <w:p>
            <w:r>
              <w:rPr>
                <w:b/>
                <w:color w:val="FFFFFF"/>
                <w:sz w:val="16"/>
              </w:rPr>
              <w:t>Scenario record</w:t>
            </w:r>
          </w:p>
        </w:tc>
      </w:tr>
      <w:tr>
        <w:tc>
          <w:tcPr>
            <w:tcW w:type="dxa" w:w="2160"/>
            <w:vAlign w:val="top"/>
          </w:tcPr>
          <w:p>
            <w:r>
              <w:rPr>
                <w:sz w:val="16"/>
              </w:rPr>
              <w:t>Use case</w:t>
            </w:r>
          </w:p>
        </w:tc>
        <w:tc>
          <w:tcPr>
            <w:tcW w:type="dxa" w:w="8496"/>
            <w:vAlign w:val="top"/>
          </w:tcPr>
          <w:p>
            <w:r>
              <w:rPr>
                <w:sz w:val="16"/>
              </w:rPr>
              <w:t>RET-UC-020</w:t>
            </w:r>
          </w:p>
        </w:tc>
      </w:tr>
      <w:tr>
        <w:tc>
          <w:tcPr>
            <w:tcW w:type="dxa" w:w="2160"/>
            <w:vAlign w:val="top"/>
          </w:tcPr>
          <w:p>
            <w:r>
              <w:rPr>
                <w:sz w:val="16"/>
              </w:rPr>
              <w:t>Threat/failure</w:t>
            </w:r>
          </w:p>
        </w:tc>
        <w:tc>
          <w:tcPr>
            <w:tcW w:type="dxa" w:w="8496"/>
            <w:vAlign w:val="top"/>
          </w:tcPr>
          <w:p>
            <w:r>
              <w:rPr>
                <w:sz w:val="16"/>
              </w:rPr>
              <w:t>RET-THR-022</w:t>
            </w:r>
          </w:p>
        </w:tc>
      </w:tr>
      <w:tr>
        <w:tc>
          <w:tcPr>
            <w:tcW w:type="dxa" w:w="2160"/>
            <w:vAlign w:val="top"/>
          </w:tcPr>
          <w:p>
            <w:r>
              <w:rPr>
                <w:sz w:val="16"/>
              </w:rPr>
              <w:t>Context</w:t>
            </w:r>
          </w:p>
        </w:tc>
        <w:tc>
          <w:tcPr>
            <w:tcW w:type="dxa" w:w="8496"/>
            <w:vAlign w:val="top"/>
          </w:tcPr>
          <w:p>
            <w:r>
              <w:rPr>
                <w:sz w:val="16"/>
              </w:rPr>
              <w:t>Illustrative, non-vendor-specific retail scenario.</w:t>
            </w:r>
          </w:p>
        </w:tc>
      </w:tr>
      <w:tr>
        <w:tc>
          <w:tcPr>
            <w:tcW w:type="dxa" w:w="2160"/>
            <w:vAlign w:val="top"/>
          </w:tcPr>
          <w:p>
            <w:r>
              <w:rPr>
                <w:sz w:val="16"/>
              </w:rPr>
              <w:t>Likely control failures</w:t>
            </w:r>
          </w:p>
        </w:tc>
        <w:tc>
          <w:tcPr>
            <w:tcW w:type="dxa" w:w="8496"/>
            <w:vAlign w:val="top"/>
          </w:tcPr>
          <w:p>
            <w:r>
              <w:t>Controls linked to RET-UC-020 and RET-THR-022 were absent, ineffective or not evidenced in operation.</w:t>
            </w:r>
          </w:p>
        </w:tc>
      </w:tr>
      <w:tr>
        <w:tc>
          <w:tcPr>
            <w:tcW w:type="dxa" w:w="2160"/>
            <w:vAlign w:val="top"/>
          </w:tcPr>
          <w:p>
            <w:r>
              <w:rPr>
                <w:sz w:val="16"/>
              </w:rPr>
              <w:t>Detection</w:t>
            </w:r>
          </w:p>
        </w:tc>
        <w:tc>
          <w:tcPr>
            <w:tcW w:type="dxa" w:w="8496"/>
            <w:vAlign w:val="top"/>
          </w:tcPr>
          <w:p>
            <w:r>
              <w:t>Track match confidence, demographic/environmental performance and intervention outcomes; investigate complaints immediately.</w:t>
            </w:r>
          </w:p>
        </w:tc>
      </w:tr>
      <w:tr>
        <w:tc>
          <w:tcPr>
            <w:tcW w:type="dxa" w:w="2160"/>
            <w:vAlign w:val="top"/>
          </w:tcPr>
          <w:p>
            <w:r>
              <w:rPr>
                <w:sz w:val="16"/>
              </w:rPr>
              <w:t>Containment</w:t>
            </w:r>
          </w:p>
        </w:tc>
        <w:tc>
          <w:tcPr>
            <w:tcW w:type="dxa" w:w="8496"/>
            <w:vAlign w:val="top"/>
          </w:tcPr>
          <w:p>
            <w:r>
              <w:t>Stop automated matching, prevent enforcement action, preserve evidence and route the event to authorised manual review.</w:t>
            </w:r>
          </w:p>
        </w:tc>
      </w:tr>
      <w:tr>
        <w:tc>
          <w:tcPr>
            <w:tcW w:type="dxa" w:w="2160"/>
            <w:vAlign w:val="top"/>
          </w:tcPr>
          <w:p>
            <w:r>
              <w:rPr>
                <w:sz w:val="16"/>
              </w:rPr>
              <w:t>Lesson</w:t>
            </w:r>
          </w:p>
        </w:tc>
        <w:tc>
          <w:tcPr>
            <w:tcW w:type="dxa" w:w="8496"/>
            <w:vAlign w:val="top"/>
          </w:tcPr>
          <w:p>
            <w:r>
              <w:t>A biometric alert is an investigative signal, not proof of identity.</w:t>
            </w:r>
          </w:p>
        </w:tc>
      </w:tr>
      <w:tr>
        <w:tc>
          <w:tcPr>
            <w:tcW w:type="dxa" w:w="2160"/>
            <w:vAlign w:val="top"/>
          </w:tcPr>
          <w:p>
            <w:r>
              <w:rPr>
                <w:sz w:val="16"/>
              </w:rPr>
              <w:t>Notably Absent</w:t>
            </w:r>
          </w:p>
        </w:tc>
        <w:tc>
          <w:tcPr>
            <w:tcW w:type="dxa" w:w="8496"/>
            <w:vAlign w:val="top"/>
          </w:tcPr>
          <w:p>
            <w:r>
              <w:rPr>
                <w:sz w:val="16"/>
              </w:rPr>
              <w:t>This is not represented as a confirmed incident or prevalence estimate.</w:t>
            </w:r>
          </w:p>
        </w:tc>
      </w:tr>
      <w:tr>
        <w:tc>
          <w:tcPr>
            <w:tcW w:type="dxa" w:w="5184"/>
          </w:tcPr>
          <w:p>
            <w:r>
              <w:t>Recommended immediate action</w:t>
            </w:r>
          </w:p>
        </w:tc>
        <w:tc>
          <w:tcPr>
            <w:tcW w:type="dxa" w:w="5184"/>
          </w:tcPr>
          <w:p>
            <w:r>
              <w:t>Stop automated matching, prevent enforcement action, preserve evidence and route the event to authorised manual review.</w:t>
            </w:r>
          </w:p>
        </w:tc>
      </w:tr>
    </w:tbl>
    <w:p/>
    <w:p>
      <w:pPr>
        <w:pStyle w:val="Heading2"/>
      </w:pPr>
      <w:r>
        <w:t>RET-SCN-007 - Returns model false positive</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160"/>
            <w:shd w:fill="17365D"/>
            <w:vAlign w:val="center"/>
          </w:tcPr>
          <w:p>
            <w:r>
              <w:rPr>
                <w:b/>
                <w:color w:val="FFFFFF"/>
                <w:sz w:val="16"/>
              </w:rPr>
              <w:t>Field</w:t>
            </w:r>
          </w:p>
        </w:tc>
        <w:tc>
          <w:tcPr>
            <w:tcW w:type="dxa" w:w="8496"/>
            <w:shd w:fill="17365D"/>
            <w:vAlign w:val="center"/>
          </w:tcPr>
          <w:p>
            <w:r>
              <w:rPr>
                <w:b/>
                <w:color w:val="FFFFFF"/>
                <w:sz w:val="16"/>
              </w:rPr>
              <w:t>Scenario record</w:t>
            </w:r>
          </w:p>
        </w:tc>
      </w:tr>
      <w:tr>
        <w:tc>
          <w:tcPr>
            <w:tcW w:type="dxa" w:w="2160"/>
            <w:vAlign w:val="top"/>
          </w:tcPr>
          <w:p>
            <w:r>
              <w:rPr>
                <w:sz w:val="16"/>
              </w:rPr>
              <w:t>Use case</w:t>
            </w:r>
          </w:p>
        </w:tc>
        <w:tc>
          <w:tcPr>
            <w:tcW w:type="dxa" w:w="8496"/>
            <w:vAlign w:val="top"/>
          </w:tcPr>
          <w:p>
            <w:r>
              <w:rPr>
                <w:sz w:val="16"/>
              </w:rPr>
              <w:t>RET-UC-025</w:t>
            </w:r>
          </w:p>
        </w:tc>
      </w:tr>
      <w:tr>
        <w:tc>
          <w:tcPr>
            <w:tcW w:type="dxa" w:w="2160"/>
            <w:vAlign w:val="top"/>
          </w:tcPr>
          <w:p>
            <w:r>
              <w:rPr>
                <w:sz w:val="16"/>
              </w:rPr>
              <w:t>Threat/failure</w:t>
            </w:r>
          </w:p>
        </w:tc>
        <w:tc>
          <w:tcPr>
            <w:tcW w:type="dxa" w:w="8496"/>
            <w:vAlign w:val="top"/>
          </w:tcPr>
          <w:p>
            <w:r>
              <w:rPr>
                <w:sz w:val="16"/>
              </w:rPr>
              <w:t>RET-THR-016</w:t>
            </w:r>
          </w:p>
        </w:tc>
      </w:tr>
      <w:tr>
        <w:tc>
          <w:tcPr>
            <w:tcW w:type="dxa" w:w="2160"/>
            <w:vAlign w:val="top"/>
          </w:tcPr>
          <w:p>
            <w:r>
              <w:rPr>
                <w:sz w:val="16"/>
              </w:rPr>
              <w:t>Context</w:t>
            </w:r>
          </w:p>
        </w:tc>
        <w:tc>
          <w:tcPr>
            <w:tcW w:type="dxa" w:w="8496"/>
            <w:vAlign w:val="top"/>
          </w:tcPr>
          <w:p>
            <w:r>
              <w:rPr>
                <w:sz w:val="16"/>
              </w:rPr>
              <w:t>Illustrative, non-vendor-specific retail scenario.</w:t>
            </w:r>
          </w:p>
        </w:tc>
      </w:tr>
      <w:tr>
        <w:tc>
          <w:tcPr>
            <w:tcW w:type="dxa" w:w="2160"/>
            <w:vAlign w:val="top"/>
          </w:tcPr>
          <w:p>
            <w:r>
              <w:rPr>
                <w:sz w:val="16"/>
              </w:rPr>
              <w:t>Likely control failures</w:t>
            </w:r>
          </w:p>
        </w:tc>
        <w:tc>
          <w:tcPr>
            <w:tcW w:type="dxa" w:w="8496"/>
            <w:vAlign w:val="top"/>
          </w:tcPr>
          <w:p>
            <w:r>
              <w:t>Controls linked to RET-UC-025 and RET-THR-016 were absent, ineffective or not evidenced in operation.</w:t>
            </w:r>
          </w:p>
        </w:tc>
      </w:tr>
      <w:tr>
        <w:tc>
          <w:tcPr>
            <w:tcW w:type="dxa" w:w="2160"/>
            <w:vAlign w:val="top"/>
          </w:tcPr>
          <w:p>
            <w:r>
              <w:rPr>
                <w:sz w:val="16"/>
              </w:rPr>
              <w:t>Detection</w:t>
            </w:r>
          </w:p>
        </w:tc>
        <w:tc>
          <w:tcPr>
            <w:tcW w:type="dxa" w:w="8496"/>
            <w:vAlign w:val="top"/>
          </w:tcPr>
          <w:p>
            <w:r>
              <w:t>Analyse appeal reversals, customer complaints, cohort disparities and sudden threshold changes.</w:t>
            </w:r>
          </w:p>
        </w:tc>
      </w:tr>
      <w:tr>
        <w:tc>
          <w:tcPr>
            <w:tcW w:type="dxa" w:w="2160"/>
            <w:vAlign w:val="top"/>
          </w:tcPr>
          <w:p>
            <w:r>
              <w:rPr>
                <w:sz w:val="16"/>
              </w:rPr>
              <w:t>Containment</w:t>
            </w:r>
          </w:p>
        </w:tc>
        <w:tc>
          <w:tcPr>
            <w:tcW w:type="dxa" w:w="8496"/>
            <w:vAlign w:val="top"/>
          </w:tcPr>
          <w:p>
            <w:r>
              <w:t>Pause automated denial, permit manual returns review, restore wrongly affected accounts and recalibrate only after impact analysis.</w:t>
            </w:r>
          </w:p>
        </w:tc>
      </w:tr>
      <w:tr>
        <w:tc>
          <w:tcPr>
            <w:tcW w:type="dxa" w:w="2160"/>
            <w:vAlign w:val="top"/>
          </w:tcPr>
          <w:p>
            <w:r>
              <w:rPr>
                <w:sz w:val="16"/>
              </w:rPr>
              <w:t>Lesson</w:t>
            </w:r>
          </w:p>
        </w:tc>
        <w:tc>
          <w:tcPr>
            <w:tcW w:type="dxa" w:w="8496"/>
            <w:vAlign w:val="top"/>
          </w:tcPr>
          <w:p>
            <w:r>
              <w:t>Fraud loss reduction does not justify unreviewable customer decisions.</w:t>
            </w:r>
          </w:p>
        </w:tc>
      </w:tr>
      <w:tr>
        <w:tc>
          <w:tcPr>
            <w:tcW w:type="dxa" w:w="2160"/>
            <w:vAlign w:val="top"/>
          </w:tcPr>
          <w:p>
            <w:r>
              <w:rPr>
                <w:sz w:val="16"/>
              </w:rPr>
              <w:t>Notably Absent</w:t>
            </w:r>
          </w:p>
        </w:tc>
        <w:tc>
          <w:tcPr>
            <w:tcW w:type="dxa" w:w="8496"/>
            <w:vAlign w:val="top"/>
          </w:tcPr>
          <w:p>
            <w:r>
              <w:rPr>
                <w:sz w:val="16"/>
              </w:rPr>
              <w:t>This is not represented as a confirmed incident or prevalence estimate.</w:t>
            </w:r>
          </w:p>
        </w:tc>
      </w:tr>
      <w:tr>
        <w:tc>
          <w:tcPr>
            <w:tcW w:type="dxa" w:w="5184"/>
          </w:tcPr>
          <w:p>
            <w:r>
              <w:t>Recommended immediate action</w:t>
            </w:r>
          </w:p>
        </w:tc>
        <w:tc>
          <w:tcPr>
            <w:tcW w:type="dxa" w:w="5184"/>
          </w:tcPr>
          <w:p>
            <w:r>
              <w:t>Pause automated denial, permit manual returns review, restore wrongly affected accounts and recalibrate only after impact analysis.</w:t>
            </w:r>
          </w:p>
        </w:tc>
      </w:tr>
    </w:tbl>
    <w:p/>
    <w:p>
      <w:pPr>
        <w:pStyle w:val="Heading2"/>
      </w:pPr>
      <w:r>
        <w:t>RET-SCN-008 - Inventory forecast poisoning</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160"/>
            <w:shd w:fill="17365D"/>
            <w:vAlign w:val="center"/>
          </w:tcPr>
          <w:p>
            <w:r>
              <w:rPr>
                <w:b/>
                <w:color w:val="FFFFFF"/>
                <w:sz w:val="16"/>
              </w:rPr>
              <w:t>Field</w:t>
            </w:r>
          </w:p>
        </w:tc>
        <w:tc>
          <w:tcPr>
            <w:tcW w:type="dxa" w:w="8496"/>
            <w:shd w:fill="17365D"/>
            <w:vAlign w:val="center"/>
          </w:tcPr>
          <w:p>
            <w:r>
              <w:rPr>
                <w:b/>
                <w:color w:val="FFFFFF"/>
                <w:sz w:val="16"/>
              </w:rPr>
              <w:t>Scenario record</w:t>
            </w:r>
          </w:p>
        </w:tc>
      </w:tr>
      <w:tr>
        <w:tc>
          <w:tcPr>
            <w:tcW w:type="dxa" w:w="2160"/>
            <w:vAlign w:val="top"/>
          </w:tcPr>
          <w:p>
            <w:r>
              <w:rPr>
                <w:sz w:val="16"/>
              </w:rPr>
              <w:t>Use case</w:t>
            </w:r>
          </w:p>
        </w:tc>
        <w:tc>
          <w:tcPr>
            <w:tcW w:type="dxa" w:w="8496"/>
            <w:vAlign w:val="top"/>
          </w:tcPr>
          <w:p>
            <w:r>
              <w:rPr>
                <w:sz w:val="16"/>
              </w:rPr>
              <w:t>RET-UC-005</w:t>
            </w:r>
          </w:p>
        </w:tc>
      </w:tr>
      <w:tr>
        <w:tc>
          <w:tcPr>
            <w:tcW w:type="dxa" w:w="2160"/>
            <w:vAlign w:val="top"/>
          </w:tcPr>
          <w:p>
            <w:r>
              <w:rPr>
                <w:sz w:val="16"/>
              </w:rPr>
              <w:t>Threat/failure</w:t>
            </w:r>
          </w:p>
        </w:tc>
        <w:tc>
          <w:tcPr>
            <w:tcW w:type="dxa" w:w="8496"/>
            <w:vAlign w:val="top"/>
          </w:tcPr>
          <w:p>
            <w:r>
              <w:rPr>
                <w:sz w:val="16"/>
              </w:rPr>
              <w:t>RET-THR-001</w:t>
            </w:r>
          </w:p>
        </w:tc>
      </w:tr>
      <w:tr>
        <w:tc>
          <w:tcPr>
            <w:tcW w:type="dxa" w:w="2160"/>
            <w:vAlign w:val="top"/>
          </w:tcPr>
          <w:p>
            <w:r>
              <w:rPr>
                <w:sz w:val="16"/>
              </w:rPr>
              <w:t>Context</w:t>
            </w:r>
          </w:p>
        </w:tc>
        <w:tc>
          <w:tcPr>
            <w:tcW w:type="dxa" w:w="8496"/>
            <w:vAlign w:val="top"/>
          </w:tcPr>
          <w:p>
            <w:r>
              <w:rPr>
                <w:sz w:val="16"/>
              </w:rPr>
              <w:t>Illustrative, non-vendor-specific retail scenario.</w:t>
            </w:r>
          </w:p>
        </w:tc>
      </w:tr>
      <w:tr>
        <w:tc>
          <w:tcPr>
            <w:tcW w:type="dxa" w:w="2160"/>
            <w:vAlign w:val="top"/>
          </w:tcPr>
          <w:p>
            <w:r>
              <w:rPr>
                <w:sz w:val="16"/>
              </w:rPr>
              <w:t>Likely control failures</w:t>
            </w:r>
          </w:p>
        </w:tc>
        <w:tc>
          <w:tcPr>
            <w:tcW w:type="dxa" w:w="8496"/>
            <w:vAlign w:val="top"/>
          </w:tcPr>
          <w:p>
            <w:r>
              <w:t>Controls linked to RET-UC-005 and RET-THR-001 were absent, ineffective or not evidenced in operation.</w:t>
            </w:r>
          </w:p>
        </w:tc>
      </w:tr>
      <w:tr>
        <w:tc>
          <w:tcPr>
            <w:tcW w:type="dxa" w:w="2160"/>
            <w:vAlign w:val="top"/>
          </w:tcPr>
          <w:p>
            <w:r>
              <w:rPr>
                <w:sz w:val="16"/>
              </w:rPr>
              <w:t>Detection</w:t>
            </w:r>
          </w:p>
        </w:tc>
        <w:tc>
          <w:tcPr>
            <w:tcW w:type="dxa" w:w="8496"/>
            <w:vAlign w:val="top"/>
          </w:tcPr>
          <w:p>
            <w:r>
              <w:t>Compare supplier/store submissions, forecast residuals and peer-location updates for abnormal influence.</w:t>
            </w:r>
          </w:p>
        </w:tc>
      </w:tr>
      <w:tr>
        <w:tc>
          <w:tcPr>
            <w:tcW w:type="dxa" w:w="2160"/>
            <w:vAlign w:val="top"/>
          </w:tcPr>
          <w:p>
            <w:r>
              <w:rPr>
                <w:sz w:val="16"/>
              </w:rPr>
              <w:t>Containment</w:t>
            </w:r>
          </w:p>
        </w:tc>
        <w:tc>
          <w:tcPr>
            <w:tcW w:type="dxa" w:w="8496"/>
            <w:vAlign w:val="top"/>
          </w:tcPr>
          <w:p>
            <w:r>
              <w:t>Quarantine suspect data or model updates, rerun the forecast from a trusted baseline and review resulting orders.</w:t>
            </w:r>
          </w:p>
        </w:tc>
      </w:tr>
      <w:tr>
        <w:tc>
          <w:tcPr>
            <w:tcW w:type="dxa" w:w="2160"/>
            <w:vAlign w:val="top"/>
          </w:tcPr>
          <w:p>
            <w:r>
              <w:rPr>
                <w:sz w:val="16"/>
              </w:rPr>
              <w:t>Lesson</w:t>
            </w:r>
          </w:p>
        </w:tc>
        <w:tc>
          <w:tcPr>
            <w:tcW w:type="dxa" w:w="8496"/>
            <w:vAlign w:val="top"/>
          </w:tcPr>
          <w:p>
            <w:r>
              <w:t>Forecast provenance must cover local and supplier-originated updates.</w:t>
            </w:r>
          </w:p>
        </w:tc>
      </w:tr>
      <w:tr>
        <w:tc>
          <w:tcPr>
            <w:tcW w:type="dxa" w:w="2160"/>
            <w:vAlign w:val="top"/>
          </w:tcPr>
          <w:p>
            <w:r>
              <w:rPr>
                <w:sz w:val="16"/>
              </w:rPr>
              <w:t>Notably Absent</w:t>
            </w:r>
          </w:p>
        </w:tc>
        <w:tc>
          <w:tcPr>
            <w:tcW w:type="dxa" w:w="8496"/>
            <w:vAlign w:val="top"/>
          </w:tcPr>
          <w:p>
            <w:r>
              <w:rPr>
                <w:sz w:val="16"/>
              </w:rPr>
              <w:t>This is not represented as a confirmed incident or prevalence estimate.</w:t>
            </w:r>
          </w:p>
        </w:tc>
      </w:tr>
      <w:tr>
        <w:tc>
          <w:tcPr>
            <w:tcW w:type="dxa" w:w="5184"/>
          </w:tcPr>
          <w:p>
            <w:r>
              <w:t>Recommended immediate action</w:t>
            </w:r>
          </w:p>
        </w:tc>
        <w:tc>
          <w:tcPr>
            <w:tcW w:type="dxa" w:w="5184"/>
          </w:tcPr>
          <w:p>
            <w:r>
              <w:t>Quarantine suspect data or model updates, rerun the forecast from a trusted baseline and review resulting orders.</w:t>
            </w:r>
          </w:p>
        </w:tc>
      </w:tr>
    </w:tbl>
    <w:p/>
    <w:p>
      <w:pPr>
        <w:pStyle w:val="Heading2"/>
      </w:pPr>
      <w:r>
        <w:t>RET-SCN-009 - Third-party chatbot data leakage</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160"/>
            <w:shd w:fill="17365D"/>
            <w:vAlign w:val="center"/>
          </w:tcPr>
          <w:p>
            <w:r>
              <w:rPr>
                <w:b/>
                <w:color w:val="FFFFFF"/>
                <w:sz w:val="16"/>
              </w:rPr>
              <w:t>Field</w:t>
            </w:r>
          </w:p>
        </w:tc>
        <w:tc>
          <w:tcPr>
            <w:tcW w:type="dxa" w:w="8496"/>
            <w:shd w:fill="17365D"/>
            <w:vAlign w:val="center"/>
          </w:tcPr>
          <w:p>
            <w:r>
              <w:rPr>
                <w:b/>
                <w:color w:val="FFFFFF"/>
                <w:sz w:val="16"/>
              </w:rPr>
              <w:t>Scenario record</w:t>
            </w:r>
          </w:p>
        </w:tc>
      </w:tr>
      <w:tr>
        <w:tc>
          <w:tcPr>
            <w:tcW w:type="dxa" w:w="2160"/>
            <w:vAlign w:val="top"/>
          </w:tcPr>
          <w:p>
            <w:r>
              <w:rPr>
                <w:sz w:val="16"/>
              </w:rPr>
              <w:t>Use case</w:t>
            </w:r>
          </w:p>
        </w:tc>
        <w:tc>
          <w:tcPr>
            <w:tcW w:type="dxa" w:w="8496"/>
            <w:vAlign w:val="top"/>
          </w:tcPr>
          <w:p>
            <w:r>
              <w:rPr>
                <w:sz w:val="16"/>
              </w:rPr>
              <w:t>RET-UC-014</w:t>
            </w:r>
          </w:p>
        </w:tc>
      </w:tr>
      <w:tr>
        <w:tc>
          <w:tcPr>
            <w:tcW w:type="dxa" w:w="2160"/>
            <w:vAlign w:val="top"/>
          </w:tcPr>
          <w:p>
            <w:r>
              <w:rPr>
                <w:sz w:val="16"/>
              </w:rPr>
              <w:t>Threat/failure</w:t>
            </w:r>
          </w:p>
        </w:tc>
        <w:tc>
          <w:tcPr>
            <w:tcW w:type="dxa" w:w="8496"/>
            <w:vAlign w:val="top"/>
          </w:tcPr>
          <w:p>
            <w:r>
              <w:rPr>
                <w:sz w:val="16"/>
              </w:rPr>
              <w:t>RET-THR-035</w:t>
            </w:r>
          </w:p>
        </w:tc>
      </w:tr>
      <w:tr>
        <w:tc>
          <w:tcPr>
            <w:tcW w:type="dxa" w:w="2160"/>
            <w:vAlign w:val="top"/>
          </w:tcPr>
          <w:p>
            <w:r>
              <w:rPr>
                <w:sz w:val="16"/>
              </w:rPr>
              <w:t>Context</w:t>
            </w:r>
          </w:p>
        </w:tc>
        <w:tc>
          <w:tcPr>
            <w:tcW w:type="dxa" w:w="8496"/>
            <w:vAlign w:val="top"/>
          </w:tcPr>
          <w:p>
            <w:r>
              <w:rPr>
                <w:sz w:val="16"/>
              </w:rPr>
              <w:t>Illustrative, non-vendor-specific retail scenario.</w:t>
            </w:r>
          </w:p>
        </w:tc>
      </w:tr>
      <w:tr>
        <w:tc>
          <w:tcPr>
            <w:tcW w:type="dxa" w:w="2160"/>
            <w:vAlign w:val="top"/>
          </w:tcPr>
          <w:p>
            <w:r>
              <w:rPr>
                <w:sz w:val="16"/>
              </w:rPr>
              <w:t>Likely control failures</w:t>
            </w:r>
          </w:p>
        </w:tc>
        <w:tc>
          <w:tcPr>
            <w:tcW w:type="dxa" w:w="8496"/>
            <w:vAlign w:val="top"/>
          </w:tcPr>
          <w:p>
            <w:r>
              <w:t>Controls linked to RET-UC-014 and RET-THR-035 were absent, ineffective or not evidenced in operation.</w:t>
            </w:r>
          </w:p>
        </w:tc>
      </w:tr>
      <w:tr>
        <w:tc>
          <w:tcPr>
            <w:tcW w:type="dxa" w:w="2160"/>
            <w:vAlign w:val="top"/>
          </w:tcPr>
          <w:p>
            <w:r>
              <w:rPr>
                <w:sz w:val="16"/>
              </w:rPr>
              <w:t>Detection</w:t>
            </w:r>
          </w:p>
        </w:tc>
        <w:tc>
          <w:tcPr>
            <w:tcW w:type="dxa" w:w="8496"/>
            <w:vAlign w:val="top"/>
          </w:tcPr>
          <w:p>
            <w:r>
              <w:t>Use data-loss alerts, prompt/output sampling and provider logs to identify sensitive fields leaving the approved boundary.</w:t>
            </w:r>
          </w:p>
        </w:tc>
      </w:tr>
      <w:tr>
        <w:tc>
          <w:tcPr>
            <w:tcW w:type="dxa" w:w="2160"/>
            <w:vAlign w:val="top"/>
          </w:tcPr>
          <w:p>
            <w:r>
              <w:rPr>
                <w:sz w:val="16"/>
              </w:rPr>
              <w:t>Containment</w:t>
            </w:r>
          </w:p>
        </w:tc>
        <w:tc>
          <w:tcPr>
            <w:tcW w:type="dxa" w:w="8496"/>
            <w:vAlign w:val="top"/>
          </w:tcPr>
          <w:p>
            <w:r>
              <w:t>Disable the integration, revoke credentials, request provider preservation/deletion evidence and assess affected customers.</w:t>
            </w:r>
          </w:p>
        </w:tc>
      </w:tr>
      <w:tr>
        <w:tc>
          <w:tcPr>
            <w:tcW w:type="dxa" w:w="2160"/>
            <w:vAlign w:val="top"/>
          </w:tcPr>
          <w:p>
            <w:r>
              <w:rPr>
                <w:sz w:val="16"/>
              </w:rPr>
              <w:t>Lesson</w:t>
            </w:r>
          </w:p>
        </w:tc>
        <w:tc>
          <w:tcPr>
            <w:tcW w:type="dxa" w:w="8496"/>
            <w:vAlign w:val="top"/>
          </w:tcPr>
          <w:p>
            <w:r>
              <w:t>Chatbot privacy depends on upstream retrieval and provider data-use controls.</w:t>
            </w:r>
          </w:p>
        </w:tc>
      </w:tr>
      <w:tr>
        <w:tc>
          <w:tcPr>
            <w:tcW w:type="dxa" w:w="2160"/>
            <w:vAlign w:val="top"/>
          </w:tcPr>
          <w:p>
            <w:r>
              <w:rPr>
                <w:sz w:val="16"/>
              </w:rPr>
              <w:t>Notably Absent</w:t>
            </w:r>
          </w:p>
        </w:tc>
        <w:tc>
          <w:tcPr>
            <w:tcW w:type="dxa" w:w="8496"/>
            <w:vAlign w:val="top"/>
          </w:tcPr>
          <w:p>
            <w:r>
              <w:rPr>
                <w:sz w:val="16"/>
              </w:rPr>
              <w:t>This is not represented as a confirmed incident or prevalence estimate.</w:t>
            </w:r>
          </w:p>
        </w:tc>
      </w:tr>
      <w:tr>
        <w:tc>
          <w:tcPr>
            <w:tcW w:type="dxa" w:w="5184"/>
          </w:tcPr>
          <w:p>
            <w:r>
              <w:t>Recommended immediate action</w:t>
            </w:r>
          </w:p>
        </w:tc>
        <w:tc>
          <w:tcPr>
            <w:tcW w:type="dxa" w:w="5184"/>
          </w:tcPr>
          <w:p>
            <w:r>
              <w:t>Disable the integration, revoke credentials, request provider preservation/deletion evidence and assess affected customers.</w:t>
            </w:r>
          </w:p>
        </w:tc>
      </w:tr>
    </w:tbl>
    <w:p/>
    <w:p>
      <w:pPr>
        <w:pStyle w:val="Heading2"/>
      </w:pPr>
      <w:r>
        <w:t>RET-SCN-010 - AI-generated phishing against staff</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160"/>
            <w:shd w:fill="17365D"/>
            <w:vAlign w:val="center"/>
          </w:tcPr>
          <w:p>
            <w:r>
              <w:rPr>
                <w:b/>
                <w:color w:val="FFFFFF"/>
                <w:sz w:val="16"/>
              </w:rPr>
              <w:t>Field</w:t>
            </w:r>
          </w:p>
        </w:tc>
        <w:tc>
          <w:tcPr>
            <w:tcW w:type="dxa" w:w="8496"/>
            <w:shd w:fill="17365D"/>
            <w:vAlign w:val="center"/>
          </w:tcPr>
          <w:p>
            <w:r>
              <w:rPr>
                <w:b/>
                <w:color w:val="FFFFFF"/>
                <w:sz w:val="16"/>
              </w:rPr>
              <w:t>Scenario record</w:t>
            </w:r>
          </w:p>
        </w:tc>
      </w:tr>
      <w:tr>
        <w:tc>
          <w:tcPr>
            <w:tcW w:type="dxa" w:w="2160"/>
            <w:vAlign w:val="top"/>
          </w:tcPr>
          <w:p>
            <w:r>
              <w:rPr>
                <w:sz w:val="16"/>
              </w:rPr>
              <w:t>Use case</w:t>
            </w:r>
          </w:p>
        </w:tc>
        <w:tc>
          <w:tcPr>
            <w:tcW w:type="dxa" w:w="8496"/>
            <w:vAlign w:val="top"/>
          </w:tcPr>
          <w:p>
            <w:r>
              <w:rPr>
                <w:sz w:val="16"/>
              </w:rPr>
              <w:t>RET-UC-030</w:t>
            </w:r>
          </w:p>
        </w:tc>
      </w:tr>
      <w:tr>
        <w:tc>
          <w:tcPr>
            <w:tcW w:type="dxa" w:w="2160"/>
            <w:vAlign w:val="top"/>
          </w:tcPr>
          <w:p>
            <w:r>
              <w:rPr>
                <w:sz w:val="16"/>
              </w:rPr>
              <w:t>Threat/failure</w:t>
            </w:r>
          </w:p>
        </w:tc>
        <w:tc>
          <w:tcPr>
            <w:tcW w:type="dxa" w:w="8496"/>
            <w:vAlign w:val="top"/>
          </w:tcPr>
          <w:p>
            <w:r>
              <w:rPr>
                <w:sz w:val="16"/>
              </w:rPr>
              <w:t>RET-THR-033</w:t>
            </w:r>
          </w:p>
        </w:tc>
      </w:tr>
      <w:tr>
        <w:tc>
          <w:tcPr>
            <w:tcW w:type="dxa" w:w="2160"/>
            <w:vAlign w:val="top"/>
          </w:tcPr>
          <w:p>
            <w:r>
              <w:rPr>
                <w:sz w:val="16"/>
              </w:rPr>
              <w:t>Context</w:t>
            </w:r>
          </w:p>
        </w:tc>
        <w:tc>
          <w:tcPr>
            <w:tcW w:type="dxa" w:w="8496"/>
            <w:vAlign w:val="top"/>
          </w:tcPr>
          <w:p>
            <w:r>
              <w:rPr>
                <w:sz w:val="16"/>
              </w:rPr>
              <w:t>Illustrative, non-vendor-specific retail scenario.</w:t>
            </w:r>
          </w:p>
        </w:tc>
      </w:tr>
      <w:tr>
        <w:tc>
          <w:tcPr>
            <w:tcW w:type="dxa" w:w="2160"/>
            <w:vAlign w:val="top"/>
          </w:tcPr>
          <w:p>
            <w:r>
              <w:rPr>
                <w:sz w:val="16"/>
              </w:rPr>
              <w:t>Likely control failures</w:t>
            </w:r>
          </w:p>
        </w:tc>
        <w:tc>
          <w:tcPr>
            <w:tcW w:type="dxa" w:w="8496"/>
            <w:vAlign w:val="top"/>
          </w:tcPr>
          <w:p>
            <w:r>
              <w:t>Controls linked to RET-UC-030 and RET-THR-033 were absent, ineffective or not evidenced in operation.</w:t>
            </w:r>
          </w:p>
        </w:tc>
      </w:tr>
      <w:tr>
        <w:tc>
          <w:tcPr>
            <w:tcW w:type="dxa" w:w="2160"/>
            <w:vAlign w:val="top"/>
          </w:tcPr>
          <w:p>
            <w:r>
              <w:rPr>
                <w:sz w:val="16"/>
              </w:rPr>
              <w:t>Detection</w:t>
            </w:r>
          </w:p>
        </w:tc>
        <w:tc>
          <w:tcPr>
            <w:tcW w:type="dxa" w:w="8496"/>
            <w:vAlign w:val="top"/>
          </w:tcPr>
          <w:p>
            <w:r>
              <w:t>Correlate email telemetry, identity anomalies, supplier-change requests and employee reporting.</w:t>
            </w:r>
          </w:p>
        </w:tc>
      </w:tr>
      <w:tr>
        <w:tc>
          <w:tcPr>
            <w:tcW w:type="dxa" w:w="2160"/>
            <w:vAlign w:val="top"/>
          </w:tcPr>
          <w:p>
            <w:r>
              <w:rPr>
                <w:sz w:val="16"/>
              </w:rPr>
              <w:t>Containment</w:t>
            </w:r>
          </w:p>
        </w:tc>
        <w:tc>
          <w:tcPr>
            <w:tcW w:type="dxa" w:w="8496"/>
            <w:vAlign w:val="top"/>
          </w:tcPr>
          <w:p>
            <w:r>
              <w:t>Block the campaign, reset affected credentials, suspend requested payment changes and verify identities out of band.</w:t>
            </w:r>
          </w:p>
        </w:tc>
      </w:tr>
      <w:tr>
        <w:tc>
          <w:tcPr>
            <w:tcW w:type="dxa" w:w="2160"/>
            <w:vAlign w:val="top"/>
          </w:tcPr>
          <w:p>
            <w:r>
              <w:rPr>
                <w:sz w:val="16"/>
              </w:rPr>
              <w:t>Lesson</w:t>
            </w:r>
          </w:p>
        </w:tc>
        <w:tc>
          <w:tcPr>
            <w:tcW w:type="dxa" w:w="8496"/>
            <w:vAlign w:val="top"/>
          </w:tcPr>
          <w:p>
            <w:r>
              <w:t>AI-scaled variation makes process verification more durable than content-only detection.</w:t>
            </w:r>
          </w:p>
        </w:tc>
      </w:tr>
      <w:tr>
        <w:tc>
          <w:tcPr>
            <w:tcW w:type="dxa" w:w="2160"/>
            <w:vAlign w:val="top"/>
          </w:tcPr>
          <w:p>
            <w:r>
              <w:rPr>
                <w:sz w:val="16"/>
              </w:rPr>
              <w:t>Notably Absent</w:t>
            </w:r>
          </w:p>
        </w:tc>
        <w:tc>
          <w:tcPr>
            <w:tcW w:type="dxa" w:w="8496"/>
            <w:vAlign w:val="top"/>
          </w:tcPr>
          <w:p>
            <w:r>
              <w:rPr>
                <w:sz w:val="16"/>
              </w:rPr>
              <w:t>This is not represented as a confirmed incident or prevalence estimate.</w:t>
            </w:r>
          </w:p>
        </w:tc>
      </w:tr>
      <w:tr>
        <w:tc>
          <w:tcPr>
            <w:tcW w:type="dxa" w:w="5184"/>
          </w:tcPr>
          <w:p>
            <w:r>
              <w:t>Recommended immediate action</w:t>
            </w:r>
          </w:p>
        </w:tc>
        <w:tc>
          <w:tcPr>
            <w:tcW w:type="dxa" w:w="5184"/>
          </w:tcPr>
          <w:p>
            <w:r>
              <w:t>Block the campaign, reset affected credentials, suspend requested payment changes and verify identities out of band.</w:t>
            </w:r>
          </w:p>
        </w:tc>
      </w:tr>
    </w:tbl>
    <w:p/>
    <w:p>
      <w:pPr>
        <w:pStyle w:val="Heading2"/>
      </w:pPr>
      <w:r>
        <w:t>RET-SCN-011 - Warehouse-agent malfunction</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160"/>
            <w:shd w:fill="17365D"/>
            <w:vAlign w:val="center"/>
          </w:tcPr>
          <w:p>
            <w:r>
              <w:rPr>
                <w:b/>
                <w:color w:val="FFFFFF"/>
                <w:sz w:val="16"/>
              </w:rPr>
              <w:t>Field</w:t>
            </w:r>
          </w:p>
        </w:tc>
        <w:tc>
          <w:tcPr>
            <w:tcW w:type="dxa" w:w="8496"/>
            <w:shd w:fill="17365D"/>
            <w:vAlign w:val="center"/>
          </w:tcPr>
          <w:p>
            <w:r>
              <w:rPr>
                <w:b/>
                <w:color w:val="FFFFFF"/>
                <w:sz w:val="16"/>
              </w:rPr>
              <w:t>Scenario record</w:t>
            </w:r>
          </w:p>
        </w:tc>
      </w:tr>
      <w:tr>
        <w:tc>
          <w:tcPr>
            <w:tcW w:type="dxa" w:w="2160"/>
            <w:vAlign w:val="top"/>
          </w:tcPr>
          <w:p>
            <w:r>
              <w:rPr>
                <w:sz w:val="16"/>
              </w:rPr>
              <w:t>Use case</w:t>
            </w:r>
          </w:p>
        </w:tc>
        <w:tc>
          <w:tcPr>
            <w:tcW w:type="dxa" w:w="8496"/>
            <w:vAlign w:val="top"/>
          </w:tcPr>
          <w:p>
            <w:r>
              <w:rPr>
                <w:sz w:val="16"/>
              </w:rPr>
              <w:t>RET-UC-008</w:t>
            </w:r>
          </w:p>
        </w:tc>
      </w:tr>
      <w:tr>
        <w:tc>
          <w:tcPr>
            <w:tcW w:type="dxa" w:w="2160"/>
            <w:vAlign w:val="top"/>
          </w:tcPr>
          <w:p>
            <w:r>
              <w:rPr>
                <w:sz w:val="16"/>
              </w:rPr>
              <w:t>Threat/failure</w:t>
            </w:r>
          </w:p>
        </w:tc>
        <w:tc>
          <w:tcPr>
            <w:tcW w:type="dxa" w:w="8496"/>
            <w:vAlign w:val="top"/>
          </w:tcPr>
          <w:p>
            <w:r>
              <w:rPr>
                <w:sz w:val="16"/>
              </w:rPr>
              <w:t>RET-THR-028</w:t>
            </w:r>
          </w:p>
        </w:tc>
      </w:tr>
      <w:tr>
        <w:tc>
          <w:tcPr>
            <w:tcW w:type="dxa" w:w="2160"/>
            <w:vAlign w:val="top"/>
          </w:tcPr>
          <w:p>
            <w:r>
              <w:rPr>
                <w:sz w:val="16"/>
              </w:rPr>
              <w:t>Context</w:t>
            </w:r>
          </w:p>
        </w:tc>
        <w:tc>
          <w:tcPr>
            <w:tcW w:type="dxa" w:w="8496"/>
            <w:vAlign w:val="top"/>
          </w:tcPr>
          <w:p>
            <w:r>
              <w:rPr>
                <w:sz w:val="16"/>
              </w:rPr>
              <w:t>Illustrative, non-vendor-specific retail scenario.</w:t>
            </w:r>
          </w:p>
        </w:tc>
      </w:tr>
      <w:tr>
        <w:tc>
          <w:tcPr>
            <w:tcW w:type="dxa" w:w="2160"/>
            <w:vAlign w:val="top"/>
          </w:tcPr>
          <w:p>
            <w:r>
              <w:rPr>
                <w:sz w:val="16"/>
              </w:rPr>
              <w:t>Likely control failures</w:t>
            </w:r>
          </w:p>
        </w:tc>
        <w:tc>
          <w:tcPr>
            <w:tcW w:type="dxa" w:w="8496"/>
            <w:vAlign w:val="top"/>
          </w:tcPr>
          <w:p>
            <w:r>
              <w:t>Controls linked to RET-UC-008 and RET-THR-028 were absent, ineffective or not evidenced in operation.</w:t>
            </w:r>
          </w:p>
        </w:tc>
      </w:tr>
      <w:tr>
        <w:tc>
          <w:tcPr>
            <w:tcW w:type="dxa" w:w="2160"/>
            <w:vAlign w:val="top"/>
          </w:tcPr>
          <w:p>
            <w:r>
              <w:rPr>
                <w:sz w:val="16"/>
              </w:rPr>
              <w:t>Detection</w:t>
            </w:r>
          </w:p>
        </w:tc>
        <w:tc>
          <w:tcPr>
            <w:tcW w:type="dxa" w:w="8496"/>
            <w:vAlign w:val="top"/>
          </w:tcPr>
          <w:p>
            <w:r>
              <w:t>Detect route deviation, command anomalies, sensor disagreement and safety-zone violations.</w:t>
            </w:r>
          </w:p>
        </w:tc>
      </w:tr>
      <w:tr>
        <w:tc>
          <w:tcPr>
            <w:tcW w:type="dxa" w:w="2160"/>
            <w:vAlign w:val="top"/>
          </w:tcPr>
          <w:p>
            <w:r>
              <w:rPr>
                <w:sz w:val="16"/>
              </w:rPr>
              <w:t>Containment</w:t>
            </w:r>
          </w:p>
        </w:tc>
        <w:tc>
          <w:tcPr>
            <w:tcW w:type="dxa" w:w="8496"/>
            <w:vAlign w:val="top"/>
          </w:tcPr>
          <w:p>
            <w:r>
              <w:t>Trigger the local emergency stop, isolate the robotic cell, prevent remote restart and verify the physical area before recovery.</w:t>
            </w:r>
          </w:p>
        </w:tc>
      </w:tr>
      <w:tr>
        <w:tc>
          <w:tcPr>
            <w:tcW w:type="dxa" w:w="2160"/>
            <w:vAlign w:val="top"/>
          </w:tcPr>
          <w:p>
            <w:r>
              <w:rPr>
                <w:sz w:val="16"/>
              </w:rPr>
              <w:t>Lesson</w:t>
            </w:r>
          </w:p>
        </w:tc>
        <w:tc>
          <w:tcPr>
            <w:tcW w:type="dxa" w:w="8496"/>
            <w:vAlign w:val="top"/>
          </w:tcPr>
          <w:p>
            <w:r>
              <w:t>Physical containment must remain available when cloud control and inference are unavailable.</w:t>
            </w:r>
          </w:p>
        </w:tc>
      </w:tr>
      <w:tr>
        <w:tc>
          <w:tcPr>
            <w:tcW w:type="dxa" w:w="2160"/>
            <w:vAlign w:val="top"/>
          </w:tcPr>
          <w:p>
            <w:r>
              <w:rPr>
                <w:sz w:val="16"/>
              </w:rPr>
              <w:t>Notably Absent</w:t>
            </w:r>
          </w:p>
        </w:tc>
        <w:tc>
          <w:tcPr>
            <w:tcW w:type="dxa" w:w="8496"/>
            <w:vAlign w:val="top"/>
          </w:tcPr>
          <w:p>
            <w:r>
              <w:rPr>
                <w:sz w:val="16"/>
              </w:rPr>
              <w:t>This is not represented as a confirmed incident or prevalence estimate.</w:t>
            </w:r>
          </w:p>
        </w:tc>
      </w:tr>
      <w:tr>
        <w:tc>
          <w:tcPr>
            <w:tcW w:type="dxa" w:w="5184"/>
          </w:tcPr>
          <w:p>
            <w:r>
              <w:t>Recommended immediate action</w:t>
            </w:r>
          </w:p>
        </w:tc>
        <w:tc>
          <w:tcPr>
            <w:tcW w:type="dxa" w:w="5184"/>
          </w:tcPr>
          <w:p>
            <w:r>
              <w:t>Trigger the local emergency stop, isolate the robotic cell, prevent remote restart and verify the physical area before recovery.</w:t>
            </w:r>
          </w:p>
        </w:tc>
      </w:tr>
    </w:tbl>
    <w:p/>
    <w:p>
      <w:pPr>
        <w:pStyle w:val="Heading2"/>
      </w:pPr>
      <w:r>
        <w:t>RET-SCN-012 - Retail-media targeting misuse</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160"/>
            <w:shd w:fill="17365D"/>
            <w:vAlign w:val="center"/>
          </w:tcPr>
          <w:p>
            <w:r>
              <w:rPr>
                <w:b/>
                <w:color w:val="FFFFFF"/>
                <w:sz w:val="16"/>
              </w:rPr>
              <w:t>Field</w:t>
            </w:r>
          </w:p>
        </w:tc>
        <w:tc>
          <w:tcPr>
            <w:tcW w:type="dxa" w:w="8496"/>
            <w:shd w:fill="17365D"/>
            <w:vAlign w:val="center"/>
          </w:tcPr>
          <w:p>
            <w:r>
              <w:rPr>
                <w:b/>
                <w:color w:val="FFFFFF"/>
                <w:sz w:val="16"/>
              </w:rPr>
              <w:t>Scenario record</w:t>
            </w:r>
          </w:p>
        </w:tc>
      </w:tr>
      <w:tr>
        <w:tc>
          <w:tcPr>
            <w:tcW w:type="dxa" w:w="2160"/>
            <w:vAlign w:val="top"/>
          </w:tcPr>
          <w:p>
            <w:r>
              <w:rPr>
                <w:sz w:val="16"/>
              </w:rPr>
              <w:t>Use case</w:t>
            </w:r>
          </w:p>
        </w:tc>
        <w:tc>
          <w:tcPr>
            <w:tcW w:type="dxa" w:w="8496"/>
            <w:vAlign w:val="top"/>
          </w:tcPr>
          <w:p>
            <w:r>
              <w:rPr>
                <w:sz w:val="16"/>
              </w:rPr>
              <w:t>RET-UC-019</w:t>
            </w:r>
          </w:p>
        </w:tc>
      </w:tr>
      <w:tr>
        <w:tc>
          <w:tcPr>
            <w:tcW w:type="dxa" w:w="2160"/>
            <w:vAlign w:val="top"/>
          </w:tcPr>
          <w:p>
            <w:r>
              <w:rPr>
                <w:sz w:val="16"/>
              </w:rPr>
              <w:t>Threat/failure</w:t>
            </w:r>
          </w:p>
        </w:tc>
        <w:tc>
          <w:tcPr>
            <w:tcW w:type="dxa" w:w="8496"/>
            <w:vAlign w:val="top"/>
          </w:tcPr>
          <w:p>
            <w:r>
              <w:rPr>
                <w:sz w:val="16"/>
              </w:rPr>
              <w:t>RET-THR-025</w:t>
            </w:r>
          </w:p>
        </w:tc>
      </w:tr>
      <w:tr>
        <w:tc>
          <w:tcPr>
            <w:tcW w:type="dxa" w:w="2160"/>
            <w:vAlign w:val="top"/>
          </w:tcPr>
          <w:p>
            <w:r>
              <w:rPr>
                <w:sz w:val="16"/>
              </w:rPr>
              <w:t>Context</w:t>
            </w:r>
          </w:p>
        </w:tc>
        <w:tc>
          <w:tcPr>
            <w:tcW w:type="dxa" w:w="8496"/>
            <w:vAlign w:val="top"/>
          </w:tcPr>
          <w:p>
            <w:r>
              <w:rPr>
                <w:sz w:val="16"/>
              </w:rPr>
              <w:t>Illustrative, non-vendor-specific retail scenario.</w:t>
            </w:r>
          </w:p>
        </w:tc>
      </w:tr>
      <w:tr>
        <w:tc>
          <w:tcPr>
            <w:tcW w:type="dxa" w:w="2160"/>
            <w:vAlign w:val="top"/>
          </w:tcPr>
          <w:p>
            <w:r>
              <w:rPr>
                <w:sz w:val="16"/>
              </w:rPr>
              <w:t>Likely control failures</w:t>
            </w:r>
          </w:p>
        </w:tc>
        <w:tc>
          <w:tcPr>
            <w:tcW w:type="dxa" w:w="8496"/>
            <w:vAlign w:val="top"/>
          </w:tcPr>
          <w:p>
            <w:r>
              <w:t>Controls linked to RET-UC-019 and RET-THR-025 were absent, ineffective or not evidenced in operation.</w:t>
            </w:r>
          </w:p>
        </w:tc>
      </w:tr>
      <w:tr>
        <w:tc>
          <w:tcPr>
            <w:tcW w:type="dxa" w:w="2160"/>
            <w:vAlign w:val="top"/>
          </w:tcPr>
          <w:p>
            <w:r>
              <w:rPr>
                <w:sz w:val="16"/>
              </w:rPr>
              <w:t>Detection</w:t>
            </w:r>
          </w:p>
        </w:tc>
        <w:tc>
          <w:tcPr>
            <w:tcW w:type="dxa" w:w="8496"/>
            <w:vAlign w:val="top"/>
          </w:tcPr>
          <w:p>
            <w:r>
              <w:t>Audit audience construction, sensitive proxies, advertiser queries and complaint patterns.</w:t>
            </w:r>
          </w:p>
        </w:tc>
      </w:tr>
      <w:tr>
        <w:tc>
          <w:tcPr>
            <w:tcW w:type="dxa" w:w="2160"/>
            <w:vAlign w:val="top"/>
          </w:tcPr>
          <w:p>
            <w:r>
              <w:rPr>
                <w:sz w:val="16"/>
              </w:rPr>
              <w:t>Containment</w:t>
            </w:r>
          </w:p>
        </w:tc>
        <w:tc>
          <w:tcPr>
            <w:tcW w:type="dxa" w:w="8496"/>
            <w:vAlign w:val="top"/>
          </w:tcPr>
          <w:p>
            <w:r>
              <w:t>Suspend the audience/campaign, prevent further data export, preserve targeting logic and conduct privacy and consumer-impact review.</w:t>
            </w:r>
          </w:p>
        </w:tc>
      </w:tr>
      <w:tr>
        <w:tc>
          <w:tcPr>
            <w:tcW w:type="dxa" w:w="2160"/>
            <w:vAlign w:val="top"/>
          </w:tcPr>
          <w:p>
            <w:r>
              <w:rPr>
                <w:sz w:val="16"/>
              </w:rPr>
              <w:t>Lesson</w:t>
            </w:r>
          </w:p>
        </w:tc>
        <w:tc>
          <w:tcPr>
            <w:tcW w:type="dxa" w:w="8496"/>
            <w:vAlign w:val="top"/>
          </w:tcPr>
          <w:p>
            <w:r>
              <w:t>Retail media governance must cover inference and advertiser use, not only raw data access.</w:t>
            </w:r>
          </w:p>
        </w:tc>
      </w:tr>
      <w:tr>
        <w:tc>
          <w:tcPr>
            <w:tcW w:type="dxa" w:w="2160"/>
            <w:vAlign w:val="top"/>
          </w:tcPr>
          <w:p>
            <w:r>
              <w:rPr>
                <w:sz w:val="16"/>
              </w:rPr>
              <w:t>Notably Absent</w:t>
            </w:r>
          </w:p>
        </w:tc>
        <w:tc>
          <w:tcPr>
            <w:tcW w:type="dxa" w:w="8496"/>
            <w:vAlign w:val="top"/>
          </w:tcPr>
          <w:p>
            <w:r>
              <w:rPr>
                <w:sz w:val="16"/>
              </w:rPr>
              <w:t>This is not represented as a confirmed incident or prevalence estimate.</w:t>
            </w:r>
          </w:p>
        </w:tc>
      </w:tr>
      <w:tr>
        <w:tc>
          <w:tcPr>
            <w:tcW w:type="dxa" w:w="5184"/>
          </w:tcPr>
          <w:p>
            <w:r>
              <w:t>Recommended immediate action</w:t>
            </w:r>
          </w:p>
        </w:tc>
        <w:tc>
          <w:tcPr>
            <w:tcW w:type="dxa" w:w="5184"/>
          </w:tcPr>
          <w:p>
            <w:r>
              <w:t>Suspend the audience/campaign, prevent further data export, preserve targeting logic and conduct privacy and consumer-impact review.</w:t>
            </w:r>
          </w:p>
        </w:tc>
      </w:tr>
    </w:tbl>
    <w:p/>
    <w:p>
      <w:pPr>
        <w:pStyle w:val="Heading2"/>
      </w:pPr>
      <w:r>
        <w:t>RET-SCN-013 - Franchise deployment without approval</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160"/>
            <w:shd w:fill="17365D"/>
            <w:vAlign w:val="center"/>
          </w:tcPr>
          <w:p>
            <w:r>
              <w:rPr>
                <w:b/>
                <w:color w:val="FFFFFF"/>
                <w:sz w:val="16"/>
              </w:rPr>
              <w:t>Field</w:t>
            </w:r>
          </w:p>
        </w:tc>
        <w:tc>
          <w:tcPr>
            <w:tcW w:type="dxa" w:w="8496"/>
            <w:shd w:fill="17365D"/>
            <w:vAlign w:val="center"/>
          </w:tcPr>
          <w:p>
            <w:r>
              <w:rPr>
                <w:b/>
                <w:color w:val="FFFFFF"/>
                <w:sz w:val="16"/>
              </w:rPr>
              <w:t>Scenario record</w:t>
            </w:r>
          </w:p>
        </w:tc>
      </w:tr>
      <w:tr>
        <w:tc>
          <w:tcPr>
            <w:tcW w:type="dxa" w:w="2160"/>
            <w:vAlign w:val="top"/>
          </w:tcPr>
          <w:p>
            <w:r>
              <w:rPr>
                <w:sz w:val="16"/>
              </w:rPr>
              <w:t>Use case</w:t>
            </w:r>
          </w:p>
        </w:tc>
        <w:tc>
          <w:tcPr>
            <w:tcW w:type="dxa" w:w="8496"/>
            <w:vAlign w:val="top"/>
          </w:tcPr>
          <w:p>
            <w:r>
              <w:rPr>
                <w:sz w:val="16"/>
              </w:rPr>
              <w:t>RET-UC-031</w:t>
            </w:r>
          </w:p>
        </w:tc>
      </w:tr>
      <w:tr>
        <w:tc>
          <w:tcPr>
            <w:tcW w:type="dxa" w:w="2160"/>
            <w:vAlign w:val="top"/>
          </w:tcPr>
          <w:p>
            <w:r>
              <w:rPr>
                <w:sz w:val="16"/>
              </w:rPr>
              <w:t>Threat/failure</w:t>
            </w:r>
          </w:p>
        </w:tc>
        <w:tc>
          <w:tcPr>
            <w:tcW w:type="dxa" w:w="8496"/>
            <w:vAlign w:val="top"/>
          </w:tcPr>
          <w:p>
            <w:r>
              <w:rPr>
                <w:sz w:val="16"/>
              </w:rPr>
              <w:t>RET-THR-010</w:t>
            </w:r>
          </w:p>
        </w:tc>
      </w:tr>
      <w:tr>
        <w:tc>
          <w:tcPr>
            <w:tcW w:type="dxa" w:w="2160"/>
            <w:vAlign w:val="top"/>
          </w:tcPr>
          <w:p>
            <w:r>
              <w:rPr>
                <w:sz w:val="16"/>
              </w:rPr>
              <w:t>Context</w:t>
            </w:r>
          </w:p>
        </w:tc>
        <w:tc>
          <w:tcPr>
            <w:tcW w:type="dxa" w:w="8496"/>
            <w:vAlign w:val="top"/>
          </w:tcPr>
          <w:p>
            <w:r>
              <w:rPr>
                <w:sz w:val="16"/>
              </w:rPr>
              <w:t>Illustrative, non-vendor-specific retail scenario.</w:t>
            </w:r>
          </w:p>
        </w:tc>
      </w:tr>
      <w:tr>
        <w:tc>
          <w:tcPr>
            <w:tcW w:type="dxa" w:w="2160"/>
            <w:vAlign w:val="top"/>
          </w:tcPr>
          <w:p>
            <w:r>
              <w:rPr>
                <w:sz w:val="16"/>
              </w:rPr>
              <w:t>Likely control failures</w:t>
            </w:r>
          </w:p>
        </w:tc>
        <w:tc>
          <w:tcPr>
            <w:tcW w:type="dxa" w:w="8496"/>
            <w:vAlign w:val="top"/>
          </w:tcPr>
          <w:p>
            <w:r>
              <w:t>Controls linked to RET-UC-031 and RET-THR-010 were absent, ineffective or not evidenced in operation.</w:t>
            </w:r>
          </w:p>
        </w:tc>
      </w:tr>
      <w:tr>
        <w:tc>
          <w:tcPr>
            <w:tcW w:type="dxa" w:w="2160"/>
            <w:vAlign w:val="top"/>
          </w:tcPr>
          <w:p>
            <w:r>
              <w:rPr>
                <w:sz w:val="16"/>
              </w:rPr>
              <w:t>Detection</w:t>
            </w:r>
          </w:p>
        </w:tc>
        <w:tc>
          <w:tcPr>
            <w:tcW w:type="dxa" w:w="8496"/>
            <w:vAlign w:val="top"/>
          </w:tcPr>
          <w:p>
            <w:r>
              <w:t>Reconcile network, expense, browser and data-access signals against the approved AI inventory across franchise locations.</w:t>
            </w:r>
          </w:p>
        </w:tc>
      </w:tr>
      <w:tr>
        <w:tc>
          <w:tcPr>
            <w:tcW w:type="dxa" w:w="2160"/>
            <w:vAlign w:val="top"/>
          </w:tcPr>
          <w:p>
            <w:r>
              <w:rPr>
                <w:sz w:val="16"/>
              </w:rPr>
              <w:t>Containment</w:t>
            </w:r>
          </w:p>
        </w:tc>
        <w:tc>
          <w:tcPr>
            <w:tcW w:type="dxa" w:w="8496"/>
            <w:vAlign w:val="top"/>
          </w:tcPr>
          <w:p>
            <w:r>
              <w:t>Block data access to the unapproved service, preserve usage records and require franchise remediation through contractual governance.</w:t>
            </w:r>
          </w:p>
        </w:tc>
      </w:tr>
      <w:tr>
        <w:tc>
          <w:tcPr>
            <w:tcW w:type="dxa" w:w="2160"/>
            <w:vAlign w:val="top"/>
          </w:tcPr>
          <w:p>
            <w:r>
              <w:rPr>
                <w:sz w:val="16"/>
              </w:rPr>
              <w:t>Lesson</w:t>
            </w:r>
          </w:p>
        </w:tc>
        <w:tc>
          <w:tcPr>
            <w:tcW w:type="dxa" w:w="8496"/>
            <w:vAlign w:val="top"/>
          </w:tcPr>
          <w:p>
            <w:r>
              <w:t>Corporate policy alone does not control independent franchise technology without enforceable operational levers.</w:t>
            </w:r>
          </w:p>
        </w:tc>
      </w:tr>
      <w:tr>
        <w:tc>
          <w:tcPr>
            <w:tcW w:type="dxa" w:w="2160"/>
            <w:vAlign w:val="top"/>
          </w:tcPr>
          <w:p>
            <w:r>
              <w:rPr>
                <w:sz w:val="16"/>
              </w:rPr>
              <w:t>Notably Absent</w:t>
            </w:r>
          </w:p>
        </w:tc>
        <w:tc>
          <w:tcPr>
            <w:tcW w:type="dxa" w:w="8496"/>
            <w:vAlign w:val="top"/>
          </w:tcPr>
          <w:p>
            <w:r>
              <w:rPr>
                <w:sz w:val="16"/>
              </w:rPr>
              <w:t>This is not represented as a confirmed incident or prevalence estimate.</w:t>
            </w:r>
          </w:p>
        </w:tc>
      </w:tr>
      <w:tr>
        <w:tc>
          <w:tcPr>
            <w:tcW w:type="dxa" w:w="5184"/>
          </w:tcPr>
          <w:p>
            <w:r>
              <w:t>Recommended immediate action</w:t>
            </w:r>
          </w:p>
        </w:tc>
        <w:tc>
          <w:tcPr>
            <w:tcW w:type="dxa" w:w="5184"/>
          </w:tcPr>
          <w:p>
            <w:r>
              <w:t>Block data access to the unapproved service, preserve usage records and require franchise remediation through contractual governance.</w:t>
            </w:r>
          </w:p>
        </w:tc>
      </w:tr>
    </w:tbl>
    <w:p/>
    <w:p>
      <w:pPr>
        <w:pStyle w:val="Heading2"/>
      </w:pPr>
      <w:r>
        <w:t>RET-SCN-014 - Dynamic-pricing governance failure</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2160"/>
            <w:shd w:fill="17365D"/>
            <w:vAlign w:val="center"/>
          </w:tcPr>
          <w:p>
            <w:r>
              <w:rPr>
                <w:b/>
                <w:color w:val="FFFFFF"/>
                <w:sz w:val="16"/>
              </w:rPr>
              <w:t>Field</w:t>
            </w:r>
          </w:p>
        </w:tc>
        <w:tc>
          <w:tcPr>
            <w:tcW w:type="dxa" w:w="8496"/>
            <w:shd w:fill="17365D"/>
            <w:vAlign w:val="center"/>
          </w:tcPr>
          <w:p>
            <w:r>
              <w:rPr>
                <w:b/>
                <w:color w:val="FFFFFF"/>
                <w:sz w:val="16"/>
              </w:rPr>
              <w:t>Scenario record</w:t>
            </w:r>
          </w:p>
        </w:tc>
      </w:tr>
      <w:tr>
        <w:tc>
          <w:tcPr>
            <w:tcW w:type="dxa" w:w="2160"/>
            <w:vAlign w:val="top"/>
          </w:tcPr>
          <w:p>
            <w:r>
              <w:rPr>
                <w:sz w:val="16"/>
              </w:rPr>
              <w:t>Use case</w:t>
            </w:r>
          </w:p>
        </w:tc>
        <w:tc>
          <w:tcPr>
            <w:tcW w:type="dxa" w:w="8496"/>
            <w:vAlign w:val="top"/>
          </w:tcPr>
          <w:p>
            <w:r>
              <w:rPr>
                <w:sz w:val="16"/>
              </w:rPr>
              <w:t>RET-UC-003</w:t>
            </w:r>
          </w:p>
        </w:tc>
      </w:tr>
      <w:tr>
        <w:tc>
          <w:tcPr>
            <w:tcW w:type="dxa" w:w="2160"/>
            <w:vAlign w:val="top"/>
          </w:tcPr>
          <w:p>
            <w:r>
              <w:rPr>
                <w:sz w:val="16"/>
              </w:rPr>
              <w:t>Threat/failure</w:t>
            </w:r>
          </w:p>
        </w:tc>
        <w:tc>
          <w:tcPr>
            <w:tcW w:type="dxa" w:w="8496"/>
            <w:vAlign w:val="top"/>
          </w:tcPr>
          <w:p>
            <w:r>
              <w:rPr>
                <w:sz w:val="16"/>
              </w:rPr>
              <w:t>RET-THR-017</w:t>
            </w:r>
          </w:p>
        </w:tc>
      </w:tr>
      <w:tr>
        <w:tc>
          <w:tcPr>
            <w:tcW w:type="dxa" w:w="2160"/>
            <w:vAlign w:val="top"/>
          </w:tcPr>
          <w:p>
            <w:r>
              <w:rPr>
                <w:sz w:val="16"/>
              </w:rPr>
              <w:t>Context</w:t>
            </w:r>
          </w:p>
        </w:tc>
        <w:tc>
          <w:tcPr>
            <w:tcW w:type="dxa" w:w="8496"/>
            <w:vAlign w:val="top"/>
          </w:tcPr>
          <w:p>
            <w:r>
              <w:rPr>
                <w:sz w:val="16"/>
              </w:rPr>
              <w:t>Illustrative, non-vendor-specific retail scenario.</w:t>
            </w:r>
          </w:p>
        </w:tc>
      </w:tr>
      <w:tr>
        <w:tc>
          <w:tcPr>
            <w:tcW w:type="dxa" w:w="2160"/>
            <w:vAlign w:val="top"/>
          </w:tcPr>
          <w:p>
            <w:r>
              <w:rPr>
                <w:sz w:val="16"/>
              </w:rPr>
              <w:t>Likely control failures</w:t>
            </w:r>
          </w:p>
        </w:tc>
        <w:tc>
          <w:tcPr>
            <w:tcW w:type="dxa" w:w="8496"/>
            <w:vAlign w:val="top"/>
          </w:tcPr>
          <w:p>
            <w:r>
              <w:t>Controls linked to RET-UC-003 and RET-THR-017 were absent, ineffective or not evidenced in operation.</w:t>
            </w:r>
          </w:p>
        </w:tc>
      </w:tr>
      <w:tr>
        <w:tc>
          <w:tcPr>
            <w:tcW w:type="dxa" w:w="2160"/>
            <w:vAlign w:val="top"/>
          </w:tcPr>
          <w:p>
            <w:r>
              <w:rPr>
                <w:sz w:val="16"/>
              </w:rPr>
              <w:t>Detection</w:t>
            </w:r>
          </w:p>
        </w:tc>
        <w:tc>
          <w:tcPr>
            <w:tcW w:type="dxa" w:w="8496"/>
            <w:vAlign w:val="top"/>
          </w:tcPr>
          <w:p>
            <w:r>
              <w:t>Monitor unexplained price dispersion, rapid changes, protected/proxy cohorts, complaints and competitor-input anomalies.</w:t>
            </w:r>
          </w:p>
        </w:tc>
      </w:tr>
      <w:tr>
        <w:tc>
          <w:tcPr>
            <w:tcW w:type="dxa" w:w="2160"/>
            <w:vAlign w:val="top"/>
          </w:tcPr>
          <w:p>
            <w:r>
              <w:rPr>
                <w:sz w:val="16"/>
              </w:rPr>
              <w:t>Containment</w:t>
            </w:r>
          </w:p>
        </w:tc>
        <w:tc>
          <w:tcPr>
            <w:tcW w:type="dxa" w:w="8496"/>
            <w:vAlign w:val="top"/>
          </w:tcPr>
          <w:p>
            <w:r>
              <w:t>Freeze automated repricing, restore the last approved price rules, preserve inputs and provide correction/escalation for affected customers.</w:t>
            </w:r>
          </w:p>
        </w:tc>
      </w:tr>
      <w:tr>
        <w:tc>
          <w:tcPr>
            <w:tcW w:type="dxa" w:w="2160"/>
            <w:vAlign w:val="top"/>
          </w:tcPr>
          <w:p>
            <w:r>
              <w:rPr>
                <w:sz w:val="16"/>
              </w:rPr>
              <w:t>Lesson</w:t>
            </w:r>
          </w:p>
        </w:tc>
        <w:tc>
          <w:tcPr>
            <w:tcW w:type="dxa" w:w="8496"/>
            <w:vAlign w:val="top"/>
          </w:tcPr>
          <w:p>
            <w:r>
              <w:t>Pricing systems require explicit authority, explainability and rollback limits.</w:t>
            </w:r>
          </w:p>
        </w:tc>
      </w:tr>
      <w:tr>
        <w:tc>
          <w:tcPr>
            <w:tcW w:type="dxa" w:w="2160"/>
            <w:vAlign w:val="top"/>
          </w:tcPr>
          <w:p>
            <w:r>
              <w:rPr>
                <w:sz w:val="16"/>
              </w:rPr>
              <w:t>Notably Absent</w:t>
            </w:r>
          </w:p>
        </w:tc>
        <w:tc>
          <w:tcPr>
            <w:tcW w:type="dxa" w:w="8496"/>
            <w:vAlign w:val="top"/>
          </w:tcPr>
          <w:p>
            <w:r>
              <w:rPr>
                <w:sz w:val="16"/>
              </w:rPr>
              <w:t>This is not represented as a confirmed incident or prevalence estimate.</w:t>
            </w:r>
          </w:p>
        </w:tc>
      </w:tr>
      <w:tr>
        <w:tc>
          <w:tcPr>
            <w:tcW w:type="dxa" w:w="5184"/>
          </w:tcPr>
          <w:p>
            <w:r>
              <w:t>Recommended immediate action</w:t>
            </w:r>
          </w:p>
        </w:tc>
        <w:tc>
          <w:tcPr>
            <w:tcW w:type="dxa" w:w="5184"/>
          </w:tcPr>
          <w:p>
            <w:r>
              <w:t>Freeze automated repricing, restore the last approved price rules, preserve inputs and provide correction/escalation for affected customers.</w:t>
            </w:r>
          </w:p>
        </w:tc>
      </w:tr>
    </w:tbl>
    <w:p/>
    <w:p>
      <w:pPr>
        <w:pStyle w:val="Heading1"/>
      </w:pPr>
      <w:r>
        <w:t>21. External standards and regulatory crosswalk</w:t>
      </w:r>
    </w:p>
    <w:p>
      <w:r>
        <w:t>The crosswalk identifies relationship types, not equivalence. Applicability and clause-level obligations must be verified by jurisdiction and system role.</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rPr>
          <w:tblHeader w:val="true"/>
        </w:trPr>
        <w:tc>
          <w:tcPr>
            <w:tcW w:type="dxa" w:w="1008"/>
            <w:shd w:fill="17365D"/>
            <w:vAlign w:val="center"/>
          </w:tcPr>
          <w:p>
            <w:r>
              <w:rPr>
                <w:b/>
                <w:color w:val="FFFFFF"/>
                <w:sz w:val="16"/>
              </w:rPr>
              <w:t>ID</w:t>
            </w:r>
          </w:p>
        </w:tc>
        <w:tc>
          <w:tcPr>
            <w:tcW w:type="dxa" w:w="2448"/>
            <w:shd w:fill="17365D"/>
            <w:vAlign w:val="center"/>
          </w:tcPr>
          <w:p>
            <w:r>
              <w:rPr>
                <w:b/>
                <w:color w:val="FFFFFF"/>
                <w:sz w:val="16"/>
              </w:rPr>
              <w:t>Source</w:t>
            </w:r>
          </w:p>
        </w:tc>
        <w:tc>
          <w:tcPr>
            <w:tcW w:type="dxa" w:w="1872"/>
            <w:shd w:fill="17365D"/>
            <w:vAlign w:val="center"/>
          </w:tcPr>
          <w:p>
            <w:r>
              <w:rPr>
                <w:b/>
                <w:color w:val="FFFFFF"/>
                <w:sz w:val="16"/>
              </w:rPr>
              <w:t>Issuer</w:t>
            </w:r>
          </w:p>
        </w:tc>
        <w:tc>
          <w:tcPr>
            <w:tcW w:type="dxa" w:w="2232"/>
            <w:shd w:fill="17365D"/>
            <w:vAlign w:val="center"/>
          </w:tcPr>
          <w:p>
            <w:r>
              <w:rPr>
                <w:b/>
                <w:color w:val="FFFFFF"/>
                <w:sz w:val="16"/>
              </w:rPr>
              <w:t>Relationship</w:t>
            </w:r>
          </w:p>
        </w:tc>
        <w:tc>
          <w:tcPr>
            <w:tcW w:type="dxa" w:w="2016"/>
            <w:shd w:fill="17365D"/>
            <w:vAlign w:val="center"/>
          </w:tcPr>
          <w:p>
            <w:r>
              <w:rPr>
                <w:b/>
                <w:color w:val="FFFFFF"/>
                <w:sz w:val="16"/>
              </w:rPr>
              <w:t>Jurisdiction</w:t>
            </w:r>
          </w:p>
        </w:tc>
        <w:tc>
          <w:tcPr>
            <w:tcW w:type="dxa" w:w="1440"/>
            <w:shd w:fill="17365D"/>
            <w:vAlign w:val="center"/>
          </w:tcPr>
          <w:p>
            <w:r>
              <w:rPr>
                <w:b/>
                <w:color w:val="FFFFFF"/>
                <w:sz w:val="16"/>
              </w:rPr>
              <w:t>Verification date</w:t>
            </w:r>
          </w:p>
        </w:tc>
      </w:tr>
      <w:tr>
        <w:tc>
          <w:tcPr>
            <w:tcW w:type="dxa" w:w="1008"/>
            <w:vAlign w:val="top"/>
          </w:tcPr>
          <w:p>
            <w:r>
              <w:rPr>
                <w:sz w:val="16"/>
              </w:rPr>
              <w:t>EXT-001</w:t>
            </w:r>
          </w:p>
        </w:tc>
        <w:tc>
          <w:tcPr>
            <w:tcW w:type="dxa" w:w="2448"/>
            <w:vAlign w:val="top"/>
          </w:tcPr>
          <w:p>
            <w:r>
              <w:rPr>
                <w:sz w:val="16"/>
              </w:rPr>
              <w:t>NIST AI RMF 1.0</w:t>
            </w:r>
          </w:p>
        </w:tc>
        <w:tc>
          <w:tcPr>
            <w:tcW w:type="dxa" w:w="1872"/>
            <w:vAlign w:val="top"/>
          </w:tcPr>
          <w:p>
            <w:r>
              <w:rPr>
                <w:sz w:val="16"/>
              </w:rPr>
              <w:t>NIST</w:t>
            </w:r>
          </w:p>
        </w:tc>
        <w:tc>
          <w:tcPr>
            <w:tcW w:type="dxa" w:w="2232"/>
            <w:vAlign w:val="top"/>
          </w:tcPr>
          <w:p>
            <w:r>
              <w:rPr>
                <w:sz w:val="16"/>
              </w:rPr>
              <w:t>Supporting control</w:t>
            </w:r>
          </w:p>
        </w:tc>
        <w:tc>
          <w:tcPr>
            <w:tcW w:type="dxa" w:w="2016"/>
            <w:vAlign w:val="top"/>
          </w:tcPr>
          <w:p>
            <w:r>
              <w:rPr>
                <w:sz w:val="16"/>
              </w:rPr>
              <w:t>United States / international use</w:t>
            </w:r>
          </w:p>
        </w:tc>
        <w:tc>
          <w:tcPr>
            <w:tcW w:type="dxa" w:w="1440"/>
            <w:vAlign w:val="top"/>
          </w:tcPr>
          <w:p>
            <w:r>
              <w:rPr>
                <w:sz w:val="16"/>
              </w:rPr>
              <w:t>2026-07-01</w:t>
            </w:r>
          </w:p>
        </w:tc>
      </w:tr>
      <w:tr>
        <w:tc>
          <w:tcPr>
            <w:tcW w:type="dxa" w:w="1008"/>
            <w:vAlign w:val="top"/>
          </w:tcPr>
          <w:p>
            <w:r>
              <w:rPr>
                <w:sz w:val="16"/>
              </w:rPr>
              <w:t>EXT-002</w:t>
            </w:r>
          </w:p>
        </w:tc>
        <w:tc>
          <w:tcPr>
            <w:tcW w:type="dxa" w:w="2448"/>
            <w:vAlign w:val="top"/>
          </w:tcPr>
          <w:p>
            <w:r>
              <w:rPr>
                <w:sz w:val="16"/>
              </w:rPr>
              <w:t>Regulation (EU) 2024/1689 (AI Act)</w:t>
            </w:r>
          </w:p>
        </w:tc>
        <w:tc>
          <w:tcPr>
            <w:tcW w:type="dxa" w:w="1872"/>
            <w:vAlign w:val="top"/>
          </w:tcPr>
          <w:p>
            <w:r>
              <w:rPr>
                <w:sz w:val="16"/>
              </w:rPr>
              <w:t>European Union</w:t>
            </w:r>
          </w:p>
        </w:tc>
        <w:tc>
          <w:tcPr>
            <w:tcW w:type="dxa" w:w="2232"/>
            <w:vAlign w:val="top"/>
          </w:tcPr>
          <w:p>
            <w:r>
              <w:rPr>
                <w:sz w:val="16"/>
              </w:rPr>
              <w:t>Contextual and partial alignment</w:t>
            </w:r>
          </w:p>
        </w:tc>
        <w:tc>
          <w:tcPr>
            <w:tcW w:type="dxa" w:w="2016"/>
            <w:vAlign w:val="top"/>
          </w:tcPr>
          <w:p>
            <w:r>
              <w:rPr>
                <w:sz w:val="16"/>
              </w:rPr>
              <w:t>European Union</w:t>
            </w:r>
          </w:p>
        </w:tc>
        <w:tc>
          <w:tcPr>
            <w:tcW w:type="dxa" w:w="1440"/>
            <w:vAlign w:val="top"/>
          </w:tcPr>
          <w:p>
            <w:r>
              <w:rPr>
                <w:sz w:val="16"/>
              </w:rPr>
              <w:t>2026-07-01</w:t>
            </w:r>
          </w:p>
        </w:tc>
      </w:tr>
      <w:tr>
        <w:tc>
          <w:tcPr>
            <w:tcW w:type="dxa" w:w="1008"/>
            <w:vAlign w:val="top"/>
          </w:tcPr>
          <w:p>
            <w:r>
              <w:rPr>
                <w:sz w:val="16"/>
              </w:rPr>
              <w:t>EXT-003</w:t>
            </w:r>
          </w:p>
        </w:tc>
        <w:tc>
          <w:tcPr>
            <w:tcW w:type="dxa" w:w="2448"/>
            <w:vAlign w:val="top"/>
          </w:tcPr>
          <w:p>
            <w:r>
              <w:rPr>
                <w:sz w:val="16"/>
              </w:rPr>
              <w:t>PCI DSS v4.0.1</w:t>
            </w:r>
          </w:p>
        </w:tc>
        <w:tc>
          <w:tcPr>
            <w:tcW w:type="dxa" w:w="1872"/>
            <w:vAlign w:val="top"/>
          </w:tcPr>
          <w:p>
            <w:r>
              <w:rPr>
                <w:sz w:val="16"/>
              </w:rPr>
              <w:t>PCI Security Standards Council</w:t>
            </w:r>
          </w:p>
        </w:tc>
        <w:tc>
          <w:tcPr>
            <w:tcW w:type="dxa" w:w="2232"/>
            <w:vAlign w:val="top"/>
          </w:tcPr>
          <w:p>
            <w:r>
              <w:rPr>
                <w:sz w:val="16"/>
              </w:rPr>
              <w:t>Supporting control</w:t>
            </w:r>
          </w:p>
        </w:tc>
        <w:tc>
          <w:tcPr>
            <w:tcW w:type="dxa" w:w="2016"/>
            <w:vAlign w:val="top"/>
          </w:tcPr>
          <w:p>
            <w:r>
              <w:rPr>
                <w:sz w:val="16"/>
              </w:rPr>
              <w:t>Contractual payment ecosystem</w:t>
            </w:r>
          </w:p>
        </w:tc>
        <w:tc>
          <w:tcPr>
            <w:tcW w:type="dxa" w:w="1440"/>
            <w:vAlign w:val="top"/>
          </w:tcPr>
          <w:p>
            <w:r>
              <w:rPr>
                <w:sz w:val="16"/>
              </w:rPr>
              <w:t>2026-07-01</w:t>
            </w:r>
          </w:p>
        </w:tc>
      </w:tr>
      <w:tr>
        <w:tc>
          <w:tcPr>
            <w:tcW w:type="dxa" w:w="1008"/>
            <w:vAlign w:val="top"/>
          </w:tcPr>
          <w:p>
            <w:r>
              <w:rPr>
                <w:sz w:val="16"/>
              </w:rPr>
              <w:t>EXT-004</w:t>
            </w:r>
          </w:p>
        </w:tc>
        <w:tc>
          <w:tcPr>
            <w:tcW w:type="dxa" w:w="2448"/>
            <w:vAlign w:val="top"/>
          </w:tcPr>
          <w:p>
            <w:r>
              <w:rPr>
                <w:sz w:val="16"/>
              </w:rPr>
              <w:t>ISO/IEC 42001:2023</w:t>
            </w:r>
          </w:p>
        </w:tc>
        <w:tc>
          <w:tcPr>
            <w:tcW w:type="dxa" w:w="1872"/>
            <w:vAlign w:val="top"/>
          </w:tcPr>
          <w:p>
            <w:r>
              <w:rPr>
                <w:sz w:val="16"/>
              </w:rPr>
              <w:t>ISO/IEC</w:t>
            </w:r>
          </w:p>
        </w:tc>
        <w:tc>
          <w:tcPr>
            <w:tcW w:type="dxa" w:w="2232"/>
            <w:vAlign w:val="top"/>
          </w:tcPr>
          <w:p>
            <w:r>
              <w:rPr>
                <w:sz w:val="16"/>
              </w:rPr>
              <w:t>Contextual and partial alignment</w:t>
            </w:r>
          </w:p>
        </w:tc>
        <w:tc>
          <w:tcPr>
            <w:tcW w:type="dxa" w:w="2016"/>
            <w:vAlign w:val="top"/>
          </w:tcPr>
          <w:p>
            <w:r>
              <w:rPr>
                <w:sz w:val="16"/>
              </w:rPr>
              <w:t>International</w:t>
            </w:r>
          </w:p>
        </w:tc>
        <w:tc>
          <w:tcPr>
            <w:tcW w:type="dxa" w:w="1440"/>
            <w:vAlign w:val="top"/>
          </w:tcPr>
          <w:p>
            <w:r>
              <w:rPr>
                <w:sz w:val="16"/>
              </w:rPr>
              <w:t>2026-07-01</w:t>
            </w:r>
          </w:p>
        </w:tc>
      </w:tr>
      <w:tr>
        <w:tc>
          <w:tcPr>
            <w:tcW w:type="dxa" w:w="1008"/>
            <w:vAlign w:val="top"/>
          </w:tcPr>
          <w:p>
            <w:r>
              <w:rPr>
                <w:sz w:val="16"/>
              </w:rPr>
              <w:t>EXT-005</w:t>
            </w:r>
          </w:p>
        </w:tc>
        <w:tc>
          <w:tcPr>
            <w:tcW w:type="dxa" w:w="2448"/>
            <w:vAlign w:val="top"/>
          </w:tcPr>
          <w:p>
            <w:r>
              <w:rPr>
                <w:sz w:val="16"/>
              </w:rPr>
              <w:t>ISO/IEC 27001:2022</w:t>
            </w:r>
          </w:p>
        </w:tc>
        <w:tc>
          <w:tcPr>
            <w:tcW w:type="dxa" w:w="1872"/>
            <w:vAlign w:val="top"/>
          </w:tcPr>
          <w:p>
            <w:r>
              <w:rPr>
                <w:sz w:val="16"/>
              </w:rPr>
              <w:t>ISO/IEC</w:t>
            </w:r>
          </w:p>
        </w:tc>
        <w:tc>
          <w:tcPr>
            <w:tcW w:type="dxa" w:w="2232"/>
            <w:vAlign w:val="top"/>
          </w:tcPr>
          <w:p>
            <w:r>
              <w:rPr>
                <w:sz w:val="16"/>
              </w:rPr>
              <w:t>Supporting control</w:t>
            </w:r>
          </w:p>
        </w:tc>
        <w:tc>
          <w:tcPr>
            <w:tcW w:type="dxa" w:w="2016"/>
            <w:vAlign w:val="top"/>
          </w:tcPr>
          <w:p>
            <w:r>
              <w:rPr>
                <w:sz w:val="16"/>
              </w:rPr>
              <w:t>International</w:t>
            </w:r>
          </w:p>
        </w:tc>
        <w:tc>
          <w:tcPr>
            <w:tcW w:type="dxa" w:w="1440"/>
            <w:vAlign w:val="top"/>
          </w:tcPr>
          <w:p>
            <w:r>
              <w:rPr>
                <w:sz w:val="16"/>
              </w:rPr>
              <w:t>2026-07-01</w:t>
            </w:r>
          </w:p>
        </w:tc>
      </w:tr>
      <w:tr>
        <w:tc>
          <w:tcPr>
            <w:tcW w:type="dxa" w:w="1008"/>
            <w:vAlign w:val="top"/>
          </w:tcPr>
          <w:p>
            <w:r>
              <w:rPr>
                <w:sz w:val="16"/>
              </w:rPr>
              <w:t>EXT-006</w:t>
            </w:r>
          </w:p>
        </w:tc>
        <w:tc>
          <w:tcPr>
            <w:tcW w:type="dxa" w:w="2448"/>
            <w:vAlign w:val="top"/>
          </w:tcPr>
          <w:p>
            <w:r>
              <w:rPr>
                <w:sz w:val="16"/>
              </w:rPr>
              <w:t>NIST Cybersecurity Framework 2.0</w:t>
            </w:r>
          </w:p>
        </w:tc>
        <w:tc>
          <w:tcPr>
            <w:tcW w:type="dxa" w:w="1872"/>
            <w:vAlign w:val="top"/>
          </w:tcPr>
          <w:p>
            <w:r>
              <w:rPr>
                <w:sz w:val="16"/>
              </w:rPr>
              <w:t>NIST</w:t>
            </w:r>
          </w:p>
        </w:tc>
        <w:tc>
          <w:tcPr>
            <w:tcW w:type="dxa" w:w="2232"/>
            <w:vAlign w:val="top"/>
          </w:tcPr>
          <w:p>
            <w:r>
              <w:rPr>
                <w:sz w:val="16"/>
              </w:rPr>
              <w:t>Supporting control</w:t>
            </w:r>
          </w:p>
        </w:tc>
        <w:tc>
          <w:tcPr>
            <w:tcW w:type="dxa" w:w="2016"/>
            <w:vAlign w:val="top"/>
          </w:tcPr>
          <w:p>
            <w:r>
              <w:rPr>
                <w:sz w:val="16"/>
              </w:rPr>
              <w:t>United States / international use</w:t>
            </w:r>
          </w:p>
        </w:tc>
        <w:tc>
          <w:tcPr>
            <w:tcW w:type="dxa" w:w="1440"/>
            <w:vAlign w:val="top"/>
          </w:tcPr>
          <w:p>
            <w:r>
              <w:rPr>
                <w:sz w:val="16"/>
              </w:rPr>
              <w:t>2026-07-01</w:t>
            </w:r>
          </w:p>
        </w:tc>
      </w:tr>
      <w:tr>
        <w:tc>
          <w:tcPr>
            <w:tcW w:type="dxa" w:w="1008"/>
            <w:vAlign w:val="top"/>
          </w:tcPr>
          <w:p>
            <w:r>
              <w:rPr>
                <w:sz w:val="16"/>
              </w:rPr>
              <w:t>EXT-007</w:t>
            </w:r>
          </w:p>
        </w:tc>
        <w:tc>
          <w:tcPr>
            <w:tcW w:type="dxa" w:w="2448"/>
            <w:vAlign w:val="top"/>
          </w:tcPr>
          <w:p>
            <w:r>
              <w:rPr>
                <w:sz w:val="16"/>
              </w:rPr>
              <w:t>FTC Consumer Review Rule</w:t>
            </w:r>
          </w:p>
        </w:tc>
        <w:tc>
          <w:tcPr>
            <w:tcW w:type="dxa" w:w="1872"/>
            <w:vAlign w:val="top"/>
          </w:tcPr>
          <w:p>
            <w:r>
              <w:rPr>
                <w:sz w:val="16"/>
              </w:rPr>
              <w:t>U.S. Federal Trade Commission</w:t>
            </w:r>
          </w:p>
        </w:tc>
        <w:tc>
          <w:tcPr>
            <w:tcW w:type="dxa" w:w="2232"/>
            <w:vAlign w:val="top"/>
          </w:tcPr>
          <w:p>
            <w:r>
              <w:rPr>
                <w:sz w:val="16"/>
              </w:rPr>
              <w:t>Contextual relevance</w:t>
            </w:r>
          </w:p>
        </w:tc>
        <w:tc>
          <w:tcPr>
            <w:tcW w:type="dxa" w:w="2016"/>
            <w:vAlign w:val="top"/>
          </w:tcPr>
          <w:p>
            <w:r>
              <w:rPr>
                <w:sz w:val="16"/>
              </w:rPr>
              <w:t>United States</w:t>
            </w:r>
          </w:p>
        </w:tc>
        <w:tc>
          <w:tcPr>
            <w:tcW w:type="dxa" w:w="1440"/>
            <w:vAlign w:val="top"/>
          </w:tcPr>
          <w:p>
            <w:r>
              <w:rPr>
                <w:sz w:val="16"/>
              </w:rPr>
              <w:t>2026-07-01</w:t>
            </w:r>
          </w:p>
        </w:tc>
      </w:tr>
      <w:tr>
        <w:tc>
          <w:tcPr>
            <w:tcW w:type="dxa" w:w="1008"/>
            <w:vAlign w:val="top"/>
          </w:tcPr>
          <w:p>
            <w:r>
              <w:rPr>
                <w:sz w:val="16"/>
              </w:rPr>
              <w:t>EXT-008</w:t>
            </w:r>
          </w:p>
        </w:tc>
        <w:tc>
          <w:tcPr>
            <w:tcW w:type="dxa" w:w="2448"/>
            <w:vAlign w:val="top"/>
          </w:tcPr>
          <w:p>
            <w:r>
              <w:rPr>
                <w:sz w:val="16"/>
              </w:rPr>
              <w:t>Web Content Accessibility Guidelines 2.2</w:t>
            </w:r>
          </w:p>
        </w:tc>
        <w:tc>
          <w:tcPr>
            <w:tcW w:type="dxa" w:w="1872"/>
            <w:vAlign w:val="top"/>
          </w:tcPr>
          <w:p>
            <w:r>
              <w:rPr>
                <w:sz w:val="16"/>
              </w:rPr>
              <w:t>W3C</w:t>
            </w:r>
          </w:p>
        </w:tc>
        <w:tc>
          <w:tcPr>
            <w:tcW w:type="dxa" w:w="2232"/>
            <w:vAlign w:val="top"/>
          </w:tcPr>
          <w:p>
            <w:r>
              <w:rPr>
                <w:sz w:val="16"/>
              </w:rPr>
              <w:t>Supporting control</w:t>
            </w:r>
          </w:p>
        </w:tc>
        <w:tc>
          <w:tcPr>
            <w:tcW w:type="dxa" w:w="2016"/>
            <w:vAlign w:val="top"/>
          </w:tcPr>
          <w:p>
            <w:r>
              <w:rPr>
                <w:sz w:val="16"/>
              </w:rPr>
              <w:t>International</w:t>
            </w:r>
          </w:p>
        </w:tc>
        <w:tc>
          <w:tcPr>
            <w:tcW w:type="dxa" w:w="1440"/>
            <w:vAlign w:val="top"/>
          </w:tcPr>
          <w:p>
            <w:r>
              <w:rPr>
                <w:sz w:val="16"/>
              </w:rPr>
              <w:t>2026-07-01</w:t>
            </w:r>
          </w:p>
        </w:tc>
      </w:tr>
      <w:tr>
        <w:tc>
          <w:tcPr>
            <w:tcW w:type="dxa" w:w="1008"/>
            <w:vAlign w:val="top"/>
          </w:tcPr>
          <w:p>
            <w:r>
              <w:rPr>
                <w:sz w:val="16"/>
              </w:rPr>
              <w:t>EXT-009</w:t>
            </w:r>
          </w:p>
        </w:tc>
        <w:tc>
          <w:tcPr>
            <w:tcW w:type="dxa" w:w="2448"/>
            <w:vAlign w:val="top"/>
          </w:tcPr>
          <w:p>
            <w:r>
              <w:rPr>
                <w:sz w:val="16"/>
              </w:rPr>
              <w:t>GDPR Regulation (EU) 2016/679</w:t>
            </w:r>
          </w:p>
        </w:tc>
        <w:tc>
          <w:tcPr>
            <w:tcW w:type="dxa" w:w="1872"/>
            <w:vAlign w:val="top"/>
          </w:tcPr>
          <w:p>
            <w:r>
              <w:rPr>
                <w:sz w:val="16"/>
              </w:rPr>
              <w:t>European Union</w:t>
            </w:r>
          </w:p>
        </w:tc>
        <w:tc>
          <w:tcPr>
            <w:tcW w:type="dxa" w:w="2232"/>
            <w:vAlign w:val="top"/>
          </w:tcPr>
          <w:p>
            <w:r>
              <w:rPr>
                <w:sz w:val="16"/>
              </w:rPr>
              <w:t>Contextual and partial alignment</w:t>
            </w:r>
          </w:p>
        </w:tc>
        <w:tc>
          <w:tcPr>
            <w:tcW w:type="dxa" w:w="2016"/>
            <w:vAlign w:val="top"/>
          </w:tcPr>
          <w:p>
            <w:r>
              <w:rPr>
                <w:sz w:val="16"/>
              </w:rPr>
              <w:t>European Union / EEA</w:t>
            </w:r>
          </w:p>
        </w:tc>
        <w:tc>
          <w:tcPr>
            <w:tcW w:type="dxa" w:w="1440"/>
            <w:vAlign w:val="top"/>
          </w:tcPr>
          <w:p>
            <w:r>
              <w:rPr>
                <w:sz w:val="16"/>
              </w:rPr>
              <w:t>2026-07-01</w:t>
            </w:r>
          </w:p>
        </w:tc>
      </w:tr>
      <w:tr>
        <w:tc>
          <w:tcPr>
            <w:tcW w:type="dxa" w:w="1008"/>
            <w:vAlign w:val="top"/>
          </w:tcPr>
          <w:p>
            <w:r>
              <w:rPr>
                <w:sz w:val="16"/>
              </w:rPr>
              <w:t>EXT-010</w:t>
            </w:r>
          </w:p>
        </w:tc>
        <w:tc>
          <w:tcPr>
            <w:tcW w:type="dxa" w:w="2448"/>
            <w:vAlign w:val="top"/>
          </w:tcPr>
          <w:p>
            <w:r>
              <w:rPr>
                <w:sz w:val="16"/>
              </w:rPr>
              <w:t>NIST Privacy Framework 1.0</w:t>
            </w:r>
          </w:p>
        </w:tc>
        <w:tc>
          <w:tcPr>
            <w:tcW w:type="dxa" w:w="1872"/>
            <w:vAlign w:val="top"/>
          </w:tcPr>
          <w:p>
            <w:r>
              <w:rPr>
                <w:sz w:val="16"/>
              </w:rPr>
              <w:t>NIST</w:t>
            </w:r>
          </w:p>
        </w:tc>
        <w:tc>
          <w:tcPr>
            <w:tcW w:type="dxa" w:w="2232"/>
            <w:vAlign w:val="top"/>
          </w:tcPr>
          <w:p>
            <w:r>
              <w:rPr>
                <w:sz w:val="16"/>
              </w:rPr>
              <w:t>Supporting control</w:t>
            </w:r>
          </w:p>
        </w:tc>
        <w:tc>
          <w:tcPr>
            <w:tcW w:type="dxa" w:w="2016"/>
            <w:vAlign w:val="top"/>
          </w:tcPr>
          <w:p>
            <w:r>
              <w:rPr>
                <w:sz w:val="16"/>
              </w:rPr>
              <w:t>United States / international use</w:t>
            </w:r>
          </w:p>
        </w:tc>
        <w:tc>
          <w:tcPr>
            <w:tcW w:type="dxa" w:w="1440"/>
            <w:vAlign w:val="top"/>
          </w:tcPr>
          <w:p>
            <w:r>
              <w:rPr>
                <w:sz w:val="16"/>
              </w:rPr>
              <w:t>2026-07-01</w:t>
            </w:r>
          </w:p>
        </w:tc>
      </w:tr>
    </w:tbl>
    <w:p/>
    <w:p>
      <w:pPr>
        <w:pStyle w:val="Heading1"/>
      </w:pPr>
      <w:r>
        <w:t>22. Notably Absent</w:t>
      </w:r>
    </w:p>
    <w:p>
      <w:pPr>
        <w:pStyle w:val="ListBullet"/>
      </w:pPr>
      <w:r>
        <w:t>No proprietary retailer telemetry, confirmed field-exploitation corpus or sector-wide incident denominator was available.</w:t>
      </w:r>
    </w:p>
    <w:p>
      <w:pPr>
        <w:pStyle w:val="ListBullet"/>
      </w:pPr>
      <w:r>
        <w:t>No claim is made that the listed threats have equal probability or that public reporting reflects actual prevalence.</w:t>
      </w:r>
    </w:p>
    <w:p>
      <w:pPr>
        <w:pStyle w:val="ListBullet"/>
      </w:pPr>
      <w:r>
        <w:t>No automatic legal, privacy, employment, consumer-protection, accessibility, payment-card, biometric or certification conclusion is provided.</w:t>
      </w:r>
    </w:p>
    <w:p>
      <w:pPr>
        <w:pStyle w:val="ListBullet"/>
      </w:pPr>
      <w:r>
        <w:t>No independent validation of retailer-specific performance, loss, false-positive or false-negative rates was performed.</w:t>
      </w:r>
    </w:p>
    <w:p>
      <w:pPr>
        <w:pStyle w:val="ListBullet"/>
      </w:pPr>
      <w:r>
        <w:t>Jurisdiction-specific biometric, employment, pharmacy, age-restricted sales and personalised-pricing obligations require separate legal review.</w:t>
      </w:r>
    </w:p>
    <w:p>
      <w:pPr>
        <w:pStyle w:val="ListBullet"/>
      </w:pPr>
      <w:r>
        <w:t>The guide does not establish that all retail AI systems are high risk; classification depends on function, authority, affected persons, jurisdiction and deployment.</w:t>
      </w:r>
    </w:p>
    <w:p>
      <w:pPr>
        <w:pStyle w:val="Heading1"/>
      </w:pPr>
      <w:r>
        <w:t>23. Limitations</w:t>
      </w:r>
    </w:p>
    <w:p>
      <w:r>
        <w:t>The guide depends on public evidence and the authoritative GAISSF baseline. Retail architectures, contracts, jurisdictions and operating data differ materially. Public incident data is incomplete, vendors may not disclose relevant model changes, and rapidly changing technology can make implementation examples stale. Specialist review is required before publication or use as an assessment basis.</w:t>
      </w:r>
    </w:p>
    <w:p>
      <w:pPr>
        <w:pStyle w:val="Heading1"/>
      </w:pPr>
      <w:r>
        <w:t>Appendix A - Retail AI inventory template</w:t>
      </w:r>
    </w:p>
    <w:tbl>
      <w:tblPr>
        <w:tblStyle w:val="TableGrid"/>
        <w:tblW w:type="auto" w:w="0"/>
        <w:jc w:val="center"/>
        <w:tblLook w:firstColumn="1" w:firstRow="1" w:lastColumn="0" w:lastRow="0" w:noHBand="0" w:noVBand="1" w:val="04A0"/>
      </w:tblPr>
      <w:tblGrid>
        <w:gridCol w:w="943"/>
        <w:gridCol w:w="943"/>
        <w:gridCol w:w="943"/>
        <w:gridCol w:w="943"/>
        <w:gridCol w:w="943"/>
        <w:gridCol w:w="943"/>
        <w:gridCol w:w="943"/>
        <w:gridCol w:w="943"/>
        <w:gridCol w:w="943"/>
        <w:gridCol w:w="943"/>
        <w:gridCol w:w="943"/>
      </w:tblGrid>
      <w:tr>
        <w:trPr>
          <w:tblHeader w:val="true"/>
        </w:trPr>
        <w:tc>
          <w:tcPr>
            <w:tcW w:type="dxa" w:w="1152"/>
            <w:shd w:fill="17365D"/>
            <w:vAlign w:val="center"/>
          </w:tcPr>
          <w:p>
            <w:r>
              <w:rPr>
                <w:b/>
                <w:color w:val="FFFFFF"/>
                <w:sz w:val="14"/>
              </w:rPr>
              <w:t>System ID</w:t>
            </w:r>
          </w:p>
        </w:tc>
        <w:tc>
          <w:tcPr>
            <w:tcW w:type="dxa" w:w="1440"/>
            <w:shd w:fill="17365D"/>
            <w:vAlign w:val="center"/>
          </w:tcPr>
          <w:p>
            <w:r>
              <w:rPr>
                <w:b/>
                <w:color w:val="FFFFFF"/>
                <w:sz w:val="14"/>
              </w:rPr>
              <w:t>Name</w:t>
            </w:r>
          </w:p>
        </w:tc>
        <w:tc>
          <w:tcPr>
            <w:tcW w:type="dxa" w:w="1440"/>
            <w:shd w:fill="17365D"/>
            <w:vAlign w:val="center"/>
          </w:tcPr>
          <w:p>
            <w:r>
              <w:rPr>
                <w:b/>
                <w:color w:val="FFFFFF"/>
                <w:sz w:val="14"/>
              </w:rPr>
              <w:t>Use case</w:t>
            </w:r>
          </w:p>
        </w:tc>
        <w:tc>
          <w:tcPr>
            <w:tcW w:type="dxa" w:w="1296"/>
            <w:shd w:fill="17365D"/>
            <w:vAlign w:val="center"/>
          </w:tcPr>
          <w:p>
            <w:r>
              <w:rPr>
                <w:b/>
                <w:color w:val="FFFFFF"/>
                <w:sz w:val="14"/>
              </w:rPr>
              <w:t>Owner</w:t>
            </w:r>
          </w:p>
        </w:tc>
        <w:tc>
          <w:tcPr>
            <w:tcW w:type="dxa" w:w="1296"/>
            <w:shd w:fill="17365D"/>
            <w:vAlign w:val="center"/>
          </w:tcPr>
          <w:p>
            <w:r>
              <w:rPr>
                <w:b/>
                <w:color w:val="FFFFFF"/>
                <w:sz w:val="14"/>
              </w:rPr>
              <w:t>Supplier</w:t>
            </w:r>
          </w:p>
        </w:tc>
        <w:tc>
          <w:tcPr>
            <w:tcW w:type="dxa" w:w="1296"/>
            <w:shd w:fill="17365D"/>
            <w:vAlign w:val="center"/>
          </w:tcPr>
          <w:p>
            <w:r>
              <w:rPr>
                <w:b/>
                <w:color w:val="FFFFFF"/>
                <w:sz w:val="14"/>
              </w:rPr>
              <w:t>Deployment</w:t>
            </w:r>
          </w:p>
        </w:tc>
        <w:tc>
          <w:tcPr>
            <w:tcW w:type="dxa" w:w="1584"/>
            <w:shd w:fill="17365D"/>
            <w:vAlign w:val="center"/>
          </w:tcPr>
          <w:p>
            <w:r>
              <w:rPr>
                <w:b/>
                <w:color w:val="FFFFFF"/>
                <w:sz w:val="14"/>
              </w:rPr>
              <w:t>Data</w:t>
            </w:r>
          </w:p>
        </w:tc>
        <w:tc>
          <w:tcPr>
            <w:tcW w:type="dxa" w:w="1008"/>
            <w:shd w:fill="17365D"/>
            <w:vAlign w:val="center"/>
          </w:tcPr>
          <w:p>
            <w:r>
              <w:rPr>
                <w:b/>
                <w:color w:val="FFFFFF"/>
                <w:sz w:val="14"/>
              </w:rPr>
              <w:t>Criticality</w:t>
            </w:r>
          </w:p>
        </w:tc>
        <w:tc>
          <w:tcPr>
            <w:tcW w:type="dxa" w:w="1296"/>
            <w:shd w:fill="17365D"/>
            <w:vAlign w:val="center"/>
          </w:tcPr>
          <w:p>
            <w:r>
              <w:rPr>
                <w:b/>
                <w:color w:val="FFFFFF"/>
                <w:sz w:val="14"/>
              </w:rPr>
              <w:t>Oversight</w:t>
            </w:r>
          </w:p>
        </w:tc>
        <w:tc>
          <w:tcPr>
            <w:tcW w:type="dxa" w:w="1152"/>
            <w:shd w:fill="17365D"/>
            <w:vAlign w:val="center"/>
          </w:tcPr>
          <w:p>
            <w:r>
              <w:rPr>
                <w:b/>
                <w:color w:val="FFFFFF"/>
                <w:sz w:val="14"/>
              </w:rPr>
              <w:t>Status</w:t>
            </w:r>
          </w:p>
        </w:tc>
        <w:tc>
          <w:tcPr>
            <w:tcW w:type="dxa" w:w="1152"/>
            <w:shd w:fill="17365D"/>
            <w:vAlign w:val="center"/>
          </w:tcPr>
          <w:p>
            <w:r>
              <w:rPr>
                <w:b/>
                <w:color w:val="FFFFFF"/>
                <w:sz w:val="14"/>
              </w:rPr>
              <w:t>Last review</w:t>
            </w:r>
          </w:p>
        </w:tc>
      </w:tr>
      <w:tr>
        <w:tc>
          <w:tcPr>
            <w:tcW w:type="dxa" w:w="1152"/>
            <w:vAlign w:val="top"/>
          </w:tcPr>
          <w:p>
            <w:r>
              <w:rPr>
                <w:sz w:val="14"/>
              </w:rPr>
              <w:t>RET-SYS-___</w:t>
            </w:r>
          </w:p>
        </w:tc>
        <w:tc>
          <w:tcPr>
            <w:tcW w:type="dxa" w:w="1440"/>
            <w:vAlign w:val="top"/>
          </w:tcPr>
          <w:p>
            <w:r>
              <w:rPr>
                <w:sz w:val="14"/>
              </w:rPr>
            </w:r>
          </w:p>
        </w:tc>
        <w:tc>
          <w:tcPr>
            <w:tcW w:type="dxa" w:w="1440"/>
            <w:vAlign w:val="top"/>
          </w:tcPr>
          <w:p>
            <w:r>
              <w:rPr>
                <w:sz w:val="14"/>
              </w:rPr>
            </w:r>
          </w:p>
        </w:tc>
        <w:tc>
          <w:tcPr>
            <w:tcW w:type="dxa" w:w="1296"/>
            <w:vAlign w:val="top"/>
          </w:tcPr>
          <w:p>
            <w:r>
              <w:rPr>
                <w:sz w:val="14"/>
              </w:rPr>
            </w:r>
          </w:p>
        </w:tc>
        <w:tc>
          <w:tcPr>
            <w:tcW w:type="dxa" w:w="1296"/>
            <w:vAlign w:val="top"/>
          </w:tcPr>
          <w:p>
            <w:r>
              <w:rPr>
                <w:sz w:val="14"/>
              </w:rPr>
            </w:r>
          </w:p>
        </w:tc>
        <w:tc>
          <w:tcPr>
            <w:tcW w:type="dxa" w:w="1296"/>
            <w:vAlign w:val="top"/>
          </w:tcPr>
          <w:p>
            <w:r>
              <w:rPr>
                <w:sz w:val="14"/>
              </w:rPr>
            </w:r>
          </w:p>
        </w:tc>
        <w:tc>
          <w:tcPr>
            <w:tcW w:type="dxa" w:w="1584"/>
            <w:vAlign w:val="top"/>
          </w:tcPr>
          <w:p>
            <w:r>
              <w:rPr>
                <w:sz w:val="14"/>
              </w:rPr>
            </w:r>
          </w:p>
        </w:tc>
        <w:tc>
          <w:tcPr>
            <w:tcW w:type="dxa" w:w="1008"/>
            <w:vAlign w:val="top"/>
          </w:tcPr>
          <w:p>
            <w:r>
              <w:rPr>
                <w:sz w:val="14"/>
              </w:rPr>
            </w:r>
          </w:p>
        </w:tc>
        <w:tc>
          <w:tcPr>
            <w:tcW w:type="dxa" w:w="1296"/>
            <w:vAlign w:val="top"/>
          </w:tcPr>
          <w:p>
            <w:r>
              <w:rPr>
                <w:sz w:val="14"/>
              </w:rPr>
            </w:r>
          </w:p>
        </w:tc>
        <w:tc>
          <w:tcPr>
            <w:tcW w:type="dxa" w:w="1152"/>
            <w:vAlign w:val="top"/>
          </w:tcPr>
          <w:p>
            <w:r>
              <w:rPr>
                <w:sz w:val="14"/>
              </w:rPr>
            </w:r>
          </w:p>
        </w:tc>
        <w:tc>
          <w:tcPr>
            <w:tcW w:type="dxa" w:w="1152"/>
            <w:vAlign w:val="top"/>
          </w:tcPr>
          <w:p>
            <w:r>
              <w:rPr>
                <w:sz w:val="14"/>
              </w:rPr>
            </w:r>
          </w:p>
        </w:tc>
      </w:tr>
    </w:tbl>
    <w:p/>
    <w:p>
      <w:pPr>
        <w:pStyle w:val="Heading1"/>
      </w:pPr>
      <w:r>
        <w:t>Appendix B - Risk assessment template</w:t>
      </w:r>
    </w:p>
    <w:tbl>
      <w:tblPr>
        <w:tblStyle w:val="TableGrid"/>
        <w:tblW w:type="auto" w:w="0"/>
        <w:jc w:val="center"/>
        <w:tblLook w:firstColumn="1" w:firstRow="1" w:lastColumn="0" w:lastRow="0" w:noHBand="0" w:noVBand="1" w:val="04A0"/>
      </w:tblPr>
      <w:tblGrid>
        <w:gridCol w:w="1152"/>
        <w:gridCol w:w="1152"/>
        <w:gridCol w:w="1152"/>
        <w:gridCol w:w="1152"/>
        <w:gridCol w:w="1152"/>
        <w:gridCol w:w="1152"/>
        <w:gridCol w:w="1152"/>
        <w:gridCol w:w="1152"/>
        <w:gridCol w:w="1152"/>
      </w:tblGrid>
      <w:tr>
        <w:trPr>
          <w:tblHeader w:val="true"/>
        </w:trPr>
        <w:tc>
          <w:tcPr>
            <w:tcW w:type="dxa" w:w="1296"/>
            <w:shd w:fill="17365D"/>
            <w:vAlign w:val="center"/>
          </w:tcPr>
          <w:p>
            <w:r>
              <w:rPr>
                <w:b/>
                <w:color w:val="FFFFFF"/>
                <w:sz w:val="14"/>
              </w:rPr>
              <w:t>Risk ID</w:t>
            </w:r>
          </w:p>
        </w:tc>
        <w:tc>
          <w:tcPr>
            <w:tcW w:type="dxa" w:w="1440"/>
            <w:shd w:fill="17365D"/>
            <w:vAlign w:val="center"/>
          </w:tcPr>
          <w:p>
            <w:r>
              <w:rPr>
                <w:b/>
                <w:color w:val="FFFFFF"/>
                <w:sz w:val="14"/>
              </w:rPr>
              <w:t>System</w:t>
            </w:r>
          </w:p>
        </w:tc>
        <w:tc>
          <w:tcPr>
            <w:tcW w:type="dxa" w:w="1440"/>
            <w:shd w:fill="17365D"/>
            <w:vAlign w:val="center"/>
          </w:tcPr>
          <w:p>
            <w:r>
              <w:rPr>
                <w:b/>
                <w:color w:val="FFFFFF"/>
                <w:sz w:val="14"/>
              </w:rPr>
              <w:t>Threat</w:t>
            </w:r>
          </w:p>
        </w:tc>
        <w:tc>
          <w:tcPr>
            <w:tcW w:type="dxa" w:w="1584"/>
            <w:shd w:fill="17365D"/>
            <w:vAlign w:val="center"/>
          </w:tcPr>
          <w:p>
            <w:r>
              <w:rPr>
                <w:b/>
                <w:color w:val="FFFFFF"/>
                <w:sz w:val="14"/>
              </w:rPr>
              <w:t>Impact</w:t>
            </w:r>
          </w:p>
        </w:tc>
        <w:tc>
          <w:tcPr>
            <w:tcW w:type="dxa" w:w="1728"/>
            <w:shd w:fill="17365D"/>
            <w:vAlign w:val="center"/>
          </w:tcPr>
          <w:p>
            <w:r>
              <w:rPr>
                <w:b/>
                <w:color w:val="FFFFFF"/>
                <w:sz w:val="14"/>
              </w:rPr>
              <w:t>Likelihood basis</w:t>
            </w:r>
          </w:p>
        </w:tc>
        <w:tc>
          <w:tcPr>
            <w:tcW w:type="dxa" w:w="1728"/>
            <w:shd w:fill="17365D"/>
            <w:vAlign w:val="center"/>
          </w:tcPr>
          <w:p>
            <w:r>
              <w:rPr>
                <w:b/>
                <w:color w:val="FFFFFF"/>
                <w:sz w:val="14"/>
              </w:rPr>
              <w:t>Controls</w:t>
            </w:r>
          </w:p>
        </w:tc>
        <w:tc>
          <w:tcPr>
            <w:tcW w:type="dxa" w:w="1440"/>
            <w:shd w:fill="17365D"/>
            <w:vAlign w:val="center"/>
          </w:tcPr>
          <w:p>
            <w:r>
              <w:rPr>
                <w:b/>
                <w:color w:val="FFFFFF"/>
                <w:sz w:val="14"/>
              </w:rPr>
              <w:t>Residual risk</w:t>
            </w:r>
          </w:p>
        </w:tc>
        <w:tc>
          <w:tcPr>
            <w:tcW w:type="dxa" w:w="1296"/>
            <w:shd w:fill="17365D"/>
            <w:vAlign w:val="center"/>
          </w:tcPr>
          <w:p>
            <w:r>
              <w:rPr>
                <w:b/>
                <w:color w:val="FFFFFF"/>
                <w:sz w:val="14"/>
              </w:rPr>
              <w:t>Owner</w:t>
            </w:r>
          </w:p>
        </w:tc>
        <w:tc>
          <w:tcPr>
            <w:tcW w:type="dxa" w:w="1296"/>
            <w:shd w:fill="17365D"/>
            <w:vAlign w:val="center"/>
          </w:tcPr>
          <w:p>
            <w:r>
              <w:rPr>
                <w:b/>
                <w:color w:val="FFFFFF"/>
                <w:sz w:val="14"/>
              </w:rPr>
              <w:t>Decision</w:t>
            </w:r>
          </w:p>
        </w:tc>
      </w:tr>
      <w:tr>
        <w:tc>
          <w:tcPr>
            <w:tcW w:type="dxa" w:w="1296"/>
            <w:vAlign w:val="top"/>
          </w:tcPr>
          <w:p>
            <w:r>
              <w:rPr>
                <w:sz w:val="14"/>
              </w:rPr>
              <w:t>RET-RSK-___</w:t>
            </w:r>
          </w:p>
        </w:tc>
        <w:tc>
          <w:tcPr>
            <w:tcW w:type="dxa" w:w="1440"/>
            <w:vAlign w:val="top"/>
          </w:tcPr>
          <w:p>
            <w:r>
              <w:rPr>
                <w:sz w:val="14"/>
              </w:rPr>
            </w:r>
          </w:p>
        </w:tc>
        <w:tc>
          <w:tcPr>
            <w:tcW w:type="dxa" w:w="1440"/>
            <w:vAlign w:val="top"/>
          </w:tcPr>
          <w:p>
            <w:r>
              <w:rPr>
                <w:sz w:val="14"/>
              </w:rPr>
            </w:r>
          </w:p>
        </w:tc>
        <w:tc>
          <w:tcPr>
            <w:tcW w:type="dxa" w:w="1584"/>
            <w:vAlign w:val="top"/>
          </w:tcPr>
          <w:p>
            <w:r>
              <w:rPr>
                <w:sz w:val="14"/>
              </w:rPr>
            </w:r>
          </w:p>
        </w:tc>
        <w:tc>
          <w:tcPr>
            <w:tcW w:type="dxa" w:w="1728"/>
            <w:vAlign w:val="top"/>
          </w:tcPr>
          <w:p>
            <w:r>
              <w:rPr>
                <w:sz w:val="14"/>
              </w:rPr>
            </w:r>
          </w:p>
        </w:tc>
        <w:tc>
          <w:tcPr>
            <w:tcW w:type="dxa" w:w="1728"/>
            <w:vAlign w:val="top"/>
          </w:tcPr>
          <w:p>
            <w:r>
              <w:rPr>
                <w:sz w:val="14"/>
              </w:rPr>
            </w:r>
          </w:p>
        </w:tc>
        <w:tc>
          <w:tcPr>
            <w:tcW w:type="dxa" w:w="1440"/>
            <w:vAlign w:val="top"/>
          </w:tcPr>
          <w:p>
            <w:r>
              <w:rPr>
                <w:sz w:val="14"/>
              </w:rPr>
            </w:r>
          </w:p>
        </w:tc>
        <w:tc>
          <w:tcPr>
            <w:tcW w:type="dxa" w:w="1296"/>
            <w:vAlign w:val="top"/>
          </w:tcPr>
          <w:p>
            <w:r>
              <w:rPr>
                <w:sz w:val="14"/>
              </w:rPr>
            </w:r>
          </w:p>
        </w:tc>
        <w:tc>
          <w:tcPr>
            <w:tcW w:type="dxa" w:w="1296"/>
            <w:vAlign w:val="top"/>
          </w:tcPr>
          <w:p>
            <w:r>
              <w:rPr>
                <w:sz w:val="14"/>
              </w:rPr>
            </w:r>
          </w:p>
        </w:tc>
      </w:tr>
    </w:tbl>
    <w:p/>
    <w:p>
      <w:pPr>
        <w:pStyle w:val="Heading1"/>
      </w:pPr>
      <w:r>
        <w:t>Appendix C - Supplier due-diligence questions</w:t>
      </w:r>
    </w:p>
    <w:p>
      <w:pPr>
        <w:pStyle w:val="ListBullet"/>
      </w:pPr>
      <w:r>
        <w:t>What data is collected, retained, transferred, used for provider training or disclosed to subprocessors?</w:t>
      </w:r>
    </w:p>
    <w:p>
      <w:pPr>
        <w:pStyle w:val="ListBullet"/>
      </w:pPr>
      <w:r>
        <w:t>How are model versions, material behavioural changes, vulnerabilities and incidents notified?</w:t>
      </w:r>
    </w:p>
    <w:p>
      <w:pPr>
        <w:pStyle w:val="ListBullet"/>
      </w:pPr>
      <w:r>
        <w:t>What evidence, testing results, logs, model documentation and audit rights are available?</w:t>
      </w:r>
    </w:p>
    <w:p>
      <w:pPr>
        <w:pStyle w:val="ListBullet"/>
      </w:pPr>
      <w:r>
        <w:t>How are access, tenant isolation, deletion, portability, continuity and termination handled?</w:t>
      </w:r>
    </w:p>
    <w:p>
      <w:pPr>
        <w:pStyle w:val="ListBullet"/>
      </w:pPr>
      <w:r>
        <w:t>Which safety, security, privacy, accessibility and human-oversight limitations remain unverified?</w:t>
      </w:r>
    </w:p>
    <w:p>
      <w:pPr>
        <w:pStyle w:val="Heading1"/>
      </w:pPr>
      <w:r>
        <w:t>Appendix D - Deployment readiness checklist</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8352"/>
            <w:shd w:fill="17365D"/>
            <w:vAlign w:val="center"/>
          </w:tcPr>
          <w:p>
            <w:r>
              <w:rPr>
                <w:b/>
                <w:color w:val="FFFFFF"/>
                <w:sz w:val="18"/>
              </w:rPr>
              <w:t>Readiness item</w:t>
            </w:r>
          </w:p>
        </w:tc>
        <w:tc>
          <w:tcPr>
            <w:tcW w:type="dxa" w:w="2304"/>
            <w:shd w:fill="17365D"/>
            <w:vAlign w:val="center"/>
          </w:tcPr>
          <w:p>
            <w:r>
              <w:rPr>
                <w:b/>
                <w:color w:val="FFFFFF"/>
                <w:sz w:val="18"/>
              </w:rPr>
              <w:t>Status</w:t>
            </w:r>
          </w:p>
        </w:tc>
      </w:tr>
      <w:tr>
        <w:tc>
          <w:tcPr>
            <w:tcW w:type="dxa" w:w="8352"/>
            <w:vAlign w:val="top"/>
          </w:tcPr>
          <w:p>
            <w:r>
              <w:rPr>
                <w:sz w:val="18"/>
              </w:rPr>
              <w:t>Scope and accountable owner approved</w:t>
            </w:r>
          </w:p>
        </w:tc>
        <w:tc>
          <w:tcPr>
            <w:tcW w:type="dxa" w:w="2304"/>
            <w:vAlign w:val="top"/>
          </w:tcPr>
          <w:p>
            <w:r>
              <w:rPr>
                <w:sz w:val="18"/>
              </w:rPr>
              <w:t>Open</w:t>
            </w:r>
          </w:p>
        </w:tc>
      </w:tr>
      <w:tr>
        <w:tc>
          <w:tcPr>
            <w:tcW w:type="dxa" w:w="8352"/>
            <w:vAlign w:val="top"/>
          </w:tcPr>
          <w:p>
            <w:r>
              <w:rPr>
                <w:sz w:val="18"/>
              </w:rPr>
              <w:t>Use case and criticality classified</w:t>
            </w:r>
          </w:p>
        </w:tc>
        <w:tc>
          <w:tcPr>
            <w:tcW w:type="dxa" w:w="2304"/>
            <w:vAlign w:val="top"/>
          </w:tcPr>
          <w:p>
            <w:r>
              <w:rPr>
                <w:sz w:val="18"/>
              </w:rPr>
              <w:t>Open</w:t>
            </w:r>
          </w:p>
        </w:tc>
      </w:tr>
      <w:tr>
        <w:tc>
          <w:tcPr>
            <w:tcW w:type="dxa" w:w="8352"/>
            <w:vAlign w:val="top"/>
          </w:tcPr>
          <w:p>
            <w:r>
              <w:rPr>
                <w:sz w:val="18"/>
              </w:rPr>
              <w:t>Data flows and suppliers documented</w:t>
            </w:r>
          </w:p>
        </w:tc>
        <w:tc>
          <w:tcPr>
            <w:tcW w:type="dxa" w:w="2304"/>
            <w:vAlign w:val="top"/>
          </w:tcPr>
          <w:p>
            <w:r>
              <w:rPr>
                <w:sz w:val="18"/>
              </w:rPr>
              <w:t>Open</w:t>
            </w:r>
          </w:p>
        </w:tc>
      </w:tr>
      <w:tr>
        <w:tc>
          <w:tcPr>
            <w:tcW w:type="dxa" w:w="8352"/>
            <w:vAlign w:val="top"/>
          </w:tcPr>
          <w:p>
            <w:r>
              <w:rPr>
                <w:sz w:val="18"/>
              </w:rPr>
              <w:t>Applicable controls and exceptions approved</w:t>
            </w:r>
          </w:p>
        </w:tc>
        <w:tc>
          <w:tcPr>
            <w:tcW w:type="dxa" w:w="2304"/>
            <w:vAlign w:val="top"/>
          </w:tcPr>
          <w:p>
            <w:r>
              <w:rPr>
                <w:sz w:val="18"/>
              </w:rPr>
              <w:t>Open</w:t>
            </w:r>
          </w:p>
        </w:tc>
      </w:tr>
      <w:tr>
        <w:tc>
          <w:tcPr>
            <w:tcW w:type="dxa" w:w="8352"/>
            <w:vAlign w:val="top"/>
          </w:tcPr>
          <w:p>
            <w:r>
              <w:rPr>
                <w:sz w:val="18"/>
              </w:rPr>
              <w:t>Security and misuse testing passed</w:t>
            </w:r>
          </w:p>
        </w:tc>
        <w:tc>
          <w:tcPr>
            <w:tcW w:type="dxa" w:w="2304"/>
            <w:vAlign w:val="top"/>
          </w:tcPr>
          <w:p>
            <w:r>
              <w:rPr>
                <w:sz w:val="18"/>
              </w:rPr>
              <w:t>Open</w:t>
            </w:r>
          </w:p>
        </w:tc>
      </w:tr>
      <w:tr>
        <w:tc>
          <w:tcPr>
            <w:tcW w:type="dxa" w:w="8352"/>
            <w:vAlign w:val="top"/>
          </w:tcPr>
          <w:p>
            <w:r>
              <w:rPr>
                <w:sz w:val="18"/>
              </w:rPr>
              <w:t>Human oversight tested</w:t>
            </w:r>
          </w:p>
        </w:tc>
        <w:tc>
          <w:tcPr>
            <w:tcW w:type="dxa" w:w="2304"/>
            <w:vAlign w:val="top"/>
          </w:tcPr>
          <w:p>
            <w:r>
              <w:rPr>
                <w:sz w:val="18"/>
              </w:rPr>
              <w:t>Open</w:t>
            </w:r>
          </w:p>
        </w:tc>
      </w:tr>
      <w:tr>
        <w:tc>
          <w:tcPr>
            <w:tcW w:type="dxa" w:w="8352"/>
            <w:vAlign w:val="top"/>
          </w:tcPr>
          <w:p>
            <w:r>
              <w:rPr>
                <w:sz w:val="18"/>
              </w:rPr>
              <w:t>Monitoring and thresholds configured</w:t>
            </w:r>
          </w:p>
        </w:tc>
        <w:tc>
          <w:tcPr>
            <w:tcW w:type="dxa" w:w="2304"/>
            <w:vAlign w:val="top"/>
          </w:tcPr>
          <w:p>
            <w:r>
              <w:rPr>
                <w:sz w:val="18"/>
              </w:rPr>
              <w:t>Open</w:t>
            </w:r>
          </w:p>
        </w:tc>
      </w:tr>
      <w:tr>
        <w:tc>
          <w:tcPr>
            <w:tcW w:type="dxa" w:w="8352"/>
            <w:vAlign w:val="top"/>
          </w:tcPr>
          <w:p>
            <w:r>
              <w:rPr>
                <w:sz w:val="18"/>
              </w:rPr>
              <w:t>Incident and fallback procedures exercised</w:t>
            </w:r>
          </w:p>
        </w:tc>
        <w:tc>
          <w:tcPr>
            <w:tcW w:type="dxa" w:w="2304"/>
            <w:vAlign w:val="top"/>
          </w:tcPr>
          <w:p>
            <w:r>
              <w:rPr>
                <w:sz w:val="18"/>
              </w:rPr>
              <w:t>Open</w:t>
            </w:r>
          </w:p>
        </w:tc>
      </w:tr>
      <w:tr>
        <w:tc>
          <w:tcPr>
            <w:tcW w:type="dxa" w:w="8352"/>
            <w:vAlign w:val="top"/>
          </w:tcPr>
          <w:p>
            <w:r>
              <w:rPr>
                <w:sz w:val="18"/>
              </w:rPr>
              <w:t>Legal/privacy/consumer review completed where triggered</w:t>
            </w:r>
          </w:p>
        </w:tc>
        <w:tc>
          <w:tcPr>
            <w:tcW w:type="dxa" w:w="2304"/>
            <w:vAlign w:val="top"/>
          </w:tcPr>
          <w:p>
            <w:r>
              <w:rPr>
                <w:sz w:val="18"/>
              </w:rPr>
              <w:t>Open</w:t>
            </w:r>
          </w:p>
        </w:tc>
      </w:tr>
      <w:tr>
        <w:tc>
          <w:tcPr>
            <w:tcW w:type="dxa" w:w="8352"/>
            <w:vAlign w:val="top"/>
          </w:tcPr>
          <w:p>
            <w:r>
              <w:rPr>
                <w:sz w:val="18"/>
              </w:rPr>
              <w:t>Residual risk accepted by authorised role</w:t>
            </w:r>
          </w:p>
        </w:tc>
        <w:tc>
          <w:tcPr>
            <w:tcW w:type="dxa" w:w="2304"/>
            <w:vAlign w:val="top"/>
          </w:tcPr>
          <w:p>
            <w:r>
              <w:rPr>
                <w:sz w:val="18"/>
              </w:rPr>
              <w:t>Open</w:t>
            </w:r>
          </w:p>
        </w:tc>
      </w:tr>
    </w:tbl>
    <w:p/>
    <w:p>
      <w:pPr>
        <w:pStyle w:val="Heading1"/>
      </w:pPr>
      <w:r>
        <w:t>Appendix E - Source and evidence register</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rPr>
          <w:tblHeader w:val="true"/>
        </w:trPr>
        <w:tc>
          <w:tcPr>
            <w:tcW w:type="dxa" w:w="1008"/>
            <w:shd w:fill="17365D"/>
            <w:vAlign w:val="center"/>
          </w:tcPr>
          <w:p>
            <w:r>
              <w:rPr>
                <w:b/>
                <w:color w:val="FFFFFF"/>
                <w:sz w:val="14"/>
              </w:rPr>
              <w:t>Source ID</w:t>
            </w:r>
          </w:p>
        </w:tc>
        <w:tc>
          <w:tcPr>
            <w:tcW w:type="dxa" w:w="2304"/>
            <w:shd w:fill="17365D"/>
            <w:vAlign w:val="center"/>
          </w:tcPr>
          <w:p>
            <w:r>
              <w:rPr>
                <w:b/>
                <w:color w:val="FFFFFF"/>
                <w:sz w:val="14"/>
              </w:rPr>
              <w:t>Title</w:t>
            </w:r>
          </w:p>
        </w:tc>
        <w:tc>
          <w:tcPr>
            <w:tcW w:type="dxa" w:w="1728"/>
            <w:shd w:fill="17365D"/>
            <w:vAlign w:val="center"/>
          </w:tcPr>
          <w:p>
            <w:r>
              <w:rPr>
                <w:b/>
                <w:color w:val="FFFFFF"/>
                <w:sz w:val="14"/>
              </w:rPr>
              <w:t>Issuer</w:t>
            </w:r>
          </w:p>
        </w:tc>
        <w:tc>
          <w:tcPr>
            <w:tcW w:type="dxa" w:w="2160"/>
            <w:shd w:fill="17365D"/>
            <w:vAlign w:val="center"/>
          </w:tcPr>
          <w:p>
            <w:r>
              <w:rPr>
                <w:b/>
                <w:color w:val="FFFFFF"/>
                <w:sz w:val="14"/>
              </w:rPr>
              <w:t>Class</w:t>
            </w:r>
          </w:p>
        </w:tc>
        <w:tc>
          <w:tcPr>
            <w:tcW w:type="dxa" w:w="3600"/>
            <w:shd w:fill="17365D"/>
            <w:vAlign w:val="center"/>
          </w:tcPr>
          <w:p>
            <w:r>
              <w:rPr>
                <w:b/>
                <w:color w:val="FFFFFF"/>
                <w:sz w:val="14"/>
              </w:rPr>
              <w:t>URL</w:t>
            </w:r>
          </w:p>
        </w:tc>
        <w:tc>
          <w:tcPr>
            <w:tcW w:type="dxa" w:w="1152"/>
            <w:shd w:fill="17365D"/>
            <w:vAlign w:val="center"/>
          </w:tcPr>
          <w:p>
            <w:r>
              <w:rPr>
                <w:b/>
                <w:color w:val="FFFFFF"/>
                <w:sz w:val="14"/>
              </w:rPr>
              <w:t>Verified</w:t>
            </w:r>
          </w:p>
        </w:tc>
      </w:tr>
      <w:tr>
        <w:tc>
          <w:tcPr>
            <w:tcW w:type="dxa" w:w="1008"/>
            <w:vAlign w:val="top"/>
          </w:tcPr>
          <w:p>
            <w:r>
              <w:rPr>
                <w:sz w:val="14"/>
              </w:rPr>
              <w:t>EXT-001</w:t>
            </w:r>
          </w:p>
        </w:tc>
        <w:tc>
          <w:tcPr>
            <w:tcW w:type="dxa" w:w="2304"/>
            <w:vAlign w:val="top"/>
          </w:tcPr>
          <w:p>
            <w:r>
              <w:rPr>
                <w:sz w:val="14"/>
              </w:rPr>
              <w:t>NIST AI RMF 1.0</w:t>
            </w:r>
          </w:p>
        </w:tc>
        <w:tc>
          <w:tcPr>
            <w:tcW w:type="dxa" w:w="1728"/>
            <w:vAlign w:val="top"/>
          </w:tcPr>
          <w:p>
            <w:r>
              <w:rPr>
                <w:sz w:val="14"/>
              </w:rPr>
              <w:t>NIST</w:t>
            </w:r>
          </w:p>
        </w:tc>
        <w:tc>
          <w:tcPr>
            <w:tcW w:type="dxa" w:w="2160"/>
            <w:vAlign w:val="top"/>
          </w:tcPr>
          <w:p>
            <w:r>
              <w:rPr>
                <w:sz w:val="14"/>
              </w:rPr>
              <w:t>Voluntary AI risk management framework</w:t>
            </w:r>
          </w:p>
        </w:tc>
        <w:tc>
          <w:tcPr>
            <w:tcW w:type="dxa" w:w="3600"/>
            <w:vAlign w:val="top"/>
          </w:tcPr>
          <w:p>
            <w:r>
              <w:rPr>
                <w:sz w:val="14"/>
              </w:rPr>
              <w:t>https://www.nist.gov/itl/ai-risk-management-framework</w:t>
            </w:r>
          </w:p>
        </w:tc>
        <w:tc>
          <w:tcPr>
            <w:tcW w:type="dxa" w:w="1152"/>
            <w:vAlign w:val="top"/>
          </w:tcPr>
          <w:p>
            <w:r>
              <w:rPr>
                <w:sz w:val="14"/>
              </w:rPr>
              <w:t>2026-07-01</w:t>
            </w:r>
          </w:p>
        </w:tc>
      </w:tr>
      <w:tr>
        <w:tc>
          <w:tcPr>
            <w:tcW w:type="dxa" w:w="1008"/>
            <w:vAlign w:val="top"/>
          </w:tcPr>
          <w:p>
            <w:r>
              <w:rPr>
                <w:sz w:val="14"/>
              </w:rPr>
              <w:t>EXT-002</w:t>
            </w:r>
          </w:p>
        </w:tc>
        <w:tc>
          <w:tcPr>
            <w:tcW w:type="dxa" w:w="2304"/>
            <w:vAlign w:val="top"/>
          </w:tcPr>
          <w:p>
            <w:r>
              <w:rPr>
                <w:sz w:val="14"/>
              </w:rPr>
              <w:t>Regulation (EU) 2024/1689 (AI Act)</w:t>
            </w:r>
          </w:p>
        </w:tc>
        <w:tc>
          <w:tcPr>
            <w:tcW w:type="dxa" w:w="1728"/>
            <w:vAlign w:val="top"/>
          </w:tcPr>
          <w:p>
            <w:r>
              <w:rPr>
                <w:sz w:val="14"/>
              </w:rPr>
              <w:t>European Union</w:t>
            </w:r>
          </w:p>
        </w:tc>
        <w:tc>
          <w:tcPr>
            <w:tcW w:type="dxa" w:w="2160"/>
            <w:vAlign w:val="top"/>
          </w:tcPr>
          <w:p>
            <w:r>
              <w:rPr>
                <w:sz w:val="14"/>
              </w:rPr>
              <w:t>Risk-based AI regulation</w:t>
            </w:r>
          </w:p>
        </w:tc>
        <w:tc>
          <w:tcPr>
            <w:tcW w:type="dxa" w:w="3600"/>
            <w:vAlign w:val="top"/>
          </w:tcPr>
          <w:p>
            <w:r>
              <w:rPr>
                <w:sz w:val="14"/>
              </w:rPr>
              <w:t>https://eur-lex.europa.eu/eli/reg/2024/1689/oj</w:t>
            </w:r>
          </w:p>
        </w:tc>
        <w:tc>
          <w:tcPr>
            <w:tcW w:type="dxa" w:w="1152"/>
            <w:vAlign w:val="top"/>
          </w:tcPr>
          <w:p>
            <w:r>
              <w:rPr>
                <w:sz w:val="14"/>
              </w:rPr>
              <w:t>2026-07-01</w:t>
            </w:r>
          </w:p>
        </w:tc>
      </w:tr>
      <w:tr>
        <w:tc>
          <w:tcPr>
            <w:tcW w:type="dxa" w:w="1008"/>
            <w:vAlign w:val="top"/>
          </w:tcPr>
          <w:p>
            <w:r>
              <w:rPr>
                <w:sz w:val="14"/>
              </w:rPr>
              <w:t>EXT-003</w:t>
            </w:r>
          </w:p>
        </w:tc>
        <w:tc>
          <w:tcPr>
            <w:tcW w:type="dxa" w:w="2304"/>
            <w:vAlign w:val="top"/>
          </w:tcPr>
          <w:p>
            <w:r>
              <w:rPr>
                <w:sz w:val="14"/>
              </w:rPr>
              <w:t>PCI DSS v4.0.1</w:t>
            </w:r>
          </w:p>
        </w:tc>
        <w:tc>
          <w:tcPr>
            <w:tcW w:type="dxa" w:w="1728"/>
            <w:vAlign w:val="top"/>
          </w:tcPr>
          <w:p>
            <w:r>
              <w:rPr>
                <w:sz w:val="14"/>
              </w:rPr>
              <w:t>PCI Security Standards Council</w:t>
            </w:r>
          </w:p>
        </w:tc>
        <w:tc>
          <w:tcPr>
            <w:tcW w:type="dxa" w:w="2160"/>
            <w:vAlign w:val="top"/>
          </w:tcPr>
          <w:p>
            <w:r>
              <w:rPr>
                <w:sz w:val="14"/>
              </w:rPr>
              <w:t>Payment-card data security standard</w:t>
            </w:r>
          </w:p>
        </w:tc>
        <w:tc>
          <w:tcPr>
            <w:tcW w:type="dxa" w:w="3600"/>
            <w:vAlign w:val="top"/>
          </w:tcPr>
          <w:p>
            <w:r>
              <w:rPr>
                <w:sz w:val="14"/>
              </w:rPr>
              <w:t>https://www.pcisecuritystandards.org/document_library/</w:t>
            </w:r>
          </w:p>
        </w:tc>
        <w:tc>
          <w:tcPr>
            <w:tcW w:type="dxa" w:w="1152"/>
            <w:vAlign w:val="top"/>
          </w:tcPr>
          <w:p>
            <w:r>
              <w:rPr>
                <w:sz w:val="14"/>
              </w:rPr>
              <w:t>2026-07-01</w:t>
            </w:r>
          </w:p>
        </w:tc>
      </w:tr>
      <w:tr>
        <w:tc>
          <w:tcPr>
            <w:tcW w:type="dxa" w:w="1008"/>
            <w:vAlign w:val="top"/>
          </w:tcPr>
          <w:p>
            <w:r>
              <w:rPr>
                <w:sz w:val="14"/>
              </w:rPr>
              <w:t>EXT-004</w:t>
            </w:r>
          </w:p>
        </w:tc>
        <w:tc>
          <w:tcPr>
            <w:tcW w:type="dxa" w:w="2304"/>
            <w:vAlign w:val="top"/>
          </w:tcPr>
          <w:p>
            <w:r>
              <w:rPr>
                <w:sz w:val="14"/>
              </w:rPr>
              <w:t>ISO/IEC 42001:2023</w:t>
            </w:r>
          </w:p>
        </w:tc>
        <w:tc>
          <w:tcPr>
            <w:tcW w:type="dxa" w:w="1728"/>
            <w:vAlign w:val="top"/>
          </w:tcPr>
          <w:p>
            <w:r>
              <w:rPr>
                <w:sz w:val="14"/>
              </w:rPr>
              <w:t>ISO/IEC</w:t>
            </w:r>
          </w:p>
        </w:tc>
        <w:tc>
          <w:tcPr>
            <w:tcW w:type="dxa" w:w="2160"/>
            <w:vAlign w:val="top"/>
          </w:tcPr>
          <w:p>
            <w:r>
              <w:rPr>
                <w:sz w:val="14"/>
              </w:rPr>
              <w:t>AI management system standard</w:t>
            </w:r>
          </w:p>
        </w:tc>
        <w:tc>
          <w:tcPr>
            <w:tcW w:type="dxa" w:w="3600"/>
            <w:vAlign w:val="top"/>
          </w:tcPr>
          <w:p>
            <w:r>
              <w:rPr>
                <w:sz w:val="14"/>
              </w:rPr>
              <w:t>https://www.iso.org/standard/81230.html</w:t>
            </w:r>
          </w:p>
        </w:tc>
        <w:tc>
          <w:tcPr>
            <w:tcW w:type="dxa" w:w="1152"/>
            <w:vAlign w:val="top"/>
          </w:tcPr>
          <w:p>
            <w:r>
              <w:rPr>
                <w:sz w:val="14"/>
              </w:rPr>
              <w:t>2026-07-01</w:t>
            </w:r>
          </w:p>
        </w:tc>
      </w:tr>
      <w:tr>
        <w:tc>
          <w:tcPr>
            <w:tcW w:type="dxa" w:w="1008"/>
            <w:vAlign w:val="top"/>
          </w:tcPr>
          <w:p>
            <w:r>
              <w:rPr>
                <w:sz w:val="14"/>
              </w:rPr>
              <w:t>EXT-005</w:t>
            </w:r>
          </w:p>
        </w:tc>
        <w:tc>
          <w:tcPr>
            <w:tcW w:type="dxa" w:w="2304"/>
            <w:vAlign w:val="top"/>
          </w:tcPr>
          <w:p>
            <w:r>
              <w:rPr>
                <w:sz w:val="14"/>
              </w:rPr>
              <w:t>ISO/IEC 27001:2022</w:t>
            </w:r>
          </w:p>
        </w:tc>
        <w:tc>
          <w:tcPr>
            <w:tcW w:type="dxa" w:w="1728"/>
            <w:vAlign w:val="top"/>
          </w:tcPr>
          <w:p>
            <w:r>
              <w:rPr>
                <w:sz w:val="14"/>
              </w:rPr>
              <w:t>ISO/IEC</w:t>
            </w:r>
          </w:p>
        </w:tc>
        <w:tc>
          <w:tcPr>
            <w:tcW w:type="dxa" w:w="2160"/>
            <w:vAlign w:val="top"/>
          </w:tcPr>
          <w:p>
            <w:r>
              <w:rPr>
                <w:sz w:val="14"/>
              </w:rPr>
              <w:t>Information security management system</w:t>
            </w:r>
          </w:p>
        </w:tc>
        <w:tc>
          <w:tcPr>
            <w:tcW w:type="dxa" w:w="3600"/>
            <w:vAlign w:val="top"/>
          </w:tcPr>
          <w:p>
            <w:r>
              <w:rPr>
                <w:sz w:val="14"/>
              </w:rPr>
              <w:t>https://www.iso.org/standard/27001</w:t>
            </w:r>
          </w:p>
        </w:tc>
        <w:tc>
          <w:tcPr>
            <w:tcW w:type="dxa" w:w="1152"/>
            <w:vAlign w:val="top"/>
          </w:tcPr>
          <w:p>
            <w:r>
              <w:rPr>
                <w:sz w:val="14"/>
              </w:rPr>
              <w:t>2026-07-01</w:t>
            </w:r>
          </w:p>
        </w:tc>
      </w:tr>
      <w:tr>
        <w:tc>
          <w:tcPr>
            <w:tcW w:type="dxa" w:w="1008"/>
            <w:vAlign w:val="top"/>
          </w:tcPr>
          <w:p>
            <w:r>
              <w:rPr>
                <w:sz w:val="14"/>
              </w:rPr>
              <w:t>EXT-006</w:t>
            </w:r>
          </w:p>
        </w:tc>
        <w:tc>
          <w:tcPr>
            <w:tcW w:type="dxa" w:w="2304"/>
            <w:vAlign w:val="top"/>
          </w:tcPr>
          <w:p>
            <w:r>
              <w:rPr>
                <w:sz w:val="14"/>
              </w:rPr>
              <w:t>NIST Cybersecurity Framework 2.0</w:t>
            </w:r>
          </w:p>
        </w:tc>
        <w:tc>
          <w:tcPr>
            <w:tcW w:type="dxa" w:w="1728"/>
            <w:vAlign w:val="top"/>
          </w:tcPr>
          <w:p>
            <w:r>
              <w:rPr>
                <w:sz w:val="14"/>
              </w:rPr>
              <w:t>NIST</w:t>
            </w:r>
          </w:p>
        </w:tc>
        <w:tc>
          <w:tcPr>
            <w:tcW w:type="dxa" w:w="2160"/>
            <w:vAlign w:val="top"/>
          </w:tcPr>
          <w:p>
            <w:r>
              <w:rPr>
                <w:sz w:val="14"/>
              </w:rPr>
              <w:t>Cybersecurity risk management framework</w:t>
            </w:r>
          </w:p>
        </w:tc>
        <w:tc>
          <w:tcPr>
            <w:tcW w:type="dxa" w:w="3600"/>
            <w:vAlign w:val="top"/>
          </w:tcPr>
          <w:p>
            <w:r>
              <w:rPr>
                <w:sz w:val="14"/>
              </w:rPr>
              <w:t>https://www.nist.gov/cyberframework</w:t>
            </w:r>
          </w:p>
        </w:tc>
        <w:tc>
          <w:tcPr>
            <w:tcW w:type="dxa" w:w="1152"/>
            <w:vAlign w:val="top"/>
          </w:tcPr>
          <w:p>
            <w:r>
              <w:rPr>
                <w:sz w:val="14"/>
              </w:rPr>
              <w:t>2026-07-01</w:t>
            </w:r>
          </w:p>
        </w:tc>
      </w:tr>
      <w:tr>
        <w:tc>
          <w:tcPr>
            <w:tcW w:type="dxa" w:w="1008"/>
            <w:vAlign w:val="top"/>
          </w:tcPr>
          <w:p>
            <w:r>
              <w:rPr>
                <w:sz w:val="14"/>
              </w:rPr>
              <w:t>EXT-007</w:t>
            </w:r>
          </w:p>
        </w:tc>
        <w:tc>
          <w:tcPr>
            <w:tcW w:type="dxa" w:w="2304"/>
            <w:vAlign w:val="top"/>
          </w:tcPr>
          <w:p>
            <w:r>
              <w:rPr>
                <w:sz w:val="14"/>
              </w:rPr>
              <w:t>FTC Consumer Review Rule</w:t>
            </w:r>
          </w:p>
        </w:tc>
        <w:tc>
          <w:tcPr>
            <w:tcW w:type="dxa" w:w="1728"/>
            <w:vAlign w:val="top"/>
          </w:tcPr>
          <w:p>
            <w:r>
              <w:rPr>
                <w:sz w:val="14"/>
              </w:rPr>
              <w:t>U.S. Federal Trade Commission</w:t>
            </w:r>
          </w:p>
        </w:tc>
        <w:tc>
          <w:tcPr>
            <w:tcW w:type="dxa" w:w="2160"/>
            <w:vAlign w:val="top"/>
          </w:tcPr>
          <w:p>
            <w:r>
              <w:rPr>
                <w:sz w:val="14"/>
              </w:rPr>
              <w:t>Prohibitions concerning fake reviews and testimonials</w:t>
            </w:r>
          </w:p>
        </w:tc>
        <w:tc>
          <w:tcPr>
            <w:tcW w:type="dxa" w:w="3600"/>
            <w:vAlign w:val="top"/>
          </w:tcPr>
          <w:p>
            <w:r>
              <w:rPr>
                <w:sz w:val="14"/>
              </w:rPr>
              <w:t>https://www.ftc.gov/business-guidance/resources/consumer-reviews-testimonials-rule-questions-answers</w:t>
            </w:r>
          </w:p>
        </w:tc>
        <w:tc>
          <w:tcPr>
            <w:tcW w:type="dxa" w:w="1152"/>
            <w:vAlign w:val="top"/>
          </w:tcPr>
          <w:p>
            <w:r>
              <w:rPr>
                <w:sz w:val="14"/>
              </w:rPr>
              <w:t>2026-07-01</w:t>
            </w:r>
          </w:p>
        </w:tc>
      </w:tr>
      <w:tr>
        <w:tc>
          <w:tcPr>
            <w:tcW w:type="dxa" w:w="1008"/>
            <w:vAlign w:val="top"/>
          </w:tcPr>
          <w:p>
            <w:r>
              <w:rPr>
                <w:sz w:val="14"/>
              </w:rPr>
              <w:t>EXT-008</w:t>
            </w:r>
          </w:p>
        </w:tc>
        <w:tc>
          <w:tcPr>
            <w:tcW w:type="dxa" w:w="2304"/>
            <w:vAlign w:val="top"/>
          </w:tcPr>
          <w:p>
            <w:r>
              <w:rPr>
                <w:sz w:val="14"/>
              </w:rPr>
              <w:t>Web Content Accessibility Guidelines 2.2</w:t>
            </w:r>
          </w:p>
        </w:tc>
        <w:tc>
          <w:tcPr>
            <w:tcW w:type="dxa" w:w="1728"/>
            <w:vAlign w:val="top"/>
          </w:tcPr>
          <w:p>
            <w:r>
              <w:rPr>
                <w:sz w:val="14"/>
              </w:rPr>
              <w:t>W3C</w:t>
            </w:r>
          </w:p>
        </w:tc>
        <w:tc>
          <w:tcPr>
            <w:tcW w:type="dxa" w:w="2160"/>
            <w:vAlign w:val="top"/>
          </w:tcPr>
          <w:p>
            <w:r>
              <w:rPr>
                <w:sz w:val="14"/>
              </w:rPr>
              <w:t>Accessibility guidance</w:t>
            </w:r>
          </w:p>
        </w:tc>
        <w:tc>
          <w:tcPr>
            <w:tcW w:type="dxa" w:w="3600"/>
            <w:vAlign w:val="top"/>
          </w:tcPr>
          <w:p>
            <w:r>
              <w:rPr>
                <w:sz w:val="14"/>
              </w:rPr>
              <w:t>https://www.w3.org/TR/WCAG22/</w:t>
            </w:r>
          </w:p>
        </w:tc>
        <w:tc>
          <w:tcPr>
            <w:tcW w:type="dxa" w:w="1152"/>
            <w:vAlign w:val="top"/>
          </w:tcPr>
          <w:p>
            <w:r>
              <w:rPr>
                <w:sz w:val="14"/>
              </w:rPr>
              <w:t>2026-07-01</w:t>
            </w:r>
          </w:p>
        </w:tc>
      </w:tr>
      <w:tr>
        <w:tc>
          <w:tcPr>
            <w:tcW w:type="dxa" w:w="1008"/>
            <w:vAlign w:val="top"/>
          </w:tcPr>
          <w:p>
            <w:r>
              <w:rPr>
                <w:sz w:val="14"/>
              </w:rPr>
              <w:t>EXT-009</w:t>
            </w:r>
          </w:p>
        </w:tc>
        <w:tc>
          <w:tcPr>
            <w:tcW w:type="dxa" w:w="2304"/>
            <w:vAlign w:val="top"/>
          </w:tcPr>
          <w:p>
            <w:r>
              <w:rPr>
                <w:sz w:val="14"/>
              </w:rPr>
              <w:t>GDPR Regulation (EU) 2016/679</w:t>
            </w:r>
          </w:p>
        </w:tc>
        <w:tc>
          <w:tcPr>
            <w:tcW w:type="dxa" w:w="1728"/>
            <w:vAlign w:val="top"/>
          </w:tcPr>
          <w:p>
            <w:r>
              <w:rPr>
                <w:sz w:val="14"/>
              </w:rPr>
              <w:t>European Union</w:t>
            </w:r>
          </w:p>
        </w:tc>
        <w:tc>
          <w:tcPr>
            <w:tcW w:type="dxa" w:w="2160"/>
            <w:vAlign w:val="top"/>
          </w:tcPr>
          <w:p>
            <w:r>
              <w:rPr>
                <w:sz w:val="14"/>
              </w:rPr>
              <w:t>Personal-data protection regulation</w:t>
            </w:r>
          </w:p>
        </w:tc>
        <w:tc>
          <w:tcPr>
            <w:tcW w:type="dxa" w:w="3600"/>
            <w:vAlign w:val="top"/>
          </w:tcPr>
          <w:p>
            <w:r>
              <w:rPr>
                <w:sz w:val="14"/>
              </w:rPr>
              <w:t>https://eur-lex.europa.eu/eli/reg/2016/679/oj</w:t>
            </w:r>
          </w:p>
        </w:tc>
        <w:tc>
          <w:tcPr>
            <w:tcW w:type="dxa" w:w="1152"/>
            <w:vAlign w:val="top"/>
          </w:tcPr>
          <w:p>
            <w:r>
              <w:rPr>
                <w:sz w:val="14"/>
              </w:rPr>
              <w:t>2026-07-01</w:t>
            </w:r>
          </w:p>
        </w:tc>
      </w:tr>
      <w:tr>
        <w:tc>
          <w:tcPr>
            <w:tcW w:type="dxa" w:w="1008"/>
            <w:vAlign w:val="top"/>
          </w:tcPr>
          <w:p>
            <w:r>
              <w:rPr>
                <w:sz w:val="14"/>
              </w:rPr>
              <w:t>EXT-010</w:t>
            </w:r>
          </w:p>
        </w:tc>
        <w:tc>
          <w:tcPr>
            <w:tcW w:type="dxa" w:w="2304"/>
            <w:vAlign w:val="top"/>
          </w:tcPr>
          <w:p>
            <w:r>
              <w:rPr>
                <w:sz w:val="14"/>
              </w:rPr>
              <w:t>NIST Privacy Framework 1.0</w:t>
            </w:r>
          </w:p>
        </w:tc>
        <w:tc>
          <w:tcPr>
            <w:tcW w:type="dxa" w:w="1728"/>
            <w:vAlign w:val="top"/>
          </w:tcPr>
          <w:p>
            <w:r>
              <w:rPr>
                <w:sz w:val="14"/>
              </w:rPr>
              <w:t>NIST</w:t>
            </w:r>
          </w:p>
        </w:tc>
        <w:tc>
          <w:tcPr>
            <w:tcW w:type="dxa" w:w="2160"/>
            <w:vAlign w:val="top"/>
          </w:tcPr>
          <w:p>
            <w:r>
              <w:rPr>
                <w:sz w:val="14"/>
              </w:rPr>
              <w:t>Privacy risk management framework</w:t>
            </w:r>
          </w:p>
        </w:tc>
        <w:tc>
          <w:tcPr>
            <w:tcW w:type="dxa" w:w="3600"/>
            <w:vAlign w:val="top"/>
          </w:tcPr>
          <w:p>
            <w:r>
              <w:rPr>
                <w:sz w:val="14"/>
              </w:rPr>
              <w:t>https://www.nist.gov/privacy-framework</w:t>
            </w:r>
          </w:p>
        </w:tc>
        <w:tc>
          <w:tcPr>
            <w:tcW w:type="dxa" w:w="1152"/>
            <w:vAlign w:val="top"/>
          </w:tcPr>
          <w:p>
            <w:r>
              <w:rPr>
                <w:sz w:val="14"/>
              </w:rPr>
              <w:t>2026-07-01</w:t>
            </w:r>
          </w:p>
        </w:tc>
      </w:tr>
    </w:tbl>
    <w:p/>
    <w:p>
      <w:pPr>
        <w:pStyle w:val="Heading1"/>
      </w:pPr>
      <w:r>
        <w:t>Appendix F - Open review gates</w:t>
      </w:r>
    </w:p>
    <w:tbl>
      <w:tblPr>
        <w:tblStyle w:val="TableGrid"/>
        <w:tblW w:type="auto" w:w="0"/>
        <w:jc w:val="center"/>
        <w:tblLook w:firstColumn="1" w:firstRow="1" w:lastColumn="0" w:lastRow="0" w:noHBand="0" w:noVBand="1" w:val="04A0"/>
      </w:tblPr>
      <w:tblGrid>
        <w:gridCol w:w="2592"/>
        <w:gridCol w:w="2592"/>
        <w:gridCol w:w="2592"/>
        <w:gridCol w:w="2592"/>
      </w:tblGrid>
      <w:tr>
        <w:trPr>
          <w:tblHeader w:val="true"/>
        </w:trPr>
        <w:tc>
          <w:tcPr>
            <w:tcW w:type="dxa" w:w="1152"/>
            <w:shd w:fill="17365D"/>
            <w:vAlign w:val="center"/>
          </w:tcPr>
          <w:p>
            <w:r>
              <w:rPr>
                <w:b/>
                <w:color w:val="FFFFFF"/>
                <w:sz w:val="16"/>
              </w:rPr>
              <w:t>Gate</w:t>
            </w:r>
          </w:p>
        </w:tc>
        <w:tc>
          <w:tcPr>
            <w:tcW w:type="dxa" w:w="2592"/>
            <w:shd w:fill="17365D"/>
            <w:vAlign w:val="center"/>
          </w:tcPr>
          <w:p>
            <w:r>
              <w:rPr>
                <w:b/>
                <w:color w:val="FFFFFF"/>
                <w:sz w:val="16"/>
              </w:rPr>
              <w:t>Reviewer</w:t>
            </w:r>
          </w:p>
        </w:tc>
        <w:tc>
          <w:tcPr>
            <w:tcW w:type="dxa" w:w="1152"/>
            <w:shd w:fill="17365D"/>
            <w:vAlign w:val="center"/>
          </w:tcPr>
          <w:p>
            <w:r>
              <w:rPr>
                <w:b/>
                <w:color w:val="FFFFFF"/>
                <w:sz w:val="16"/>
              </w:rPr>
              <w:t>Status</w:t>
            </w:r>
          </w:p>
        </w:tc>
        <w:tc>
          <w:tcPr>
            <w:tcW w:type="dxa" w:w="5760"/>
            <w:shd w:fill="17365D"/>
            <w:vAlign w:val="center"/>
          </w:tcPr>
          <w:p>
            <w:r>
              <w:rPr>
                <w:b/>
                <w:color w:val="FFFFFF"/>
                <w:sz w:val="16"/>
              </w:rPr>
              <w:t>Closure requirement</w:t>
            </w:r>
          </w:p>
        </w:tc>
      </w:tr>
      <w:tr>
        <w:tc>
          <w:tcPr>
            <w:tcW w:type="dxa" w:w="1152"/>
            <w:vAlign w:val="top"/>
          </w:tcPr>
          <w:p>
            <w:r>
              <w:rPr>
                <w:sz w:val="16"/>
              </w:rPr>
              <w:t>RG-01</w:t>
            </w:r>
          </w:p>
        </w:tc>
        <w:tc>
          <w:tcPr>
            <w:tcW w:type="dxa" w:w="2592"/>
            <w:vAlign w:val="top"/>
          </w:tcPr>
          <w:p>
            <w:r>
              <w:rPr>
                <w:sz w:val="16"/>
              </w:rPr>
              <w:t>Retail cybersecurity specialist</w:t>
            </w:r>
          </w:p>
        </w:tc>
        <w:tc>
          <w:tcPr>
            <w:tcW w:type="dxa" w:w="1152"/>
            <w:vAlign w:val="top"/>
          </w:tcPr>
          <w:p>
            <w:r>
              <w:rPr>
                <w:sz w:val="16"/>
              </w:rPr>
              <w:t>Open</w:t>
            </w:r>
          </w:p>
        </w:tc>
        <w:tc>
          <w:tcPr>
            <w:tcW w:type="dxa" w:w="5760"/>
            <w:vAlign w:val="top"/>
          </w:tcPr>
          <w:p>
            <w:r>
              <w:rPr>
                <w:sz w:val="16"/>
              </w:rPr>
              <w:t>Validate sector threat and control interpretation.</w:t>
            </w:r>
          </w:p>
        </w:tc>
      </w:tr>
      <w:tr>
        <w:tc>
          <w:tcPr>
            <w:tcW w:type="dxa" w:w="1152"/>
            <w:vAlign w:val="top"/>
          </w:tcPr>
          <w:p>
            <w:r>
              <w:rPr>
                <w:sz w:val="16"/>
              </w:rPr>
              <w:t>RG-02</w:t>
            </w:r>
          </w:p>
        </w:tc>
        <w:tc>
          <w:tcPr>
            <w:tcW w:type="dxa" w:w="2592"/>
            <w:vAlign w:val="top"/>
          </w:tcPr>
          <w:p>
            <w:r>
              <w:rPr>
                <w:sz w:val="16"/>
              </w:rPr>
              <w:t>Payments / PCI specialist</w:t>
            </w:r>
          </w:p>
        </w:tc>
        <w:tc>
          <w:tcPr>
            <w:tcW w:type="dxa" w:w="1152"/>
            <w:vAlign w:val="top"/>
          </w:tcPr>
          <w:p>
            <w:r>
              <w:rPr>
                <w:sz w:val="16"/>
              </w:rPr>
              <w:t>Open</w:t>
            </w:r>
          </w:p>
        </w:tc>
        <w:tc>
          <w:tcPr>
            <w:tcW w:type="dxa" w:w="5760"/>
            <w:vAlign w:val="top"/>
          </w:tcPr>
          <w:p>
            <w:r>
              <w:rPr>
                <w:sz w:val="16"/>
              </w:rPr>
              <w:t>Validate payment-system scope and PCI references.</w:t>
            </w:r>
          </w:p>
        </w:tc>
      </w:tr>
      <w:tr>
        <w:tc>
          <w:tcPr>
            <w:tcW w:type="dxa" w:w="1152"/>
            <w:vAlign w:val="top"/>
          </w:tcPr>
          <w:p>
            <w:r>
              <w:rPr>
                <w:sz w:val="16"/>
              </w:rPr>
              <w:t>RG-03</w:t>
            </w:r>
          </w:p>
        </w:tc>
        <w:tc>
          <w:tcPr>
            <w:tcW w:type="dxa" w:w="2592"/>
            <w:vAlign w:val="top"/>
          </w:tcPr>
          <w:p>
            <w:r>
              <w:rPr>
                <w:sz w:val="16"/>
              </w:rPr>
              <w:t>Privacy and data protection</w:t>
            </w:r>
          </w:p>
        </w:tc>
        <w:tc>
          <w:tcPr>
            <w:tcW w:type="dxa" w:w="1152"/>
            <w:vAlign w:val="top"/>
          </w:tcPr>
          <w:p>
            <w:r>
              <w:rPr>
                <w:sz w:val="16"/>
              </w:rPr>
              <w:t>Open</w:t>
            </w:r>
          </w:p>
        </w:tc>
        <w:tc>
          <w:tcPr>
            <w:tcW w:type="dxa" w:w="5760"/>
            <w:vAlign w:val="top"/>
          </w:tcPr>
          <w:p>
            <w:r>
              <w:rPr>
                <w:sz w:val="16"/>
              </w:rPr>
              <w:t>Validate personal-data, profiling and transfer guidance.</w:t>
            </w:r>
          </w:p>
        </w:tc>
      </w:tr>
      <w:tr>
        <w:tc>
          <w:tcPr>
            <w:tcW w:type="dxa" w:w="1152"/>
            <w:vAlign w:val="top"/>
          </w:tcPr>
          <w:p>
            <w:r>
              <w:rPr>
                <w:sz w:val="16"/>
              </w:rPr>
              <w:t>RG-04</w:t>
            </w:r>
          </w:p>
        </w:tc>
        <w:tc>
          <w:tcPr>
            <w:tcW w:type="dxa" w:w="2592"/>
            <w:vAlign w:val="top"/>
          </w:tcPr>
          <w:p>
            <w:r>
              <w:rPr>
                <w:sz w:val="16"/>
              </w:rPr>
              <w:t>Biometric and computer vision</w:t>
            </w:r>
          </w:p>
        </w:tc>
        <w:tc>
          <w:tcPr>
            <w:tcW w:type="dxa" w:w="1152"/>
            <w:vAlign w:val="top"/>
          </w:tcPr>
          <w:p>
            <w:r>
              <w:rPr>
                <w:sz w:val="16"/>
              </w:rPr>
              <w:t>Open</w:t>
            </w:r>
          </w:p>
        </w:tc>
        <w:tc>
          <w:tcPr>
            <w:tcW w:type="dxa" w:w="5760"/>
            <w:vAlign w:val="top"/>
          </w:tcPr>
          <w:p>
            <w:r>
              <w:rPr>
                <w:sz w:val="16"/>
              </w:rPr>
              <w:t>Validate biometric, age-estimation and intervention guidance.</w:t>
            </w:r>
          </w:p>
        </w:tc>
      </w:tr>
      <w:tr>
        <w:tc>
          <w:tcPr>
            <w:tcW w:type="dxa" w:w="1152"/>
            <w:vAlign w:val="top"/>
          </w:tcPr>
          <w:p>
            <w:r>
              <w:rPr>
                <w:sz w:val="16"/>
              </w:rPr>
              <w:t>RG-05</w:t>
            </w:r>
          </w:p>
        </w:tc>
        <w:tc>
          <w:tcPr>
            <w:tcW w:type="dxa" w:w="2592"/>
            <w:vAlign w:val="top"/>
          </w:tcPr>
          <w:p>
            <w:r>
              <w:rPr>
                <w:sz w:val="16"/>
              </w:rPr>
              <w:t>Employment and workforce AI</w:t>
            </w:r>
          </w:p>
        </w:tc>
        <w:tc>
          <w:tcPr>
            <w:tcW w:type="dxa" w:w="1152"/>
            <w:vAlign w:val="top"/>
          </w:tcPr>
          <w:p>
            <w:r>
              <w:rPr>
                <w:sz w:val="16"/>
              </w:rPr>
              <w:t>Open</w:t>
            </w:r>
          </w:p>
        </w:tc>
        <w:tc>
          <w:tcPr>
            <w:tcW w:type="dxa" w:w="5760"/>
            <w:vAlign w:val="top"/>
          </w:tcPr>
          <w:p>
            <w:r>
              <w:rPr>
                <w:sz w:val="16"/>
              </w:rPr>
              <w:t>Validate hiring, scheduling and monitoring guidance.</w:t>
            </w:r>
          </w:p>
        </w:tc>
      </w:tr>
      <w:tr>
        <w:tc>
          <w:tcPr>
            <w:tcW w:type="dxa" w:w="1152"/>
            <w:vAlign w:val="top"/>
          </w:tcPr>
          <w:p>
            <w:r>
              <w:rPr>
                <w:sz w:val="16"/>
              </w:rPr>
              <w:t>RG-06</w:t>
            </w:r>
          </w:p>
        </w:tc>
        <w:tc>
          <w:tcPr>
            <w:tcW w:type="dxa" w:w="2592"/>
            <w:vAlign w:val="top"/>
          </w:tcPr>
          <w:p>
            <w:r>
              <w:rPr>
                <w:sz w:val="16"/>
              </w:rPr>
              <w:t>Consumer protection</w:t>
            </w:r>
          </w:p>
        </w:tc>
        <w:tc>
          <w:tcPr>
            <w:tcW w:type="dxa" w:w="1152"/>
            <w:vAlign w:val="top"/>
          </w:tcPr>
          <w:p>
            <w:r>
              <w:rPr>
                <w:sz w:val="16"/>
              </w:rPr>
              <w:t>Open</w:t>
            </w:r>
          </w:p>
        </w:tc>
        <w:tc>
          <w:tcPr>
            <w:tcW w:type="dxa" w:w="5760"/>
            <w:vAlign w:val="top"/>
          </w:tcPr>
          <w:p>
            <w:r>
              <w:rPr>
                <w:sz w:val="16"/>
              </w:rPr>
              <w:t>Validate pricing, reviews, claims, transparency and contestability.</w:t>
            </w:r>
          </w:p>
        </w:tc>
      </w:tr>
      <w:tr>
        <w:tc>
          <w:tcPr>
            <w:tcW w:type="dxa" w:w="1152"/>
            <w:vAlign w:val="top"/>
          </w:tcPr>
          <w:p>
            <w:r>
              <w:rPr>
                <w:sz w:val="16"/>
              </w:rPr>
              <w:t>RG-07</w:t>
            </w:r>
          </w:p>
        </w:tc>
        <w:tc>
          <w:tcPr>
            <w:tcW w:type="dxa" w:w="2592"/>
            <w:vAlign w:val="top"/>
          </w:tcPr>
          <w:p>
            <w:r>
              <w:rPr>
                <w:sz w:val="16"/>
              </w:rPr>
              <w:t>Accessibility</w:t>
            </w:r>
          </w:p>
        </w:tc>
        <w:tc>
          <w:tcPr>
            <w:tcW w:type="dxa" w:w="1152"/>
            <w:vAlign w:val="top"/>
          </w:tcPr>
          <w:p>
            <w:r>
              <w:rPr>
                <w:sz w:val="16"/>
              </w:rPr>
              <w:t>Open</w:t>
            </w:r>
          </w:p>
        </w:tc>
        <w:tc>
          <w:tcPr>
            <w:tcW w:type="dxa" w:w="5760"/>
            <w:vAlign w:val="top"/>
          </w:tcPr>
          <w:p>
            <w:r>
              <w:rPr>
                <w:sz w:val="16"/>
              </w:rPr>
              <w:t>Validate accessibility testing and customer interaction guidance.</w:t>
            </w:r>
          </w:p>
        </w:tc>
      </w:tr>
      <w:tr>
        <w:tc>
          <w:tcPr>
            <w:tcW w:type="dxa" w:w="1152"/>
            <w:vAlign w:val="top"/>
          </w:tcPr>
          <w:p>
            <w:r>
              <w:rPr>
                <w:sz w:val="16"/>
              </w:rPr>
              <w:t>RG-08</w:t>
            </w:r>
          </w:p>
        </w:tc>
        <w:tc>
          <w:tcPr>
            <w:tcW w:type="dxa" w:w="2592"/>
            <w:vAlign w:val="top"/>
          </w:tcPr>
          <w:p>
            <w:r>
              <w:rPr>
                <w:sz w:val="16"/>
              </w:rPr>
              <w:t>Retail fraud and loss prevention</w:t>
            </w:r>
          </w:p>
        </w:tc>
        <w:tc>
          <w:tcPr>
            <w:tcW w:type="dxa" w:w="1152"/>
            <w:vAlign w:val="top"/>
          </w:tcPr>
          <w:p>
            <w:r>
              <w:rPr>
                <w:sz w:val="16"/>
              </w:rPr>
              <w:t>Open</w:t>
            </w:r>
          </w:p>
        </w:tc>
        <w:tc>
          <w:tcPr>
            <w:tcW w:type="dxa" w:w="5760"/>
            <w:vAlign w:val="top"/>
          </w:tcPr>
          <w:p>
            <w:r>
              <w:rPr>
                <w:sz w:val="16"/>
              </w:rPr>
              <w:t>Validate fraud scenarios, metrics and evidence.</w:t>
            </w:r>
          </w:p>
        </w:tc>
      </w:tr>
      <w:tr>
        <w:tc>
          <w:tcPr>
            <w:tcW w:type="dxa" w:w="1152"/>
            <w:vAlign w:val="top"/>
          </w:tcPr>
          <w:p>
            <w:r>
              <w:rPr>
                <w:sz w:val="16"/>
              </w:rPr>
              <w:t>RG-09</w:t>
            </w:r>
          </w:p>
        </w:tc>
        <w:tc>
          <w:tcPr>
            <w:tcW w:type="dxa" w:w="2592"/>
            <w:vAlign w:val="top"/>
          </w:tcPr>
          <w:p>
            <w:r>
              <w:rPr>
                <w:sz w:val="16"/>
              </w:rPr>
              <w:t>Supply chain and warehouse operations</w:t>
            </w:r>
          </w:p>
        </w:tc>
        <w:tc>
          <w:tcPr>
            <w:tcW w:type="dxa" w:w="1152"/>
            <w:vAlign w:val="top"/>
          </w:tcPr>
          <w:p>
            <w:r>
              <w:rPr>
                <w:sz w:val="16"/>
              </w:rPr>
              <w:t>Open</w:t>
            </w:r>
          </w:p>
        </w:tc>
        <w:tc>
          <w:tcPr>
            <w:tcW w:type="dxa" w:w="5760"/>
            <w:vAlign w:val="top"/>
          </w:tcPr>
          <w:p>
            <w:r>
              <w:rPr>
                <w:sz w:val="16"/>
              </w:rPr>
              <w:t>Validate robotics, fulfilment and continuity guidance.</w:t>
            </w:r>
          </w:p>
        </w:tc>
      </w:tr>
      <w:tr>
        <w:tc>
          <w:tcPr>
            <w:tcW w:type="dxa" w:w="1152"/>
            <w:vAlign w:val="top"/>
          </w:tcPr>
          <w:p>
            <w:r>
              <w:rPr>
                <w:sz w:val="16"/>
              </w:rPr>
              <w:t>RG-10</w:t>
            </w:r>
          </w:p>
        </w:tc>
        <w:tc>
          <w:tcPr>
            <w:tcW w:type="dxa" w:w="2592"/>
            <w:vAlign w:val="top"/>
          </w:tcPr>
          <w:p>
            <w:r>
              <w:rPr>
                <w:sz w:val="16"/>
              </w:rPr>
              <w:t>Franchise and marketplace operations</w:t>
            </w:r>
          </w:p>
        </w:tc>
        <w:tc>
          <w:tcPr>
            <w:tcW w:type="dxa" w:w="1152"/>
            <w:vAlign w:val="top"/>
          </w:tcPr>
          <w:p>
            <w:r>
              <w:rPr>
                <w:sz w:val="16"/>
              </w:rPr>
              <w:t>Open</w:t>
            </w:r>
          </w:p>
        </w:tc>
        <w:tc>
          <w:tcPr>
            <w:tcW w:type="dxa" w:w="5760"/>
            <w:vAlign w:val="top"/>
          </w:tcPr>
          <w:p>
            <w:r>
              <w:rPr>
                <w:sz w:val="16"/>
              </w:rPr>
              <w:t>Validate decentralised governance and seller impacts.</w:t>
            </w:r>
          </w:p>
        </w:tc>
      </w:tr>
      <w:tr>
        <w:tc>
          <w:tcPr>
            <w:tcW w:type="dxa" w:w="1152"/>
            <w:vAlign w:val="top"/>
          </w:tcPr>
          <w:p>
            <w:r>
              <w:rPr>
                <w:sz w:val="16"/>
              </w:rPr>
              <w:t>RG-11</w:t>
            </w:r>
          </w:p>
        </w:tc>
        <w:tc>
          <w:tcPr>
            <w:tcW w:type="dxa" w:w="2592"/>
            <w:vAlign w:val="top"/>
          </w:tcPr>
          <w:p>
            <w:r>
              <w:rPr>
                <w:sz w:val="16"/>
              </w:rPr>
              <w:t>Legal/editorial citation review</w:t>
            </w:r>
          </w:p>
        </w:tc>
        <w:tc>
          <w:tcPr>
            <w:tcW w:type="dxa" w:w="1152"/>
            <w:vAlign w:val="top"/>
          </w:tcPr>
          <w:p>
            <w:r>
              <w:rPr>
                <w:sz w:val="16"/>
              </w:rPr>
              <w:t>Open</w:t>
            </w:r>
          </w:p>
        </w:tc>
        <w:tc>
          <w:tcPr>
            <w:tcW w:type="dxa" w:w="5760"/>
            <w:vAlign w:val="top"/>
          </w:tcPr>
          <w:p>
            <w:r>
              <w:rPr>
                <w:sz w:val="16"/>
              </w:rPr>
              <w:t>Verify jurisdictional claims and source register.</w:t>
            </w:r>
          </w:p>
        </w:tc>
      </w:tr>
      <w:tr>
        <w:tc>
          <w:tcPr>
            <w:tcW w:type="dxa" w:w="1152"/>
            <w:vAlign w:val="top"/>
          </w:tcPr>
          <w:p>
            <w:r>
              <w:rPr>
                <w:sz w:val="16"/>
              </w:rPr>
              <w:t>RG-12</w:t>
            </w:r>
          </w:p>
        </w:tc>
        <w:tc>
          <w:tcPr>
            <w:tcW w:type="dxa" w:w="2592"/>
            <w:vAlign w:val="top"/>
          </w:tcPr>
          <w:p>
            <w:r>
              <w:rPr>
                <w:sz w:val="16"/>
              </w:rPr>
              <w:t>Final publication QA</w:t>
            </w:r>
          </w:p>
        </w:tc>
        <w:tc>
          <w:tcPr>
            <w:tcW w:type="dxa" w:w="1152"/>
            <w:vAlign w:val="top"/>
          </w:tcPr>
          <w:p>
            <w:r>
              <w:rPr>
                <w:sz w:val="16"/>
              </w:rPr>
              <w:t>Open</w:t>
            </w:r>
          </w:p>
        </w:tc>
        <w:tc>
          <w:tcPr>
            <w:tcW w:type="dxa" w:w="5760"/>
            <w:vAlign w:val="top"/>
          </w:tcPr>
          <w:p>
            <w:r>
              <w:rPr>
                <w:sz w:val="16"/>
              </w:rPr>
              <w:t>Close all material defects and approve release.</w:t>
            </w:r>
          </w:p>
        </w:tc>
      </w:tr>
    </w:tbl>
    <w:p/>
    <w:sectPr w:rsidR="00FC693F" w:rsidRPr="0006063C" w:rsidSect="00034616">
      <w:headerReference w:type="default" r:id="rId9"/>
      <w:footerReference w:type="default" r:id="rId10"/>
      <w:pgSz w:w="12240" w:h="15840"/>
      <w:pgMar w:top="936"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2026 ODA3 Pvt Ltd | Published by ODA3 Institute | Informative guidance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SEC-046 | GAISSF Retail Sector Implementation Guide | v1.0 | Publication Candidate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2F5597"/>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365F9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