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b48bf2ed134d9529c1f23d8bd1e9c080064bfa0"/>
    <w:p>
      <w:pPr>
        <w:pStyle w:val="Heading1"/>
      </w:pPr>
      <w:r>
        <w:t xml:space="preserve">SEC-049A - GAISSF Pharmaceutical Sector Executive Primer</w:t>
      </w:r>
    </w:p>
    <w:p>
      <w:pPr>
        <w:pStyle w:val="FirstParagraph"/>
      </w:pPr>
      <w:r>
        <w:rPr>
          <w:b/>
          <w:bCs/>
        </w:rPr>
        <w:t xml:space="preserve">Version:</w:t>
      </w:r>
      <w:r>
        <w:t xml:space="preserve"> </w:t>
      </w:r>
      <w:r>
        <w:t xml:space="preserve">1.1</w:t>
      </w:r>
      <w:r>
        <w:br/>
      </w:r>
      <w:r>
        <w:rPr>
          <w:b/>
          <w:bCs/>
        </w:rPr>
        <w:t xml:space="preserve">Status:</w:t>
      </w:r>
      <w:r>
        <w:t xml:space="preserve"> </w:t>
      </w:r>
      <w:r>
        <w:t xml:space="preserve">Controlled pre-release</w:t>
      </w:r>
      <w:r>
        <w:br/>
      </w:r>
      <w:r>
        <w:rPr>
          <w:b/>
          <w:bCs/>
        </w:rPr>
        <w:t xml:space="preserve">Publisher:</w:t>
      </w:r>
      <w:r>
        <w:t xml:space="preserve"> </w:t>
      </w:r>
      <w:r>
        <w:t xml:space="preserve">ODA3 Institute</w:t>
      </w:r>
    </w:p>
    <w:bookmarkStart w:id="20" w:name="why-this-package-exists"/>
    <w:p>
      <w:pPr>
        <w:pStyle w:val="Heading2"/>
      </w:pPr>
      <w:r>
        <w:t xml:space="preserve">Why this package exists</w:t>
      </w:r>
    </w:p>
    <w:p>
      <w:pPr>
        <w:pStyle w:val="FirstParagraph"/>
      </w:pPr>
      <w:r>
        <w:t xml:space="preserve">Pharmaceutical AI risk is not only a model-performance problem. It intersects with patient safety, product quality, clinical integrity, pharmacovigilance, regulated records, validated-state maintenance, cybersecurity and supplier dependence. SEC-049 provides an implementation layer between the authoritative GAISSF controls and pharmaceutical operating evidence.</w:t>
      </w:r>
    </w:p>
    <w:bookmarkEnd w:id="20"/>
    <w:bookmarkStart w:id="21" w:name="what-sec-049-does-not-do"/>
    <w:p>
      <w:pPr>
        <w:pStyle w:val="Heading2"/>
      </w:pPr>
      <w:r>
        <w:t xml:space="preserve">What SEC-049 does not do</w:t>
      </w:r>
    </w:p>
    <w:p>
      <w:pPr>
        <w:pStyle w:val="FirstParagraph"/>
      </w:pPr>
      <w:r>
        <w:t xml:space="preserve">It does not determine GxP applicability, provide legal advice, replace a quality system, establish regulator approval, or guarantee safety, security or compliance.</w:t>
      </w:r>
    </w:p>
    <w:bookmarkEnd w:id="21"/>
    <w:bookmarkStart w:id="22" w:name="four-implementation-tiers"/>
    <w:p>
      <w:pPr>
        <w:pStyle w:val="Heading2"/>
      </w:pPr>
      <w:r>
        <w:t xml:space="preserve">Four implementation tiers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Tier 1:</w:t>
      </w:r>
      <w:r>
        <w:t xml:space="preserve"> </w:t>
      </w:r>
      <w:r>
        <w:t xml:space="preserve">Administrative or low-impact support.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Tier 2:</w:t>
      </w:r>
      <w:r>
        <w:t xml:space="preserve"> </w:t>
      </w:r>
      <w:r>
        <w:t xml:space="preserve">Controlled operational support.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Tier 3:</w:t>
      </w:r>
      <w:r>
        <w:t xml:space="preserve"> </w:t>
      </w:r>
      <w:r>
        <w:t xml:space="preserve">GxP-significant or regulated decision support.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Tier 4:</w:t>
      </w:r>
      <w:r>
        <w:t xml:space="preserve"> </w:t>
      </w:r>
      <w:r>
        <w:t xml:space="preserve">Safety-critical, quality-critical or high-autonomy regulated use.</w:t>
      </w:r>
    </w:p>
    <w:p>
      <w:pPr>
        <w:pStyle w:val="FirstParagraph"/>
      </w:pPr>
      <w:r>
        <w:t xml:space="preserve">The workbook score is indicative only. Qualitative GxP, patient, product, regulated-record and autonomy triggers can require escalation.</w:t>
      </w:r>
    </w:p>
    <w:bookmarkEnd w:id="22"/>
    <w:bookmarkStart w:id="23" w:name="five-step-getting-started-workflow"/>
    <w:p>
      <w:pPr>
        <w:pStyle w:val="Heading2"/>
      </w:pPr>
      <w:r>
        <w:t xml:space="preserve">Five-step getting-started workflow</w:t>
      </w:r>
    </w:p>
    <w:p>
      <w:pPr>
        <w:pStyle w:val="Compact"/>
        <w:numPr>
          <w:ilvl w:val="0"/>
          <w:numId w:val="1002"/>
        </w:numPr>
      </w:pPr>
      <w:r>
        <w:t xml:space="preserve">Inventory all AI systems, embedded components and external services.</w:t>
      </w:r>
    </w:p>
    <w:p>
      <w:pPr>
        <w:pStyle w:val="Compact"/>
        <w:numPr>
          <w:ilvl w:val="0"/>
          <w:numId w:val="1002"/>
        </w:numPr>
      </w:pPr>
      <w:r>
        <w:t xml:space="preserve">Determine intended use, GxP status, regulated-record impact and physical/OT interaction.</w:t>
      </w:r>
    </w:p>
    <w:p>
      <w:pPr>
        <w:pStyle w:val="Compact"/>
        <w:numPr>
          <w:ilvl w:val="0"/>
          <w:numId w:val="1002"/>
        </w:numPr>
      </w:pPr>
      <w:r>
        <w:t xml:space="preserve">Assign an initial criticality tier and obtain accountable approval.</w:t>
      </w:r>
    </w:p>
    <w:p>
      <w:pPr>
        <w:pStyle w:val="Compact"/>
        <w:numPr>
          <w:ilvl w:val="0"/>
          <w:numId w:val="1002"/>
        </w:numPr>
      </w:pPr>
      <w:r>
        <w:t xml:space="preserve">Assess applicable GAISSF controls, document exceptions and link evidence.</w:t>
      </w:r>
    </w:p>
    <w:p>
      <w:pPr>
        <w:pStyle w:val="Compact"/>
        <w:numPr>
          <w:ilvl w:val="0"/>
          <w:numId w:val="1002"/>
        </w:numPr>
      </w:pPr>
      <w:r>
        <w:t xml:space="preserve">Prioritise Tier 3/4 gaps, monitor changes and integrate incidents with deviation and CAPA.</w:t>
      </w:r>
    </w:p>
    <w:bookmarkEnd w:id="23"/>
    <w:bookmarkStart w:id="24" w:name="first-90-days"/>
    <w:p>
      <w:pPr>
        <w:pStyle w:val="Heading2"/>
      </w:pPr>
      <w:r>
        <w:t xml:space="preserve">First 90 days</w:t>
      </w:r>
    </w:p>
    <w:p>
      <w:pPr>
        <w:pStyle w:val="FirstParagraph"/>
      </w:pPr>
      <w:r>
        <w:t xml:space="preserve">During the first 30 days, identify unapproved regulated use, assign owners, classify high-risk systems and establish escalation. During days 31-90, complete GxP and criticality determinations, supplier reviews, control assessments, output-review rules, evidence capture and priority testing.</w:t>
      </w:r>
    </w:p>
    <w:bookmarkEnd w:id="24"/>
    <w:bookmarkStart w:id="25" w:name="notably-absent"/>
    <w:p>
      <w:pPr>
        <w:pStyle w:val="Heading2"/>
      </w:pPr>
      <w:r>
        <w:t xml:space="preserve">Notably Absent</w:t>
      </w:r>
    </w:p>
    <w:p>
      <w:pPr>
        <w:pStyle w:val="FirstParagraph"/>
      </w:pPr>
      <w:r>
        <w:rPr>
          <w:b/>
          <w:bCs/>
        </w:rPr>
        <w:t xml:space="preserve">NA-001. No reliable public evidence was identified that autonomous AI compromise of pharmaceutical manufacturing is widespread.</w:t>
      </w:r>
      <w:r>
        <w:t xml:space="preserve"> </w:t>
      </w:r>
      <w:r>
        <w:t xml:space="preserve">Treat as a plausible high-impact scenario, not a prevalence claim. Confidence: Moderate; public reporting is incomplete.</w:t>
      </w:r>
    </w:p>
    <w:p>
      <w:pPr>
        <w:pStyle w:val="BodyText"/>
      </w:pPr>
      <w:r>
        <w:rPr>
          <w:b/>
          <w:bCs/>
        </w:rPr>
        <w:t xml:space="preserve">NA-002. No claim is made that malicious manipulation of a pharmaceutical AI system has directly caused confirmed patient harm at scale.</w:t>
      </w:r>
      <w:r>
        <w:t xml:space="preserve"> </w:t>
      </w:r>
      <w:r>
        <w:t xml:space="preserve">Do not infer occurrence from threat plausibility. Confidence: Moderate; confidential incidents may not be public.</w:t>
      </w:r>
    </w:p>
    <w:p>
      <w:pPr>
        <w:pStyle w:val="BodyText"/>
      </w:pPr>
      <w:r>
        <w:rPr>
          <w:b/>
          <w:bCs/>
        </w:rPr>
        <w:t xml:space="preserve">NA-003. No evidence supports routine regulator acceptance of fully autonomous regulated decisions without accountable human and organizational controls.</w:t>
      </w:r>
      <w:r>
        <w:t xml:space="preserve"> </w:t>
      </w:r>
      <w:r>
        <w:t xml:space="preserve">Default to explicit decision rights, qualified oversight and traceability. Confidence: High as a guide boundary; jurisdiction-specific review remains required.</w:t>
      </w:r>
    </w:p>
    <w:p>
      <w:pPr>
        <w:pStyle w:val="BodyText"/>
      </w:pPr>
      <w:r>
        <w:rPr>
          <w:b/>
          <w:bCs/>
        </w:rPr>
        <w:t xml:space="preserve">NA-004. No universal global regulatory classification or validation method for pharmaceutical AI is assumed.</w:t>
      </w:r>
      <w:r>
        <w:t xml:space="preserve"> </w:t>
      </w:r>
      <w:r>
        <w:t xml:space="preserve">Determine requirements by jurisdiction, intended use and lifecycle stage. Confidence: High.</w:t>
      </w:r>
    </w:p>
    <w:p>
      <w:pPr>
        <w:pStyle w:val="BodyText"/>
      </w:pPr>
      <w:r>
        <w:rPr>
          <w:b/>
          <w:bCs/>
        </w:rPr>
        <w:t xml:space="preserve">NA-005. Public incident datasets do not provide complete coverage of AI failures in pharmaceutical operations.</w:t>
      </w:r>
      <w:r>
        <w:t xml:space="preserve"> </w:t>
      </w:r>
      <w:r>
        <w:t xml:space="preserve">Frequency estimates are not supplied. Confidence: High.</w:t>
      </w:r>
    </w:p>
    <w:p>
      <w:pPr>
        <w:pStyle w:val="BodyText"/>
      </w:pPr>
      <w:r>
        <w:rPr>
          <w:b/>
          <w:bCs/>
        </w:rPr>
        <w:t xml:space="preserve">NA-006. Conventional cybersecurity controls alone are not shown to be sufficient for GxP-relevant AI systems.</w:t>
      </w:r>
      <w:r>
        <w:t xml:space="preserve"> </w:t>
      </w:r>
      <w:r>
        <w:t xml:space="preserve">Integrate quality, validation, data integrity, human oversight and regulated escalation. Confidence: High as an implementation principle.</w:t>
      </w:r>
    </w:p>
    <w:p>
      <w:pPr>
        <w:pStyle w:val="BodyText"/>
      </w:pPr>
      <w:r>
        <w:rPr>
          <w:b/>
          <w:bCs/>
        </w:rPr>
        <w:t xml:space="preserve">NA-007. Model accuracy alone is not treated as evidence of clinical, safety, quality or regulatory fitness.</w:t>
      </w:r>
      <w:r>
        <w:t xml:space="preserve"> </w:t>
      </w:r>
      <w:r>
        <w:t xml:space="preserve">Assess intended use, data, robustness, security, human factors, traceability and lifecycle control. Confidence: High.</w:t>
      </w:r>
    </w:p>
    <w:p>
      <w:pPr>
        <w:pStyle w:val="BodyText"/>
      </w:pPr>
      <w:r>
        <w:rPr>
          <w:b/>
          <w:bCs/>
        </w:rPr>
        <w:t xml:space="preserve">NA-008. The guide does not establish that every listed threat has occurred.</w:t>
      </w:r>
      <w:r>
        <w:t xml:space="preserve"> </w:t>
      </w:r>
      <w:r>
        <w:t xml:space="preserve">Threat entries are explicitly classified as scenarios unless confirmed evidence is cited. Confidence: High.</w:t>
      </w:r>
    </w:p>
    <w:bookmarkEnd w:id="25"/>
    <w:bookmarkStart w:id="26" w:name="release-status"/>
    <w:p>
      <w:pPr>
        <w:pStyle w:val="Heading2"/>
      </w:pPr>
      <w:r>
        <w:t xml:space="preserve">Release status</w:t>
      </w:r>
    </w:p>
    <w:p>
      <w:pPr>
        <w:pStyle w:val="FirstParagraph"/>
      </w:pPr>
      <w:r>
        <w:t xml:space="preserve">The package remains controlled pre-release. Qualified pharmaceutical quality/GxP, pharmacovigilance, clinical, manufacturing/laboratory, privacy, legal and jurisdiction-specific reviews remain required before public release.</w:t>
      </w:r>
    </w:p>
    <w:bookmarkEnd w:id="26"/>
    <w:bookmarkEnd w:id="27"/>
    <w:sectPr w:rsidR="00FC693F" w:rsidRPr="0006063C" w:rsidSect="00034616">
      <w:headerReference r:id="rId9" w:type="default"/>
      <w:footerReference r:id="rId10" w:type="default"/>
      <w:pgSz w:h="15840" w:w="12240"/>
      <w:pgMar w:bottom="936" w:footer="720" w:gutter="0" w:header="720" w:left="1008" w:right="1008" w:top="936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4"/>
      </w:rPr>
      <w:t>© 2026 ODA3 Pvt Ltd  |  Controlled pre-release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666666"/>
        <w:sz w:val="14"/>
      </w:rPr>
      <w:t>ODA3 Institute  |  SEC-049  |  GAISSF Pharmaceutical Sector Implementation Guide  |  v1.1</w:t>
    </w: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Aptos" w:hAnsi="Aptos"/>
      <w:sz w:val="18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Aptos Display" w:asciiTheme="majorHAnsi" w:cstheme="majorBidi" w:eastAsiaTheme="majorEastAsia" w:hAnsi="Aptos Display" w:hAnsiTheme="majorHAnsi"/>
      <w:b/>
      <w:bCs/>
      <w:color w:val="17365D"/>
      <w:sz w:val="32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Aptos Display" w:asciiTheme="majorHAnsi" w:cstheme="majorBidi" w:eastAsiaTheme="majorEastAsia" w:hAnsi="Aptos Display" w:hAnsiTheme="majorHAnsi"/>
      <w:b/>
      <w:bCs/>
      <w:color w:val="1F4E78"/>
      <w:sz w:val="24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Aptos Display" w:asciiTheme="majorHAnsi" w:cstheme="majorBidi" w:eastAsiaTheme="majorEastAsia" w:hAnsi="Aptos Display" w:hAnsiTheme="majorHAnsi"/>
      <w:b/>
      <w:bCs/>
      <w:color w:val="2F5597"/>
      <w:sz w:val="20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Aptos Display" w:asciiTheme="majorHAnsi" w:cstheme="majorBidi" w:eastAsiaTheme="majorEastAsia" w:hAnsi="Aptos Display" w:hAnsiTheme="majorHAnsi"/>
      <w:color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2026-06-30T17:43:03Z</dcterms:created>
  <dcterms:modified xsi:type="dcterms:W3CDTF">2026-06-30T17:43:03Z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